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20179" w14:textId="3FF00160" w:rsidR="006E0E9A" w:rsidRDefault="00DA4710" w:rsidP="00DA4710">
      <w:pPr>
        <w:pStyle w:val="Pagedecouverture"/>
        <w:rPr>
          <w:noProof/>
        </w:rPr>
      </w:pPr>
      <w:bookmarkStart w:id="0" w:name="LW_BM_COVERPAGE"/>
      <w:r>
        <w:rPr>
          <w:noProof/>
        </w:rPr>
        <w:pict w14:anchorId="553A3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6DEBE02-FBEA-41AD-B8CE-E65FCEBD5446" style="width:455.25pt;height:313.5pt">
            <v:imagedata r:id="rId11" o:title=""/>
          </v:shape>
        </w:pict>
      </w:r>
    </w:p>
    <w:bookmarkEnd w:id="0"/>
    <w:p w14:paraId="45D6FF09" w14:textId="77777777" w:rsidR="006E0E9A" w:rsidRDefault="006E0E9A" w:rsidP="006E0E9A">
      <w:pPr>
        <w:rPr>
          <w:noProof/>
        </w:rPr>
        <w:sectPr w:rsidR="006E0E9A" w:rsidSect="00DA471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03CF16E" w14:textId="77777777" w:rsidR="00DD0DC9" w:rsidRPr="00DD0DC9" w:rsidRDefault="00DD0DC9" w:rsidP="00DD0DC9">
      <w:pPr>
        <w:pStyle w:val="Heading1"/>
        <w:keepNext w:val="0"/>
        <w:keepLines w:val="0"/>
        <w:widowControl w:val="0"/>
        <w:spacing w:after="240"/>
        <w:ind w:left="357" w:hanging="357"/>
        <w:rPr>
          <w:rFonts w:ascii="Times New Roman" w:hAnsi="Times New Roman" w:cs="Times New Roman"/>
          <w:b/>
          <w:bCs/>
          <w:noProof/>
          <w:color w:val="auto"/>
          <w:sz w:val="28"/>
          <w:szCs w:val="28"/>
          <w:shd w:val="clear" w:color="auto" w:fill="FFFFFF"/>
          <w:lang w:val="en-IE"/>
        </w:rPr>
      </w:pPr>
      <w:bookmarkStart w:id="1" w:name="_Hlk158296309"/>
      <w:bookmarkStart w:id="2" w:name="_GoBack"/>
      <w:bookmarkEnd w:id="2"/>
      <w:r w:rsidRPr="00DD0DC9">
        <w:rPr>
          <w:rFonts w:ascii="Times New Roman" w:hAnsi="Times New Roman" w:cs="Times New Roman"/>
          <w:b/>
          <w:bCs/>
          <w:noProof/>
          <w:color w:val="auto"/>
          <w:sz w:val="28"/>
          <w:szCs w:val="28"/>
          <w:shd w:val="clear" w:color="auto" w:fill="FFFFFF"/>
          <w:lang w:val="en-IE"/>
        </w:rPr>
        <w:lastRenderedPageBreak/>
        <w:t xml:space="preserve">Introduction </w:t>
      </w:r>
    </w:p>
    <w:bookmarkEnd w:id="1"/>
    <w:p w14:paraId="1D06FF46" w14:textId="1B2F571D" w:rsidR="00DD0DC9" w:rsidRPr="00DD0DC9" w:rsidRDefault="00DD0DC9" w:rsidP="00DD0DC9">
      <w:pPr>
        <w:widowControl w:val="0"/>
        <w:spacing w:before="240"/>
        <w:mirrorIndents/>
        <w:jc w:val="both"/>
        <w:rPr>
          <w:rFonts w:ascii="Times New Roman" w:hAnsi="Times New Roman" w:cs="Times New Roman"/>
          <w:bCs/>
          <w:noProof/>
          <w:color w:val="000000" w:themeColor="text1"/>
          <w:sz w:val="24"/>
          <w:szCs w:val="24"/>
          <w:lang w:val="en-IE"/>
        </w:rPr>
      </w:pPr>
      <w:r w:rsidRPr="00DD0DC9">
        <w:rPr>
          <w:rFonts w:ascii="Times New Roman" w:hAnsi="Times New Roman" w:cs="Times New Roman"/>
          <w:b/>
          <w:noProof/>
          <w:color w:val="000000" w:themeColor="text1"/>
          <w:sz w:val="24"/>
          <w:szCs w:val="24"/>
          <w:lang w:val="en-IE"/>
        </w:rPr>
        <w:t xml:space="preserve">Europe’s competitiveness </w:t>
      </w:r>
      <w:r w:rsidRPr="003F2C13">
        <w:rPr>
          <w:rFonts w:ascii="Times New Roman" w:hAnsi="Times New Roman" w:cs="Times New Roman"/>
          <w:b/>
          <w:noProof/>
          <w:color w:val="000000" w:themeColor="text1"/>
          <w:sz w:val="24"/>
          <w:szCs w:val="24"/>
          <w:lang w:val="en-IE"/>
        </w:rPr>
        <w:t>faces unprecedented challenges in a volatile geopolitical situation.</w:t>
      </w:r>
      <w:r w:rsidRPr="003F2C13">
        <w:rPr>
          <w:rFonts w:ascii="Times New Roman" w:hAnsi="Times New Roman" w:cs="Times New Roman"/>
          <w:bCs/>
          <w:noProof/>
          <w:color w:val="000000" w:themeColor="text1"/>
          <w:sz w:val="24"/>
          <w:szCs w:val="24"/>
          <w:lang w:val="en-IE"/>
        </w:rPr>
        <w:t xml:space="preserve"> EU industry is coming under mounting </w:t>
      </w:r>
      <w:r w:rsidRPr="002C183A">
        <w:rPr>
          <w:rFonts w:ascii="Times New Roman" w:hAnsi="Times New Roman" w:cs="Times New Roman"/>
          <w:bCs/>
          <w:noProof/>
          <w:color w:val="000000" w:themeColor="text1"/>
          <w:sz w:val="24"/>
          <w:szCs w:val="24"/>
          <w:lang w:val="en-IE"/>
        </w:rPr>
        <w:t xml:space="preserve">pressure </w:t>
      </w:r>
      <w:r>
        <w:rPr>
          <w:rFonts w:ascii="Times New Roman" w:hAnsi="Times New Roman" w:cs="Times New Roman"/>
          <w:bCs/>
          <w:noProof/>
          <w:color w:val="000000" w:themeColor="text1"/>
          <w:sz w:val="24"/>
          <w:szCs w:val="24"/>
          <w:lang w:val="en-IE"/>
        </w:rPr>
        <w:t>as</w:t>
      </w:r>
      <w:r w:rsidR="000F6218" w:rsidRPr="002C183A">
        <w:rPr>
          <w:rFonts w:ascii="Times New Roman" w:hAnsi="Times New Roman" w:cs="Times New Roman"/>
          <w:noProof/>
          <w:color w:val="000000" w:themeColor="text1"/>
          <w:sz w:val="24"/>
          <w:szCs w:val="24"/>
          <w:lang w:val="en-IE"/>
        </w:rPr>
        <w:t xml:space="preserve"> </w:t>
      </w:r>
      <w:r w:rsidRPr="002C183A">
        <w:rPr>
          <w:rFonts w:ascii="Times New Roman" w:hAnsi="Times New Roman" w:cs="Times New Roman"/>
          <w:bCs/>
          <w:noProof/>
          <w:color w:val="000000" w:themeColor="text1"/>
          <w:sz w:val="24"/>
          <w:szCs w:val="24"/>
          <w:lang w:val="en-IE"/>
        </w:rPr>
        <w:t>third country</w:t>
      </w:r>
      <w:r w:rsidR="00775E40" w:rsidRPr="002C183A">
        <w:rPr>
          <w:rFonts w:ascii="Times New Roman" w:hAnsi="Times New Roman" w:cs="Times New Roman"/>
          <w:bCs/>
          <w:noProof/>
          <w:color w:val="000000" w:themeColor="text1"/>
          <w:sz w:val="24"/>
          <w:szCs w:val="24"/>
          <w:lang w:val="en-IE"/>
        </w:rPr>
        <w:t xml:space="preserve"> </w:t>
      </w:r>
      <w:r w:rsidRPr="002C183A">
        <w:rPr>
          <w:rFonts w:ascii="Times New Roman" w:hAnsi="Times New Roman" w:cs="Times New Roman"/>
          <w:bCs/>
          <w:noProof/>
          <w:color w:val="000000" w:themeColor="text1"/>
          <w:sz w:val="24"/>
          <w:szCs w:val="24"/>
          <w:lang w:val="en-IE"/>
        </w:rPr>
        <w:t xml:space="preserve">overcapacities </w:t>
      </w:r>
      <w:r w:rsidR="00DF44C0" w:rsidRPr="002C183A">
        <w:rPr>
          <w:rFonts w:ascii="Times New Roman" w:hAnsi="Times New Roman" w:cs="Times New Roman"/>
          <w:noProof/>
          <w:color w:val="000000" w:themeColor="text1"/>
          <w:sz w:val="24"/>
          <w:szCs w:val="24"/>
          <w:lang w:val="en-IE"/>
        </w:rPr>
        <w:t>are</w:t>
      </w:r>
      <w:r w:rsidR="00DF44C0" w:rsidRPr="002C183A">
        <w:rPr>
          <w:rFonts w:ascii="Times New Roman" w:hAnsi="Times New Roman" w:cs="Times New Roman"/>
          <w:bCs/>
          <w:noProof/>
          <w:color w:val="000000" w:themeColor="text1"/>
          <w:sz w:val="24"/>
          <w:szCs w:val="24"/>
          <w:lang w:val="en-IE"/>
        </w:rPr>
        <w:t xml:space="preserve"> </w:t>
      </w:r>
      <w:r w:rsidR="000976A0" w:rsidRPr="002C183A">
        <w:rPr>
          <w:rFonts w:ascii="Times New Roman" w:hAnsi="Times New Roman" w:cs="Times New Roman"/>
          <w:bCs/>
          <w:noProof/>
          <w:color w:val="000000" w:themeColor="text1"/>
          <w:sz w:val="24"/>
          <w:szCs w:val="24"/>
          <w:lang w:val="en-IE"/>
        </w:rPr>
        <w:t>directed</w:t>
      </w:r>
      <w:r w:rsidRPr="002C183A">
        <w:rPr>
          <w:rFonts w:ascii="Times New Roman" w:hAnsi="Times New Roman" w:cs="Times New Roman"/>
          <w:bCs/>
          <w:noProof/>
          <w:color w:val="000000" w:themeColor="text1"/>
          <w:sz w:val="24"/>
          <w:szCs w:val="24"/>
          <w:lang w:val="en-IE"/>
        </w:rPr>
        <w:t xml:space="preserve"> towards the EU</w:t>
      </w:r>
      <w:r>
        <w:rPr>
          <w:rFonts w:ascii="Times New Roman" w:hAnsi="Times New Roman" w:cs="Times New Roman"/>
          <w:bCs/>
          <w:noProof/>
          <w:color w:val="000000" w:themeColor="text1"/>
          <w:sz w:val="24"/>
          <w:szCs w:val="24"/>
          <w:lang w:val="en-IE"/>
        </w:rPr>
        <w:t>,</w:t>
      </w:r>
      <w:r w:rsidRPr="002C183A">
        <w:rPr>
          <w:rFonts w:ascii="Times New Roman" w:hAnsi="Times New Roman" w:cs="Times New Roman"/>
          <w:bCs/>
          <w:noProof/>
          <w:color w:val="000000" w:themeColor="text1"/>
          <w:sz w:val="24"/>
          <w:szCs w:val="24"/>
          <w:lang w:val="en-IE"/>
        </w:rPr>
        <w:t xml:space="preserve"> important international currencies</w:t>
      </w:r>
      <w:r w:rsidR="008B02A3" w:rsidRPr="002C183A">
        <w:rPr>
          <w:rFonts w:ascii="Times New Roman" w:hAnsi="Times New Roman" w:cs="Times New Roman"/>
          <w:bCs/>
          <w:noProof/>
          <w:color w:val="000000" w:themeColor="text1"/>
          <w:sz w:val="24"/>
          <w:szCs w:val="24"/>
          <w:lang w:val="en-IE"/>
        </w:rPr>
        <w:t xml:space="preserve"> </w:t>
      </w:r>
      <w:r w:rsidR="008B02A3" w:rsidRPr="002C183A">
        <w:rPr>
          <w:rFonts w:ascii="Times New Roman" w:hAnsi="Times New Roman" w:cs="Times New Roman"/>
          <w:noProof/>
          <w:color w:val="000000" w:themeColor="text1"/>
          <w:sz w:val="24"/>
          <w:szCs w:val="24"/>
          <w:lang w:val="en-IE"/>
        </w:rPr>
        <w:t>depreciate</w:t>
      </w:r>
      <w:r>
        <w:rPr>
          <w:rFonts w:ascii="Times New Roman" w:hAnsi="Times New Roman" w:cs="Times New Roman"/>
          <w:noProof/>
          <w:color w:val="000000" w:themeColor="text1"/>
          <w:sz w:val="24"/>
          <w:szCs w:val="24"/>
          <w:lang w:val="en-IE"/>
        </w:rPr>
        <w:t xml:space="preserve"> and </w:t>
      </w:r>
      <w:r>
        <w:rPr>
          <w:rFonts w:ascii="Times New Roman" w:hAnsi="Times New Roman" w:cs="Times New Roman"/>
          <w:bCs/>
          <w:noProof/>
          <w:color w:val="000000" w:themeColor="text1"/>
          <w:sz w:val="24"/>
          <w:szCs w:val="24"/>
          <w:lang w:val="en-IE"/>
        </w:rPr>
        <w:t>rules-based international trade is challenged</w:t>
      </w:r>
      <w:r w:rsidRPr="002C183A">
        <w:rPr>
          <w:rFonts w:ascii="Times New Roman" w:hAnsi="Times New Roman" w:cs="Times New Roman"/>
          <w:bCs/>
          <w:noProof/>
          <w:color w:val="000000" w:themeColor="text1"/>
          <w:sz w:val="24"/>
          <w:szCs w:val="24"/>
          <w:lang w:val="en-IE"/>
        </w:rPr>
        <w:t>. The systemic and strategic application of increased tariffs, export controls and</w:t>
      </w:r>
      <w:r w:rsidRPr="003F2C13">
        <w:rPr>
          <w:rFonts w:ascii="Times New Roman" w:hAnsi="Times New Roman" w:cs="Times New Roman"/>
          <w:bCs/>
          <w:noProof/>
          <w:color w:val="000000" w:themeColor="text1"/>
          <w:sz w:val="24"/>
          <w:szCs w:val="24"/>
          <w:lang w:val="en-IE"/>
        </w:rPr>
        <w:t xml:space="preserve"> weaponisation of dependencies by major global actors highlight the need to strengthen the resilience of </w:t>
      </w:r>
      <w:r w:rsidR="0020752E" w:rsidRPr="003F2C13">
        <w:rPr>
          <w:rFonts w:ascii="Times New Roman" w:hAnsi="Times New Roman" w:cs="Times New Roman"/>
          <w:bCs/>
          <w:noProof/>
          <w:color w:val="000000" w:themeColor="text1"/>
          <w:sz w:val="24"/>
          <w:szCs w:val="24"/>
          <w:lang w:val="en-IE"/>
        </w:rPr>
        <w:t xml:space="preserve">EU’s </w:t>
      </w:r>
      <w:r w:rsidRPr="003F2C13">
        <w:rPr>
          <w:rFonts w:ascii="Times New Roman" w:hAnsi="Times New Roman" w:cs="Times New Roman"/>
          <w:bCs/>
          <w:noProof/>
          <w:color w:val="000000" w:themeColor="text1"/>
          <w:sz w:val="24"/>
          <w:szCs w:val="24"/>
          <w:lang w:val="en-IE"/>
        </w:rPr>
        <w:t>supply chains.</w:t>
      </w:r>
      <w:r w:rsidRPr="00DD0DC9">
        <w:rPr>
          <w:rFonts w:ascii="Times New Roman" w:hAnsi="Times New Roman" w:cs="Times New Roman"/>
          <w:bCs/>
          <w:noProof/>
          <w:color w:val="000000" w:themeColor="text1"/>
          <w:sz w:val="24"/>
          <w:szCs w:val="24"/>
          <w:lang w:val="en-IE"/>
        </w:rPr>
        <w:t xml:space="preserve">  </w:t>
      </w:r>
    </w:p>
    <w:p w14:paraId="307BF300" w14:textId="791FD60C" w:rsidR="00DD0DC9" w:rsidRPr="00DD0DC9" w:rsidRDefault="00DD0DC9" w:rsidP="00DD0DC9">
      <w:pPr>
        <w:widowControl w:val="0"/>
        <w:spacing w:before="240"/>
        <w:mirrorIndents/>
        <w:jc w:val="both"/>
        <w:rPr>
          <w:rFonts w:ascii="Times New Roman" w:hAnsi="Times New Roman" w:cs="Times New Roman"/>
          <w:bCs/>
          <w:noProof/>
          <w:color w:val="000000" w:themeColor="text1"/>
          <w:sz w:val="24"/>
          <w:szCs w:val="24"/>
          <w:lang w:val="en-IE"/>
        </w:rPr>
      </w:pPr>
      <w:r w:rsidRPr="00DD0DC9">
        <w:rPr>
          <w:rFonts w:ascii="Times New Roman" w:hAnsi="Times New Roman" w:cs="Times New Roman"/>
          <w:b/>
          <w:bCs/>
          <w:noProof/>
          <w:color w:val="000000" w:themeColor="text1"/>
          <w:sz w:val="24"/>
          <w:szCs w:val="24"/>
          <w:lang w:val="en-IE"/>
        </w:rPr>
        <w:t>The Single Market is our best asset to counter external pressure, and it is time to build on its strengths.</w:t>
      </w:r>
      <w:r w:rsidRPr="00DD0DC9">
        <w:rPr>
          <w:rFonts w:ascii="Times New Roman" w:hAnsi="Times New Roman" w:cs="Times New Roman"/>
          <w:noProof/>
          <w:color w:val="000000" w:themeColor="text1"/>
          <w:sz w:val="24"/>
          <w:szCs w:val="24"/>
          <w:lang w:val="en-IE"/>
        </w:rPr>
        <w:t xml:space="preserve"> </w:t>
      </w:r>
      <w:r w:rsidR="003F1965" w:rsidRPr="003F1965">
        <w:rPr>
          <w:rFonts w:ascii="Times New Roman" w:hAnsi="Times New Roman" w:cs="Times New Roman"/>
          <w:noProof/>
          <w:color w:val="000000" w:themeColor="text1"/>
          <w:sz w:val="24"/>
          <w:szCs w:val="24"/>
          <w:lang w:val="en-IE"/>
        </w:rPr>
        <w:t xml:space="preserve">It acts as a home market for our companies, as a springboard to scale and as </w:t>
      </w:r>
      <w:r w:rsidR="00921E8C">
        <w:rPr>
          <w:rFonts w:ascii="Times New Roman" w:hAnsi="Times New Roman" w:cs="Times New Roman"/>
          <w:noProof/>
          <w:color w:val="000000" w:themeColor="text1"/>
          <w:sz w:val="24"/>
          <w:szCs w:val="24"/>
          <w:lang w:val="en-IE"/>
        </w:rPr>
        <w:t xml:space="preserve">a </w:t>
      </w:r>
      <w:r w:rsidR="0073536C">
        <w:rPr>
          <w:rFonts w:ascii="Times New Roman" w:hAnsi="Times New Roman" w:cs="Times New Roman"/>
          <w:noProof/>
          <w:color w:val="000000" w:themeColor="text1"/>
          <w:sz w:val="24"/>
          <w:szCs w:val="24"/>
          <w:lang w:val="en-IE"/>
        </w:rPr>
        <w:t xml:space="preserve">basis </w:t>
      </w:r>
      <w:r w:rsidR="00772822">
        <w:rPr>
          <w:rFonts w:ascii="Times New Roman" w:hAnsi="Times New Roman" w:cs="Times New Roman"/>
          <w:noProof/>
          <w:color w:val="000000" w:themeColor="text1"/>
          <w:sz w:val="24"/>
          <w:szCs w:val="24"/>
          <w:lang w:val="en-IE"/>
        </w:rPr>
        <w:t xml:space="preserve">to advance </w:t>
      </w:r>
      <w:r w:rsidR="004E2E81">
        <w:rPr>
          <w:rFonts w:ascii="Times New Roman" w:hAnsi="Times New Roman" w:cs="Times New Roman"/>
          <w:noProof/>
          <w:color w:val="000000" w:themeColor="text1"/>
          <w:sz w:val="24"/>
          <w:szCs w:val="24"/>
          <w:lang w:val="en-IE"/>
        </w:rPr>
        <w:t>the European interest</w:t>
      </w:r>
      <w:r w:rsidR="003F1965" w:rsidRPr="003F1965">
        <w:rPr>
          <w:rFonts w:ascii="Times New Roman" w:hAnsi="Times New Roman" w:cs="Times New Roman"/>
          <w:noProof/>
          <w:color w:val="000000" w:themeColor="text1"/>
          <w:sz w:val="24"/>
          <w:szCs w:val="24"/>
          <w:lang w:val="en-IE"/>
        </w:rPr>
        <w:t xml:space="preserve">. It provides a stable business environment, with strong institutions and </w:t>
      </w:r>
      <w:r w:rsidR="001064AC">
        <w:rPr>
          <w:rFonts w:ascii="Times New Roman" w:hAnsi="Times New Roman" w:cs="Times New Roman"/>
          <w:noProof/>
          <w:color w:val="000000" w:themeColor="text1"/>
          <w:sz w:val="24"/>
          <w:szCs w:val="24"/>
          <w:lang w:val="en-IE"/>
        </w:rPr>
        <w:t xml:space="preserve">a </w:t>
      </w:r>
      <w:r w:rsidR="003F1965" w:rsidRPr="003F1965">
        <w:rPr>
          <w:rFonts w:ascii="Times New Roman" w:hAnsi="Times New Roman" w:cs="Times New Roman"/>
          <w:noProof/>
          <w:color w:val="000000" w:themeColor="text1"/>
          <w:sz w:val="24"/>
          <w:szCs w:val="24"/>
          <w:lang w:val="en-IE"/>
        </w:rPr>
        <w:t>full commitment to the rule of law.</w:t>
      </w:r>
      <w:r w:rsidR="00002C49">
        <w:rPr>
          <w:rFonts w:ascii="Times New Roman" w:hAnsi="Times New Roman" w:cs="Times New Roman"/>
          <w:noProof/>
          <w:color w:val="000000" w:themeColor="text1"/>
          <w:sz w:val="24"/>
          <w:szCs w:val="24"/>
          <w:lang w:val="en-IE"/>
        </w:rPr>
        <w:t xml:space="preserve"> </w:t>
      </w:r>
      <w:r w:rsidRPr="00DD0DC9">
        <w:rPr>
          <w:rFonts w:ascii="Times New Roman" w:hAnsi="Times New Roman" w:cs="Times New Roman"/>
          <w:noProof/>
          <w:color w:val="000000" w:themeColor="text1"/>
          <w:sz w:val="24"/>
          <w:szCs w:val="24"/>
          <w:lang w:val="en-IE"/>
        </w:rPr>
        <w:t xml:space="preserve">However, significant barriers remain within the Single Market, notably at </w:t>
      </w:r>
      <w:r w:rsidR="00781D78">
        <w:rPr>
          <w:rFonts w:ascii="Times New Roman" w:hAnsi="Times New Roman" w:cs="Times New Roman"/>
          <w:noProof/>
          <w:color w:val="000000" w:themeColor="text1"/>
          <w:sz w:val="24"/>
          <w:szCs w:val="24"/>
          <w:lang w:val="en-IE"/>
        </w:rPr>
        <w:t>national</w:t>
      </w:r>
      <w:r w:rsidRPr="00DD0DC9">
        <w:rPr>
          <w:rFonts w:ascii="Times New Roman" w:hAnsi="Times New Roman" w:cs="Times New Roman"/>
          <w:noProof/>
          <w:color w:val="000000" w:themeColor="text1"/>
          <w:sz w:val="24"/>
          <w:szCs w:val="24"/>
          <w:lang w:val="en-IE"/>
        </w:rPr>
        <w:t xml:space="preserve"> level. </w:t>
      </w:r>
      <w:r w:rsidRPr="00DD0DC9">
        <w:rPr>
          <w:rFonts w:ascii="Times New Roman" w:hAnsi="Times New Roman" w:cs="Times New Roman"/>
          <w:bCs/>
          <w:noProof/>
          <w:color w:val="000000" w:themeColor="text1"/>
          <w:sz w:val="24"/>
          <w:szCs w:val="24"/>
          <w:lang w:val="en-IE"/>
        </w:rPr>
        <w:t xml:space="preserve">As a result of the external pressure and internal barriers, Europe’s industrial base is eroding, leading to a loss of manufacturing jobs and factory closures. There is an urgency to act effectively at both </w:t>
      </w:r>
      <w:r w:rsidR="00781D78">
        <w:rPr>
          <w:rFonts w:ascii="Times New Roman" w:hAnsi="Times New Roman" w:cs="Times New Roman"/>
          <w:bCs/>
          <w:noProof/>
          <w:color w:val="000000" w:themeColor="text1"/>
          <w:sz w:val="24"/>
          <w:szCs w:val="24"/>
          <w:lang w:val="en-IE"/>
        </w:rPr>
        <w:t xml:space="preserve">national and EU </w:t>
      </w:r>
      <w:r w:rsidRPr="00DD0DC9">
        <w:rPr>
          <w:rFonts w:ascii="Times New Roman" w:hAnsi="Times New Roman" w:cs="Times New Roman"/>
          <w:bCs/>
          <w:noProof/>
          <w:color w:val="000000" w:themeColor="text1"/>
          <w:sz w:val="24"/>
          <w:szCs w:val="24"/>
          <w:lang w:val="en-IE"/>
        </w:rPr>
        <w:t xml:space="preserve">levels. </w:t>
      </w:r>
    </w:p>
    <w:p w14:paraId="1E262749" w14:textId="0A0ADCD0" w:rsidR="00DD0DC9" w:rsidRPr="00DD0DC9" w:rsidRDefault="00DD0DC9" w:rsidP="00DD0DC9">
      <w:pPr>
        <w:widowControl w:val="0"/>
        <w:spacing w:before="240"/>
        <w:mirrorIndents/>
        <w:jc w:val="both"/>
        <w:rPr>
          <w:rFonts w:ascii="Times New Roman" w:hAnsi="Times New Roman" w:cs="Times New Roman"/>
          <w:noProof/>
          <w:color w:val="000000" w:themeColor="text1"/>
          <w:sz w:val="24"/>
          <w:szCs w:val="24"/>
          <w:lang w:val="en-IE"/>
        </w:rPr>
      </w:pPr>
      <w:r w:rsidRPr="00DD0DC9">
        <w:rPr>
          <w:rFonts w:ascii="Times New Roman" w:hAnsi="Times New Roman" w:cs="Times New Roman"/>
          <w:b/>
          <w:bCs/>
          <w:noProof/>
          <w:color w:val="000000" w:themeColor="text1"/>
          <w:sz w:val="24"/>
          <w:szCs w:val="24"/>
          <w:lang w:val="en-IE"/>
        </w:rPr>
        <w:t xml:space="preserve">This Annual Single Market and Competitiveness Report takes stock of the functioning of the Single Market and of EU competitiveness. </w:t>
      </w:r>
      <w:r w:rsidRPr="00DD0DC9">
        <w:rPr>
          <w:rFonts w:ascii="Times New Roman" w:hAnsi="Times New Roman" w:cs="Times New Roman"/>
          <w:noProof/>
          <w:color w:val="000000" w:themeColor="text1"/>
          <w:sz w:val="24"/>
          <w:szCs w:val="24"/>
          <w:lang w:val="en-IE"/>
        </w:rPr>
        <w:t xml:space="preserve">The focus is on the main drivers for Europe’s competitiveness along four pillars, with particular emphasis on the Single Market and tracking progress in the implementation of the Single Market Strategy. </w:t>
      </w:r>
      <w:r w:rsidRPr="003F2C13">
        <w:rPr>
          <w:rFonts w:ascii="Times New Roman" w:hAnsi="Times New Roman" w:cs="Times New Roman"/>
          <w:noProof/>
          <w:color w:val="000000" w:themeColor="text1"/>
          <w:sz w:val="24"/>
          <w:szCs w:val="24"/>
          <w:lang w:val="en-IE"/>
        </w:rPr>
        <w:t xml:space="preserve">This Report assesses competitiveness bottlenecks and progress in addressing them making use of </w:t>
      </w:r>
      <w:r>
        <w:rPr>
          <w:rFonts w:ascii="Times New Roman" w:hAnsi="Times New Roman" w:cs="Times New Roman"/>
          <w:noProof/>
          <w:color w:val="000000" w:themeColor="text1"/>
          <w:sz w:val="24"/>
          <w:szCs w:val="24"/>
          <w:lang w:val="en-IE"/>
        </w:rPr>
        <w:t>29</w:t>
      </w:r>
      <w:r w:rsidRPr="003F2C13">
        <w:rPr>
          <w:rFonts w:ascii="Times New Roman" w:hAnsi="Times New Roman" w:cs="Times New Roman"/>
          <w:noProof/>
          <w:color w:val="000000" w:themeColor="text1"/>
          <w:sz w:val="24"/>
          <w:szCs w:val="24"/>
          <w:lang w:val="en-IE"/>
        </w:rPr>
        <w:t xml:space="preserve"> Key Performance Indicators (KPIs). </w:t>
      </w:r>
      <w:r w:rsidR="00A54338" w:rsidRPr="003F2C13">
        <w:rPr>
          <w:rFonts w:ascii="Times New Roman" w:hAnsi="Times New Roman" w:cs="Times New Roman"/>
          <w:noProof/>
          <w:color w:val="000000" w:themeColor="text1"/>
          <w:sz w:val="24"/>
          <w:szCs w:val="24"/>
          <w:lang w:val="en-IE"/>
        </w:rPr>
        <w:t>This Report also includes the first annual Single Market Enforcement Agenda which sets out measures to forcefully address national barriers.</w:t>
      </w:r>
    </w:p>
    <w:p w14:paraId="38BDDEA8" w14:textId="61A4CBA2" w:rsidR="00DD0DC9" w:rsidRPr="00DD0DC9" w:rsidRDefault="00DD0DC9" w:rsidP="00DD0DC9">
      <w:pPr>
        <w:widowControl w:val="0"/>
        <w:spacing w:before="240"/>
        <w:mirrorIndents/>
        <w:jc w:val="both"/>
        <w:rPr>
          <w:rFonts w:ascii="Times New Roman" w:hAnsi="Times New Roman" w:cs="Times New Roman"/>
          <w:noProof/>
          <w:color w:val="000000" w:themeColor="text1"/>
          <w:sz w:val="24"/>
          <w:szCs w:val="24"/>
          <w:lang w:val="en-IE"/>
        </w:rPr>
      </w:pPr>
      <w:r w:rsidRPr="00DD0DC9">
        <w:rPr>
          <w:rFonts w:ascii="Times New Roman" w:hAnsi="Times New Roman" w:cs="Times New Roman"/>
          <w:b/>
          <w:bCs/>
          <w:noProof/>
          <w:color w:val="000000" w:themeColor="text1"/>
          <w:sz w:val="24"/>
          <w:szCs w:val="24"/>
          <w:lang w:val="en-IE"/>
        </w:rPr>
        <w:t xml:space="preserve">Since the start </w:t>
      </w:r>
      <w:r w:rsidRPr="00134137">
        <w:rPr>
          <w:rFonts w:ascii="Times New Roman" w:hAnsi="Times New Roman" w:cs="Times New Roman"/>
          <w:b/>
          <w:bCs/>
          <w:noProof/>
          <w:color w:val="000000" w:themeColor="text1"/>
          <w:sz w:val="24"/>
          <w:szCs w:val="24"/>
          <w:lang w:val="en-IE"/>
        </w:rPr>
        <w:t>of this mandate, th</w:t>
      </w:r>
      <w:r w:rsidR="000D6F7C" w:rsidRPr="00134137">
        <w:rPr>
          <w:rFonts w:ascii="Times New Roman" w:hAnsi="Times New Roman" w:cs="Times New Roman"/>
          <w:b/>
          <w:bCs/>
          <w:noProof/>
          <w:color w:val="000000" w:themeColor="text1"/>
          <w:sz w:val="24"/>
          <w:szCs w:val="24"/>
          <w:lang w:val="en-IE"/>
        </w:rPr>
        <w:t>e</w:t>
      </w:r>
      <w:r w:rsidRPr="00134137">
        <w:rPr>
          <w:rFonts w:ascii="Times New Roman" w:hAnsi="Times New Roman" w:cs="Times New Roman"/>
          <w:b/>
          <w:bCs/>
          <w:noProof/>
          <w:color w:val="000000" w:themeColor="text1"/>
          <w:sz w:val="24"/>
          <w:szCs w:val="24"/>
          <w:lang w:val="en-IE"/>
        </w:rPr>
        <w:t xml:space="preserve"> Commission has put competitiveness at the core of its action. </w:t>
      </w:r>
      <w:r w:rsidR="00FD0E79" w:rsidRPr="00A16BDF">
        <w:rPr>
          <w:rFonts w:ascii="Times New Roman" w:hAnsi="Times New Roman" w:cs="Times New Roman"/>
          <w:noProof/>
          <w:color w:val="000000" w:themeColor="text1"/>
          <w:sz w:val="24"/>
          <w:szCs w:val="24"/>
          <w:lang w:val="en-IE"/>
        </w:rPr>
        <w:t xml:space="preserve">The Competitiveness Compass, presented in January 2025, was the first major initiative of this Commission mandate setting a path for Europe to regain competitiveness and secure sustainable prosperity. </w:t>
      </w:r>
      <w:r w:rsidRPr="00A16BDF">
        <w:rPr>
          <w:rFonts w:ascii="Times New Roman" w:hAnsi="Times New Roman" w:cs="Times New Roman"/>
          <w:noProof/>
          <w:color w:val="000000" w:themeColor="text1"/>
          <w:sz w:val="24"/>
          <w:szCs w:val="24"/>
          <w:lang w:val="en-IE"/>
        </w:rPr>
        <w:t xml:space="preserve">While this has sent a clear signal, these competitiveness enhancing measures </w:t>
      </w:r>
      <w:r w:rsidR="00676F4F" w:rsidRPr="00A16BDF">
        <w:rPr>
          <w:rFonts w:ascii="Times New Roman" w:hAnsi="Times New Roman" w:cs="Times New Roman"/>
          <w:noProof/>
          <w:color w:val="000000" w:themeColor="text1"/>
          <w:sz w:val="24"/>
          <w:szCs w:val="24"/>
          <w:lang w:val="en-IE"/>
        </w:rPr>
        <w:t xml:space="preserve">need time </w:t>
      </w:r>
      <w:r w:rsidRPr="00A16BDF">
        <w:rPr>
          <w:rFonts w:ascii="Times New Roman" w:hAnsi="Times New Roman" w:cs="Times New Roman"/>
          <w:noProof/>
          <w:color w:val="000000" w:themeColor="text1"/>
          <w:sz w:val="24"/>
          <w:szCs w:val="24"/>
          <w:lang w:val="en-IE"/>
        </w:rPr>
        <w:t xml:space="preserve">to show tangible outcomes. </w:t>
      </w:r>
      <w:r w:rsidRPr="00FD0E79">
        <w:rPr>
          <w:rFonts w:ascii="Times New Roman" w:hAnsi="Times New Roman" w:cs="Times New Roman"/>
          <w:noProof/>
          <w:color w:val="000000" w:themeColor="text1"/>
          <w:sz w:val="24"/>
          <w:szCs w:val="24"/>
          <w:lang w:val="en-IE"/>
        </w:rPr>
        <w:t>This</w:t>
      </w:r>
      <w:r w:rsidRPr="00DD0DC9">
        <w:rPr>
          <w:rFonts w:ascii="Times New Roman" w:hAnsi="Times New Roman" w:cs="Times New Roman"/>
          <w:noProof/>
          <w:color w:val="000000" w:themeColor="text1"/>
          <w:sz w:val="24"/>
          <w:szCs w:val="24"/>
          <w:lang w:val="en-IE"/>
        </w:rPr>
        <w:t xml:space="preserve"> is also reflected in the Report's analysis and its KPIs which measure annual evolutions. Out of </w:t>
      </w:r>
      <w:r>
        <w:rPr>
          <w:rFonts w:ascii="Times New Roman" w:hAnsi="Times New Roman" w:cs="Times New Roman"/>
          <w:noProof/>
          <w:color w:val="000000" w:themeColor="text1"/>
          <w:sz w:val="24"/>
          <w:szCs w:val="24"/>
          <w:lang w:val="en-IE"/>
        </w:rPr>
        <w:t>29</w:t>
      </w:r>
      <w:r w:rsidRPr="00DD0DC9">
        <w:rPr>
          <w:rFonts w:ascii="Times New Roman" w:hAnsi="Times New Roman" w:cs="Times New Roman"/>
          <w:noProof/>
          <w:color w:val="000000" w:themeColor="text1"/>
          <w:sz w:val="24"/>
          <w:szCs w:val="24"/>
          <w:lang w:val="en-IE"/>
        </w:rPr>
        <w:t xml:space="preserve"> KPIs</w:t>
      </w:r>
      <w:r w:rsidR="00D14F19">
        <w:rPr>
          <w:rFonts w:ascii="Times New Roman" w:hAnsi="Times New Roman" w:cs="Times New Roman"/>
          <w:noProof/>
          <w:color w:val="000000" w:themeColor="text1"/>
          <w:sz w:val="24"/>
          <w:szCs w:val="24"/>
          <w:lang w:val="en-IE"/>
        </w:rPr>
        <w:t>,</w:t>
      </w:r>
      <w:r w:rsidRPr="00DD0DC9">
        <w:rPr>
          <w:rFonts w:ascii="Times New Roman" w:hAnsi="Times New Roman" w:cs="Times New Roman"/>
          <w:noProof/>
          <w:color w:val="000000" w:themeColor="text1"/>
          <w:sz w:val="24"/>
          <w:szCs w:val="24"/>
          <w:lang w:val="en-IE"/>
        </w:rPr>
        <w:t xml:space="preserve"> </w:t>
      </w:r>
      <w:r w:rsidR="007824C7">
        <w:rPr>
          <w:rFonts w:ascii="Times New Roman" w:hAnsi="Times New Roman" w:cs="Times New Roman"/>
          <w:noProof/>
          <w:color w:val="000000" w:themeColor="text1"/>
          <w:sz w:val="24"/>
          <w:szCs w:val="24"/>
          <w:lang w:val="en-IE"/>
        </w:rPr>
        <w:t>6</w:t>
      </w:r>
      <w:r w:rsidRPr="00DD0DC9">
        <w:rPr>
          <w:rFonts w:ascii="Times New Roman" w:hAnsi="Times New Roman" w:cs="Times New Roman"/>
          <w:noProof/>
          <w:color w:val="000000" w:themeColor="text1"/>
          <w:sz w:val="24"/>
          <w:szCs w:val="24"/>
          <w:lang w:val="en-IE"/>
        </w:rPr>
        <w:t xml:space="preserve"> show a clear improvement, </w:t>
      </w:r>
      <w:r w:rsidR="007824C7">
        <w:rPr>
          <w:rFonts w:ascii="Times New Roman" w:hAnsi="Times New Roman" w:cs="Times New Roman"/>
          <w:noProof/>
          <w:color w:val="000000" w:themeColor="text1"/>
          <w:sz w:val="24"/>
          <w:szCs w:val="24"/>
          <w:lang w:val="en-IE"/>
        </w:rPr>
        <w:t>6</w:t>
      </w:r>
      <w:r w:rsidRPr="00DD0DC9">
        <w:rPr>
          <w:rFonts w:ascii="Times New Roman" w:hAnsi="Times New Roman" w:cs="Times New Roman"/>
          <w:noProof/>
          <w:color w:val="000000" w:themeColor="text1"/>
          <w:sz w:val="24"/>
          <w:szCs w:val="24"/>
          <w:lang w:val="en-IE"/>
        </w:rPr>
        <w:t xml:space="preserve"> show a clear deterioration compared to last year, 1</w:t>
      </w:r>
      <w:r>
        <w:rPr>
          <w:rFonts w:ascii="Times New Roman" w:hAnsi="Times New Roman" w:cs="Times New Roman"/>
          <w:noProof/>
          <w:color w:val="000000" w:themeColor="text1"/>
          <w:sz w:val="24"/>
          <w:szCs w:val="24"/>
          <w:lang w:val="en-IE"/>
        </w:rPr>
        <w:t>5</w:t>
      </w:r>
      <w:r w:rsidRPr="00DD0DC9">
        <w:rPr>
          <w:rFonts w:ascii="Times New Roman" w:hAnsi="Times New Roman" w:cs="Times New Roman"/>
          <w:noProof/>
          <w:color w:val="000000" w:themeColor="text1"/>
          <w:sz w:val="24"/>
          <w:szCs w:val="24"/>
          <w:lang w:val="en-IE"/>
        </w:rPr>
        <w:t xml:space="preserve"> remain broadly unchanged and for </w:t>
      </w:r>
      <w:r w:rsidR="007824C7">
        <w:rPr>
          <w:rFonts w:ascii="Times New Roman" w:hAnsi="Times New Roman" w:cs="Times New Roman"/>
          <w:noProof/>
          <w:color w:val="000000" w:themeColor="text1"/>
          <w:sz w:val="24"/>
          <w:szCs w:val="24"/>
          <w:lang w:val="en-IE"/>
        </w:rPr>
        <w:t>2</w:t>
      </w:r>
      <w:r w:rsidR="000D6F7C" w:rsidRPr="00DD0DC9">
        <w:rPr>
          <w:rFonts w:ascii="Times New Roman" w:hAnsi="Times New Roman" w:cs="Times New Roman"/>
          <w:noProof/>
          <w:color w:val="000000" w:themeColor="text1"/>
          <w:sz w:val="24"/>
          <w:szCs w:val="24"/>
          <w:lang w:val="en-IE"/>
        </w:rPr>
        <w:t xml:space="preserve"> </w:t>
      </w:r>
      <w:r w:rsidRPr="00DD0DC9">
        <w:rPr>
          <w:rFonts w:ascii="Times New Roman" w:hAnsi="Times New Roman" w:cs="Times New Roman"/>
          <w:noProof/>
          <w:color w:val="000000" w:themeColor="text1"/>
          <w:sz w:val="24"/>
          <w:szCs w:val="24"/>
          <w:lang w:val="en-IE"/>
        </w:rPr>
        <w:t>there is not yet a second observation to assess the trend. Integration in the Single Market has reached a plateau (KPI 2) and most barrier-relevant KPIs show limited progress. At the same time, EU efforts to reduce administrative burdens on companies</w:t>
      </w:r>
      <w:r w:rsidR="007F2365">
        <w:rPr>
          <w:rFonts w:ascii="Times New Roman" w:hAnsi="Times New Roman" w:cs="Times New Roman"/>
          <w:noProof/>
          <w:color w:val="000000" w:themeColor="text1"/>
          <w:sz w:val="24"/>
          <w:szCs w:val="24"/>
          <w:lang w:val="en-IE"/>
        </w:rPr>
        <w:t xml:space="preserve"> and administrations</w:t>
      </w:r>
      <w:r w:rsidRPr="00DD0DC9">
        <w:rPr>
          <w:rFonts w:ascii="Times New Roman" w:hAnsi="Times New Roman" w:cs="Times New Roman"/>
          <w:noProof/>
          <w:color w:val="000000" w:themeColor="text1"/>
          <w:sz w:val="24"/>
          <w:szCs w:val="24"/>
          <w:lang w:val="en-IE"/>
        </w:rPr>
        <w:t xml:space="preserve"> are starting to bear fruit (KPI 3). Expenditure in Research and Development remains below the 3% of GDP target (KPI 1</w:t>
      </w:r>
      <w:r>
        <w:rPr>
          <w:rFonts w:ascii="Times New Roman" w:hAnsi="Times New Roman" w:cs="Times New Roman"/>
          <w:noProof/>
          <w:color w:val="000000" w:themeColor="text1"/>
          <w:sz w:val="24"/>
          <w:szCs w:val="24"/>
          <w:lang w:val="en-IE"/>
        </w:rPr>
        <w:t>2</w:t>
      </w:r>
      <w:r w:rsidRPr="00DD0DC9">
        <w:rPr>
          <w:rFonts w:ascii="Times New Roman" w:hAnsi="Times New Roman" w:cs="Times New Roman"/>
          <w:noProof/>
          <w:color w:val="000000" w:themeColor="text1"/>
          <w:sz w:val="24"/>
          <w:szCs w:val="24"/>
          <w:lang w:val="en-IE"/>
        </w:rPr>
        <w:t>) and is too low to close the innovation gap. Private investment has fallen (KPI 1</w:t>
      </w:r>
      <w:r>
        <w:rPr>
          <w:rFonts w:ascii="Times New Roman" w:hAnsi="Times New Roman" w:cs="Times New Roman"/>
          <w:noProof/>
          <w:color w:val="000000" w:themeColor="text1"/>
          <w:sz w:val="24"/>
          <w:szCs w:val="24"/>
          <w:lang w:val="en-IE"/>
        </w:rPr>
        <w:t>8</w:t>
      </w:r>
      <w:r w:rsidRPr="00DD0DC9">
        <w:rPr>
          <w:rFonts w:ascii="Times New Roman" w:hAnsi="Times New Roman" w:cs="Times New Roman"/>
          <w:noProof/>
          <w:color w:val="000000" w:themeColor="text1"/>
          <w:sz w:val="24"/>
          <w:szCs w:val="24"/>
          <w:lang w:val="en-IE"/>
        </w:rPr>
        <w:t>)</w:t>
      </w:r>
      <w:r w:rsidR="002714BB">
        <w:rPr>
          <w:rFonts w:ascii="Times New Roman" w:hAnsi="Times New Roman" w:cs="Times New Roman"/>
          <w:noProof/>
          <w:color w:val="000000" w:themeColor="text1"/>
          <w:sz w:val="24"/>
          <w:szCs w:val="24"/>
          <w:lang w:val="en-IE"/>
        </w:rPr>
        <w:t>, while</w:t>
      </w:r>
      <w:r w:rsidRPr="00DD0DC9">
        <w:rPr>
          <w:rFonts w:ascii="Times New Roman" w:hAnsi="Times New Roman" w:cs="Times New Roman"/>
          <w:noProof/>
          <w:color w:val="000000" w:themeColor="text1"/>
          <w:sz w:val="24"/>
          <w:szCs w:val="24"/>
          <w:lang w:val="en-IE"/>
        </w:rPr>
        <w:t xml:space="preserve"> Venture Capital investment remains below peers (KPI 2</w:t>
      </w:r>
      <w:r>
        <w:rPr>
          <w:rFonts w:ascii="Times New Roman" w:hAnsi="Times New Roman" w:cs="Times New Roman"/>
          <w:noProof/>
          <w:color w:val="000000" w:themeColor="text1"/>
          <w:sz w:val="24"/>
          <w:szCs w:val="24"/>
          <w:lang w:val="en-IE"/>
        </w:rPr>
        <w:t>0</w:t>
      </w:r>
      <w:r w:rsidRPr="00DD0DC9">
        <w:rPr>
          <w:rFonts w:ascii="Times New Roman" w:hAnsi="Times New Roman" w:cs="Times New Roman"/>
          <w:noProof/>
          <w:color w:val="000000" w:themeColor="text1"/>
          <w:sz w:val="24"/>
          <w:szCs w:val="24"/>
          <w:lang w:val="en-IE"/>
        </w:rPr>
        <w:t>). The renewable build-out continues (KPI 2</w:t>
      </w:r>
      <w:r>
        <w:rPr>
          <w:rFonts w:ascii="Times New Roman" w:hAnsi="Times New Roman" w:cs="Times New Roman"/>
          <w:noProof/>
          <w:color w:val="000000" w:themeColor="text1"/>
          <w:sz w:val="24"/>
          <w:szCs w:val="24"/>
          <w:lang w:val="en-IE"/>
        </w:rPr>
        <w:t>4</w:t>
      </w:r>
      <w:r w:rsidRPr="00DD0DC9">
        <w:rPr>
          <w:rFonts w:ascii="Times New Roman" w:hAnsi="Times New Roman" w:cs="Times New Roman"/>
          <w:noProof/>
          <w:color w:val="000000" w:themeColor="text1"/>
          <w:sz w:val="24"/>
          <w:szCs w:val="24"/>
          <w:lang w:val="en-IE"/>
        </w:rPr>
        <w:t xml:space="preserve"> and 2</w:t>
      </w:r>
      <w:r>
        <w:rPr>
          <w:rFonts w:ascii="Times New Roman" w:hAnsi="Times New Roman" w:cs="Times New Roman"/>
          <w:noProof/>
          <w:color w:val="000000" w:themeColor="text1"/>
          <w:sz w:val="24"/>
          <w:szCs w:val="24"/>
          <w:lang w:val="en-IE"/>
        </w:rPr>
        <w:t>5</w:t>
      </w:r>
      <w:r w:rsidRPr="00DD0DC9">
        <w:rPr>
          <w:rFonts w:ascii="Times New Roman" w:hAnsi="Times New Roman" w:cs="Times New Roman"/>
          <w:noProof/>
          <w:color w:val="000000" w:themeColor="text1"/>
          <w:sz w:val="24"/>
          <w:szCs w:val="24"/>
          <w:lang w:val="en-IE"/>
        </w:rPr>
        <w:t xml:space="preserve">) </w:t>
      </w:r>
      <w:r>
        <w:rPr>
          <w:rFonts w:ascii="Times New Roman" w:hAnsi="Times New Roman" w:cs="Times New Roman"/>
          <w:noProof/>
          <w:color w:val="000000" w:themeColor="text1"/>
          <w:sz w:val="24"/>
          <w:szCs w:val="24"/>
          <w:lang w:val="en-IE"/>
        </w:rPr>
        <w:t xml:space="preserve">and starts decreasing prices in some areas, although the overall level of energy prices remains high </w:t>
      </w:r>
      <w:r w:rsidRPr="00DD0DC9">
        <w:rPr>
          <w:rFonts w:ascii="Times New Roman" w:hAnsi="Times New Roman" w:cs="Times New Roman"/>
          <w:noProof/>
          <w:color w:val="000000" w:themeColor="text1"/>
          <w:sz w:val="24"/>
          <w:szCs w:val="24"/>
          <w:lang w:val="en-IE"/>
        </w:rPr>
        <w:t xml:space="preserve"> (KPI 2</w:t>
      </w:r>
      <w:r>
        <w:rPr>
          <w:rFonts w:ascii="Times New Roman" w:hAnsi="Times New Roman" w:cs="Times New Roman"/>
          <w:noProof/>
          <w:color w:val="000000" w:themeColor="text1"/>
          <w:sz w:val="24"/>
          <w:szCs w:val="24"/>
          <w:lang w:val="en-IE"/>
        </w:rPr>
        <w:t>2</w:t>
      </w:r>
      <w:r w:rsidRPr="00DD0DC9">
        <w:rPr>
          <w:rFonts w:ascii="Times New Roman" w:hAnsi="Times New Roman" w:cs="Times New Roman"/>
          <w:noProof/>
          <w:color w:val="000000" w:themeColor="text1"/>
          <w:sz w:val="24"/>
          <w:szCs w:val="24"/>
          <w:lang w:val="en-IE"/>
        </w:rPr>
        <w:t xml:space="preserve">). The EU maintains a strong position in international trade amid fierce global </w:t>
      </w:r>
      <w:r w:rsidRPr="003F2C13">
        <w:rPr>
          <w:rFonts w:ascii="Times New Roman" w:hAnsi="Times New Roman" w:cs="Times New Roman"/>
          <w:noProof/>
          <w:color w:val="000000" w:themeColor="text1"/>
          <w:sz w:val="24"/>
          <w:szCs w:val="24"/>
          <w:lang w:val="en-IE"/>
        </w:rPr>
        <w:t>competition (KPI 2</w:t>
      </w:r>
      <w:r>
        <w:rPr>
          <w:rFonts w:ascii="Times New Roman" w:hAnsi="Times New Roman" w:cs="Times New Roman"/>
          <w:noProof/>
          <w:color w:val="000000" w:themeColor="text1"/>
          <w:sz w:val="24"/>
          <w:szCs w:val="24"/>
          <w:lang w:val="en-IE"/>
        </w:rPr>
        <w:t>7</w:t>
      </w:r>
      <w:r w:rsidRPr="003F2C13">
        <w:rPr>
          <w:rFonts w:ascii="Times New Roman" w:hAnsi="Times New Roman" w:cs="Times New Roman"/>
          <w:noProof/>
          <w:color w:val="000000" w:themeColor="text1"/>
          <w:sz w:val="24"/>
          <w:szCs w:val="24"/>
          <w:lang w:val="en-IE"/>
        </w:rPr>
        <w:t xml:space="preserve">), but strategic dependencies remain elevated (KPI </w:t>
      </w:r>
      <w:r>
        <w:rPr>
          <w:rFonts w:ascii="Times New Roman" w:hAnsi="Times New Roman" w:cs="Times New Roman"/>
          <w:noProof/>
          <w:color w:val="000000" w:themeColor="text1"/>
          <w:sz w:val="24"/>
          <w:szCs w:val="24"/>
          <w:lang w:val="en-IE"/>
        </w:rPr>
        <w:t>29</w:t>
      </w:r>
      <w:r w:rsidRPr="003F2C13">
        <w:rPr>
          <w:rFonts w:ascii="Times New Roman" w:hAnsi="Times New Roman" w:cs="Times New Roman"/>
          <w:noProof/>
          <w:color w:val="000000" w:themeColor="text1"/>
          <w:sz w:val="24"/>
          <w:szCs w:val="24"/>
          <w:lang w:val="en-IE"/>
        </w:rPr>
        <w:t>).</w:t>
      </w:r>
      <w:r w:rsidRPr="003F2C13">
        <w:rPr>
          <w:rFonts w:ascii="Times New Roman" w:hAnsi="Times New Roman" w:cs="Times New Roman"/>
          <w:b/>
          <w:bCs/>
          <w:noProof/>
          <w:color w:val="000000" w:themeColor="text1"/>
          <w:sz w:val="24"/>
          <w:szCs w:val="24"/>
          <w:lang w:val="en-IE"/>
        </w:rPr>
        <w:t xml:space="preserve"> </w:t>
      </w:r>
    </w:p>
    <w:p w14:paraId="6713A347" w14:textId="45CEB90E" w:rsidR="00DD0DC9" w:rsidRDefault="00DD0DC9" w:rsidP="00DD0DC9">
      <w:pPr>
        <w:widowControl w:val="0"/>
        <w:spacing w:before="240"/>
        <w:mirrorIndents/>
        <w:jc w:val="both"/>
        <w:rPr>
          <w:rFonts w:ascii="Times New Roman" w:hAnsi="Times New Roman" w:cs="Times New Roman"/>
          <w:noProof/>
          <w:color w:val="000000" w:themeColor="text1"/>
          <w:sz w:val="24"/>
          <w:szCs w:val="24"/>
          <w:lang w:val="en-IE"/>
        </w:rPr>
      </w:pPr>
      <w:r w:rsidRPr="00DD0DC9">
        <w:rPr>
          <w:rFonts w:ascii="Times New Roman" w:hAnsi="Times New Roman" w:cs="Times New Roman"/>
          <w:b/>
          <w:bCs/>
          <w:noProof/>
          <w:color w:val="000000" w:themeColor="text1"/>
          <w:sz w:val="24"/>
          <w:szCs w:val="24"/>
          <w:lang w:val="en-IE"/>
        </w:rPr>
        <w:t xml:space="preserve">Several supporting documents underpin this Report. </w:t>
      </w:r>
      <w:r w:rsidRPr="00DD0DC9">
        <w:rPr>
          <w:rFonts w:ascii="Times New Roman" w:hAnsi="Times New Roman" w:cs="Times New Roman"/>
          <w:noProof/>
          <w:color w:val="000000" w:themeColor="text1"/>
          <w:sz w:val="24"/>
          <w:szCs w:val="24"/>
          <w:lang w:val="en-IE"/>
        </w:rPr>
        <w:t xml:space="preserve">Annex 1 provides an overview of the long-term trends of the KPIs underpinning the analysis. Annex 2 updates on progress with the implementation of policy actions under the Commission Competitiveness Compass, Clean Industrial Deal and Single Market Strategy. </w:t>
      </w:r>
      <w:r>
        <w:rPr>
          <w:rFonts w:ascii="Times New Roman" w:hAnsi="Times New Roman" w:cs="Times New Roman"/>
          <w:noProof/>
          <w:color w:val="000000" w:themeColor="text1"/>
          <w:sz w:val="24"/>
          <w:szCs w:val="24"/>
          <w:lang w:val="en-IE"/>
        </w:rPr>
        <w:t>T</w:t>
      </w:r>
      <w:r w:rsidRPr="00CE116F">
        <w:rPr>
          <w:rFonts w:ascii="Times New Roman" w:hAnsi="Times New Roman" w:cs="Times New Roman"/>
          <w:noProof/>
          <w:color w:val="000000" w:themeColor="text1"/>
          <w:sz w:val="24"/>
          <w:szCs w:val="24"/>
          <w:lang w:val="en-IE"/>
        </w:rPr>
        <w:t xml:space="preserve">o put European competitiveness in the international context, </w:t>
      </w:r>
      <w:r>
        <w:rPr>
          <w:rFonts w:ascii="Times New Roman" w:hAnsi="Times New Roman" w:cs="Times New Roman"/>
          <w:noProof/>
          <w:color w:val="000000" w:themeColor="text1"/>
          <w:sz w:val="24"/>
          <w:szCs w:val="24"/>
          <w:lang w:val="en-IE"/>
        </w:rPr>
        <w:t>A</w:t>
      </w:r>
      <w:r w:rsidRPr="00CE116F">
        <w:rPr>
          <w:rFonts w:ascii="Times New Roman" w:hAnsi="Times New Roman" w:cs="Times New Roman"/>
          <w:noProof/>
          <w:color w:val="000000" w:themeColor="text1"/>
          <w:sz w:val="24"/>
          <w:szCs w:val="24"/>
          <w:lang w:val="en-IE"/>
        </w:rPr>
        <w:t>nnex 3 gives an overview of</w:t>
      </w:r>
      <w:r w:rsidRPr="00DD0DC9">
        <w:rPr>
          <w:rFonts w:ascii="Times New Roman" w:hAnsi="Times New Roman" w:cs="Times New Roman"/>
          <w:noProof/>
          <w:color w:val="000000" w:themeColor="text1"/>
          <w:sz w:val="24"/>
          <w:szCs w:val="24"/>
          <w:lang w:val="en-IE"/>
        </w:rPr>
        <w:t xml:space="preserve"> resilience measures by selected global players. In addition, the 2026 edition of the online Single Market and Competitiveness Scoreboard assesses the performance of different Single Market policy areas and monitors the countries’ performance in implementing the four freedoms. The annual report of the Single Market Enforcement Taskforce (SMET) is also published in conjunction with this Report. SMET identified and developed strategies to tackle the 'Terrible Ten' barriers outlined in the Single Market Strategy, breaking them down into specific challenges and organising efforts to address them effectively.  </w:t>
      </w:r>
    </w:p>
    <w:p w14:paraId="0CE04589" w14:textId="77777777" w:rsidR="00AD72BD" w:rsidRDefault="00AD72BD" w:rsidP="00DD0DC9">
      <w:pPr>
        <w:widowControl w:val="0"/>
        <w:spacing w:before="240"/>
        <w:mirrorIndents/>
        <w:jc w:val="both"/>
        <w:rPr>
          <w:rFonts w:ascii="Times New Roman" w:hAnsi="Times New Roman" w:cs="Times New Roman"/>
          <w:noProof/>
          <w:color w:val="000000" w:themeColor="text1"/>
          <w:sz w:val="24"/>
          <w:szCs w:val="24"/>
          <w:lang w:val="en-IE"/>
        </w:rPr>
      </w:pPr>
    </w:p>
    <w:p w14:paraId="776BC93C" w14:textId="77777777" w:rsidR="00DD0DC9" w:rsidRPr="00DD0DC9" w:rsidRDefault="00DD0DC9" w:rsidP="00DD0DC9">
      <w:pPr>
        <w:widowControl w:val="0"/>
        <w:spacing w:before="240"/>
        <w:contextualSpacing/>
        <w:mirrorIndents/>
        <w:rPr>
          <w:noProof/>
          <w:lang w:val="en-IE"/>
        </w:rPr>
      </w:pPr>
      <w:r w:rsidRPr="00DD0DC9">
        <w:rPr>
          <w:rFonts w:ascii="Times New Roman" w:hAnsi="Times New Roman" w:cs="Times New Roman"/>
          <w:b/>
          <w:noProof/>
          <w:sz w:val="28"/>
          <w:szCs w:val="28"/>
          <w:shd w:val="clear" w:color="auto" w:fill="FFFFFF"/>
          <w:lang w:val="en-IE"/>
        </w:rPr>
        <w:t xml:space="preserve">SECTION </w:t>
      </w:r>
      <w:r w:rsidRPr="00DD0DC9" w:rsidDel="00EA4D41">
        <w:rPr>
          <w:rFonts w:ascii="Times New Roman" w:hAnsi="Times New Roman" w:cs="Times New Roman"/>
          <w:b/>
          <w:noProof/>
          <w:sz w:val="28"/>
          <w:szCs w:val="28"/>
          <w:shd w:val="clear" w:color="auto" w:fill="FFFFFF"/>
          <w:lang w:val="en-IE"/>
        </w:rPr>
        <w:t xml:space="preserve">1 </w:t>
      </w:r>
      <w:r w:rsidRPr="00DD0DC9">
        <w:rPr>
          <w:rFonts w:ascii="Times New Roman" w:hAnsi="Times New Roman" w:cs="Times New Roman"/>
          <w:b/>
          <w:noProof/>
          <w:sz w:val="28"/>
          <w:szCs w:val="28"/>
          <w:shd w:val="clear" w:color="auto" w:fill="FFFFFF"/>
          <w:lang w:val="en-IE"/>
        </w:rPr>
        <w:t>– A functioning Single Market</w:t>
      </w:r>
    </w:p>
    <w:p w14:paraId="7D13F8F5" w14:textId="74D11F95" w:rsidR="00DD0DC9" w:rsidRPr="00DD0DC9" w:rsidRDefault="00DD0DC9" w:rsidP="00DD0DC9">
      <w:pPr>
        <w:pStyle w:val="Text1"/>
        <w:widowControl w:val="0"/>
        <w:spacing w:after="160"/>
        <w:ind w:left="0"/>
        <w:rPr>
          <w:noProof/>
          <w:color w:val="000000" w:themeColor="text1"/>
          <w:lang w:val="en-IE"/>
        </w:rPr>
      </w:pPr>
      <w:r w:rsidRPr="00DD0DC9">
        <w:rPr>
          <w:b/>
          <w:bCs/>
          <w:noProof/>
          <w:color w:val="000000" w:themeColor="text1"/>
          <w:lang w:val="en-IE"/>
        </w:rPr>
        <w:t xml:space="preserve">Persistent barriers at the national and European level hold back the Single Market, forgoing economic potential. </w:t>
      </w:r>
      <w:r w:rsidRPr="00DD0DC9">
        <w:rPr>
          <w:bCs/>
          <w:noProof/>
          <w:color w:val="000000" w:themeColor="text1"/>
          <w:lang w:val="en-IE"/>
        </w:rPr>
        <w:t xml:space="preserve">Labour productivity, measured as GDP per hour worked in purchasing power adjusted terms, is one of the highest in the world, reflecting European </w:t>
      </w:r>
      <w:r w:rsidRPr="002C183A">
        <w:rPr>
          <w:bCs/>
          <w:noProof/>
          <w:color w:val="000000" w:themeColor="text1"/>
          <w:lang w:val="en-IE"/>
        </w:rPr>
        <w:t xml:space="preserve">competitiveness and prosperity. </w:t>
      </w:r>
      <w:r w:rsidRPr="002C183A">
        <w:rPr>
          <w:noProof/>
          <w:color w:val="000000" w:themeColor="text1"/>
          <w:lang w:val="en-IE"/>
        </w:rPr>
        <w:t>Still,</w:t>
      </w:r>
      <w:r w:rsidRPr="002C183A" w:rsidDel="00041EEF">
        <w:rPr>
          <w:noProof/>
          <w:color w:val="000000" w:themeColor="text1"/>
          <w:lang w:val="en-IE"/>
        </w:rPr>
        <w:t xml:space="preserve"> </w:t>
      </w:r>
      <w:r w:rsidRPr="002C183A">
        <w:rPr>
          <w:noProof/>
          <w:color w:val="000000" w:themeColor="text1"/>
          <w:lang w:val="en-IE"/>
        </w:rPr>
        <w:t xml:space="preserve">there is a gap </w:t>
      </w:r>
      <w:r w:rsidR="00AE17D2" w:rsidRPr="002C183A">
        <w:rPr>
          <w:noProof/>
          <w:color w:val="000000" w:themeColor="text1"/>
          <w:lang w:val="en-IE"/>
        </w:rPr>
        <w:t xml:space="preserve">of around 20% </w:t>
      </w:r>
      <w:r w:rsidRPr="002C183A">
        <w:rPr>
          <w:noProof/>
          <w:color w:val="000000" w:themeColor="text1"/>
          <w:lang w:val="en-IE"/>
        </w:rPr>
        <w:t xml:space="preserve">compared </w:t>
      </w:r>
      <w:r w:rsidR="00AE17D2" w:rsidRPr="002C183A">
        <w:rPr>
          <w:noProof/>
          <w:color w:val="000000" w:themeColor="text1"/>
          <w:lang w:val="en-IE"/>
        </w:rPr>
        <w:t>with</w:t>
      </w:r>
      <w:r w:rsidRPr="002C183A">
        <w:rPr>
          <w:noProof/>
          <w:color w:val="000000" w:themeColor="text1"/>
          <w:lang w:val="en-IE"/>
        </w:rPr>
        <w:t xml:space="preserve"> the US (KPI</w:t>
      </w:r>
      <w:r>
        <w:rPr>
          <w:noProof/>
          <w:color w:val="000000" w:themeColor="text1"/>
          <w:lang w:val="en-IE"/>
        </w:rPr>
        <w:t> </w:t>
      </w:r>
      <w:r w:rsidRPr="002C183A">
        <w:rPr>
          <w:noProof/>
          <w:color w:val="000000" w:themeColor="text1"/>
          <w:lang w:val="en-IE"/>
        </w:rPr>
        <w:t>1</w:t>
      </w:r>
      <w:r w:rsidR="00452510" w:rsidRPr="002C183A">
        <w:rPr>
          <w:noProof/>
          <w:color w:val="000000" w:themeColor="text1"/>
          <w:lang w:val="en-IE"/>
        </w:rPr>
        <w:t>)</w:t>
      </w:r>
      <w:r>
        <w:rPr>
          <w:noProof/>
          <w:color w:val="000000" w:themeColor="text1"/>
          <w:lang w:val="en-IE"/>
        </w:rPr>
        <w:t>, mainly due to Europe lagging behind in the production and adoption of digital technologies</w:t>
      </w:r>
      <w:r>
        <w:rPr>
          <w:rStyle w:val="FootnoteReference"/>
          <w:noProof/>
          <w:color w:val="000000" w:themeColor="text1"/>
          <w:lang w:val="en-IE"/>
        </w:rPr>
        <w:footnoteReference w:id="2"/>
      </w:r>
      <w:r>
        <w:rPr>
          <w:noProof/>
          <w:color w:val="000000" w:themeColor="text1"/>
          <w:lang w:val="en-IE"/>
        </w:rPr>
        <w:t>.</w:t>
      </w:r>
      <w:r w:rsidRPr="002C183A">
        <w:rPr>
          <w:noProof/>
          <w:color w:val="000000" w:themeColor="text1"/>
          <w:lang w:val="en-IE"/>
        </w:rPr>
        <w:t xml:space="preserve"> Recent trends risk widening this gap. The Single Market has raised EU GDP by 3-4% annually</w:t>
      </w:r>
      <w:r w:rsidR="008D720C" w:rsidRPr="002C183A">
        <w:rPr>
          <w:rStyle w:val="FootnoteReference"/>
          <w:noProof/>
          <w:color w:val="000000" w:themeColor="text1"/>
          <w:lang w:val="en-IE"/>
        </w:rPr>
        <w:footnoteReference w:id="3"/>
      </w:r>
      <w:r w:rsidRPr="002C183A">
        <w:rPr>
          <w:noProof/>
          <w:color w:val="000000" w:themeColor="text1"/>
          <w:lang w:val="en-IE"/>
        </w:rPr>
        <w:t xml:space="preserve"> and</w:t>
      </w:r>
      <w:r w:rsidRPr="00DD0DC9">
        <w:rPr>
          <w:noProof/>
          <w:color w:val="000000" w:themeColor="text1"/>
          <w:lang w:val="en-IE"/>
        </w:rPr>
        <w:t xml:space="preserve"> created more than 3.5 million jobs. Further integration has reached a plateau (KPI 2), with trade in goods </w:t>
      </w:r>
      <w:r w:rsidRPr="00D92818">
        <w:rPr>
          <w:noProof/>
          <w:color w:val="000000" w:themeColor="text1"/>
          <w:lang w:val="en-IE"/>
        </w:rPr>
        <w:t>inside the Single Market broadly stable over the recent years and falling in 2024 compared to 2023</w:t>
      </w:r>
      <w:r w:rsidRPr="00D92818">
        <w:rPr>
          <w:rStyle w:val="FootnoteReference"/>
          <w:noProof/>
          <w:color w:val="000000" w:themeColor="text1"/>
          <w:lang w:val="en-IE"/>
        </w:rPr>
        <w:footnoteReference w:id="4"/>
      </w:r>
      <w:r w:rsidRPr="00D92818">
        <w:rPr>
          <w:noProof/>
          <w:color w:val="000000" w:themeColor="text1"/>
          <w:lang w:val="en-IE"/>
        </w:rPr>
        <w:t xml:space="preserve">, </w:t>
      </w:r>
      <w:r w:rsidR="008D7C0C" w:rsidRPr="00374B33">
        <w:rPr>
          <w:noProof/>
          <w:color w:val="000000" w:themeColor="text1"/>
          <w:lang w:val="en-IE"/>
        </w:rPr>
        <w:t>with</w:t>
      </w:r>
      <w:r w:rsidR="008D7C0C" w:rsidRPr="00D92818">
        <w:rPr>
          <w:noProof/>
          <w:color w:val="000000" w:themeColor="text1"/>
          <w:lang w:val="en-IE"/>
        </w:rPr>
        <w:t xml:space="preserve"> </w:t>
      </w:r>
      <w:r w:rsidRPr="00D92818">
        <w:rPr>
          <w:noProof/>
          <w:color w:val="000000" w:themeColor="text1"/>
          <w:lang w:val="en-IE"/>
        </w:rPr>
        <w:t>trade</w:t>
      </w:r>
      <w:r w:rsidRPr="00DD0DC9">
        <w:rPr>
          <w:noProof/>
          <w:color w:val="000000" w:themeColor="text1"/>
          <w:lang w:val="en-IE"/>
        </w:rPr>
        <w:t xml:space="preserve"> in services still increasing but at a slow pace.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3"/>
        <w:gridCol w:w="4131"/>
        <w:gridCol w:w="2673"/>
      </w:tblGrid>
      <w:tr w:rsidR="00DD0DC9" w:rsidRPr="00DD0DC9" w:rsidDel="0052743D" w14:paraId="2441D75A"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0242BA15"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b/>
                <w:bCs/>
                <w:noProof/>
                <w:color w:val="000000"/>
                <w:lang w:val="en-IE" w:eastAsia="en-IE"/>
              </w:rPr>
              <w:t>KPI</w:t>
            </w:r>
            <w:r w:rsidRPr="00DD0DC9" w:rsidDel="0052743D">
              <w:rPr>
                <w:rFonts w:ascii="Times New Roman" w:eastAsia="Times New Roman" w:hAnsi="Times New Roman" w:cs="Times New Roman"/>
                <w:noProof/>
                <w:color w:val="000000"/>
                <w:lang w:val="en-IE" w:eastAsia="en-IE"/>
              </w:rPr>
              <w:t> </w:t>
            </w:r>
          </w:p>
        </w:tc>
        <w:tc>
          <w:tcPr>
            <w:tcW w:w="4131"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4E95A78" w14:textId="77777777" w:rsidR="00DD0DC9" w:rsidRPr="00DD0DC9" w:rsidDel="0052743D" w:rsidRDefault="00DD0DC9">
            <w:pPr>
              <w:widowControl w:val="0"/>
              <w:suppressLineNumbers/>
              <w:suppressAutoHyphens/>
              <w:autoSpaceDN w:val="0"/>
              <w:spacing w:after="120" w:line="240" w:lineRule="auto"/>
              <w:ind w:left="105"/>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b/>
                <w:bCs/>
                <w:noProof/>
                <w:color w:val="000000"/>
                <w:lang w:val="en-IE" w:eastAsia="en-IE"/>
              </w:rPr>
              <w:t>What it measures</w:t>
            </w:r>
            <w:r w:rsidRPr="00DD0DC9" w:rsidDel="0052743D">
              <w:rPr>
                <w:rFonts w:ascii="Times New Roman" w:eastAsia="Times New Roman" w:hAnsi="Times New Roman" w:cs="Times New Roman"/>
                <w:noProof/>
                <w:color w:val="000000"/>
                <w:lang w:val="en-IE" w:eastAsia="en-IE"/>
              </w:rPr>
              <w:t> </w:t>
            </w:r>
          </w:p>
        </w:tc>
        <w:tc>
          <w:tcPr>
            <w:tcW w:w="267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7409932" w14:textId="77777777" w:rsidR="00DD0DC9" w:rsidRPr="00DD0DC9" w:rsidDel="0052743D" w:rsidRDefault="00DD0DC9">
            <w:pPr>
              <w:widowControl w:val="0"/>
              <w:suppressLineNumbers/>
              <w:suppressAutoHyphens/>
              <w:autoSpaceDN w:val="0"/>
              <w:spacing w:after="120" w:line="240" w:lineRule="auto"/>
              <w:ind w:left="105"/>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b/>
                <w:bCs/>
                <w:noProof/>
                <w:color w:val="000000"/>
                <w:lang w:val="en-IE" w:eastAsia="en-IE"/>
              </w:rPr>
              <w:t>Latest EU values</w:t>
            </w:r>
            <w:r w:rsidRPr="00DD0DC9" w:rsidDel="0052743D">
              <w:rPr>
                <w:rFonts w:ascii="Times New Roman" w:eastAsia="Times New Roman" w:hAnsi="Times New Roman" w:cs="Times New Roman"/>
                <w:noProof/>
                <w:color w:val="000000"/>
                <w:lang w:val="en-IE" w:eastAsia="en-IE"/>
              </w:rPr>
              <w:t> </w:t>
            </w:r>
          </w:p>
        </w:tc>
      </w:tr>
      <w:tr w:rsidR="00DD0DC9" w:rsidRPr="009E1879" w:rsidDel="0052743D" w14:paraId="74AD92F7"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0CEF566A"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noProof/>
                <w:color w:val="000000"/>
                <w:kern w:val="3"/>
                <w:sz w:val="20"/>
                <w:szCs w:val="20"/>
                <w:lang w:val="en-IE" w:eastAsia="en-IE"/>
              </w:rPr>
              <w:t>KPI 1: Labour productivity  </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54D2D542"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121263" w:rsidDel="0052743D">
              <w:rPr>
                <w:rFonts w:ascii="Times New Roman" w:eastAsia="Times New Roman" w:hAnsi="Times New Roman" w:cs="Times New Roman"/>
                <w:noProof/>
                <w:color w:val="000000"/>
                <w:kern w:val="3"/>
                <w:sz w:val="20"/>
                <w:szCs w:val="20"/>
                <w:lang w:val="en-IE" w:eastAsia="en-IE"/>
              </w:rPr>
              <w:t xml:space="preserve">GDP per hour worked in </w:t>
            </w:r>
            <w:r w:rsidRPr="00121263">
              <w:rPr>
                <w:rFonts w:ascii="Times New Roman" w:eastAsia="Times New Roman" w:hAnsi="Times New Roman" w:cs="Times New Roman"/>
                <w:noProof/>
                <w:color w:val="000000"/>
                <w:kern w:val="3"/>
                <w:sz w:val="20"/>
                <w:szCs w:val="20"/>
                <w:lang w:val="en-IE" w:eastAsia="en-IE"/>
              </w:rPr>
              <w:t>Purchasing Power Parity (</w:t>
            </w:r>
            <w:r w:rsidRPr="00121263" w:rsidDel="0052743D">
              <w:rPr>
                <w:rFonts w:ascii="Times New Roman" w:eastAsia="Times New Roman" w:hAnsi="Times New Roman" w:cs="Times New Roman"/>
                <w:noProof/>
                <w:color w:val="000000"/>
                <w:kern w:val="3"/>
                <w:sz w:val="20"/>
                <w:szCs w:val="20"/>
                <w:lang w:val="en-IE" w:eastAsia="en-IE"/>
              </w:rPr>
              <w:t>PPP</w:t>
            </w:r>
            <w:r w:rsidRPr="00121263">
              <w:rPr>
                <w:rFonts w:ascii="Times New Roman" w:eastAsia="Times New Roman" w:hAnsi="Times New Roman" w:cs="Times New Roman"/>
                <w:noProof/>
                <w:color w:val="000000"/>
                <w:kern w:val="3"/>
                <w:sz w:val="20"/>
                <w:szCs w:val="20"/>
                <w:lang w:val="en-IE" w:eastAsia="en-IE"/>
              </w:rPr>
              <w:t>)</w:t>
            </w:r>
            <w:r w:rsidRPr="00121263" w:rsidDel="0052743D">
              <w:rPr>
                <w:rFonts w:ascii="Times New Roman" w:eastAsia="Times New Roman" w:hAnsi="Times New Roman" w:cs="Times New Roman"/>
                <w:noProof/>
                <w:color w:val="000000"/>
                <w:kern w:val="3"/>
                <w:sz w:val="20"/>
                <w:szCs w:val="20"/>
                <w:lang w:val="en-IE" w:eastAsia="en-IE"/>
              </w:rPr>
              <w:t xml:space="preserve"> terms.</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374C1A05" w14:textId="6A66CBC4"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lang w:val="en-IE" w:eastAsia="en-IE"/>
              </w:rPr>
            </w:pPr>
            <w:r w:rsidRPr="00DD0DC9" w:rsidDel="0052743D">
              <w:rPr>
                <w:rFonts w:ascii="Times New Roman" w:eastAsia="Times New Roman" w:hAnsi="Times New Roman" w:cs="Times New Roman"/>
                <w:noProof/>
                <w:color w:val="000000"/>
                <w:kern w:val="3"/>
                <w:sz w:val="20"/>
                <w:szCs w:val="20"/>
                <w:lang w:val="en-IE" w:eastAsia="en-IE"/>
              </w:rPr>
              <w:t>At 78.</w:t>
            </w:r>
            <w:r w:rsidR="00524E6A">
              <w:rPr>
                <w:rFonts w:ascii="Times New Roman" w:eastAsia="Times New Roman" w:hAnsi="Times New Roman" w:cs="Times New Roman"/>
                <w:noProof/>
                <w:color w:val="000000"/>
                <w:kern w:val="3"/>
                <w:sz w:val="20"/>
                <w:szCs w:val="20"/>
                <w:lang w:val="en-IE" w:eastAsia="en-IE"/>
              </w:rPr>
              <w:t>5</w:t>
            </w:r>
            <w:r w:rsidRPr="00DD0DC9" w:rsidDel="0052743D">
              <w:rPr>
                <w:rFonts w:ascii="Times New Roman" w:eastAsia="Times New Roman" w:hAnsi="Times New Roman" w:cs="Times New Roman"/>
                <w:noProof/>
                <w:color w:val="000000"/>
                <w:kern w:val="3"/>
                <w:sz w:val="20"/>
                <w:szCs w:val="20"/>
                <w:lang w:val="en-IE" w:eastAsia="en-IE"/>
              </w:rPr>
              <w:t>% of US levels (2024)  </w:t>
            </w:r>
          </w:p>
          <w:p w14:paraId="7D8F11DF"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noProof/>
                <w:color w:val="000000"/>
                <w:kern w:val="3"/>
                <w:sz w:val="20"/>
                <w:szCs w:val="20"/>
                <w:lang w:val="en-IE" w:eastAsia="en-IE"/>
              </w:rPr>
              <w:t>At 78.0% of US levels (2023)   </w:t>
            </w:r>
          </w:p>
        </w:tc>
      </w:tr>
      <w:tr w:rsidR="00DD0DC9" w:rsidRPr="00DD0DC9" w:rsidDel="0052743D" w14:paraId="78827E3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41EC10C8"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noProof/>
                <w:kern w:val="3"/>
                <w:sz w:val="20"/>
                <w:szCs w:val="20"/>
                <w:lang w:val="en-IE" w:eastAsia="en-IE"/>
              </w:rPr>
              <w:t>KPI 2: Integration in the Single Market   </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184C96A9"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121263" w:rsidDel="0052743D">
              <w:rPr>
                <w:rFonts w:ascii="Times New Roman" w:eastAsia="Times New Roman" w:hAnsi="Times New Roman" w:cs="Times New Roman"/>
                <w:noProof/>
                <w:kern w:val="3"/>
                <w:sz w:val="20"/>
                <w:szCs w:val="20"/>
                <w:lang w:val="en-IE" w:eastAsia="en-IE"/>
              </w:rPr>
              <w:t>Share of EU GDP represented by trade between EU Member States.</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4D3C883E"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lang w:val="en-IE" w:eastAsia="en-IE"/>
              </w:rPr>
            </w:pPr>
            <w:r w:rsidRPr="00DD0DC9" w:rsidDel="0052743D">
              <w:rPr>
                <w:rFonts w:ascii="Times New Roman" w:eastAsia="Times New Roman" w:hAnsi="Times New Roman" w:cs="Times New Roman"/>
                <w:noProof/>
                <w:kern w:val="3"/>
                <w:sz w:val="20"/>
                <w:szCs w:val="20"/>
                <w:lang w:val="en-IE" w:eastAsia="en-IE"/>
              </w:rPr>
              <w:t>22.0% for goods (2024)  </w:t>
            </w:r>
          </w:p>
          <w:p w14:paraId="26438ADE"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23.5% for goods (2023)</w:t>
            </w:r>
          </w:p>
          <w:p w14:paraId="0833200C"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8"/>
                <w:szCs w:val="8"/>
                <w:lang w:val="en-IE" w:eastAsia="en-IE"/>
              </w:rPr>
            </w:pPr>
            <w:r w:rsidRPr="00DD0DC9" w:rsidDel="0052743D">
              <w:rPr>
                <w:rFonts w:ascii="Times New Roman" w:eastAsia="Times New Roman" w:hAnsi="Times New Roman" w:cs="Times New Roman"/>
                <w:noProof/>
                <w:kern w:val="3"/>
                <w:sz w:val="8"/>
                <w:szCs w:val="8"/>
                <w:lang w:val="en-IE" w:eastAsia="en-IE"/>
              </w:rPr>
              <w:t>  </w:t>
            </w:r>
          </w:p>
          <w:p w14:paraId="2C612515"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7.9% for services (2024)</w:t>
            </w:r>
          </w:p>
          <w:p w14:paraId="25D85D5D"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lang w:val="en-IE" w:eastAsia="en-IE"/>
              </w:rPr>
            </w:pPr>
            <w:r w:rsidRPr="00DD0DC9" w:rsidDel="0052743D">
              <w:rPr>
                <w:rFonts w:ascii="Times New Roman" w:eastAsia="Times New Roman" w:hAnsi="Times New Roman" w:cs="Times New Roman"/>
                <w:noProof/>
                <w:kern w:val="3"/>
                <w:sz w:val="20"/>
                <w:szCs w:val="20"/>
                <w:lang w:val="en-IE" w:eastAsia="en-IE"/>
              </w:rPr>
              <w:t>7.7% for services (2023)  </w:t>
            </w:r>
          </w:p>
        </w:tc>
      </w:tr>
      <w:tr w:rsidR="00DD0DC9" w:rsidRPr="00FA459E" w:rsidDel="0052743D" w14:paraId="019462B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31F8F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KPI 3: Simplification of EU rules</w:t>
            </w:r>
          </w:p>
        </w:tc>
        <w:tc>
          <w:tcPr>
            <w:tcW w:w="4131" w:type="dxa"/>
            <w:tcBorders>
              <w:top w:val="single" w:sz="4" w:space="0" w:color="auto"/>
              <w:left w:val="single" w:sz="4" w:space="0" w:color="auto"/>
              <w:bottom w:val="single" w:sz="4" w:space="0" w:color="auto"/>
              <w:right w:val="single" w:sz="4" w:space="0" w:color="auto"/>
            </w:tcBorders>
            <w:shd w:val="clear" w:color="auto" w:fill="FFFFFF" w:themeFill="background1"/>
          </w:tcPr>
          <w:p w14:paraId="35294A64" w14:textId="76D3A67B" w:rsidR="00DD0DC9" w:rsidRPr="00121263" w:rsidDel="0052743D" w:rsidRDefault="00DD0DC9">
            <w:pPr>
              <w:widowControl w:val="0"/>
              <w:suppressLineNumbers/>
              <w:suppressAutoHyphens/>
              <w:autoSpaceDN w:val="0"/>
              <w:spacing w:after="120" w:line="240" w:lineRule="auto"/>
              <w:contextualSpacing/>
              <w:mirrorIndents/>
              <w:rPr>
                <w:rFonts w:ascii="Times New Roman" w:eastAsia="Calibri" w:hAnsi="Times New Roman" w:cs="Times New Roman"/>
                <w:noProof/>
                <w:kern w:val="3"/>
                <w:lang w:val="en-IE"/>
              </w:rPr>
            </w:pPr>
            <w:r w:rsidRPr="00121263" w:rsidDel="0052743D">
              <w:rPr>
                <w:rFonts w:ascii="Times New Roman" w:eastAsia="Times New Roman" w:hAnsi="Times New Roman" w:cs="Times New Roman"/>
                <w:noProof/>
                <w:kern w:val="3"/>
                <w:sz w:val="20"/>
                <w:szCs w:val="20"/>
                <w:lang w:val="en-IE" w:eastAsia="en-IE"/>
              </w:rPr>
              <w:t xml:space="preserve">Projected annual </w:t>
            </w:r>
            <w:r w:rsidR="00C8351E" w:rsidRPr="00121263">
              <w:rPr>
                <w:rFonts w:ascii="Times New Roman" w:eastAsia="Times New Roman" w:hAnsi="Times New Roman" w:cs="Times New Roman"/>
                <w:noProof/>
                <w:kern w:val="3"/>
                <w:sz w:val="20"/>
                <w:szCs w:val="20"/>
                <w:lang w:val="en-IE" w:eastAsia="en-IE"/>
              </w:rPr>
              <w:t xml:space="preserve">administrative </w:t>
            </w:r>
            <w:r w:rsidRPr="00121263" w:rsidDel="0052743D">
              <w:rPr>
                <w:rFonts w:ascii="Times New Roman" w:eastAsia="Times New Roman" w:hAnsi="Times New Roman" w:cs="Times New Roman"/>
                <w:noProof/>
                <w:kern w:val="3"/>
                <w:sz w:val="20"/>
                <w:szCs w:val="20"/>
                <w:lang w:val="en-IE" w:eastAsia="en-IE"/>
              </w:rPr>
              <w:t>savings from Commission’s adopted omnibus simplification proposals</w:t>
            </w:r>
            <w:r>
              <w:rPr>
                <w:rFonts w:ascii="Times New Roman" w:eastAsia="Times New Roman" w:hAnsi="Times New Roman" w:cs="Times New Roman"/>
                <w:noProof/>
                <w:kern w:val="3"/>
                <w:sz w:val="20"/>
                <w:szCs w:val="20"/>
                <w:lang w:val="en-IE" w:eastAsia="en-IE"/>
              </w:rPr>
              <w:t xml:space="preserve"> and other initiatives</w:t>
            </w:r>
            <w:r w:rsidRPr="00121263" w:rsidDel="0052743D">
              <w:rPr>
                <w:rFonts w:ascii="Times New Roman" w:eastAsia="Times New Roman" w:hAnsi="Times New Roman" w:cs="Times New Roman"/>
                <w:noProof/>
                <w:kern w:val="3"/>
                <w:sz w:val="20"/>
                <w:szCs w:val="20"/>
                <w:lang w:val="en-IE" w:eastAsia="en-IE"/>
              </w:rPr>
              <w:t xml:space="preserve">. </w:t>
            </w:r>
          </w:p>
        </w:tc>
        <w:tc>
          <w:tcPr>
            <w:tcW w:w="2673" w:type="dxa"/>
            <w:tcBorders>
              <w:top w:val="single" w:sz="4" w:space="0" w:color="auto"/>
              <w:left w:val="single" w:sz="4" w:space="0" w:color="auto"/>
              <w:bottom w:val="single" w:sz="4" w:space="0" w:color="auto"/>
              <w:right w:val="single" w:sz="4" w:space="0" w:color="auto"/>
            </w:tcBorders>
            <w:shd w:val="clear" w:color="auto" w:fill="FFFFFF" w:themeFill="background1"/>
          </w:tcPr>
          <w:p w14:paraId="0C17A151" w14:textId="39FD1CCA" w:rsidR="00DD0DC9" w:rsidRPr="00DD0DC9" w:rsidDel="0052743D" w:rsidRDefault="00BA609D">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Pr>
                <w:rFonts w:ascii="Times New Roman" w:eastAsia="Times New Roman" w:hAnsi="Times New Roman" w:cs="Times New Roman"/>
                <w:noProof/>
                <w:kern w:val="3"/>
                <w:sz w:val="20"/>
                <w:szCs w:val="20"/>
                <w:lang w:val="en-IE" w:eastAsia="en-IE"/>
              </w:rPr>
              <w:t>EUR 15 bn (2025)</w:t>
            </w:r>
          </w:p>
        </w:tc>
      </w:tr>
      <w:tr w:rsidR="00DD0DC9" w:rsidRPr="00DD0DC9" w:rsidDel="0052743D" w14:paraId="0D9EF37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349CBCFC"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KPI 4: Conformity deficit   </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7C0ADE98"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rPr>
            </w:pPr>
            <w:r w:rsidRPr="00121263" w:rsidDel="0052743D">
              <w:rPr>
                <w:rFonts w:ascii="Times New Roman" w:eastAsia="Times New Roman" w:hAnsi="Times New Roman" w:cs="Times New Roman"/>
                <w:noProof/>
                <w:kern w:val="3"/>
                <w:sz w:val="20"/>
                <w:szCs w:val="20"/>
                <w:lang w:val="en-IE" w:eastAsia="en-IE"/>
              </w:rPr>
              <w:t xml:space="preserve">Share of transposed EU Single Market Directives for which infringement proceedings for incorrect transposition were launched. </w:t>
            </w:r>
            <w:r w:rsidRPr="00121263" w:rsidDel="0052743D">
              <w:rPr>
                <w:rFonts w:ascii="Times New Roman" w:eastAsia="Times New Roman" w:hAnsi="Times New Roman" w:cs="Times New Roman"/>
                <w:b/>
                <w:noProof/>
                <w:kern w:val="3"/>
                <w:sz w:val="20"/>
                <w:szCs w:val="20"/>
                <w:lang w:val="en-IE" w:eastAsia="en-IE"/>
              </w:rPr>
              <w:t>Target &lt;= 0.5%.</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480A6AC3"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1.1</w:t>
            </w:r>
            <w:r w:rsidRPr="00DD0DC9" w:rsidDel="0052743D">
              <w:rPr>
                <w:rFonts w:ascii="Times New Roman" w:eastAsia="Times New Roman" w:hAnsi="Times New Roman" w:cs="Times New Roman"/>
                <w:noProof/>
                <w:kern w:val="3"/>
                <w:sz w:val="20"/>
                <w:szCs w:val="20"/>
                <w:lang w:val="en-IE" w:eastAsia="en-IE"/>
              </w:rPr>
              <w:t>% (2025) </w:t>
            </w:r>
          </w:p>
          <w:p w14:paraId="52AE8E8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0.9% (2024) </w:t>
            </w:r>
          </w:p>
        </w:tc>
      </w:tr>
      <w:tr w:rsidR="00DD0DC9" w:rsidRPr="00DD0DC9" w:rsidDel="0052743D" w14:paraId="11704085"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25EFD475"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KPI 5: Ease of regulatory compliance</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7CB6625E" w14:textId="4426964D"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rPr>
            </w:pPr>
            <w:r w:rsidRPr="00121263" w:rsidDel="0052743D">
              <w:rPr>
                <w:rFonts w:ascii="Times New Roman" w:eastAsia="Times New Roman" w:hAnsi="Times New Roman" w:cs="Times New Roman"/>
                <w:noProof/>
                <w:kern w:val="3"/>
                <w:sz w:val="20"/>
                <w:szCs w:val="20"/>
                <w:lang w:val="en-IE"/>
              </w:rPr>
              <w:t>Replies</w:t>
            </w:r>
            <w:r w:rsidRPr="00121263" w:rsidDel="0052743D">
              <w:rPr>
                <w:rFonts w:ascii="Times New Roman" w:eastAsia="Times New Roman" w:hAnsi="Times New Roman" w:cs="Times New Roman"/>
                <w:noProof/>
                <w:sz w:val="20"/>
                <w:szCs w:val="20"/>
                <w:lang w:val="en-IE"/>
              </w:rPr>
              <w:t xml:space="preserve"> to the survey question: ‘… how easy is it for companies to comply with government regulation and administrative requirements</w:t>
            </w:r>
            <w:r w:rsidRPr="00A16BDF">
              <w:rPr>
                <w:rStyle w:val="FootnoteReference"/>
                <w:rFonts w:ascii="Times New Roman" w:eastAsia="Times New Roman" w:hAnsi="Times New Roman" w:cs="Times New Roman"/>
                <w:noProof/>
                <w:kern w:val="3"/>
                <w:sz w:val="20"/>
                <w:szCs w:val="20"/>
              </w:rPr>
              <w:footnoteReference w:id="5"/>
            </w:r>
            <w:r w:rsidRPr="00121263" w:rsidDel="0052743D">
              <w:rPr>
                <w:rFonts w:ascii="Times New Roman" w:eastAsia="Times New Roman" w:hAnsi="Times New Roman" w:cs="Times New Roman"/>
                <w:noProof/>
                <w:kern w:val="3"/>
                <w:sz w:val="20"/>
                <w:szCs w:val="20"/>
                <w:lang w:val="en-IE"/>
              </w:rPr>
              <w:t>?</w:t>
            </w:r>
            <w:r w:rsidRPr="00121263" w:rsidDel="0052743D">
              <w:rPr>
                <w:rFonts w:ascii="Times New Roman" w:eastAsia="Times New Roman" w:hAnsi="Times New Roman" w:cs="Times New Roman"/>
                <w:noProof/>
                <w:sz w:val="20"/>
                <w:szCs w:val="20"/>
                <w:lang w:val="en-IE"/>
              </w:rPr>
              <w:t>’</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7BE8B67E" w14:textId="73E2D84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3.89</w:t>
            </w:r>
            <w:r w:rsidR="002E0867">
              <w:rPr>
                <w:rFonts w:ascii="Times New Roman" w:eastAsia="Times New Roman" w:hAnsi="Times New Roman" w:cs="Times New Roman"/>
                <w:noProof/>
                <w:kern w:val="3"/>
                <w:sz w:val="20"/>
                <w:szCs w:val="20"/>
                <w:lang w:val="en-IE" w:eastAsia="en-IE"/>
              </w:rPr>
              <w:t xml:space="preserve"> out of 7</w:t>
            </w:r>
            <w:r w:rsidRPr="00DD0DC9" w:rsidDel="0052743D">
              <w:rPr>
                <w:rFonts w:ascii="Times New Roman" w:eastAsia="Times New Roman" w:hAnsi="Times New Roman" w:cs="Times New Roman"/>
                <w:noProof/>
                <w:kern w:val="3"/>
                <w:sz w:val="20"/>
                <w:szCs w:val="20"/>
                <w:lang w:val="en-IE" w:eastAsia="en-IE"/>
              </w:rPr>
              <w:t xml:space="preserve"> (2025)</w:t>
            </w:r>
          </w:p>
          <w:p w14:paraId="29ADF3D7" w14:textId="53C6D555"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 xml:space="preserve">3.66 </w:t>
            </w:r>
            <w:r w:rsidR="002E0867">
              <w:rPr>
                <w:rFonts w:ascii="Times New Roman" w:eastAsia="Times New Roman" w:hAnsi="Times New Roman" w:cs="Times New Roman"/>
                <w:noProof/>
                <w:kern w:val="3"/>
                <w:sz w:val="20"/>
                <w:szCs w:val="20"/>
                <w:lang w:val="en-IE" w:eastAsia="en-IE"/>
              </w:rPr>
              <w:t xml:space="preserve">out of 7 </w:t>
            </w:r>
            <w:r w:rsidRPr="00DD0DC9" w:rsidDel="0052743D">
              <w:rPr>
                <w:rFonts w:ascii="Times New Roman" w:eastAsia="Times New Roman" w:hAnsi="Times New Roman" w:cs="Times New Roman"/>
                <w:noProof/>
                <w:kern w:val="3"/>
                <w:sz w:val="20"/>
                <w:szCs w:val="20"/>
                <w:lang w:val="en-IE" w:eastAsia="en-IE"/>
              </w:rPr>
              <w:t>(2024)</w:t>
            </w:r>
          </w:p>
        </w:tc>
      </w:tr>
      <w:tr w:rsidR="00DD0DC9" w:rsidRPr="00DD0DC9" w:rsidDel="0052743D" w14:paraId="37F2D18B"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C5E0B3"/>
          </w:tcPr>
          <w:p w14:paraId="1A67F7C0"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eastAsia="en-IE"/>
              </w:rPr>
              <w:t>KPI 6: Recognition of professional qualifications</w:t>
            </w:r>
          </w:p>
        </w:tc>
        <w:tc>
          <w:tcPr>
            <w:tcW w:w="4131" w:type="dxa"/>
            <w:tcBorders>
              <w:top w:val="single" w:sz="4" w:space="0" w:color="auto"/>
              <w:left w:val="single" w:sz="4" w:space="0" w:color="auto"/>
              <w:bottom w:val="single" w:sz="4" w:space="0" w:color="auto"/>
              <w:right w:val="single" w:sz="4" w:space="0" w:color="auto"/>
            </w:tcBorders>
            <w:shd w:val="clear" w:color="auto" w:fill="C5E0B3"/>
          </w:tcPr>
          <w:p w14:paraId="21983487"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121263" w:rsidDel="0052743D">
              <w:rPr>
                <w:rFonts w:ascii="Times New Roman" w:hAnsi="Times New Roman" w:cs="Times New Roman"/>
                <w:noProof/>
                <w:sz w:val="20"/>
                <w:lang w:val="en-IE"/>
              </w:rPr>
              <w:t>Positive recognition rates as % (EU average) of all received requests.</w:t>
            </w:r>
          </w:p>
        </w:tc>
        <w:tc>
          <w:tcPr>
            <w:tcW w:w="2673" w:type="dxa"/>
            <w:tcBorders>
              <w:top w:val="single" w:sz="4" w:space="0" w:color="auto"/>
              <w:left w:val="single" w:sz="4" w:space="0" w:color="auto"/>
              <w:bottom w:val="single" w:sz="4" w:space="0" w:color="auto"/>
              <w:right w:val="single" w:sz="4" w:space="0" w:color="auto"/>
            </w:tcBorders>
            <w:shd w:val="clear" w:color="auto" w:fill="C5E0B3"/>
          </w:tcPr>
          <w:p w14:paraId="6723E639" w14:textId="77777777" w:rsidR="00DD0DC9" w:rsidRPr="00DD0DC9" w:rsidDel="0052743D" w:rsidRDefault="00DD0DC9">
            <w:pPr>
              <w:widowControl w:val="0"/>
              <w:suppressLineNumbers/>
              <w:suppressAutoHyphens/>
              <w:spacing w:after="120" w:line="240" w:lineRule="auto"/>
              <w:contextualSpacing/>
              <w:mirrorIndents/>
              <w:textAlignment w:val="baseline"/>
              <w:rPr>
                <w:rFonts w:ascii="Times New Roman" w:eastAsia="Times New Roman" w:hAnsi="Times New Roman" w:cs="Times New Roman"/>
                <w:noProof/>
                <w:sz w:val="20"/>
                <w:szCs w:val="20"/>
                <w:lang w:val="en-IE"/>
              </w:rPr>
            </w:pPr>
            <w:r w:rsidRPr="00DD0DC9" w:rsidDel="0052743D">
              <w:rPr>
                <w:rFonts w:ascii="Times New Roman" w:eastAsia="Times New Roman" w:hAnsi="Times New Roman" w:cs="Times New Roman"/>
                <w:noProof/>
                <w:sz w:val="20"/>
                <w:szCs w:val="20"/>
                <w:lang w:val="en-IE"/>
              </w:rPr>
              <w:t>82.2% (2023)</w:t>
            </w:r>
          </w:p>
          <w:p w14:paraId="674407F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rPr>
              <w:t>77.3% (2022)</w:t>
            </w:r>
          </w:p>
        </w:tc>
      </w:tr>
      <w:tr w:rsidR="00DD0DC9" w:rsidRPr="00DD0DC9" w:rsidDel="0052743D" w14:paraId="66FEF7DF"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795DA586"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 xml:space="preserve">KPI 7: </w:t>
            </w:r>
            <w:r w:rsidRPr="00DD0DC9" w:rsidDel="0052743D">
              <w:rPr>
                <w:rFonts w:ascii="Times New Roman" w:eastAsia="Calibri" w:hAnsi="Times New Roman" w:cs="Times New Roman"/>
                <w:noProof/>
                <w:kern w:val="3"/>
                <w:sz w:val="20"/>
                <w:lang w:val="en-IE"/>
              </w:rPr>
              <w:t>Length of standard-setting procedures</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18A3F254" w14:textId="7949A148"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121263" w:rsidDel="0052743D">
              <w:rPr>
                <w:rFonts w:ascii="Times New Roman" w:eastAsia="Times New Roman" w:hAnsi="Times New Roman" w:cs="Times New Roman"/>
                <w:noProof/>
                <w:kern w:val="3"/>
                <w:sz w:val="20"/>
                <w:szCs w:val="20"/>
                <w:lang w:val="en-IE"/>
              </w:rPr>
              <w:t xml:space="preserve">Average </w:t>
            </w:r>
            <w:r w:rsidR="00C81F94" w:rsidRPr="00121263">
              <w:rPr>
                <w:rFonts w:ascii="Times New Roman" w:eastAsia="Times New Roman" w:hAnsi="Times New Roman" w:cs="Times New Roman"/>
                <w:noProof/>
                <w:kern w:val="3"/>
                <w:sz w:val="20"/>
                <w:szCs w:val="20"/>
                <w:lang w:val="en-IE"/>
              </w:rPr>
              <w:t>length</w:t>
            </w:r>
            <w:r w:rsidR="00C81F94" w:rsidRPr="00121263" w:rsidDel="0052743D">
              <w:rPr>
                <w:rFonts w:ascii="Times New Roman" w:eastAsia="Times New Roman" w:hAnsi="Times New Roman" w:cs="Times New Roman"/>
                <w:noProof/>
                <w:kern w:val="3"/>
                <w:sz w:val="20"/>
                <w:szCs w:val="20"/>
                <w:lang w:val="en-IE"/>
              </w:rPr>
              <w:t xml:space="preserve"> </w:t>
            </w:r>
            <w:r w:rsidR="00C81F94" w:rsidRPr="00121263">
              <w:rPr>
                <w:rFonts w:ascii="Times New Roman" w:eastAsia="Times New Roman" w:hAnsi="Times New Roman" w:cs="Times New Roman"/>
                <w:noProof/>
                <w:kern w:val="3"/>
                <w:sz w:val="20"/>
                <w:szCs w:val="20"/>
                <w:lang w:val="en-IE"/>
              </w:rPr>
              <w:t>(</w:t>
            </w:r>
            <w:r w:rsidRPr="00121263" w:rsidDel="0052743D">
              <w:rPr>
                <w:rFonts w:ascii="Times New Roman" w:eastAsia="Times New Roman" w:hAnsi="Times New Roman" w:cs="Times New Roman"/>
                <w:noProof/>
                <w:kern w:val="3"/>
                <w:sz w:val="20"/>
                <w:szCs w:val="20"/>
                <w:lang w:val="en-IE"/>
              </w:rPr>
              <w:t>in y</w:t>
            </w:r>
            <w:r w:rsidRPr="00121263">
              <w:rPr>
                <w:rFonts w:ascii="Times New Roman" w:eastAsia="Times New Roman" w:hAnsi="Times New Roman" w:cs="Times New Roman"/>
                <w:noProof/>
                <w:kern w:val="3"/>
                <w:sz w:val="20"/>
                <w:szCs w:val="20"/>
                <w:lang w:val="en-IE"/>
              </w:rPr>
              <w:t>ear</w:t>
            </w:r>
            <w:r w:rsidRPr="00121263" w:rsidDel="0052743D">
              <w:rPr>
                <w:rFonts w:ascii="Times New Roman" w:eastAsia="Times New Roman" w:hAnsi="Times New Roman" w:cs="Times New Roman"/>
                <w:noProof/>
                <w:kern w:val="3"/>
                <w:sz w:val="20"/>
                <w:szCs w:val="20"/>
                <w:lang w:val="en-IE"/>
              </w:rPr>
              <w:t>s</w:t>
            </w:r>
            <w:r w:rsidR="00C81F94" w:rsidRPr="00121263">
              <w:rPr>
                <w:rFonts w:ascii="Times New Roman" w:eastAsia="Times New Roman" w:hAnsi="Times New Roman" w:cs="Times New Roman"/>
                <w:noProof/>
                <w:kern w:val="3"/>
                <w:sz w:val="20"/>
                <w:szCs w:val="20"/>
                <w:lang w:val="en-IE"/>
              </w:rPr>
              <w:t>)</w:t>
            </w:r>
            <w:r w:rsidRPr="00121263" w:rsidDel="0052743D">
              <w:rPr>
                <w:rFonts w:ascii="Times New Roman" w:eastAsia="Times New Roman" w:hAnsi="Times New Roman" w:cs="Times New Roman"/>
                <w:noProof/>
                <w:kern w:val="3"/>
                <w:sz w:val="20"/>
                <w:szCs w:val="20"/>
                <w:lang w:val="en-IE"/>
              </w:rPr>
              <w:t xml:space="preserve"> </w:t>
            </w:r>
            <w:r w:rsidR="00C81F94" w:rsidRPr="00121263">
              <w:rPr>
                <w:rFonts w:ascii="Times New Roman" w:eastAsia="Times New Roman" w:hAnsi="Times New Roman" w:cs="Times New Roman"/>
                <w:noProof/>
                <w:kern w:val="3"/>
                <w:sz w:val="20"/>
                <w:szCs w:val="20"/>
                <w:lang w:val="en-IE"/>
              </w:rPr>
              <w:t>of</w:t>
            </w:r>
            <w:r w:rsidR="00C81F94" w:rsidRPr="00121263" w:rsidDel="0052743D">
              <w:rPr>
                <w:rFonts w:ascii="Times New Roman" w:eastAsia="Times New Roman" w:hAnsi="Times New Roman" w:cs="Times New Roman"/>
                <w:noProof/>
                <w:kern w:val="3"/>
                <w:sz w:val="20"/>
                <w:szCs w:val="20"/>
                <w:lang w:val="en-IE"/>
              </w:rPr>
              <w:t xml:space="preserve"> </w:t>
            </w:r>
            <w:r w:rsidR="004A4B87" w:rsidRPr="00121263">
              <w:rPr>
                <w:rFonts w:ascii="Times New Roman" w:eastAsia="Times New Roman" w:hAnsi="Times New Roman" w:cs="Times New Roman"/>
                <w:noProof/>
                <w:kern w:val="3"/>
                <w:sz w:val="20"/>
                <w:szCs w:val="20"/>
                <w:lang w:val="en-IE"/>
              </w:rPr>
              <w:t xml:space="preserve">the drafting </w:t>
            </w:r>
            <w:r w:rsidR="00221F50" w:rsidRPr="00121263">
              <w:rPr>
                <w:rFonts w:ascii="Times New Roman" w:eastAsia="Times New Roman" w:hAnsi="Times New Roman" w:cs="Times New Roman"/>
                <w:noProof/>
                <w:kern w:val="3"/>
                <w:sz w:val="20"/>
                <w:szCs w:val="20"/>
                <w:lang w:val="en-IE"/>
              </w:rPr>
              <w:t>stage</w:t>
            </w:r>
            <w:r w:rsidR="004A4B87" w:rsidRPr="00121263">
              <w:rPr>
                <w:rFonts w:ascii="Times New Roman" w:eastAsia="Times New Roman" w:hAnsi="Times New Roman" w:cs="Times New Roman"/>
                <w:noProof/>
                <w:kern w:val="3"/>
                <w:sz w:val="20"/>
                <w:szCs w:val="20"/>
                <w:lang w:val="en-IE"/>
              </w:rPr>
              <w:t xml:space="preserve"> of standards</w:t>
            </w:r>
            <w:r w:rsidRPr="00121263" w:rsidDel="0052743D">
              <w:rPr>
                <w:rFonts w:ascii="Times New Roman" w:eastAsia="Times New Roman" w:hAnsi="Times New Roman" w:cs="Times New Roman"/>
                <w:noProof/>
                <w:kern w:val="3"/>
                <w:sz w:val="20"/>
                <w:szCs w:val="20"/>
                <w:lang w:val="en-IE"/>
              </w:rPr>
              <w:t>.</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649442AD"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4.0 (2024)</w:t>
            </w:r>
          </w:p>
          <w:p w14:paraId="26CECF9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3.2 (2023)</w:t>
            </w:r>
          </w:p>
        </w:tc>
      </w:tr>
      <w:tr w:rsidR="00DD0DC9" w:rsidRPr="00DD0DC9" w:rsidDel="0052743D" w14:paraId="7B24382B"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5E78174D"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 xml:space="preserve">KPI 8: </w:t>
            </w:r>
            <w:r w:rsidRPr="00DD0DC9" w:rsidDel="0052743D">
              <w:rPr>
                <w:rFonts w:ascii="Times New Roman" w:eastAsia="Calibri" w:hAnsi="Times New Roman" w:cs="Times New Roman"/>
                <w:noProof/>
                <w:color w:val="000000"/>
                <w:kern w:val="3"/>
                <w:sz w:val="20"/>
                <w:lang w:val="en-IE" w:eastAsia="en-GB"/>
              </w:rPr>
              <w:t>Circular material use rate</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4022D763"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rPr>
            </w:pPr>
            <w:r w:rsidRPr="00121263">
              <w:rPr>
                <w:rFonts w:ascii="Times New Roman" w:eastAsia="Times New Roman" w:hAnsi="Times New Roman" w:cs="Times New Roman"/>
                <w:noProof/>
                <w:sz w:val="20"/>
                <w:szCs w:val="20"/>
                <w:lang w:val="en-IE"/>
              </w:rPr>
              <w:t>Share of m</w:t>
            </w:r>
            <w:r w:rsidRPr="00121263" w:rsidDel="0052743D">
              <w:rPr>
                <w:rFonts w:ascii="Times New Roman" w:eastAsia="Times New Roman" w:hAnsi="Times New Roman" w:cs="Times New Roman"/>
                <w:noProof/>
                <w:sz w:val="20"/>
                <w:szCs w:val="20"/>
                <w:lang w:val="en-IE"/>
              </w:rPr>
              <w:t xml:space="preserve">aterial recovered and fed back into the economy. </w:t>
            </w:r>
            <w:r w:rsidRPr="00121263" w:rsidDel="0052743D">
              <w:rPr>
                <w:rFonts w:ascii="Times New Roman" w:eastAsia="Times New Roman" w:hAnsi="Times New Roman" w:cs="Times New Roman"/>
                <w:b/>
                <w:bCs/>
                <w:noProof/>
                <w:kern w:val="3"/>
                <w:sz w:val="20"/>
                <w:szCs w:val="20"/>
                <w:lang w:val="en-IE" w:eastAsia="en-IE"/>
              </w:rPr>
              <w:t>Target = 24% in 2030.</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13ADD8D2"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12.2% (2024)</w:t>
            </w:r>
          </w:p>
          <w:p w14:paraId="0F639A54" w14:textId="18BD3B56" w:rsidR="00DD0DC9" w:rsidRPr="00DD0DC9" w:rsidDel="0052743D" w:rsidRDefault="00640BD4">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eastAsia="en-IE"/>
              </w:rPr>
            </w:pPr>
            <w:r>
              <w:rPr>
                <w:rFonts w:ascii="Times New Roman" w:eastAsia="Times New Roman" w:hAnsi="Times New Roman" w:cs="Times New Roman"/>
                <w:noProof/>
                <w:kern w:val="3"/>
                <w:sz w:val="20"/>
                <w:szCs w:val="20"/>
                <w:lang w:val="en-IE" w:eastAsia="en-IE"/>
              </w:rPr>
              <w:t>12.1</w:t>
            </w:r>
            <w:r w:rsidR="00DD0DC9" w:rsidRPr="00DD0DC9" w:rsidDel="0052743D">
              <w:rPr>
                <w:rFonts w:ascii="Times New Roman" w:eastAsia="Times New Roman" w:hAnsi="Times New Roman" w:cs="Times New Roman"/>
                <w:noProof/>
                <w:kern w:val="3"/>
                <w:sz w:val="20"/>
                <w:szCs w:val="20"/>
                <w:lang w:val="en-IE" w:eastAsia="en-IE"/>
              </w:rPr>
              <w:t>% (2023)</w:t>
            </w:r>
          </w:p>
        </w:tc>
      </w:tr>
      <w:tr w:rsidR="00DD0DC9" w:rsidRPr="00DD0DC9" w:rsidDel="0052743D" w14:paraId="55870320"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C5E0B3"/>
          </w:tcPr>
          <w:p w14:paraId="378BB78B" w14:textId="631F65A4"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 xml:space="preserve">KPI 9: </w:t>
            </w:r>
            <w:r w:rsidRPr="00DD0DC9" w:rsidDel="0052743D">
              <w:rPr>
                <w:rFonts w:ascii="Times New Roman" w:eastAsia="Times New Roman" w:hAnsi="Times New Roman" w:cs="Times New Roman"/>
                <w:noProof/>
                <w:kern w:val="3"/>
                <w:sz w:val="20"/>
                <w:szCs w:val="20"/>
                <w:lang w:val="en-IE" w:eastAsia="fr-FR"/>
              </w:rPr>
              <w:t>Product compliance</w:t>
            </w:r>
            <w:r w:rsidR="00917E11">
              <w:rPr>
                <w:rFonts w:ascii="Times New Roman" w:eastAsia="Times New Roman" w:hAnsi="Times New Roman" w:cs="Times New Roman"/>
                <w:noProof/>
                <w:kern w:val="3"/>
                <w:sz w:val="20"/>
                <w:szCs w:val="20"/>
                <w:lang w:val="en-IE" w:eastAsia="fr-FR"/>
              </w:rPr>
              <w:t xml:space="preserve"> monitoring</w:t>
            </w:r>
          </w:p>
        </w:tc>
        <w:tc>
          <w:tcPr>
            <w:tcW w:w="4131" w:type="dxa"/>
            <w:tcBorders>
              <w:top w:val="single" w:sz="4" w:space="0" w:color="auto"/>
              <w:left w:val="single" w:sz="4" w:space="0" w:color="auto"/>
              <w:bottom w:val="single" w:sz="4" w:space="0" w:color="auto"/>
              <w:right w:val="single" w:sz="4" w:space="0" w:color="auto"/>
            </w:tcBorders>
            <w:shd w:val="clear" w:color="auto" w:fill="C5E0B3"/>
          </w:tcPr>
          <w:p w14:paraId="060D14F5"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rPr>
            </w:pPr>
            <w:r w:rsidRPr="00121263" w:rsidDel="0052743D">
              <w:rPr>
                <w:rFonts w:ascii="Times New Roman" w:eastAsia="Calibri" w:hAnsi="Times New Roman" w:cs="Times New Roman"/>
                <w:noProof/>
                <w:kern w:val="3"/>
                <w:sz w:val="20"/>
                <w:lang w:val="en-IE"/>
              </w:rPr>
              <w:t xml:space="preserve">Median number of product investigations per million </w:t>
            </w:r>
            <w:r w:rsidRPr="00121263" w:rsidDel="0052743D">
              <w:rPr>
                <w:rFonts w:ascii="Times New Roman" w:eastAsia="Times New Roman" w:hAnsi="Times New Roman" w:cs="Times New Roman"/>
                <w:noProof/>
                <w:kern w:val="3"/>
                <w:sz w:val="20"/>
                <w:szCs w:val="20"/>
                <w:lang w:val="en-IE" w:eastAsia="en-IE"/>
              </w:rPr>
              <w:t>inhabitants in EU Member States</w:t>
            </w:r>
            <w:r w:rsidRPr="00A16BDF">
              <w:rPr>
                <w:rStyle w:val="FootnoteReference"/>
                <w:rFonts w:ascii="Times New Roman" w:eastAsia="Times New Roman" w:hAnsi="Times New Roman" w:cs="Times New Roman"/>
                <w:noProof/>
                <w:kern w:val="3"/>
                <w:sz w:val="20"/>
                <w:szCs w:val="20"/>
                <w:lang w:val="en-IE" w:eastAsia="en-IE"/>
              </w:rPr>
              <w:footnoteReference w:id="6"/>
            </w:r>
            <w:r w:rsidRPr="00121263" w:rsidDel="0052743D">
              <w:rPr>
                <w:rFonts w:ascii="Times New Roman" w:eastAsia="Calibri" w:hAnsi="Times New Roman" w:cs="Times New Roman"/>
                <w:noProof/>
                <w:kern w:val="3"/>
                <w:sz w:val="20"/>
                <w:lang w:val="en-IE"/>
              </w:rPr>
              <w:t>.</w:t>
            </w:r>
          </w:p>
        </w:tc>
        <w:tc>
          <w:tcPr>
            <w:tcW w:w="2673" w:type="dxa"/>
            <w:tcBorders>
              <w:top w:val="single" w:sz="4" w:space="0" w:color="auto"/>
              <w:left w:val="single" w:sz="4" w:space="0" w:color="auto"/>
              <w:bottom w:val="single" w:sz="4" w:space="0" w:color="auto"/>
              <w:right w:val="single" w:sz="4" w:space="0" w:color="auto"/>
            </w:tcBorders>
            <w:shd w:val="clear" w:color="auto" w:fill="C5E0B3"/>
          </w:tcPr>
          <w:p w14:paraId="3EE9BD17"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rPr>
            </w:pPr>
            <w:r w:rsidRPr="00DD0DC9" w:rsidDel="0052743D">
              <w:rPr>
                <w:rFonts w:ascii="Times New Roman" w:eastAsia="Times New Roman" w:hAnsi="Times New Roman" w:cs="Times New Roman"/>
                <w:noProof/>
                <w:kern w:val="3"/>
                <w:sz w:val="20"/>
                <w:szCs w:val="20"/>
                <w:lang w:val="en-IE"/>
              </w:rPr>
              <w:t>102 (2024)</w:t>
            </w:r>
          </w:p>
          <w:p w14:paraId="2807FD24"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rPr>
              <w:t>82 (2023) </w:t>
            </w:r>
          </w:p>
        </w:tc>
      </w:tr>
      <w:tr w:rsidR="00DD0DC9" w:rsidRPr="00DD0DC9" w:rsidDel="0052743D" w14:paraId="3D642A80"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378FD38B"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 xml:space="preserve">KPI 10: </w:t>
            </w:r>
            <w:r w:rsidRPr="00DD0DC9" w:rsidDel="0052743D">
              <w:rPr>
                <w:rFonts w:ascii="Times New Roman" w:eastAsia="Times New Roman" w:hAnsi="Times New Roman" w:cs="Times New Roman"/>
                <w:noProof/>
                <w:kern w:val="3"/>
                <w:sz w:val="20"/>
                <w:szCs w:val="20"/>
                <w:lang w:val="en-IE"/>
              </w:rPr>
              <w:t xml:space="preserve">Services trade restrictiveness </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23B34B12" w14:textId="2E9A0AF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rPr>
            </w:pPr>
            <w:r w:rsidRPr="00121263" w:rsidDel="0052743D">
              <w:rPr>
                <w:rFonts w:ascii="Times New Roman" w:eastAsia="Times New Roman" w:hAnsi="Times New Roman" w:cs="Times New Roman"/>
                <w:noProof/>
                <w:kern w:val="3"/>
                <w:sz w:val="20"/>
                <w:szCs w:val="20"/>
                <w:lang w:val="en-IE"/>
              </w:rPr>
              <w:t>Restrictiveness of regulation in selected service sectors</w:t>
            </w:r>
            <w:r w:rsidRPr="00A16BDF">
              <w:rPr>
                <w:rStyle w:val="FootnoteReference"/>
                <w:rFonts w:ascii="Times New Roman" w:eastAsia="Times New Roman" w:hAnsi="Times New Roman" w:cs="Times New Roman"/>
                <w:noProof/>
                <w:kern w:val="3"/>
                <w:sz w:val="20"/>
                <w:szCs w:val="20"/>
                <w:lang w:val="en-IE"/>
              </w:rPr>
              <w:footnoteReference w:id="7"/>
            </w:r>
            <w:r w:rsidRPr="00121263" w:rsidDel="0052743D">
              <w:rPr>
                <w:rFonts w:ascii="Times New Roman" w:eastAsia="Calibri" w:hAnsi="Times New Roman" w:cs="Times New Roman"/>
                <w:noProof/>
                <w:kern w:val="3"/>
                <w:sz w:val="20"/>
                <w:lang w:val="en-IE"/>
              </w:rPr>
              <w:t xml:space="preserve">. </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3053C7A2"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rPr>
            </w:pPr>
            <w:r w:rsidRPr="00DD0DC9" w:rsidDel="0052743D">
              <w:rPr>
                <w:rFonts w:ascii="Times New Roman" w:eastAsia="Times New Roman" w:hAnsi="Times New Roman" w:cs="Times New Roman"/>
                <w:noProof/>
                <w:kern w:val="3"/>
                <w:sz w:val="20"/>
                <w:szCs w:val="20"/>
                <w:lang w:val="en-IE"/>
              </w:rPr>
              <w:t>4.2% (2024)</w:t>
            </w:r>
          </w:p>
          <w:p w14:paraId="191E6061"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4.2% (2023)</w:t>
            </w:r>
          </w:p>
        </w:tc>
      </w:tr>
      <w:tr w:rsidR="00DD0DC9" w:rsidRPr="00DD0DC9" w:rsidDel="0052743D" w14:paraId="6324F981"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7EBA28A" w14:textId="5F256435"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kern w:val="3"/>
                <w:sz w:val="20"/>
                <w:szCs w:val="20"/>
                <w:lang w:val="en-IE" w:eastAsia="en-IE"/>
              </w:rPr>
              <w:t>KPI 1</w:t>
            </w:r>
            <w:r>
              <w:rPr>
                <w:rFonts w:ascii="Times New Roman" w:eastAsia="Times New Roman" w:hAnsi="Times New Roman" w:cs="Times New Roman"/>
                <w:noProof/>
                <w:kern w:val="3"/>
                <w:sz w:val="20"/>
                <w:szCs w:val="20"/>
                <w:lang w:val="en-IE" w:eastAsia="en-IE"/>
              </w:rPr>
              <w:t>1</w:t>
            </w:r>
            <w:r w:rsidRPr="00DD0DC9" w:rsidDel="0052743D">
              <w:rPr>
                <w:rFonts w:ascii="Times New Roman" w:eastAsia="Times New Roman" w:hAnsi="Times New Roman" w:cs="Times New Roman"/>
                <w:noProof/>
                <w:kern w:val="3"/>
                <w:sz w:val="20"/>
                <w:szCs w:val="20"/>
                <w:lang w:val="en-IE" w:eastAsia="en-IE"/>
              </w:rPr>
              <w:t xml:space="preserve">: </w:t>
            </w:r>
            <w:r w:rsidRPr="00DD0DC9" w:rsidDel="0052743D">
              <w:rPr>
                <w:rFonts w:ascii="Times New Roman" w:eastAsia="Calibri" w:hAnsi="Times New Roman" w:cs="Times New Roman"/>
                <w:noProof/>
                <w:kern w:val="3"/>
                <w:sz w:val="20"/>
                <w:lang w:val="en-IE"/>
              </w:rPr>
              <w:t>Digitalisation of Single Market procedures</w:t>
            </w:r>
          </w:p>
        </w:tc>
        <w:tc>
          <w:tcPr>
            <w:tcW w:w="4131" w:type="dxa"/>
            <w:tcBorders>
              <w:top w:val="single" w:sz="4" w:space="0" w:color="auto"/>
              <w:left w:val="single" w:sz="4" w:space="0" w:color="auto"/>
              <w:bottom w:val="single" w:sz="4" w:space="0" w:color="auto"/>
              <w:right w:val="single" w:sz="4" w:space="0" w:color="auto"/>
            </w:tcBorders>
            <w:shd w:val="clear" w:color="auto" w:fill="FFFFFF" w:themeFill="background1"/>
          </w:tcPr>
          <w:p w14:paraId="65C74B44"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lang w:val="en-IE"/>
              </w:rPr>
            </w:pPr>
            <w:r w:rsidRPr="00121263" w:rsidDel="0052743D">
              <w:rPr>
                <w:rFonts w:ascii="Times New Roman" w:eastAsia="Times New Roman" w:hAnsi="Times New Roman" w:cs="Times New Roman"/>
                <w:noProof/>
                <w:kern w:val="3"/>
                <w:sz w:val="20"/>
                <w:szCs w:val="20"/>
                <w:lang w:val="en-IE"/>
              </w:rPr>
              <w:t>Share of Single Market relevant administrative procedures fully online for cross-border users.</w:t>
            </w:r>
          </w:p>
        </w:tc>
        <w:tc>
          <w:tcPr>
            <w:tcW w:w="2673" w:type="dxa"/>
            <w:tcBorders>
              <w:top w:val="single" w:sz="4" w:space="0" w:color="auto"/>
              <w:left w:val="single" w:sz="4" w:space="0" w:color="auto"/>
              <w:bottom w:val="single" w:sz="4" w:space="0" w:color="auto"/>
              <w:right w:val="single" w:sz="4" w:space="0" w:color="auto"/>
            </w:tcBorders>
            <w:shd w:val="clear" w:color="auto" w:fill="FFFFFF" w:themeFill="background1"/>
          </w:tcPr>
          <w:p w14:paraId="299F6651" w14:textId="77777777" w:rsidR="00DD0DC9" w:rsidRPr="00DD0DC9" w:rsidDel="0052743D" w:rsidRDefault="00DD0DC9">
            <w:pPr>
              <w:widowControl w:val="0"/>
              <w:suppressLineNumbers/>
              <w:suppressAutoHyphens/>
              <w:autoSpaceDN w:val="0"/>
              <w:spacing w:after="120" w:line="240" w:lineRule="auto"/>
              <w:contextualSpacing/>
              <w:mirrorIndents/>
              <w:rPr>
                <w:rFonts w:ascii="Times New Roman" w:eastAsia="Times New Roman" w:hAnsi="Times New Roman" w:cs="Times New Roman"/>
                <w:noProof/>
                <w:kern w:val="3"/>
                <w:sz w:val="20"/>
                <w:szCs w:val="20"/>
                <w:lang w:val="en-IE"/>
              </w:rPr>
            </w:pPr>
            <w:r w:rsidRPr="00DD0DC9" w:rsidDel="0052743D">
              <w:rPr>
                <w:rFonts w:ascii="Times New Roman" w:eastAsia="Times New Roman" w:hAnsi="Times New Roman" w:cs="Times New Roman"/>
                <w:noProof/>
                <w:kern w:val="3"/>
                <w:sz w:val="20"/>
                <w:szCs w:val="20"/>
                <w:lang w:val="en-IE"/>
              </w:rPr>
              <w:t>20.6% (2024)</w:t>
            </w:r>
          </w:p>
        </w:tc>
      </w:tr>
    </w:tbl>
    <w:p w14:paraId="1C84C007" w14:textId="77777777" w:rsidR="00DD0DC9" w:rsidRPr="00DD0DC9" w:rsidDel="00031561" w:rsidRDefault="00DD0DC9" w:rsidP="00DD0DC9">
      <w:pPr>
        <w:pStyle w:val="Text1"/>
        <w:widowControl w:val="0"/>
        <w:spacing w:before="120" w:after="0"/>
        <w:ind w:left="0"/>
        <w:rPr>
          <w:i/>
          <w:noProof/>
          <w:sz w:val="2"/>
          <w:szCs w:val="2"/>
          <w:lang w:val="en-I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84"/>
        <w:gridCol w:w="1701"/>
        <w:gridCol w:w="1843"/>
        <w:gridCol w:w="1979"/>
      </w:tblGrid>
      <w:tr w:rsidR="00DD0DC9" w:rsidRPr="00DD0DC9" w:rsidDel="0052743D" w14:paraId="7654E85B" w14:textId="77777777">
        <w:tc>
          <w:tcPr>
            <w:tcW w:w="1555" w:type="dxa"/>
            <w:shd w:val="clear" w:color="auto" w:fill="B8CCE4"/>
          </w:tcPr>
          <w:p w14:paraId="2BC7912E" w14:textId="77777777" w:rsidR="00DD0DC9" w:rsidRPr="00DD0DC9" w:rsidDel="0052743D" w:rsidRDefault="00DD0DC9" w:rsidP="00361D6F">
            <w:pPr>
              <w:jc w:val="center"/>
              <w:textAlignment w:val="baseline"/>
              <w:rPr>
                <w:rFonts w:ascii="Times New Roman" w:eastAsia="Times New Roman" w:hAnsi="Times New Roman" w:cs="Times New Roman"/>
                <w:b/>
                <w:bCs/>
                <w:noProof/>
                <w:sz w:val="20"/>
                <w:szCs w:val="20"/>
                <w:lang w:val="en-IE" w:eastAsia="en-IE"/>
              </w:rPr>
            </w:pPr>
            <w:r w:rsidRPr="00DD0DC9" w:rsidDel="0052743D">
              <w:rPr>
                <w:rFonts w:ascii="Times New Roman" w:eastAsia="Times New Roman" w:hAnsi="Times New Roman" w:cs="Times New Roman"/>
                <w:b/>
                <w:bCs/>
                <w:noProof/>
                <w:sz w:val="20"/>
                <w:szCs w:val="20"/>
                <w:lang w:val="en-IE" w:eastAsia="en-IE"/>
              </w:rPr>
              <w:t>Legend for KPI tables:</w:t>
            </w:r>
          </w:p>
        </w:tc>
        <w:tc>
          <w:tcPr>
            <w:tcW w:w="1984" w:type="dxa"/>
            <w:shd w:val="clear" w:color="auto" w:fill="C5E0B3"/>
          </w:tcPr>
          <w:p w14:paraId="221953E0" w14:textId="77777777" w:rsidR="00DD0DC9" w:rsidRPr="00DD0DC9" w:rsidRDefault="00DD0DC9" w:rsidP="00361D6F">
            <w:pPr>
              <w:jc w:val="center"/>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eastAsia="en-IE"/>
              </w:rPr>
              <w:t xml:space="preserve">Improvement </w:t>
            </w:r>
          </w:p>
          <w:p w14:paraId="40B37AC3" w14:textId="77777777" w:rsidR="00DD0DC9" w:rsidRPr="00DD0DC9" w:rsidDel="0052743D" w:rsidRDefault="00DD0DC9" w:rsidP="00361D6F">
            <w:pPr>
              <w:jc w:val="center"/>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eastAsia="en-IE"/>
              </w:rPr>
              <w:t>year-on-year</w:t>
            </w:r>
          </w:p>
        </w:tc>
        <w:tc>
          <w:tcPr>
            <w:tcW w:w="1701" w:type="dxa"/>
            <w:shd w:val="clear" w:color="auto" w:fill="F6FA84"/>
          </w:tcPr>
          <w:p w14:paraId="40796222" w14:textId="66A36C76" w:rsidR="00DD0DC9" w:rsidRPr="00DD0DC9" w:rsidDel="0052743D" w:rsidRDefault="00DD0DC9" w:rsidP="00361D6F">
            <w:pPr>
              <w:jc w:val="center"/>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eastAsia="en-IE"/>
              </w:rPr>
              <w:t>Stab</w:t>
            </w:r>
            <w:r w:rsidR="002843C2">
              <w:rPr>
                <w:rFonts w:ascii="Times New Roman" w:eastAsia="Times New Roman" w:hAnsi="Times New Roman" w:cs="Times New Roman"/>
                <w:noProof/>
                <w:sz w:val="20"/>
                <w:szCs w:val="20"/>
                <w:lang w:val="en-IE" w:eastAsia="en-IE"/>
              </w:rPr>
              <w:t>le</w:t>
            </w:r>
          </w:p>
        </w:tc>
        <w:tc>
          <w:tcPr>
            <w:tcW w:w="1843" w:type="dxa"/>
            <w:shd w:val="clear" w:color="auto" w:fill="F4B083"/>
          </w:tcPr>
          <w:p w14:paraId="0BB67D49" w14:textId="77777777" w:rsidR="00DD0DC9" w:rsidRPr="00DD0DC9" w:rsidRDefault="00DD0DC9" w:rsidP="00361D6F">
            <w:pPr>
              <w:jc w:val="center"/>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eastAsia="en-IE"/>
              </w:rPr>
              <w:t xml:space="preserve">Worsening </w:t>
            </w:r>
          </w:p>
          <w:p w14:paraId="72F0FF35" w14:textId="77777777" w:rsidR="00DD0DC9" w:rsidRPr="00DD0DC9" w:rsidDel="0052743D" w:rsidRDefault="00DD0DC9" w:rsidP="00361D6F">
            <w:pPr>
              <w:jc w:val="center"/>
              <w:textAlignment w:val="baseline"/>
              <w:rPr>
                <w:rFonts w:ascii="Times New Roman" w:eastAsia="Times New Roman" w:hAnsi="Times New Roman" w:cs="Times New Roman"/>
                <w:noProof/>
                <w:sz w:val="20"/>
                <w:szCs w:val="20"/>
                <w:lang w:val="en-IE" w:eastAsia="en-IE"/>
              </w:rPr>
            </w:pPr>
            <w:r w:rsidRPr="00DD0DC9" w:rsidDel="0052743D">
              <w:rPr>
                <w:rFonts w:ascii="Times New Roman" w:eastAsia="Times New Roman" w:hAnsi="Times New Roman" w:cs="Times New Roman"/>
                <w:noProof/>
                <w:sz w:val="20"/>
                <w:szCs w:val="20"/>
                <w:lang w:val="en-IE" w:eastAsia="en-IE"/>
              </w:rPr>
              <w:t>year-on</w:t>
            </w:r>
            <w:r w:rsidRPr="00DD0DC9">
              <w:rPr>
                <w:rFonts w:ascii="Times New Roman" w:eastAsia="Times New Roman" w:hAnsi="Times New Roman" w:cs="Times New Roman"/>
                <w:noProof/>
                <w:sz w:val="20"/>
                <w:szCs w:val="20"/>
                <w:lang w:val="en-IE" w:eastAsia="en-IE"/>
              </w:rPr>
              <w:t>-</w:t>
            </w:r>
            <w:r w:rsidRPr="00DD0DC9" w:rsidDel="0052743D">
              <w:rPr>
                <w:rFonts w:ascii="Times New Roman" w:eastAsia="Times New Roman" w:hAnsi="Times New Roman" w:cs="Times New Roman"/>
                <w:noProof/>
                <w:sz w:val="20"/>
                <w:szCs w:val="20"/>
                <w:lang w:val="en-IE" w:eastAsia="en-IE"/>
              </w:rPr>
              <w:t>year</w:t>
            </w:r>
          </w:p>
        </w:tc>
        <w:tc>
          <w:tcPr>
            <w:tcW w:w="1979" w:type="dxa"/>
            <w:shd w:val="clear" w:color="auto" w:fill="FFFFFF" w:themeFill="background1"/>
          </w:tcPr>
          <w:p w14:paraId="227B7C1B" w14:textId="77777777" w:rsidR="00DD0DC9" w:rsidRPr="00DD0DC9" w:rsidRDefault="00DD0DC9" w:rsidP="00361D6F">
            <w:pPr>
              <w:jc w:val="center"/>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sz w:val="20"/>
                <w:szCs w:val="20"/>
                <w:lang w:val="en-IE" w:eastAsia="en-IE"/>
              </w:rPr>
              <w:t>Single observation</w:t>
            </w:r>
          </w:p>
        </w:tc>
      </w:tr>
    </w:tbl>
    <w:p w14:paraId="3262CF04" w14:textId="7ACF8793" w:rsidR="00DD0DC9" w:rsidRPr="00DD0DC9" w:rsidRDefault="00DD0DC9" w:rsidP="00DD0DC9">
      <w:pPr>
        <w:pStyle w:val="Text1"/>
        <w:widowControl w:val="0"/>
        <w:spacing w:before="120" w:after="160"/>
        <w:ind w:left="0"/>
        <w:rPr>
          <w:b/>
          <w:noProof/>
          <w:color w:val="000000"/>
          <w:lang w:val="en-IE"/>
        </w:rPr>
      </w:pPr>
      <w:r w:rsidRPr="00DD0DC9">
        <w:rPr>
          <w:b/>
          <w:bCs/>
          <w:noProof/>
          <w:color w:val="000000" w:themeColor="text1"/>
          <w:lang w:val="en-IE"/>
        </w:rPr>
        <w:t xml:space="preserve">Removing the most harmful Single Market barriers is key to unlocking further growth across the EU. </w:t>
      </w:r>
      <w:r w:rsidR="00D22B16">
        <w:rPr>
          <w:noProof/>
          <w:color w:val="000000" w:themeColor="text1"/>
          <w:lang w:val="en-IE"/>
        </w:rPr>
        <w:t>Although</w:t>
      </w:r>
      <w:r w:rsidRPr="00DD0DC9">
        <w:rPr>
          <w:noProof/>
          <w:color w:val="000000" w:themeColor="text1"/>
          <w:lang w:val="en-IE"/>
        </w:rPr>
        <w:t xml:space="preserve"> there is considerable variation between studies</w:t>
      </w:r>
      <w:r w:rsidRPr="00DD0DC9">
        <w:rPr>
          <w:rStyle w:val="FootnoteReference"/>
          <w:noProof/>
          <w:color w:val="000000" w:themeColor="text1"/>
          <w:lang w:val="en-IE"/>
        </w:rPr>
        <w:footnoteReference w:id="8"/>
      </w:r>
      <w:r w:rsidRPr="00DD0DC9">
        <w:rPr>
          <w:noProof/>
          <w:color w:val="000000" w:themeColor="text1"/>
          <w:lang w:val="en-IE"/>
        </w:rPr>
        <w:t xml:space="preserve"> estimating the size of Single Market barriers, the evidence consistently shows that they remain highly detrimental</w:t>
      </w:r>
      <w:r w:rsidR="001B0DAD">
        <w:rPr>
          <w:noProof/>
          <w:color w:val="000000" w:themeColor="text1"/>
          <w:lang w:val="en-IE"/>
        </w:rPr>
        <w:t xml:space="preserve"> to </w:t>
      </w:r>
      <w:r w:rsidR="009E76B3">
        <w:rPr>
          <w:noProof/>
          <w:color w:val="000000" w:themeColor="text1"/>
          <w:lang w:val="en-IE"/>
        </w:rPr>
        <w:t>economic outcomes</w:t>
      </w:r>
      <w:r w:rsidRPr="00DD0DC9">
        <w:rPr>
          <w:noProof/>
          <w:color w:val="000000" w:themeColor="text1"/>
          <w:lang w:val="en-IE"/>
        </w:rPr>
        <w:t xml:space="preserve">. Further removal of national barriers impeding cross-border trade in goods could result in </w:t>
      </w:r>
      <w:r w:rsidR="006D178A">
        <w:rPr>
          <w:noProof/>
          <w:color w:val="000000" w:themeColor="text1"/>
          <w:lang w:val="en-IE"/>
        </w:rPr>
        <w:t>welfare gains of approximately</w:t>
      </w:r>
      <w:r w:rsidR="006D178A" w:rsidRPr="00DD0DC9">
        <w:rPr>
          <w:noProof/>
          <w:color w:val="000000" w:themeColor="text1"/>
          <w:lang w:val="en-IE"/>
        </w:rPr>
        <w:t xml:space="preserve"> </w:t>
      </w:r>
      <w:r w:rsidRPr="00DD0DC9">
        <w:rPr>
          <w:noProof/>
          <w:color w:val="000000" w:themeColor="text1"/>
          <w:lang w:val="en-IE"/>
        </w:rPr>
        <w:t>1.3%</w:t>
      </w:r>
      <w:r w:rsidRPr="00DD0DC9" w:rsidDel="0014391B">
        <w:rPr>
          <w:rStyle w:val="FootnoteReference"/>
          <w:noProof/>
          <w:color w:val="000000" w:themeColor="text1"/>
          <w:lang w:val="en-IE"/>
        </w:rPr>
        <w:footnoteReference w:id="9"/>
      </w:r>
      <w:r w:rsidRPr="00DD0DC9">
        <w:rPr>
          <w:noProof/>
          <w:color w:val="000000" w:themeColor="text1"/>
          <w:lang w:val="en-IE"/>
        </w:rPr>
        <w:t>. The Single Market Strategy</w:t>
      </w:r>
      <w:r w:rsidR="00C437D2">
        <w:rPr>
          <w:rStyle w:val="FootnoteReference"/>
          <w:noProof/>
          <w:color w:val="000000" w:themeColor="text1"/>
          <w:lang w:val="en-IE"/>
        </w:rPr>
        <w:footnoteReference w:id="10"/>
      </w:r>
      <w:r w:rsidRPr="00DD0DC9">
        <w:rPr>
          <w:noProof/>
          <w:color w:val="000000" w:themeColor="text1"/>
          <w:lang w:val="en-IE"/>
        </w:rPr>
        <w:t xml:space="preserve"> identified the Terrible Ten as the most pressing barriers</w:t>
      </w:r>
      <w:r w:rsidRPr="00DD0DC9">
        <w:rPr>
          <w:rStyle w:val="FootnoteReference"/>
          <w:noProof/>
          <w:color w:val="000000" w:themeColor="text1"/>
          <w:lang w:val="en-IE"/>
        </w:rPr>
        <w:footnoteReference w:id="11"/>
      </w:r>
      <w:r w:rsidRPr="00DD0DC9">
        <w:rPr>
          <w:noProof/>
          <w:color w:val="000000" w:themeColor="text1"/>
          <w:lang w:val="en-IE"/>
        </w:rPr>
        <w:t>, requiring action at</w:t>
      </w:r>
      <w:r w:rsidRPr="00DD0DC9">
        <w:rPr>
          <w:bCs/>
          <w:noProof/>
          <w:color w:val="000000"/>
          <w:lang w:val="en-IE"/>
        </w:rPr>
        <w:t xml:space="preserve"> both EU and national level (see Box 1). </w:t>
      </w:r>
      <w:r w:rsidRPr="6687ADA9">
        <w:rPr>
          <w:noProof/>
          <w:color w:val="000000" w:themeColor="text1"/>
          <w:lang w:val="en-IE"/>
        </w:rPr>
        <w:t xml:space="preserve">Accordingly, of the </w:t>
      </w:r>
      <w:r>
        <w:rPr>
          <w:noProof/>
          <w:color w:val="000000" w:themeColor="text1"/>
          <w:lang w:val="en-IE"/>
        </w:rPr>
        <w:t xml:space="preserve">11 </w:t>
      </w:r>
      <w:r w:rsidRPr="00DD0DC9">
        <w:rPr>
          <w:bCs/>
          <w:noProof/>
          <w:color w:val="000000"/>
          <w:lang w:val="en-IE"/>
        </w:rPr>
        <w:t xml:space="preserve">KPIs measuring Single Market–related aspects in this Report, </w:t>
      </w:r>
      <w:r>
        <w:rPr>
          <w:bCs/>
          <w:noProof/>
          <w:color w:val="000000"/>
          <w:lang w:val="en-IE"/>
        </w:rPr>
        <w:t xml:space="preserve">eight </w:t>
      </w:r>
      <w:r w:rsidR="00273837" w:rsidRPr="6687ADA9">
        <w:rPr>
          <w:noProof/>
          <w:color w:val="000000" w:themeColor="text1"/>
          <w:lang w:val="en-IE"/>
        </w:rPr>
        <w:t>pertain to</w:t>
      </w:r>
      <w:r w:rsidRPr="00DD0DC9">
        <w:rPr>
          <w:bCs/>
          <w:noProof/>
          <w:color w:val="000000"/>
          <w:lang w:val="en-IE"/>
        </w:rPr>
        <w:t xml:space="preserve"> the Terrible Ten barriers, while </w:t>
      </w:r>
      <w:r>
        <w:rPr>
          <w:bCs/>
          <w:noProof/>
          <w:color w:val="000000"/>
          <w:lang w:val="en-IE"/>
        </w:rPr>
        <w:t xml:space="preserve">burdensome procedures for posting of workers and </w:t>
      </w:r>
      <w:r w:rsidRPr="00DD0DC9">
        <w:rPr>
          <w:bCs/>
          <w:noProof/>
          <w:color w:val="000000"/>
          <w:lang w:val="en-IE"/>
        </w:rPr>
        <w:t xml:space="preserve">territorial supply constraints are not covered. This section therefore discusses progress on </w:t>
      </w:r>
      <w:r w:rsidR="008153CD" w:rsidRPr="6687ADA9">
        <w:rPr>
          <w:noProof/>
          <w:color w:val="000000" w:themeColor="text1"/>
          <w:lang w:val="en-IE"/>
        </w:rPr>
        <w:t xml:space="preserve">the </w:t>
      </w:r>
      <w:r w:rsidRPr="00DD0DC9">
        <w:rPr>
          <w:bCs/>
          <w:noProof/>
          <w:color w:val="000000"/>
          <w:lang w:val="en-IE"/>
        </w:rPr>
        <w:t>Terrible Ten and then addresses digitalisation and SMEs in the Single Market.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D0DC9" w:rsidRPr="009E1879" w14:paraId="274BE340" w14:textId="77777777">
        <w:tc>
          <w:tcPr>
            <w:tcW w:w="9062" w:type="dxa"/>
            <w:tcBorders>
              <w:top w:val="single" w:sz="4" w:space="0" w:color="auto"/>
              <w:left w:val="single" w:sz="4" w:space="0" w:color="auto"/>
              <w:bottom w:val="single" w:sz="4" w:space="0" w:color="auto"/>
              <w:right w:val="single" w:sz="4" w:space="0" w:color="auto"/>
            </w:tcBorders>
            <w:hideMark/>
          </w:tcPr>
          <w:p w14:paraId="13AC8BEC" w14:textId="1105A8FC" w:rsidR="00DD0DC9" w:rsidRPr="00DD0DC9" w:rsidRDefault="00DD0DC9">
            <w:pPr>
              <w:pStyle w:val="Text1"/>
              <w:widowControl w:val="0"/>
              <w:spacing w:after="160"/>
              <w:ind w:left="0"/>
              <w:jc w:val="center"/>
              <w:rPr>
                <w:b/>
                <w:bCs/>
                <w:smallCaps/>
                <w:noProof/>
                <w:color w:val="000000" w:themeColor="text1"/>
                <w:lang w:val="en-IE" w:eastAsia="en-US"/>
              </w:rPr>
            </w:pPr>
            <w:r w:rsidRPr="00DD0DC9">
              <w:rPr>
                <w:b/>
                <w:bCs/>
                <w:smallCaps/>
                <w:noProof/>
                <w:color w:val="000000" w:themeColor="text1"/>
                <w:lang w:val="en-IE" w:eastAsia="en-US"/>
              </w:rPr>
              <w:t xml:space="preserve">Box 1: </w:t>
            </w:r>
            <w:r w:rsidR="002160B6">
              <w:rPr>
                <w:b/>
                <w:bCs/>
                <w:smallCaps/>
                <w:noProof/>
                <w:color w:val="000000" w:themeColor="text1"/>
                <w:lang w:val="en-IE" w:eastAsia="en-US"/>
              </w:rPr>
              <w:t>The Road To Remove</w:t>
            </w:r>
            <w:r w:rsidR="002160B6" w:rsidRPr="00DD0DC9">
              <w:rPr>
                <w:b/>
                <w:bCs/>
                <w:smallCaps/>
                <w:noProof/>
                <w:color w:val="000000" w:themeColor="text1"/>
                <w:lang w:val="en-IE" w:eastAsia="en-US"/>
              </w:rPr>
              <w:t xml:space="preserve"> </w:t>
            </w:r>
            <w:r w:rsidRPr="00DD0DC9">
              <w:rPr>
                <w:b/>
                <w:bCs/>
                <w:smallCaps/>
                <w:noProof/>
                <w:color w:val="000000" w:themeColor="text1"/>
                <w:lang w:val="en-IE" w:eastAsia="en-US"/>
              </w:rPr>
              <w:t>the Terrible Ten Barriers at the national level</w:t>
            </w:r>
          </w:p>
          <w:p w14:paraId="5D808A70" w14:textId="213077C2" w:rsidR="00DD0DC9" w:rsidRPr="00DD0DC9" w:rsidRDefault="00DD0DC9">
            <w:pPr>
              <w:pStyle w:val="ListParagraph"/>
              <w:widowControl w:val="0"/>
              <w:ind w:left="0"/>
              <w:jc w:val="both"/>
              <w:rPr>
                <w:rFonts w:ascii="Times New Roman" w:hAnsi="Times New Roman" w:cs="Times New Roman"/>
                <w:noProof/>
                <w:color w:val="000000"/>
                <w:sz w:val="24"/>
                <w:szCs w:val="24"/>
                <w:lang w:val="en-IE"/>
              </w:rPr>
            </w:pPr>
            <w:r w:rsidRPr="00DD0DC9">
              <w:rPr>
                <w:rFonts w:ascii="Times New Roman" w:hAnsi="Times New Roman" w:cs="Times New Roman"/>
                <w:noProof/>
                <w:color w:val="000000"/>
                <w:sz w:val="24"/>
                <w:szCs w:val="24"/>
                <w:lang w:val="en-IE"/>
              </w:rPr>
              <w:t xml:space="preserve">The Single Market Strategy has identified the most harmful barriers affecting the Single Market, the so-called Terrible Ten. The Commission has conducted an analysis to break down the Terrible Ten into a more detailed list of priority problems and has started to discuss with Member States how these problems materialise at the national level. The aim of this exercise is to reach a mutually agreed state of play regarding how Member States perform on each of these issues. </w:t>
            </w:r>
            <w:r w:rsidR="00CB7753">
              <w:rPr>
                <w:rFonts w:ascii="Times New Roman" w:hAnsi="Times New Roman" w:cs="Times New Roman"/>
                <w:noProof/>
                <w:color w:val="000000" w:themeColor="text1"/>
                <w:sz w:val="24"/>
                <w:szCs w:val="24"/>
                <w:lang w:val="en-IE"/>
              </w:rPr>
              <w:t xml:space="preserve">The overview will provide a basis for action to remove the identified barriers at the national level. </w:t>
            </w:r>
            <w:r w:rsidRPr="00DD0DC9">
              <w:rPr>
                <w:rFonts w:ascii="Times New Roman" w:hAnsi="Times New Roman" w:cs="Times New Roman"/>
                <w:noProof/>
                <w:color w:val="000000"/>
                <w:sz w:val="24"/>
                <w:szCs w:val="24"/>
                <w:lang w:val="en-IE"/>
              </w:rPr>
              <w:t xml:space="preserve">The process of working on barriers has been endorsed by the Competitiveness Council and </w:t>
            </w:r>
            <w:r w:rsidR="00D33154">
              <w:rPr>
                <w:rFonts w:ascii="Times New Roman" w:hAnsi="Times New Roman" w:cs="Times New Roman"/>
                <w:noProof/>
                <w:color w:val="000000"/>
                <w:sz w:val="24"/>
                <w:szCs w:val="24"/>
                <w:lang w:val="en-IE"/>
              </w:rPr>
              <w:t>its</w:t>
            </w:r>
            <w:r w:rsidR="00D33154" w:rsidRPr="00DD0DC9">
              <w:rPr>
                <w:rFonts w:ascii="Times New Roman" w:hAnsi="Times New Roman" w:cs="Times New Roman"/>
                <w:noProof/>
                <w:color w:val="000000"/>
                <w:sz w:val="24"/>
                <w:szCs w:val="24"/>
                <w:lang w:val="en-IE"/>
              </w:rPr>
              <w:t xml:space="preserve"> </w:t>
            </w:r>
            <w:r w:rsidRPr="00DD0DC9">
              <w:rPr>
                <w:rFonts w:ascii="Times New Roman" w:hAnsi="Times New Roman" w:cs="Times New Roman"/>
                <w:noProof/>
                <w:color w:val="000000"/>
                <w:sz w:val="24"/>
                <w:szCs w:val="24"/>
                <w:lang w:val="en-IE"/>
              </w:rPr>
              <w:t>concrete implementation will be launched in 2026.</w:t>
            </w:r>
          </w:p>
        </w:tc>
      </w:tr>
    </w:tbl>
    <w:p w14:paraId="2559CBB1" w14:textId="769E8479" w:rsidR="00DD0DC9" w:rsidRPr="00DD0DC9" w:rsidRDefault="00DD0DC9" w:rsidP="00DD0DC9">
      <w:pPr>
        <w:pStyle w:val="Text1"/>
        <w:widowControl w:val="0"/>
        <w:spacing w:before="200" w:after="160"/>
        <w:ind w:left="0"/>
        <w:rPr>
          <w:noProof/>
          <w:color w:val="000000" w:themeColor="text1"/>
          <w:lang w:val="en-IE"/>
        </w:rPr>
      </w:pPr>
      <w:r w:rsidRPr="00DD0DC9">
        <w:rPr>
          <w:b/>
          <w:noProof/>
          <w:color w:val="000000" w:themeColor="text1"/>
          <w:lang w:val="en-IE"/>
        </w:rPr>
        <w:t>Fragmented national rules continue to make it complex and costly to establish and operate companies across the EU, with no progress to date.</w:t>
      </w:r>
      <w:r w:rsidRPr="00DD0DC9">
        <w:rPr>
          <w:noProof/>
          <w:color w:val="000000" w:themeColor="text1"/>
          <w:lang w:val="en-IE"/>
        </w:rPr>
        <w:t xml:space="preserve"> </w:t>
      </w:r>
      <w:r w:rsidRPr="001E769A">
        <w:rPr>
          <w:noProof/>
          <w:color w:val="000000" w:themeColor="text1"/>
          <w:lang w:val="en-IE"/>
        </w:rPr>
        <w:t xml:space="preserve">The </w:t>
      </w:r>
      <w:r w:rsidR="00BA64B0" w:rsidRPr="001E769A">
        <w:rPr>
          <w:noProof/>
          <w:color w:val="000000" w:themeColor="text1"/>
          <w:lang w:val="en-IE"/>
        </w:rPr>
        <w:t xml:space="preserve">perception </w:t>
      </w:r>
      <w:r w:rsidR="00882C49" w:rsidRPr="001E769A">
        <w:rPr>
          <w:noProof/>
          <w:color w:val="000000" w:themeColor="text1"/>
          <w:lang w:val="en-IE"/>
        </w:rPr>
        <w:t>of</w:t>
      </w:r>
      <w:r w:rsidRPr="001E769A">
        <w:rPr>
          <w:noProof/>
          <w:color w:val="000000" w:themeColor="text1"/>
          <w:lang w:val="en-IE"/>
        </w:rPr>
        <w:t xml:space="preserve"> ease of regulatory compliance has been broadly stable in the EU over past years (KPI 5), showing</w:t>
      </w:r>
      <w:r w:rsidRPr="00DD0DC9">
        <w:rPr>
          <w:noProof/>
          <w:color w:val="000000" w:themeColor="text1"/>
          <w:lang w:val="en-IE"/>
        </w:rPr>
        <w:t xml:space="preserve"> also that establishing a permanent presence in another Member States remains cumbersome, in particular as companies need to assess and comply with the national company law in each Member State.</w:t>
      </w:r>
      <w:r w:rsidR="00CF69C8">
        <w:rPr>
          <w:noProof/>
          <w:color w:val="000000" w:themeColor="text1"/>
          <w:lang w:val="en-IE"/>
        </w:rPr>
        <w:t xml:space="preserve"> </w:t>
      </w:r>
    </w:p>
    <w:p w14:paraId="234A0F49" w14:textId="231A2579" w:rsidR="00E51A5B" w:rsidRDefault="00DD0DC9" w:rsidP="00876BB2">
      <w:pPr>
        <w:pStyle w:val="Text1"/>
        <w:spacing w:after="160"/>
        <w:ind w:left="0"/>
        <w:rPr>
          <w:noProof/>
          <w:lang w:val="en-IE"/>
        </w:rPr>
      </w:pPr>
      <w:r w:rsidRPr="00DD0DC9">
        <w:rPr>
          <w:b/>
          <w:noProof/>
          <w:lang w:val="en-IE"/>
        </w:rPr>
        <w:t>Performance of EU market surveillance is still insufficient</w:t>
      </w:r>
      <w:r w:rsidR="00AE38BF">
        <w:rPr>
          <w:b/>
          <w:noProof/>
          <w:lang w:val="en-IE"/>
        </w:rPr>
        <w:t xml:space="preserve">. </w:t>
      </w:r>
      <w:r w:rsidR="00AE38BF" w:rsidRPr="001760E2">
        <w:rPr>
          <w:noProof/>
          <w:lang w:val="en-IE"/>
        </w:rPr>
        <w:t xml:space="preserve">This is illustrated by the fact </w:t>
      </w:r>
      <w:r w:rsidR="005B4F13" w:rsidRPr="001760E2">
        <w:rPr>
          <w:noProof/>
          <w:lang w:val="en-IE"/>
        </w:rPr>
        <w:t>that while</w:t>
      </w:r>
      <w:r w:rsidRPr="001760E2">
        <w:rPr>
          <w:noProof/>
          <w:lang w:val="en-IE"/>
        </w:rPr>
        <w:t xml:space="preserve"> the number of investigations is slowly increasing</w:t>
      </w:r>
      <w:r w:rsidR="00AE38BF" w:rsidRPr="001760E2">
        <w:rPr>
          <w:noProof/>
          <w:lang w:val="en-IE"/>
        </w:rPr>
        <w:t>,</w:t>
      </w:r>
      <w:r w:rsidR="00AE38BF">
        <w:rPr>
          <w:b/>
          <w:noProof/>
          <w:lang w:val="en-IE"/>
        </w:rPr>
        <w:t xml:space="preserve"> </w:t>
      </w:r>
      <w:r w:rsidR="00AE38BF">
        <w:rPr>
          <w:bCs/>
          <w:noProof/>
          <w:lang w:val="en-IE"/>
        </w:rPr>
        <w:t>n</w:t>
      </w:r>
      <w:r w:rsidRPr="00DD0DC9">
        <w:rPr>
          <w:bCs/>
          <w:noProof/>
          <w:lang w:val="en-IE"/>
        </w:rPr>
        <w:t>ational authorities notify that only 102 parcels are checked per one million inhabitants (KPI 9).</w:t>
      </w:r>
      <w:r w:rsidRPr="00DD0DC9">
        <w:rPr>
          <w:b/>
          <w:noProof/>
          <w:lang w:val="en-IE"/>
        </w:rPr>
        <w:t xml:space="preserve"> </w:t>
      </w:r>
      <w:r>
        <w:rPr>
          <w:bCs/>
          <w:noProof/>
          <w:lang w:val="en-IE"/>
        </w:rPr>
        <w:t>In parallel,</w:t>
      </w:r>
      <w:r>
        <w:rPr>
          <w:b/>
          <w:noProof/>
          <w:lang w:val="en-IE"/>
        </w:rPr>
        <w:t xml:space="preserve"> </w:t>
      </w:r>
      <w:r>
        <w:rPr>
          <w:noProof/>
          <w:lang w:val="en-IE"/>
        </w:rPr>
        <w:t>t</w:t>
      </w:r>
      <w:r w:rsidRPr="00DD0DC9">
        <w:rPr>
          <w:noProof/>
          <w:lang w:val="en-IE"/>
        </w:rPr>
        <w:t xml:space="preserve">he exponential surge of </w:t>
      </w:r>
      <w:r>
        <w:rPr>
          <w:noProof/>
          <w:lang w:val="en-IE"/>
        </w:rPr>
        <w:t xml:space="preserve">e-commerce </w:t>
      </w:r>
      <w:r w:rsidRPr="00DD0DC9">
        <w:rPr>
          <w:noProof/>
          <w:lang w:val="en-IE"/>
        </w:rPr>
        <w:t>imports, reaching 4.</w:t>
      </w:r>
      <w:r w:rsidR="00212461">
        <w:rPr>
          <w:noProof/>
          <w:lang w:val="en-IE"/>
        </w:rPr>
        <w:t>6</w:t>
      </w:r>
      <w:r w:rsidRPr="00DD0DC9">
        <w:rPr>
          <w:noProof/>
          <w:lang w:val="en-IE"/>
        </w:rPr>
        <w:t xml:space="preserve"> bn </w:t>
      </w:r>
      <w:r>
        <w:rPr>
          <w:noProof/>
          <w:lang w:val="en-IE"/>
        </w:rPr>
        <w:t xml:space="preserve">small value </w:t>
      </w:r>
      <w:r w:rsidRPr="00DD0DC9">
        <w:rPr>
          <w:noProof/>
          <w:lang w:val="en-IE"/>
        </w:rPr>
        <w:t xml:space="preserve">consignments in 2024, puts pressure on customs and market surveillance authorities, posing a major challenge for checking compliance and safety, amplified by </w:t>
      </w:r>
      <w:r>
        <w:rPr>
          <w:noProof/>
          <w:lang w:val="en-IE"/>
        </w:rPr>
        <w:t xml:space="preserve">uneven national control performance and </w:t>
      </w:r>
      <w:r w:rsidRPr="00DD0DC9">
        <w:rPr>
          <w:noProof/>
          <w:lang w:val="en-IE"/>
        </w:rPr>
        <w:t>inefficient cooperation between authorities</w:t>
      </w:r>
      <w:r>
        <w:rPr>
          <w:rStyle w:val="FootnoteReference"/>
          <w:noProof/>
          <w:lang w:val="en-IE"/>
        </w:rPr>
        <w:footnoteReference w:id="12"/>
      </w:r>
      <w:r w:rsidRPr="00DD0DC9">
        <w:rPr>
          <w:noProof/>
          <w:lang w:val="en-IE"/>
        </w:rPr>
        <w:t xml:space="preserve">. This results in an uneven playing field for rules-abiding EU businesses. </w:t>
      </w:r>
      <w:r w:rsidRPr="00DD0DC9">
        <w:rPr>
          <w:bCs/>
          <w:noProof/>
          <w:lang w:val="en-IE"/>
        </w:rPr>
        <w:t>More generally, the EU product legislation framework</w:t>
      </w:r>
      <w:r w:rsidR="004D7A18">
        <w:rPr>
          <w:bCs/>
          <w:noProof/>
          <w:lang w:val="en-IE"/>
        </w:rPr>
        <w:t xml:space="preserve"> regulating harmonised products</w:t>
      </w:r>
      <w:r w:rsidRPr="00DD0DC9">
        <w:rPr>
          <w:bCs/>
          <w:noProof/>
          <w:lang w:val="en-IE"/>
        </w:rPr>
        <w:t>,</w:t>
      </w:r>
      <w:r w:rsidRPr="00DD0DC9">
        <w:rPr>
          <w:noProof/>
          <w:lang w:val="en-IE"/>
        </w:rPr>
        <w:t xml:space="preserve"> known as the New Legislative Framework (NLF)</w:t>
      </w:r>
      <w:r w:rsidRPr="00DD0DC9">
        <w:rPr>
          <w:rStyle w:val="FootnoteReference"/>
          <w:noProof/>
          <w:lang w:val="en-IE"/>
        </w:rPr>
        <w:footnoteReference w:id="13"/>
      </w:r>
      <w:r w:rsidRPr="00DD0DC9">
        <w:rPr>
          <w:noProof/>
          <w:lang w:val="en-IE"/>
        </w:rPr>
        <w:t>,</w:t>
      </w:r>
      <w:r w:rsidRPr="00DD0DC9">
        <w:rPr>
          <w:bCs/>
          <w:noProof/>
          <w:lang w:val="en-IE"/>
        </w:rPr>
        <w:t xml:space="preserve"> is a major asset of the Single Market, but there is a lack of controls and a need </w:t>
      </w:r>
      <w:r w:rsidRPr="00CE116F">
        <w:rPr>
          <w:bCs/>
          <w:noProof/>
          <w:lang w:val="en-IE"/>
        </w:rPr>
        <w:t>for imp</w:t>
      </w:r>
      <w:r w:rsidRPr="00DD0DC9">
        <w:rPr>
          <w:bCs/>
          <w:noProof/>
          <w:lang w:val="en-IE"/>
        </w:rPr>
        <w:t>rovement</w:t>
      </w:r>
      <w:r w:rsidRPr="00DD0DC9">
        <w:rPr>
          <w:noProof/>
          <w:lang w:val="en-IE"/>
        </w:rPr>
        <w:t xml:space="preserve"> in addressing market developments, digitalisation, and circularity. </w:t>
      </w:r>
    </w:p>
    <w:p w14:paraId="00E81D0C" w14:textId="2699782B" w:rsidR="00DD0DC9" w:rsidRPr="00DD0DC9" w:rsidRDefault="00DD0DC9" w:rsidP="00EB4A7F">
      <w:pPr>
        <w:pStyle w:val="Text1"/>
        <w:widowControl w:val="0"/>
        <w:spacing w:after="160"/>
        <w:ind w:left="0"/>
        <w:rPr>
          <w:noProof/>
          <w:lang w:val="en-IE"/>
        </w:rPr>
      </w:pPr>
      <w:r w:rsidRPr="00A16BDF">
        <w:rPr>
          <w:b/>
          <w:bCs/>
          <w:noProof/>
          <w:lang w:val="en-IE"/>
        </w:rPr>
        <w:t>The Single Market for goods is further impeded by territorial supply constraints</w:t>
      </w:r>
      <w:r w:rsidR="00E51A5B" w:rsidRPr="00A16BDF">
        <w:rPr>
          <w:b/>
          <w:bCs/>
          <w:noProof/>
          <w:lang w:val="en-IE"/>
        </w:rPr>
        <w:t>.</w:t>
      </w:r>
      <w:r w:rsidR="00E51A5B" w:rsidRPr="00134137">
        <w:rPr>
          <w:noProof/>
          <w:lang w:val="en-IE"/>
        </w:rPr>
        <w:t xml:space="preserve"> </w:t>
      </w:r>
      <w:r w:rsidR="00EB4A7F" w:rsidRPr="00134137">
        <w:rPr>
          <w:noProof/>
          <w:lang w:val="en-IE"/>
        </w:rPr>
        <w:t>They are imposed by some manufacturers of branded consumer goods and hinder retailers and wholesalers from buying products in one Member State and reselling them in another, harming cross-border business to the detriment of consumers.</w:t>
      </w:r>
    </w:p>
    <w:p w14:paraId="63AEFD5F" w14:textId="2462012B" w:rsidR="00DD0DC9" w:rsidRPr="00DD0DC9" w:rsidRDefault="00DD0DC9" w:rsidP="00DD0DC9">
      <w:pPr>
        <w:pStyle w:val="Text1"/>
        <w:widowControl w:val="0"/>
        <w:spacing w:after="160"/>
        <w:ind w:left="0"/>
        <w:rPr>
          <w:noProof/>
          <w:color w:val="000000" w:themeColor="text1"/>
          <w:lang w:val="en-IE"/>
        </w:rPr>
      </w:pPr>
      <w:r w:rsidRPr="00DD0DC9">
        <w:rPr>
          <w:b/>
          <w:noProof/>
          <w:color w:val="000000" w:themeColor="text1"/>
          <w:lang w:val="en-IE"/>
        </w:rPr>
        <w:t xml:space="preserve">Over the past decade, the average time </w:t>
      </w:r>
      <w:r w:rsidR="00697451">
        <w:rPr>
          <w:b/>
          <w:noProof/>
          <w:color w:val="000000" w:themeColor="text1"/>
          <w:lang w:val="en-IE"/>
        </w:rPr>
        <w:t xml:space="preserve">needed </w:t>
      </w:r>
      <w:r w:rsidRPr="00DD0DC9">
        <w:rPr>
          <w:b/>
          <w:noProof/>
          <w:color w:val="000000" w:themeColor="text1"/>
          <w:lang w:val="en-IE"/>
        </w:rPr>
        <w:t xml:space="preserve">to establish a new industrial standard has increased. </w:t>
      </w:r>
      <w:r w:rsidRPr="00DD0DC9">
        <w:rPr>
          <w:bCs/>
          <w:noProof/>
          <w:color w:val="000000" w:themeColor="text1"/>
          <w:lang w:val="en-IE"/>
        </w:rPr>
        <w:t>Currently</w:t>
      </w:r>
      <w:r w:rsidRPr="00DD0DC9">
        <w:rPr>
          <w:noProof/>
          <w:color w:val="000000" w:themeColor="text1"/>
          <w:lang w:val="en-IE"/>
        </w:rPr>
        <w:t xml:space="preserve"> at </w:t>
      </w:r>
      <w:r w:rsidR="00710BEA">
        <w:rPr>
          <w:noProof/>
          <w:color w:val="000000" w:themeColor="text1"/>
          <w:lang w:val="en-IE"/>
        </w:rPr>
        <w:t>four</w:t>
      </w:r>
      <w:r w:rsidR="00710BEA" w:rsidRPr="00DD0DC9">
        <w:rPr>
          <w:noProof/>
          <w:color w:val="000000" w:themeColor="text1"/>
          <w:lang w:val="en-IE"/>
        </w:rPr>
        <w:t xml:space="preserve"> </w:t>
      </w:r>
      <w:r w:rsidRPr="00DD0DC9">
        <w:rPr>
          <w:noProof/>
          <w:color w:val="000000" w:themeColor="text1"/>
          <w:lang w:val="en-IE"/>
        </w:rPr>
        <w:t xml:space="preserve">years (KPI 7), this slowness is partly due to outdated working methods and the under-utilisation of digital technologies. As a result, standardisation </w:t>
      </w:r>
      <w:r w:rsidRPr="00DD0DC9">
        <w:rPr>
          <w:bCs/>
          <w:noProof/>
          <w:color w:val="000000" w:themeColor="text1"/>
          <w:lang w:val="en-IE"/>
        </w:rPr>
        <w:t>fails to meet market and legislative needs, particularly for new technologies,</w:t>
      </w:r>
      <w:r w:rsidRPr="00DD0DC9">
        <w:rPr>
          <w:noProof/>
          <w:color w:val="000000" w:themeColor="text1"/>
          <w:lang w:val="en-IE"/>
        </w:rPr>
        <w:t xml:space="preserve"> weighing on the competitiveness of EU industry</w:t>
      </w:r>
      <w:r w:rsidRPr="00DD0DC9">
        <w:rPr>
          <w:bCs/>
          <w:noProof/>
          <w:color w:val="000000" w:themeColor="text1"/>
          <w:lang w:val="en-IE"/>
        </w:rPr>
        <w:t xml:space="preserve">. </w:t>
      </w:r>
    </w:p>
    <w:p w14:paraId="4B3AFF34" w14:textId="2B0F2F9F" w:rsidR="00DD0DC9" w:rsidRPr="00DD0DC9" w:rsidRDefault="00DD0DC9" w:rsidP="00DD0DC9">
      <w:pPr>
        <w:pStyle w:val="Text1"/>
        <w:widowControl w:val="0"/>
        <w:spacing w:after="160"/>
        <w:ind w:left="0"/>
        <w:rPr>
          <w:noProof/>
          <w:color w:val="000000" w:themeColor="text1"/>
          <w:lang w:val="en-IE"/>
        </w:rPr>
      </w:pPr>
      <w:r w:rsidRPr="00DD0DC9">
        <w:rPr>
          <w:b/>
          <w:bCs/>
          <w:noProof/>
          <w:color w:val="000000" w:themeColor="text1"/>
          <w:lang w:val="en-IE"/>
        </w:rPr>
        <w:t xml:space="preserve">In the area of packaging, labelling and waste, the Single Market remains fragmented, </w:t>
      </w:r>
      <w:r w:rsidR="0055334C">
        <w:rPr>
          <w:b/>
          <w:bCs/>
          <w:noProof/>
          <w:color w:val="000000" w:themeColor="text1"/>
          <w:lang w:val="en-IE"/>
        </w:rPr>
        <w:t xml:space="preserve">contributing to </w:t>
      </w:r>
      <w:r w:rsidRPr="00DD0DC9">
        <w:rPr>
          <w:b/>
          <w:bCs/>
          <w:noProof/>
          <w:color w:val="000000" w:themeColor="text1"/>
          <w:lang w:val="en-IE"/>
        </w:rPr>
        <w:t xml:space="preserve">slow progress </w:t>
      </w:r>
      <w:r w:rsidR="00263C3D">
        <w:rPr>
          <w:b/>
          <w:bCs/>
          <w:noProof/>
          <w:color w:val="000000" w:themeColor="text1"/>
          <w:lang w:val="en-IE"/>
        </w:rPr>
        <w:t>towards</w:t>
      </w:r>
      <w:r w:rsidR="00263C3D" w:rsidRPr="00DD0DC9">
        <w:rPr>
          <w:b/>
          <w:bCs/>
          <w:noProof/>
          <w:color w:val="000000" w:themeColor="text1"/>
          <w:lang w:val="en-IE"/>
        </w:rPr>
        <w:t xml:space="preserve"> </w:t>
      </w:r>
      <w:r w:rsidRPr="00DD0DC9">
        <w:rPr>
          <w:b/>
          <w:bCs/>
          <w:noProof/>
          <w:color w:val="000000" w:themeColor="text1"/>
          <w:lang w:val="en-IE"/>
        </w:rPr>
        <w:t xml:space="preserve">circularity. </w:t>
      </w:r>
      <w:r w:rsidRPr="00DD0DC9">
        <w:rPr>
          <w:noProof/>
          <w:color w:val="000000" w:themeColor="text1"/>
          <w:lang w:val="en-IE"/>
        </w:rPr>
        <w:t xml:space="preserve">National labelling requirements, including those linked to waste sorting, require companies to relabel products or adapt digital content, splitting up the Single Market. </w:t>
      </w:r>
      <w:r w:rsidR="0036689A">
        <w:rPr>
          <w:noProof/>
          <w:color w:val="000000" w:themeColor="text1"/>
          <w:lang w:val="en-IE"/>
        </w:rPr>
        <w:t>F</w:t>
      </w:r>
      <w:r w:rsidRPr="00DD0DC9">
        <w:rPr>
          <w:noProof/>
          <w:color w:val="000000" w:themeColor="text1"/>
          <w:lang w:val="en-IE"/>
        </w:rPr>
        <w:t>ragmentation of the Single Market for waste</w:t>
      </w:r>
      <w:r w:rsidR="00CE6566">
        <w:rPr>
          <w:noProof/>
          <w:color w:val="000000" w:themeColor="text1"/>
          <w:lang w:val="en-IE"/>
        </w:rPr>
        <w:t xml:space="preserve"> run</w:t>
      </w:r>
      <w:r w:rsidR="00B3256F">
        <w:rPr>
          <w:noProof/>
          <w:color w:val="000000" w:themeColor="text1"/>
          <w:lang w:val="en-IE"/>
        </w:rPr>
        <w:t>s</w:t>
      </w:r>
      <w:r w:rsidR="00CE6566">
        <w:rPr>
          <w:noProof/>
          <w:color w:val="000000" w:themeColor="text1"/>
          <w:lang w:val="en-IE"/>
        </w:rPr>
        <w:t xml:space="preserve"> counter </w:t>
      </w:r>
      <w:r w:rsidR="00C86B3E">
        <w:rPr>
          <w:noProof/>
          <w:color w:val="000000" w:themeColor="text1"/>
          <w:lang w:val="en-IE"/>
        </w:rPr>
        <w:t xml:space="preserve">to </w:t>
      </w:r>
      <w:r w:rsidR="00771BE8">
        <w:rPr>
          <w:noProof/>
          <w:color w:val="000000" w:themeColor="text1"/>
          <w:lang w:val="en-IE"/>
        </w:rPr>
        <w:t>circularity</w:t>
      </w:r>
      <w:r w:rsidRPr="00DD0DC9">
        <w:rPr>
          <w:noProof/>
          <w:color w:val="000000" w:themeColor="text1"/>
          <w:lang w:val="en-IE"/>
        </w:rPr>
        <w:t xml:space="preserve">, </w:t>
      </w:r>
      <w:r w:rsidR="00E05804">
        <w:rPr>
          <w:noProof/>
          <w:color w:val="000000" w:themeColor="text1"/>
          <w:lang w:val="en-IE"/>
        </w:rPr>
        <w:t xml:space="preserve">with </w:t>
      </w:r>
      <w:r w:rsidRPr="00DD0DC9">
        <w:rPr>
          <w:noProof/>
          <w:color w:val="000000" w:themeColor="text1"/>
          <w:lang w:val="en-IE"/>
        </w:rPr>
        <w:t xml:space="preserve">the circular material reuse rate </w:t>
      </w:r>
      <w:r w:rsidR="00636812">
        <w:rPr>
          <w:noProof/>
          <w:color w:val="000000" w:themeColor="text1"/>
          <w:lang w:val="en-IE"/>
        </w:rPr>
        <w:t>increasing</w:t>
      </w:r>
      <w:r w:rsidRPr="00DD0DC9">
        <w:rPr>
          <w:noProof/>
          <w:color w:val="000000" w:themeColor="text1"/>
          <w:lang w:val="en-IE"/>
        </w:rPr>
        <w:t xml:space="preserve"> very slowly to 12%, well below the target of 24% set for 2030 (KPI 8).</w:t>
      </w:r>
    </w:p>
    <w:p w14:paraId="315D3D17" w14:textId="473E2ACB" w:rsidR="00DD0DC9" w:rsidRPr="00DD0DC9" w:rsidRDefault="00DD0DC9" w:rsidP="00DD0DC9">
      <w:pPr>
        <w:pStyle w:val="Text1"/>
        <w:widowControl w:val="0"/>
        <w:spacing w:after="160"/>
        <w:ind w:left="0"/>
        <w:rPr>
          <w:noProof/>
          <w:color w:val="000000" w:themeColor="text1"/>
          <w:lang w:val="en-IE"/>
        </w:rPr>
      </w:pPr>
      <w:r w:rsidRPr="00DD0DC9">
        <w:rPr>
          <w:b/>
          <w:bCs/>
          <w:noProof/>
          <w:color w:val="000000" w:themeColor="text1"/>
          <w:lang w:val="en-IE"/>
        </w:rPr>
        <w:t xml:space="preserve">Regulation of services markets is still complex and inconsistent, with little progress </w:t>
      </w:r>
      <w:r w:rsidR="00310BD9">
        <w:rPr>
          <w:b/>
          <w:bCs/>
          <w:noProof/>
          <w:color w:val="000000" w:themeColor="text1"/>
          <w:lang w:val="en-IE"/>
        </w:rPr>
        <w:t>in recent</w:t>
      </w:r>
      <w:r w:rsidRPr="00DD0DC9">
        <w:rPr>
          <w:b/>
          <w:bCs/>
          <w:noProof/>
          <w:color w:val="000000" w:themeColor="text1"/>
          <w:lang w:val="en-IE"/>
        </w:rPr>
        <w:t xml:space="preserve"> years. </w:t>
      </w:r>
      <w:r w:rsidRPr="00DD0DC9">
        <w:rPr>
          <w:noProof/>
          <w:color w:val="000000" w:themeColor="text1"/>
          <w:lang w:val="en-IE"/>
        </w:rPr>
        <w:t>The regulation of services can be justified by legitimate general interest objectives, but in practice there is a high level of diversity of restrictions and some services are regulated only in one or a few Member States, which shows that there is significant potential to reduce regulatory burden. Despite efforts to remove restrictions, the level of restrictiveness in services has remained stable in recent years (KPI 10)</w:t>
      </w:r>
      <w:r w:rsidR="00A92475">
        <w:rPr>
          <w:noProof/>
          <w:color w:val="000000" w:themeColor="text1"/>
          <w:lang w:val="en-IE"/>
        </w:rPr>
        <w:t xml:space="preserve"> and deserves a new political impetus</w:t>
      </w:r>
      <w:r w:rsidRPr="00DD0DC9">
        <w:rPr>
          <w:noProof/>
          <w:color w:val="000000" w:themeColor="text1"/>
          <w:lang w:val="en-IE"/>
        </w:rPr>
        <w:t>.</w:t>
      </w:r>
    </w:p>
    <w:p w14:paraId="72F52D14" w14:textId="77777777" w:rsidR="00DB3890" w:rsidRPr="00DB3890" w:rsidRDefault="00DD0DC9" w:rsidP="00641D59">
      <w:pPr>
        <w:pStyle w:val="text10"/>
        <w:spacing w:after="160"/>
        <w:ind w:left="0"/>
        <w:rPr>
          <w:noProof/>
        </w:rPr>
      </w:pPr>
      <w:r w:rsidRPr="00DD0DC9">
        <w:rPr>
          <w:rFonts w:eastAsiaTheme="minorEastAsia"/>
          <w:b/>
          <w:noProof/>
          <w:lang w:eastAsia="en-US"/>
        </w:rPr>
        <w:t xml:space="preserve">The temporary posting of workers is an integral part of the freedom to provide services but is still too cumbersome for companies. </w:t>
      </w:r>
      <w:r w:rsidRPr="00DD0DC9">
        <w:rPr>
          <w:rFonts w:eastAsiaTheme="minorEastAsia"/>
          <w:noProof/>
          <w:lang w:eastAsia="en-US"/>
        </w:rPr>
        <w:t xml:space="preserve">EU law allows </w:t>
      </w:r>
      <w:r w:rsidRPr="00134137">
        <w:rPr>
          <w:rFonts w:eastAsiaTheme="minorEastAsia"/>
          <w:noProof/>
          <w:lang w:eastAsia="en-US"/>
        </w:rPr>
        <w:t xml:space="preserve">Member States to impose administrative obligations to declare posted workers, where justified and proportionate. </w:t>
      </w:r>
      <w:r w:rsidR="00B71FDE" w:rsidRPr="00134137">
        <w:rPr>
          <w:rFonts w:eastAsiaTheme="minorEastAsia"/>
          <w:noProof/>
          <w:lang w:eastAsia="en-US"/>
        </w:rPr>
        <w:t xml:space="preserve">This reflects </w:t>
      </w:r>
      <w:r w:rsidR="00356262" w:rsidRPr="00134137">
        <w:rPr>
          <w:rFonts w:eastAsiaTheme="minorEastAsia"/>
          <w:noProof/>
          <w:lang w:eastAsia="en-US"/>
        </w:rPr>
        <w:t xml:space="preserve">the need to </w:t>
      </w:r>
      <w:r w:rsidR="00025334" w:rsidRPr="00134137">
        <w:rPr>
          <w:rFonts w:eastAsiaTheme="minorEastAsia"/>
          <w:noProof/>
          <w:lang w:eastAsia="en-US"/>
        </w:rPr>
        <w:t xml:space="preserve">ensure a level playing field and </w:t>
      </w:r>
      <w:r w:rsidR="00356262" w:rsidRPr="00134137">
        <w:rPr>
          <w:rFonts w:eastAsiaTheme="minorEastAsia"/>
          <w:noProof/>
          <w:lang w:eastAsia="en-US"/>
        </w:rPr>
        <w:t xml:space="preserve">protect </w:t>
      </w:r>
      <w:r w:rsidR="003C2682" w:rsidRPr="00134137">
        <w:rPr>
          <w:rFonts w:eastAsiaTheme="minorEastAsia"/>
          <w:noProof/>
          <w:lang w:eastAsia="en-US"/>
        </w:rPr>
        <w:t>the rights of</w:t>
      </w:r>
      <w:r w:rsidR="00356262" w:rsidRPr="00134137">
        <w:rPr>
          <w:rFonts w:eastAsiaTheme="minorEastAsia"/>
          <w:noProof/>
          <w:lang w:eastAsia="en-US"/>
        </w:rPr>
        <w:t xml:space="preserve"> workers, in particular in risk sectors</w:t>
      </w:r>
      <w:r w:rsidR="00DD3ED9" w:rsidRPr="00134137">
        <w:rPr>
          <w:rFonts w:eastAsiaTheme="minorEastAsia"/>
          <w:noProof/>
          <w:lang w:eastAsia="en-US"/>
        </w:rPr>
        <w:t xml:space="preserve"> such as construction</w:t>
      </w:r>
      <w:r w:rsidR="00817C95" w:rsidRPr="00134137">
        <w:rPr>
          <w:rFonts w:eastAsiaTheme="minorEastAsia"/>
          <w:noProof/>
          <w:lang w:eastAsia="en-US"/>
        </w:rPr>
        <w:t xml:space="preserve"> and agriculture.</w:t>
      </w:r>
      <w:r w:rsidR="00A5489D" w:rsidRPr="00134137">
        <w:rPr>
          <w:rFonts w:eastAsiaTheme="minorEastAsia"/>
          <w:noProof/>
          <w:lang w:eastAsia="en-US"/>
        </w:rPr>
        <w:t xml:space="preserve"> </w:t>
      </w:r>
      <w:r w:rsidRPr="00134137">
        <w:rPr>
          <w:rFonts w:eastAsiaTheme="minorEastAsia"/>
          <w:noProof/>
          <w:lang w:eastAsia="en-US"/>
        </w:rPr>
        <w:t>However, declaration procedures are often complex, while not all situations of posted workers (e.g. skilled specialists) pose</w:t>
      </w:r>
      <w:r w:rsidRPr="00DD0DC9">
        <w:rPr>
          <w:rFonts w:eastAsiaTheme="minorEastAsia"/>
          <w:noProof/>
          <w:lang w:eastAsia="en-US"/>
        </w:rPr>
        <w:t xml:space="preserve"> the same risks.</w:t>
      </w:r>
      <w:r w:rsidRPr="003400D7">
        <w:rPr>
          <w:rFonts w:eastAsiaTheme="minorEastAsia"/>
          <w:noProof/>
          <w:lang w:eastAsia="en-US"/>
        </w:rPr>
        <w:t xml:space="preserve"> </w:t>
      </w:r>
      <w:r w:rsidR="00B14D61" w:rsidRPr="003400D7">
        <w:rPr>
          <w:rFonts w:eastAsiaTheme="minorEastAsia"/>
          <w:noProof/>
          <w:lang w:eastAsia="en-US"/>
        </w:rPr>
        <w:t>R</w:t>
      </w:r>
      <w:r w:rsidRPr="003400D7">
        <w:rPr>
          <w:rFonts w:eastAsiaTheme="minorEastAsia"/>
          <w:noProof/>
          <w:lang w:eastAsia="en-US"/>
        </w:rPr>
        <w:t xml:space="preserve">einforced efforts </w:t>
      </w:r>
      <w:r>
        <w:rPr>
          <w:rFonts w:eastAsiaTheme="minorEastAsia"/>
          <w:noProof/>
          <w:lang w:eastAsia="en-US"/>
        </w:rPr>
        <w:t xml:space="preserve">by Member States </w:t>
      </w:r>
      <w:r w:rsidRPr="003400D7">
        <w:rPr>
          <w:rFonts w:eastAsiaTheme="minorEastAsia"/>
          <w:noProof/>
          <w:lang w:eastAsia="en-US"/>
        </w:rPr>
        <w:t>are needed to implement</w:t>
      </w:r>
      <w:r>
        <w:rPr>
          <w:rFonts w:eastAsiaTheme="minorEastAsia"/>
          <w:noProof/>
          <w:lang w:eastAsia="en-US"/>
        </w:rPr>
        <w:t xml:space="preserve"> the</w:t>
      </w:r>
      <w:r w:rsidRPr="003400D7">
        <w:rPr>
          <w:rFonts w:eastAsiaTheme="minorEastAsia"/>
          <w:noProof/>
          <w:lang w:eastAsia="en-US"/>
        </w:rPr>
        <w:t xml:space="preserve"> best practices</w:t>
      </w:r>
      <w:r>
        <w:rPr>
          <w:rFonts w:eastAsiaTheme="minorEastAsia"/>
          <w:noProof/>
          <w:lang w:eastAsia="en-US"/>
        </w:rPr>
        <w:t xml:space="preserve"> identified in the Single Market Enforcement Taskforce</w:t>
      </w:r>
      <w:r w:rsidR="00491ECF" w:rsidRPr="003400D7">
        <w:rPr>
          <w:rFonts w:eastAsiaTheme="minorEastAsia"/>
          <w:noProof/>
          <w:lang w:eastAsia="en-US"/>
        </w:rPr>
        <w:t>, whi</w:t>
      </w:r>
      <w:r w:rsidR="00CC38A9" w:rsidRPr="005B4F13">
        <w:rPr>
          <w:rFonts w:eastAsiaTheme="minorEastAsia"/>
          <w:noProof/>
          <w:lang w:eastAsia="en-US"/>
        </w:rPr>
        <w:t>ch</w:t>
      </w:r>
      <w:r w:rsidR="00491ECF" w:rsidRPr="003400D7">
        <w:rPr>
          <w:rFonts w:eastAsiaTheme="minorEastAsia"/>
          <w:noProof/>
          <w:lang w:eastAsia="en-US"/>
        </w:rPr>
        <w:t xml:space="preserve"> mostly fall</w:t>
      </w:r>
      <w:r w:rsidR="00C2107A" w:rsidRPr="005B4F13">
        <w:rPr>
          <w:rFonts w:eastAsiaTheme="minorEastAsia"/>
          <w:noProof/>
          <w:lang w:eastAsia="en-US"/>
        </w:rPr>
        <w:t xml:space="preserve"> within Member </w:t>
      </w:r>
      <w:r w:rsidR="00C2107A" w:rsidRPr="003802D0">
        <w:rPr>
          <w:rFonts w:eastAsiaTheme="minorEastAsia"/>
          <w:noProof/>
          <w:lang w:eastAsia="en-US"/>
        </w:rPr>
        <w:t>States’ regulatory discretion</w:t>
      </w:r>
      <w:r w:rsidR="00A01A3B" w:rsidRPr="003802D0">
        <w:rPr>
          <w:rFonts w:eastAsiaTheme="minorEastAsia"/>
          <w:noProof/>
          <w:lang w:eastAsia="en-US"/>
        </w:rPr>
        <w:t>,</w:t>
      </w:r>
      <w:r>
        <w:rPr>
          <w:rFonts w:eastAsiaTheme="minorEastAsia"/>
          <w:noProof/>
          <w:lang w:eastAsia="en-US"/>
        </w:rPr>
        <w:t xml:space="preserve"> </w:t>
      </w:r>
      <w:r w:rsidR="00C2107A" w:rsidRPr="003802D0">
        <w:rPr>
          <w:rFonts w:eastAsiaTheme="minorEastAsia"/>
          <w:noProof/>
          <w:lang w:eastAsia="en-US"/>
        </w:rPr>
        <w:t>to</w:t>
      </w:r>
      <w:r w:rsidRPr="003802D0">
        <w:rPr>
          <w:rFonts w:eastAsiaTheme="minorEastAsia"/>
          <w:noProof/>
          <w:lang w:eastAsia="en-US"/>
        </w:rPr>
        <w:t xml:space="preserve"> reduce administrative barriers in this area</w:t>
      </w:r>
      <w:r>
        <w:rPr>
          <w:rStyle w:val="FootnoteReference"/>
          <w:rFonts w:eastAsiaTheme="minorEastAsia"/>
          <w:noProof/>
          <w:lang w:eastAsia="en-US"/>
        </w:rPr>
        <w:footnoteReference w:id="14"/>
      </w:r>
      <w:r w:rsidRPr="003802D0">
        <w:rPr>
          <w:rFonts w:eastAsiaTheme="minorEastAsia"/>
          <w:noProof/>
          <w:lang w:eastAsia="en-US"/>
        </w:rPr>
        <w:t>.</w:t>
      </w:r>
      <w:r>
        <w:rPr>
          <w:rFonts w:eastAsiaTheme="minorEastAsia"/>
          <w:noProof/>
          <w:lang w:eastAsia="en-US"/>
        </w:rPr>
        <w:t xml:space="preserve"> </w:t>
      </w:r>
      <w:r>
        <w:rPr>
          <w:noProof/>
          <w:lang w:eastAsia="en-US"/>
        </w:rPr>
        <w:t>Commission services, together with the European Labour Authority (ELA), are working to develop a KPI for next year’s edition of this Report related to the posting of workers.</w:t>
      </w:r>
    </w:p>
    <w:p w14:paraId="60FD74F8" w14:textId="51DA20F0" w:rsidR="00182431" w:rsidRDefault="00583608" w:rsidP="008F69F3">
      <w:pPr>
        <w:pStyle w:val="Text1"/>
        <w:spacing w:after="160"/>
        <w:ind w:left="0"/>
        <w:rPr>
          <w:noProof/>
          <w:lang w:val="en-IE"/>
        </w:rPr>
      </w:pPr>
      <w:r w:rsidRPr="00DD0DC9">
        <w:rPr>
          <w:b/>
          <w:noProof/>
          <w:lang w:val="en-IE"/>
        </w:rPr>
        <w:t>Lengthy and cumbersome procedures for the recognition of skills and qualifications can prevent EU citizens from exercising their profession in other Member States.</w:t>
      </w:r>
      <w:r w:rsidRPr="00DD0DC9">
        <w:rPr>
          <w:noProof/>
          <w:lang w:val="en-IE"/>
        </w:rPr>
        <w:t xml:space="preserve"> </w:t>
      </w:r>
      <w:r w:rsidR="00860557">
        <w:rPr>
          <w:noProof/>
          <w:lang w:val="en-IE"/>
        </w:rPr>
        <w:t>O</w:t>
      </w:r>
      <w:r w:rsidR="00860557" w:rsidRPr="00860557">
        <w:rPr>
          <w:noProof/>
          <w:lang w:val="en-IE"/>
        </w:rPr>
        <w:t xml:space="preserve">verly stringent regulation and cumbersome recognition procedures create barriers to entry and reduce labour market mobility, thereby contributing to skills mismatches and labour shortages at both national and EU level. </w:t>
      </w:r>
      <w:r w:rsidRPr="00DD0DC9">
        <w:rPr>
          <w:noProof/>
          <w:lang w:val="en-IE"/>
        </w:rPr>
        <w:t>Despite an improvement in 2023, the rate of positive recognition decisions remain</w:t>
      </w:r>
      <w:r w:rsidR="000B29DF">
        <w:rPr>
          <w:noProof/>
          <w:lang w:val="en-IE"/>
        </w:rPr>
        <w:t>ed</w:t>
      </w:r>
      <w:r w:rsidRPr="00DD0DC9">
        <w:rPr>
          <w:noProof/>
          <w:lang w:val="en-IE"/>
        </w:rPr>
        <w:t xml:space="preserve"> broadly unchanged over the past five years (KPI 6). </w:t>
      </w:r>
      <w:r>
        <w:rPr>
          <w:noProof/>
          <w:lang w:val="en-IE"/>
        </w:rPr>
        <w:t>Further, r</w:t>
      </w:r>
      <w:r w:rsidRPr="00DD0DC9">
        <w:rPr>
          <w:noProof/>
          <w:lang w:val="en-IE"/>
        </w:rPr>
        <w:t>ecognition procedures are still often paper based and could be significantly sped up by full digitalisation.</w:t>
      </w:r>
    </w:p>
    <w:p w14:paraId="767D3139" w14:textId="6667A38F" w:rsidR="00182431" w:rsidRDefault="00DD0DC9" w:rsidP="008F69F3">
      <w:pPr>
        <w:pStyle w:val="Text1"/>
        <w:widowControl w:val="0"/>
        <w:spacing w:after="160"/>
        <w:ind w:left="0"/>
        <w:rPr>
          <w:noProof/>
          <w:lang w:val="en-IE"/>
        </w:rPr>
      </w:pPr>
      <w:r w:rsidRPr="00DD0DC9">
        <w:rPr>
          <w:b/>
          <w:noProof/>
          <w:color w:val="000000"/>
          <w:lang w:val="en-IE"/>
        </w:rPr>
        <w:t xml:space="preserve">The Commission is stepping up efforts to address the conformity deficit, measuring </w:t>
      </w:r>
      <w:r w:rsidR="006154EA">
        <w:rPr>
          <w:b/>
          <w:noProof/>
          <w:color w:val="000000"/>
          <w:lang w:val="en-IE"/>
        </w:rPr>
        <w:t xml:space="preserve">the </w:t>
      </w:r>
      <w:r w:rsidR="005823D5">
        <w:rPr>
          <w:b/>
          <w:noProof/>
          <w:color w:val="000000"/>
          <w:lang w:val="en-IE"/>
        </w:rPr>
        <w:t>share</w:t>
      </w:r>
      <w:r w:rsidR="006154EA">
        <w:rPr>
          <w:b/>
          <w:noProof/>
          <w:color w:val="000000"/>
          <w:lang w:val="en-IE"/>
        </w:rPr>
        <w:t xml:space="preserve"> of</w:t>
      </w:r>
      <w:r w:rsidRPr="00DD0DC9">
        <w:rPr>
          <w:b/>
          <w:noProof/>
          <w:color w:val="000000"/>
          <w:lang w:val="en-IE"/>
        </w:rPr>
        <w:t xml:space="preserve"> incorrectly transposed </w:t>
      </w:r>
      <w:r w:rsidR="00E36627">
        <w:rPr>
          <w:b/>
          <w:noProof/>
          <w:color w:val="000000"/>
          <w:lang w:val="en-IE"/>
        </w:rPr>
        <w:t xml:space="preserve">Single Market </w:t>
      </w:r>
      <w:r w:rsidRPr="00DD0DC9">
        <w:rPr>
          <w:b/>
          <w:noProof/>
          <w:color w:val="000000"/>
          <w:lang w:val="en-IE"/>
        </w:rPr>
        <w:t>directives, which remains too high.</w:t>
      </w:r>
      <w:r w:rsidRPr="00DD0DC9">
        <w:rPr>
          <w:noProof/>
          <w:color w:val="000000"/>
          <w:lang w:val="en-IE"/>
        </w:rPr>
        <w:t xml:space="preserve"> It is crucial that Member States assume full ownership of the Single Market. </w:t>
      </w:r>
      <w:r w:rsidRPr="00DD0DC9">
        <w:rPr>
          <w:noProof/>
          <w:lang w:val="en-IE"/>
        </w:rPr>
        <w:t xml:space="preserve">The conformity deficit has increased to 1.1% in 2025, remaining much above the target of 0.5% (KPI 4), with wide variation among Member States. Regulatory fragmentation comes at an important cost to businesses and households. A strong compliance culture is needed across the Single Market and is key to ensuring that preventive instruments, in particular the Single Market Transparency Directive, the Services Directive and the Proportionality Test Directive, can </w:t>
      </w:r>
      <w:r w:rsidRPr="00134137">
        <w:rPr>
          <w:noProof/>
          <w:lang w:val="en-IE"/>
        </w:rPr>
        <w:t xml:space="preserve">deliver their full effect. There is no point in removing barriers if we constantly create new ones. To drive effective legal action where barriers persist, the Commission sets out for the first time an Annual </w:t>
      </w:r>
      <w:r w:rsidR="00DA4027" w:rsidRPr="00134137">
        <w:rPr>
          <w:noProof/>
          <w:lang w:val="en-IE"/>
        </w:rPr>
        <w:t xml:space="preserve">Single Market </w:t>
      </w:r>
      <w:r w:rsidRPr="00134137">
        <w:rPr>
          <w:noProof/>
          <w:lang w:val="en-IE"/>
        </w:rPr>
        <w:t>Enforcement Agenda (see Box 2).</w:t>
      </w:r>
      <w:r>
        <w:rPr>
          <w:noProof/>
        </w:rPr>
        <w:t xml:space="preserve"> </w:t>
      </w:r>
      <w:r>
        <w:rPr>
          <w:noProof/>
          <w:lang w:val="en-IE"/>
        </w:rPr>
        <w:t>While Single Market barriers largely stem from regulatory and administrative requirements set at national level, differences in their practical application and enforcement by national, regional and local authorities can affect how businesses benefit from market integration, contributing to uneven outcomes in the functioning of the Single Market.</w:t>
      </w:r>
    </w:p>
    <w:p w14:paraId="3BD63D76" w14:textId="0CA999DF" w:rsidR="00182431" w:rsidRDefault="00182431" w:rsidP="008F69F3">
      <w:pPr>
        <w:pStyle w:val="Text1"/>
        <w:spacing w:before="200" w:after="160"/>
        <w:ind w:left="0"/>
        <w:rPr>
          <w:noProof/>
          <w:color w:val="000000" w:themeColor="text1"/>
          <w:lang w:val="en-IE"/>
        </w:rPr>
      </w:pP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DD0DC9" w:rsidRPr="009E1879" w14:paraId="64207A12" w14:textId="77777777">
        <w:tc>
          <w:tcPr>
            <w:tcW w:w="9062" w:type="dxa"/>
          </w:tcPr>
          <w:p w14:paraId="2500A51F" w14:textId="791C8A25" w:rsidR="00DD0DC9" w:rsidRPr="00134137" w:rsidRDefault="00DD0DC9">
            <w:pPr>
              <w:pStyle w:val="Text1"/>
              <w:widowControl w:val="0"/>
              <w:spacing w:after="160"/>
              <w:ind w:left="0"/>
              <w:jc w:val="center"/>
              <w:rPr>
                <w:b/>
                <w:bCs/>
                <w:smallCaps/>
                <w:noProof/>
                <w:color w:val="000000" w:themeColor="text1"/>
                <w:lang w:val="en-IE"/>
              </w:rPr>
            </w:pPr>
            <w:r w:rsidRPr="00134137">
              <w:rPr>
                <w:b/>
                <w:bCs/>
                <w:smallCaps/>
                <w:noProof/>
                <w:color w:val="000000" w:themeColor="text1"/>
                <w:lang w:val="en-IE"/>
              </w:rPr>
              <w:t xml:space="preserve">Box 2: The Annual </w:t>
            </w:r>
            <w:r w:rsidR="00E0654B" w:rsidRPr="00134137">
              <w:rPr>
                <w:b/>
                <w:bCs/>
                <w:smallCaps/>
                <w:noProof/>
                <w:color w:val="000000" w:themeColor="text1"/>
                <w:lang w:val="en-IE"/>
              </w:rPr>
              <w:t xml:space="preserve">Single Market </w:t>
            </w:r>
            <w:r w:rsidRPr="00134137">
              <w:rPr>
                <w:b/>
                <w:bCs/>
                <w:smallCaps/>
                <w:noProof/>
                <w:color w:val="000000" w:themeColor="text1"/>
                <w:lang w:val="en-IE"/>
              </w:rPr>
              <w:t>Enforcement Agenda 2026</w:t>
            </w:r>
          </w:p>
          <w:p w14:paraId="24CB5428" w14:textId="18DBC0DA" w:rsidR="00DD0DC9" w:rsidRPr="00134137" w:rsidRDefault="00DD0DC9">
            <w:pPr>
              <w:pStyle w:val="Text1"/>
              <w:widowControl w:val="0"/>
              <w:spacing w:after="160"/>
              <w:ind w:left="0"/>
              <w:rPr>
                <w:noProof/>
                <w:lang w:val="en-IE"/>
              </w:rPr>
            </w:pPr>
            <w:r w:rsidRPr="00134137">
              <w:rPr>
                <w:noProof/>
                <w:color w:val="000000"/>
                <w:lang w:val="en-IE"/>
              </w:rPr>
              <w:t xml:space="preserve">The Commission pursues appropriate legal action as the cornerstone of enforcement of the Single Market rules. </w:t>
            </w:r>
            <w:r w:rsidRPr="00134137">
              <w:rPr>
                <w:noProof/>
                <w:lang w:val="en-IE"/>
              </w:rPr>
              <w:t xml:space="preserve">Based on the Terrible Ten barriers, the first Annual Single Market Enforcement Agenda therefore identifies the following priority areas for horizontal </w:t>
            </w:r>
            <w:r w:rsidR="00BE2E6E" w:rsidRPr="00134137">
              <w:rPr>
                <w:noProof/>
                <w:lang w:val="en-IE"/>
              </w:rPr>
              <w:t xml:space="preserve">investigations and specific enforcement </w:t>
            </w:r>
            <w:r w:rsidRPr="00134137">
              <w:rPr>
                <w:noProof/>
                <w:lang w:val="en-IE"/>
              </w:rPr>
              <w:t xml:space="preserve">actions: </w:t>
            </w:r>
          </w:p>
          <w:p w14:paraId="04C8EF7C" w14:textId="5F65E051" w:rsidR="0032009D" w:rsidRPr="00134137" w:rsidRDefault="0032009D" w:rsidP="0032009D">
            <w:pPr>
              <w:pStyle w:val="Text1"/>
              <w:widowControl w:val="0"/>
              <w:numPr>
                <w:ilvl w:val="0"/>
                <w:numId w:val="2"/>
              </w:numPr>
              <w:spacing w:after="160"/>
              <w:rPr>
                <w:noProof/>
                <w:lang w:val="en-IE"/>
              </w:rPr>
            </w:pPr>
            <w:r w:rsidRPr="00134137">
              <w:rPr>
                <w:noProof/>
                <w:lang w:val="en-IE"/>
              </w:rPr>
              <w:t>Late payments in transactions between undertakings and public authorities</w:t>
            </w:r>
            <w:r w:rsidR="00E76B9A" w:rsidRPr="00134137">
              <w:rPr>
                <w:noProof/>
                <w:lang w:val="en-IE"/>
              </w:rPr>
              <w:t>.</w:t>
            </w:r>
            <w:r w:rsidRPr="00134137">
              <w:rPr>
                <w:noProof/>
                <w:lang w:val="en-IE"/>
              </w:rPr>
              <w:t xml:space="preserve"> </w:t>
            </w:r>
          </w:p>
          <w:p w14:paraId="0EAFD611" w14:textId="68B66D1C" w:rsidR="0032009D" w:rsidRPr="00134137" w:rsidRDefault="0032009D" w:rsidP="005B4F13">
            <w:pPr>
              <w:pStyle w:val="Text1"/>
              <w:widowControl w:val="0"/>
              <w:numPr>
                <w:ilvl w:val="0"/>
                <w:numId w:val="2"/>
              </w:numPr>
              <w:spacing w:after="160"/>
              <w:rPr>
                <w:noProof/>
                <w:lang w:val="en-IE"/>
              </w:rPr>
            </w:pPr>
            <w:r w:rsidRPr="00134137">
              <w:rPr>
                <w:noProof/>
              </w:rPr>
              <w:t>Obstacles in construction and installation services related to the green transition.</w:t>
            </w:r>
          </w:p>
          <w:p w14:paraId="2768375C" w14:textId="52A37653" w:rsidR="00DD0DC9" w:rsidRPr="00DD0DC9" w:rsidRDefault="00DD0DC9">
            <w:pPr>
              <w:pStyle w:val="Text1"/>
              <w:widowControl w:val="0"/>
              <w:spacing w:after="0"/>
              <w:ind w:left="0"/>
              <w:rPr>
                <w:i/>
                <w:iCs/>
                <w:noProof/>
                <w:color w:val="000000" w:themeColor="text1"/>
                <w:lang w:val="en-IE"/>
              </w:rPr>
            </w:pPr>
            <w:r w:rsidRPr="00134137">
              <w:rPr>
                <w:noProof/>
                <w:lang w:val="en-IE"/>
              </w:rPr>
              <w:t xml:space="preserve">These </w:t>
            </w:r>
            <w:r w:rsidR="009434E9" w:rsidRPr="00134137">
              <w:rPr>
                <w:noProof/>
                <w:lang w:val="en-IE"/>
              </w:rPr>
              <w:t xml:space="preserve">investigations and enforcement </w:t>
            </w:r>
            <w:r w:rsidRPr="00134137">
              <w:rPr>
                <w:noProof/>
                <w:lang w:val="en-IE"/>
              </w:rPr>
              <w:t>actions</w:t>
            </w:r>
            <w:r w:rsidR="00331F43" w:rsidRPr="00134137">
              <w:rPr>
                <w:noProof/>
                <w:lang w:val="en-IE"/>
              </w:rPr>
              <w:t>, where necessary,</w:t>
            </w:r>
            <w:r w:rsidRPr="00134137">
              <w:rPr>
                <w:noProof/>
                <w:lang w:val="en-IE"/>
              </w:rPr>
              <w:t xml:space="preserve"> will cover potentially most or all Member States and will include open dialogue and, where </w:t>
            </w:r>
            <w:r w:rsidR="00FE4468" w:rsidRPr="00134137">
              <w:rPr>
                <w:noProof/>
                <w:lang w:val="en-IE"/>
              </w:rPr>
              <w:t xml:space="preserve">necessary </w:t>
            </w:r>
            <w:r w:rsidRPr="00134137">
              <w:rPr>
                <w:noProof/>
                <w:lang w:val="en-IE"/>
              </w:rPr>
              <w:t xml:space="preserve">to remove clearly identified barriers, infringement proceedings. The enforcement priorities will not be </w:t>
            </w:r>
            <w:r>
              <w:rPr>
                <w:noProof/>
                <w:lang w:val="en-IE"/>
              </w:rPr>
              <w:t xml:space="preserve">set </w:t>
            </w:r>
            <w:r w:rsidRPr="00134137">
              <w:rPr>
                <w:noProof/>
                <w:lang w:val="en-IE"/>
              </w:rPr>
              <w:t>to the detriment of the treatment of other existing or future obstacles to the free movement of goods and services. To enhance transparency on enforcement, when specific enforcement actions are decided, clear explanations regarding the objectives pursued, the expected benefits as well as the results achieved will be published.</w:t>
            </w:r>
          </w:p>
        </w:tc>
      </w:tr>
    </w:tbl>
    <w:p w14:paraId="4CF7E07A" w14:textId="5BBE3264" w:rsidR="00DD0DC9" w:rsidRPr="00DD0DC9" w:rsidRDefault="00DD0DC9" w:rsidP="00DD0DC9">
      <w:pPr>
        <w:pStyle w:val="Text1"/>
        <w:spacing w:before="200" w:after="160"/>
        <w:ind w:left="0"/>
        <w:rPr>
          <w:noProof/>
          <w:color w:val="000000" w:themeColor="text1"/>
          <w:lang w:val="en-IE"/>
        </w:rPr>
      </w:pPr>
      <w:r w:rsidRPr="00DD0DC9">
        <w:rPr>
          <w:b/>
          <w:bCs/>
          <w:noProof/>
          <w:color w:val="000000" w:themeColor="text1"/>
          <w:lang w:val="en-IE"/>
        </w:rPr>
        <w:t xml:space="preserve">Significant </w:t>
      </w:r>
      <w:r w:rsidR="001438AE">
        <w:rPr>
          <w:b/>
          <w:bCs/>
          <w:noProof/>
          <w:color w:val="000000" w:themeColor="text1"/>
          <w:lang w:val="en-IE"/>
        </w:rPr>
        <w:t>progress has</w:t>
      </w:r>
      <w:r w:rsidRPr="00DD0DC9">
        <w:rPr>
          <w:b/>
          <w:bCs/>
          <w:noProof/>
          <w:color w:val="000000" w:themeColor="text1"/>
          <w:lang w:val="en-IE"/>
        </w:rPr>
        <w:t xml:space="preserve"> already been made to reduce administrative burdens. </w:t>
      </w:r>
      <w:r w:rsidRPr="00DD0DC9">
        <w:rPr>
          <w:noProof/>
          <w:color w:val="000000" w:themeColor="text1"/>
          <w:lang w:val="en-IE"/>
        </w:rPr>
        <w:t>These burdens weigh on businesses and administrations and are estimated at EUR 150 bn per year across the EU, with the target to reduce these by at least 25%</w:t>
      </w:r>
      <w:r w:rsidR="00DC33ED">
        <w:rPr>
          <w:noProof/>
          <w:color w:val="000000" w:themeColor="text1"/>
          <w:lang w:val="en-IE"/>
        </w:rPr>
        <w:t xml:space="preserve">, and </w:t>
      </w:r>
      <w:r w:rsidR="00743598">
        <w:rPr>
          <w:noProof/>
          <w:color w:val="000000" w:themeColor="text1"/>
          <w:lang w:val="en-IE"/>
        </w:rPr>
        <w:t xml:space="preserve">by </w:t>
      </w:r>
      <w:r w:rsidR="00DC33ED">
        <w:rPr>
          <w:noProof/>
          <w:color w:val="000000" w:themeColor="text1"/>
          <w:lang w:val="en-IE"/>
        </w:rPr>
        <w:t>at least 35% for SMEs,</w:t>
      </w:r>
      <w:r w:rsidR="00743598">
        <w:rPr>
          <w:noProof/>
          <w:color w:val="000000" w:themeColor="text1"/>
          <w:lang w:val="en-IE"/>
        </w:rPr>
        <w:t xml:space="preserve"> by the end of </w:t>
      </w:r>
      <w:r w:rsidR="00035773">
        <w:rPr>
          <w:noProof/>
          <w:color w:val="000000" w:themeColor="text1"/>
          <w:lang w:val="en-IE"/>
        </w:rPr>
        <w:t>this mandate</w:t>
      </w:r>
      <w:r w:rsidRPr="00134137">
        <w:rPr>
          <w:noProof/>
          <w:color w:val="000000" w:themeColor="text1"/>
          <w:lang w:val="en-IE"/>
        </w:rPr>
        <w:t xml:space="preserve">. The Commission has already proposed ten omnibus packages </w:t>
      </w:r>
      <w:r>
        <w:rPr>
          <w:noProof/>
          <w:color w:val="000000" w:themeColor="text1"/>
          <w:lang w:val="en-IE"/>
        </w:rPr>
        <w:t>as well as other initiatives</w:t>
      </w:r>
      <w:r>
        <w:rPr>
          <w:rStyle w:val="FootnoteReference"/>
          <w:noProof/>
          <w:kern w:val="3"/>
          <w:lang w:val="en-IE"/>
        </w:rPr>
        <w:footnoteReference w:id="15"/>
      </w:r>
      <w:r>
        <w:rPr>
          <w:noProof/>
          <w:color w:val="000000" w:themeColor="text1"/>
          <w:lang w:val="en-IE"/>
        </w:rPr>
        <w:t xml:space="preserve"> </w:t>
      </w:r>
      <w:r w:rsidRPr="00134137">
        <w:rPr>
          <w:noProof/>
          <w:color w:val="000000" w:themeColor="text1"/>
          <w:lang w:val="en-IE"/>
        </w:rPr>
        <w:t>which</w:t>
      </w:r>
      <w:r>
        <w:rPr>
          <w:noProof/>
          <w:color w:val="000000" w:themeColor="text1"/>
          <w:lang w:val="en-IE"/>
        </w:rPr>
        <w:t>, at the time of their adoption by the Commission,</w:t>
      </w:r>
      <w:r w:rsidRPr="00134137">
        <w:rPr>
          <w:noProof/>
          <w:color w:val="000000" w:themeColor="text1"/>
          <w:lang w:val="en-IE"/>
        </w:rPr>
        <w:t xml:space="preserve"> are </w:t>
      </w:r>
      <w:r>
        <w:rPr>
          <w:noProof/>
          <w:color w:val="000000" w:themeColor="text1"/>
          <w:lang w:val="en-IE"/>
        </w:rPr>
        <w:t xml:space="preserve">projected </w:t>
      </w:r>
      <w:r w:rsidRPr="00134137">
        <w:rPr>
          <w:noProof/>
          <w:color w:val="000000" w:themeColor="text1"/>
          <w:lang w:val="en-IE"/>
        </w:rPr>
        <w:t xml:space="preserve">to reduce the </w:t>
      </w:r>
      <w:r w:rsidR="00F432EB" w:rsidRPr="00134137">
        <w:rPr>
          <w:noProof/>
          <w:color w:val="000000" w:themeColor="text1"/>
          <w:lang w:val="en-IE"/>
        </w:rPr>
        <w:t xml:space="preserve">recurrent administrative </w:t>
      </w:r>
      <w:r w:rsidRPr="00134137">
        <w:rPr>
          <w:noProof/>
          <w:color w:val="000000" w:themeColor="text1"/>
          <w:lang w:val="en-IE"/>
        </w:rPr>
        <w:t xml:space="preserve">annual burdens by around </w:t>
      </w:r>
      <w:r>
        <w:rPr>
          <w:noProof/>
          <w:color w:val="000000" w:themeColor="text1"/>
          <w:lang w:val="en-IE"/>
        </w:rPr>
        <w:t xml:space="preserve">EUR 15 bn, of which </w:t>
      </w:r>
      <w:r w:rsidRPr="00134137">
        <w:rPr>
          <w:noProof/>
          <w:color w:val="000000" w:themeColor="text1"/>
          <w:lang w:val="en-IE"/>
        </w:rPr>
        <w:t>EUR 1</w:t>
      </w:r>
      <w:r w:rsidR="00B90674" w:rsidRPr="00134137">
        <w:rPr>
          <w:noProof/>
          <w:color w:val="000000" w:themeColor="text1"/>
          <w:lang w:val="en-IE"/>
        </w:rPr>
        <w:t>1.9</w:t>
      </w:r>
      <w:r w:rsidRPr="00134137">
        <w:rPr>
          <w:noProof/>
          <w:color w:val="000000" w:themeColor="text1"/>
          <w:lang w:val="en-IE"/>
        </w:rPr>
        <w:t xml:space="preserve"> bn</w:t>
      </w:r>
      <w:r>
        <w:rPr>
          <w:noProof/>
          <w:color w:val="000000" w:themeColor="text1"/>
          <w:lang w:val="en-IE"/>
        </w:rPr>
        <w:t xml:space="preserve"> from omnibus proposals and EUR 3.1 bn from other initiatives adopted in 2025</w:t>
      </w:r>
      <w:r w:rsidRPr="00134137">
        <w:rPr>
          <w:noProof/>
          <w:color w:val="000000" w:themeColor="text1"/>
          <w:lang w:val="en-IE"/>
        </w:rPr>
        <w:t xml:space="preserve"> (KPI 3)</w:t>
      </w:r>
      <w:r>
        <w:rPr>
          <w:rStyle w:val="FootnoteReference"/>
          <w:noProof/>
          <w:color w:val="000000" w:themeColor="text1"/>
          <w:lang w:val="en-IE"/>
        </w:rPr>
        <w:footnoteReference w:id="16"/>
      </w:r>
      <w:r w:rsidRPr="00134137">
        <w:rPr>
          <w:noProof/>
          <w:color w:val="000000" w:themeColor="text1"/>
          <w:lang w:val="en-IE"/>
        </w:rPr>
        <w:t xml:space="preserve">. </w:t>
      </w:r>
      <w:r>
        <w:rPr>
          <w:noProof/>
          <w:color w:val="000000" w:themeColor="text1"/>
          <w:lang w:val="en-IE"/>
        </w:rPr>
        <w:t xml:space="preserve">Moreover, new initiatives, such as European Business Wallet Regulation has a potential to contribute significantly to the overall administrative cost reduction for businesses and public administrations, with minimum EUR 13.5 bn. </w:t>
      </w:r>
      <w:r w:rsidR="0057028C" w:rsidRPr="00134137">
        <w:rPr>
          <w:noProof/>
          <w:color w:val="000000" w:themeColor="text1"/>
          <w:lang w:val="en-IE"/>
        </w:rPr>
        <w:t>The Commission is carefully assessing and brin</w:t>
      </w:r>
      <w:r w:rsidR="00C569FF" w:rsidRPr="00134137">
        <w:rPr>
          <w:noProof/>
          <w:color w:val="000000" w:themeColor="text1"/>
          <w:lang w:val="en-IE"/>
        </w:rPr>
        <w:t>g</w:t>
      </w:r>
      <w:r w:rsidR="0057028C" w:rsidRPr="00134137">
        <w:rPr>
          <w:noProof/>
          <w:color w:val="000000" w:themeColor="text1"/>
          <w:lang w:val="en-IE"/>
        </w:rPr>
        <w:t xml:space="preserve">ing forward additional means to </w:t>
      </w:r>
      <w:r w:rsidR="00CF2A0B" w:rsidRPr="00134137">
        <w:rPr>
          <w:noProof/>
          <w:color w:val="000000" w:themeColor="text1"/>
          <w:lang w:val="en-IE"/>
        </w:rPr>
        <w:t>reduce administrative burdens.</w:t>
      </w:r>
      <w:r w:rsidR="00FB0166" w:rsidRPr="00134137">
        <w:rPr>
          <w:noProof/>
          <w:color w:val="000000" w:themeColor="text1"/>
          <w:lang w:val="en-IE"/>
        </w:rPr>
        <w:t xml:space="preserve"> </w:t>
      </w:r>
      <w:r w:rsidRPr="00134137">
        <w:rPr>
          <w:noProof/>
          <w:color w:val="000000" w:themeColor="text1"/>
          <w:lang w:val="en-IE"/>
        </w:rPr>
        <w:t>Public procurement is a case in point: the current framework is fragmented with numerous sectoral</w:t>
      </w:r>
      <w:r w:rsidRPr="00DD0DC9">
        <w:rPr>
          <w:noProof/>
          <w:color w:val="000000" w:themeColor="text1"/>
          <w:lang w:val="en-IE"/>
        </w:rPr>
        <w:t xml:space="preserve"> acts creating uncertainty and inconsistency in interpretation and application. Simplifying these rules would greatly help over 44 000 public authorities in the EU purchasing services, works and supplies, as well as companies bidding for these tenders, worth around 15% of GDP (≈ EUR 2.5 trillion).</w:t>
      </w:r>
      <w:r>
        <w:rPr>
          <w:noProof/>
          <w:color w:val="000000" w:themeColor="text1"/>
          <w:lang w:val="en-IE"/>
        </w:rPr>
        <w:t xml:space="preserve"> </w:t>
      </w:r>
    </w:p>
    <w:p w14:paraId="5C6B7D4A" w14:textId="09223F2A" w:rsidR="00DD0DC9" w:rsidRPr="00DD0DC9" w:rsidRDefault="00DD0DC9" w:rsidP="00A16BDF">
      <w:pPr>
        <w:pStyle w:val="Text1"/>
        <w:spacing w:after="160"/>
        <w:ind w:left="0"/>
        <w:rPr>
          <w:noProof/>
          <w:shd w:val="clear" w:color="auto" w:fill="FFFFFF"/>
          <w:lang w:val="en-IE"/>
        </w:rPr>
      </w:pPr>
      <w:r w:rsidRPr="00DD0DC9">
        <w:rPr>
          <w:b/>
          <w:noProof/>
          <w:color w:val="000000" w:themeColor="text1"/>
          <w:lang w:val="en-IE"/>
        </w:rPr>
        <w:t xml:space="preserve">The roll-out of digital tools and interoperable public services is </w:t>
      </w:r>
      <w:r w:rsidRPr="00704243">
        <w:rPr>
          <w:b/>
          <w:noProof/>
          <w:color w:val="000000" w:themeColor="text1"/>
          <w:lang w:val="en-IE"/>
        </w:rPr>
        <w:t>still at an early stage</w:t>
      </w:r>
      <w:r w:rsidR="00790613" w:rsidRPr="00704243">
        <w:rPr>
          <w:b/>
          <w:noProof/>
          <w:color w:val="000000" w:themeColor="text1"/>
          <w:lang w:val="en-IE"/>
        </w:rPr>
        <w:t xml:space="preserve"> and holds potential to reduce</w:t>
      </w:r>
      <w:r w:rsidRPr="00704243">
        <w:rPr>
          <w:b/>
          <w:noProof/>
          <w:color w:val="000000" w:themeColor="text1"/>
          <w:lang w:val="en-IE"/>
        </w:rPr>
        <w:t xml:space="preserve"> administrative time</w:t>
      </w:r>
      <w:r w:rsidR="00C326A8" w:rsidRPr="00704243">
        <w:rPr>
          <w:b/>
          <w:noProof/>
          <w:color w:val="000000" w:themeColor="text1"/>
          <w:lang w:val="en-IE"/>
        </w:rPr>
        <w:t xml:space="preserve"> and</w:t>
      </w:r>
      <w:r w:rsidRPr="00704243">
        <w:rPr>
          <w:b/>
          <w:noProof/>
          <w:color w:val="000000" w:themeColor="text1"/>
          <w:lang w:val="en-IE"/>
        </w:rPr>
        <w:t xml:space="preserve"> compliance costs </w:t>
      </w:r>
      <w:r w:rsidR="00C326A8" w:rsidRPr="00704243">
        <w:rPr>
          <w:b/>
          <w:noProof/>
          <w:color w:val="000000" w:themeColor="text1"/>
          <w:lang w:val="en-IE"/>
        </w:rPr>
        <w:t xml:space="preserve">while </w:t>
      </w:r>
      <w:r w:rsidR="009825F3" w:rsidRPr="00704243">
        <w:rPr>
          <w:b/>
          <w:noProof/>
          <w:color w:val="000000" w:themeColor="text1"/>
          <w:lang w:val="en-IE"/>
        </w:rPr>
        <w:t xml:space="preserve">strengthening </w:t>
      </w:r>
      <w:r w:rsidRPr="00704243">
        <w:rPr>
          <w:b/>
          <w:noProof/>
          <w:color w:val="000000" w:themeColor="text1"/>
          <w:lang w:val="en-IE"/>
        </w:rPr>
        <w:t>legal certainty for businesses and citizens.</w:t>
      </w:r>
      <w:r w:rsidRPr="00704243">
        <w:rPr>
          <w:noProof/>
          <w:color w:val="000000" w:themeColor="text1"/>
          <w:lang w:val="en-IE"/>
        </w:rPr>
        <w:t xml:space="preserve"> T</w:t>
      </w:r>
      <w:r w:rsidRPr="00DD0DC9">
        <w:rPr>
          <w:noProof/>
          <w:color w:val="000000" w:themeColor="text1"/>
          <w:lang w:val="en-IE"/>
        </w:rPr>
        <w:t>he Single Digital Gateway (SDG) Regulation</w:t>
      </w:r>
      <w:r w:rsidRPr="00DD0DC9">
        <w:rPr>
          <w:rStyle w:val="FootnoteReference"/>
          <w:noProof/>
          <w:color w:val="000000" w:themeColor="text1"/>
          <w:lang w:val="en-IE"/>
        </w:rPr>
        <w:footnoteReference w:id="17"/>
      </w:r>
      <w:r w:rsidRPr="00DD0DC9">
        <w:rPr>
          <w:noProof/>
          <w:color w:val="000000" w:themeColor="text1"/>
          <w:lang w:val="en-IE"/>
        </w:rPr>
        <w:t xml:space="preserve"> – expanded across an increasingly wide set of policy areas – establishes Your Europe as the EU’s main e-government entry point, giving citizens and business access to reliable, multilingual information on rights, obligations and administrative procedures in all Member States, as well as</w:t>
      </w:r>
      <w:r w:rsidRPr="00DD0DC9">
        <w:rPr>
          <w:bCs/>
          <w:noProof/>
          <w:color w:val="000000" w:themeColor="text1"/>
          <w:lang w:val="en-IE"/>
        </w:rPr>
        <w:t xml:space="preserve"> </w:t>
      </w:r>
      <w:r w:rsidRPr="00DD0DC9">
        <w:rPr>
          <w:noProof/>
          <w:color w:val="000000" w:themeColor="text1"/>
          <w:lang w:val="en-IE"/>
        </w:rPr>
        <w:t>links to national portals and key online procedures. Yet, SDG implementation remains at an early stage and uneven across Member States and policy areas, with only 21% of key procedures fully online in 2024 (KPI 1</w:t>
      </w:r>
      <w:r>
        <w:rPr>
          <w:noProof/>
          <w:color w:val="000000" w:themeColor="text1"/>
          <w:lang w:val="en-IE"/>
        </w:rPr>
        <w:t>1</w:t>
      </w:r>
      <w:r w:rsidRPr="00DD0DC9">
        <w:rPr>
          <w:noProof/>
          <w:color w:val="000000" w:themeColor="text1"/>
          <w:lang w:val="en-IE"/>
        </w:rPr>
        <w:t>).</w:t>
      </w:r>
      <w:r>
        <w:rPr>
          <w:noProof/>
          <w:color w:val="000000" w:themeColor="text1"/>
          <w:lang w:val="en-IE"/>
        </w:rPr>
        <w:t xml:space="preserve"> The EU business wallet, which was proposed at the end of 2025, will allow companies to securely identify and exchange data with governments and other businesses across the EU with full legal effect and trust.</w:t>
      </w:r>
    </w:p>
    <w:p w14:paraId="22B258FA" w14:textId="5AB4F0E6" w:rsidR="00DD0DC9" w:rsidRDefault="00DD0DC9" w:rsidP="00A16BDF">
      <w:pPr>
        <w:jc w:val="both"/>
        <w:rPr>
          <w:rFonts w:ascii="Times New Roman" w:hAnsi="Times New Roman" w:cs="Times New Roman"/>
          <w:noProof/>
          <w:sz w:val="24"/>
          <w:szCs w:val="24"/>
          <w:lang w:val="en-IE"/>
        </w:rPr>
      </w:pPr>
      <w:r w:rsidRPr="00DD0DC9">
        <w:rPr>
          <w:rFonts w:ascii="Times New Roman" w:hAnsi="Times New Roman" w:cs="Times New Roman"/>
          <w:b/>
          <w:noProof/>
          <w:sz w:val="24"/>
          <w:szCs w:val="24"/>
          <w:lang w:val="en-IE"/>
        </w:rPr>
        <w:t>The EU Single Market increases opportunities for SMEs to grow, despite persisting barriers.</w:t>
      </w:r>
      <w:r w:rsidRPr="00DD0DC9">
        <w:rPr>
          <w:rFonts w:ascii="Times New Roman" w:hAnsi="Times New Roman" w:cs="Times New Roman"/>
          <w:noProof/>
          <w:sz w:val="24"/>
          <w:szCs w:val="24"/>
          <w:lang w:val="en-IE"/>
        </w:rPr>
        <w:t xml:space="preserve"> In 2024, a quarter of EU SMEs exported goods or services to other EU countries while about one in ten exported to countries outside the EU</w:t>
      </w:r>
      <w:r w:rsidRPr="008F69F3">
        <w:rPr>
          <w:rStyle w:val="FootnoteReference"/>
          <w:rFonts w:ascii="Times New Roman" w:hAnsi="Times New Roman" w:cs="Times New Roman"/>
          <w:noProof/>
          <w:sz w:val="24"/>
          <w:szCs w:val="24"/>
          <w:lang w:val="en-IE"/>
        </w:rPr>
        <w:footnoteReference w:id="18"/>
      </w:r>
      <w:r w:rsidRPr="00A71A50">
        <w:rPr>
          <w:rFonts w:ascii="Times New Roman" w:hAnsi="Times New Roman" w:cs="Times New Roman"/>
          <w:noProof/>
          <w:sz w:val="24"/>
          <w:szCs w:val="24"/>
          <w:lang w:val="en-IE"/>
        </w:rPr>
        <w:t>.</w:t>
      </w:r>
      <w:r w:rsidRPr="00DD0DC9">
        <w:rPr>
          <w:rFonts w:ascii="Times New Roman" w:hAnsi="Times New Roman" w:cs="Times New Roman"/>
          <w:noProof/>
          <w:sz w:val="24"/>
          <w:szCs w:val="24"/>
          <w:lang w:val="en-IE"/>
        </w:rPr>
        <w:t xml:space="preserve"> The main barriers for SMEs include regulatory obstacles and administrative burden, followed by challenges related to financing and skills. In addition, 73% of SMEs report suffering from late payments, which hampers their growth and investment potential and threatens their survival. </w:t>
      </w:r>
    </w:p>
    <w:p w14:paraId="7C7A88AB" w14:textId="77777777" w:rsidR="00752EBF" w:rsidRPr="00DD0DC9" w:rsidRDefault="00752EBF" w:rsidP="00DD0DC9">
      <w:pPr>
        <w:widowControl w:val="0"/>
        <w:jc w:val="both"/>
        <w:rPr>
          <w:rFonts w:ascii="Times New Roman" w:hAnsi="Times New Roman" w:cs="Times New Roman"/>
          <w:noProof/>
          <w:sz w:val="24"/>
          <w:szCs w:val="24"/>
          <w:lang w:val="en-IE"/>
        </w:rPr>
      </w:pPr>
    </w:p>
    <w:p w14:paraId="2F0C212C" w14:textId="596CCE8D" w:rsidR="00DD0DC9" w:rsidRPr="00DD0DC9" w:rsidRDefault="00DD0DC9" w:rsidP="00DD0DC9">
      <w:pPr>
        <w:widowControl w:val="0"/>
        <w:spacing w:before="240"/>
        <w:contextualSpacing/>
        <w:mirrorIndents/>
        <w:rPr>
          <w:rFonts w:ascii="Times New Roman" w:hAnsi="Times New Roman" w:cs="Times New Roman"/>
          <w:b/>
          <w:noProof/>
          <w:sz w:val="28"/>
          <w:szCs w:val="28"/>
          <w:shd w:val="clear" w:color="auto" w:fill="FFFFFF"/>
          <w:lang w:val="en-IE"/>
        </w:rPr>
      </w:pPr>
      <w:r w:rsidRPr="00DD0DC9">
        <w:rPr>
          <w:rFonts w:ascii="Times New Roman" w:hAnsi="Times New Roman" w:cs="Times New Roman"/>
          <w:b/>
          <w:bCs/>
          <w:noProof/>
          <w:sz w:val="28"/>
          <w:szCs w:val="28"/>
          <w:shd w:val="clear" w:color="auto" w:fill="FFFFFF"/>
          <w:lang w:val="en-IE"/>
        </w:rPr>
        <w:t xml:space="preserve">SECTION </w:t>
      </w:r>
      <w:r w:rsidRPr="00DD0DC9" w:rsidDel="007B2AFA">
        <w:rPr>
          <w:rFonts w:ascii="Times New Roman" w:hAnsi="Times New Roman" w:cs="Times New Roman"/>
          <w:b/>
          <w:bCs/>
          <w:noProof/>
          <w:sz w:val="28"/>
          <w:szCs w:val="28"/>
          <w:shd w:val="clear" w:color="auto" w:fill="FFFFFF"/>
          <w:lang w:val="en-IE"/>
        </w:rPr>
        <w:t xml:space="preserve">2 </w:t>
      </w:r>
      <w:r w:rsidRPr="00DD0DC9">
        <w:rPr>
          <w:rFonts w:ascii="Times New Roman" w:hAnsi="Times New Roman" w:cs="Times New Roman"/>
          <w:b/>
          <w:bCs/>
          <w:noProof/>
          <w:sz w:val="28"/>
          <w:szCs w:val="28"/>
          <w:shd w:val="clear" w:color="auto" w:fill="FFFFFF"/>
          <w:lang w:val="en-IE"/>
        </w:rPr>
        <w:t>– Closing the innovation gap</w:t>
      </w:r>
    </w:p>
    <w:p w14:paraId="7F617138" w14:textId="63939667" w:rsidR="00DD0DC9" w:rsidRPr="00DD0DC9" w:rsidRDefault="00DD0DC9" w:rsidP="00DD0DC9">
      <w:pPr>
        <w:widowControl w:val="0"/>
        <w:spacing w:before="240"/>
        <w:jc w:val="both"/>
        <w:rPr>
          <w:rFonts w:ascii="Times New Roman" w:hAnsi="Times New Roman" w:cs="Times New Roman"/>
          <w:noProof/>
          <w:sz w:val="24"/>
          <w:szCs w:val="24"/>
          <w:shd w:val="clear" w:color="auto" w:fill="FFFFFF"/>
          <w:lang w:val="en-IE"/>
        </w:rPr>
      </w:pPr>
      <w:r w:rsidRPr="00CE116F">
        <w:rPr>
          <w:rFonts w:ascii="Times New Roman" w:hAnsi="Times New Roman" w:cs="Times New Roman"/>
          <w:b/>
          <w:bCs/>
          <w:noProof/>
          <w:sz w:val="24"/>
          <w:szCs w:val="24"/>
          <w:shd w:val="clear" w:color="auto" w:fill="FFFFFF"/>
          <w:lang w:val="en-IE"/>
        </w:rPr>
        <w:t xml:space="preserve">Europe </w:t>
      </w:r>
      <w:r>
        <w:rPr>
          <w:rFonts w:ascii="Times New Roman" w:hAnsi="Times New Roman" w:cs="Times New Roman"/>
          <w:b/>
          <w:bCs/>
          <w:noProof/>
          <w:sz w:val="24"/>
          <w:szCs w:val="24"/>
          <w:shd w:val="clear" w:color="auto" w:fill="FFFFFF"/>
          <w:lang w:val="en-IE"/>
        </w:rPr>
        <w:t>risks</w:t>
      </w:r>
      <w:r w:rsidRPr="00CE116F">
        <w:rPr>
          <w:rFonts w:ascii="Times New Roman" w:hAnsi="Times New Roman" w:cs="Times New Roman"/>
          <w:b/>
          <w:bCs/>
          <w:noProof/>
          <w:sz w:val="24"/>
          <w:szCs w:val="24"/>
          <w:shd w:val="clear" w:color="auto" w:fill="FFFFFF"/>
          <w:lang w:val="en-IE"/>
        </w:rPr>
        <w:t xml:space="preserve"> losing its edge in the race for innovation.</w:t>
      </w:r>
      <w:r w:rsidRPr="00CE116F">
        <w:rPr>
          <w:rFonts w:ascii="Times New Roman" w:hAnsi="Times New Roman" w:cs="Times New Roman"/>
          <w:noProof/>
          <w:sz w:val="24"/>
          <w:szCs w:val="24"/>
          <w:shd w:val="clear" w:color="auto" w:fill="FFFFFF"/>
          <w:lang w:val="en-IE"/>
        </w:rPr>
        <w:t xml:space="preserve"> Despite boasting world-leading universities, growing employment </w:t>
      </w:r>
      <w:r w:rsidR="00B26484" w:rsidRPr="00CE116F">
        <w:rPr>
          <w:rFonts w:ascii="Times New Roman" w:hAnsi="Times New Roman" w:cs="Times New Roman"/>
          <w:noProof/>
          <w:sz w:val="24"/>
          <w:szCs w:val="24"/>
          <w:shd w:val="clear" w:color="auto" w:fill="FFFFFF"/>
          <w:lang w:val="en-IE"/>
        </w:rPr>
        <w:t>rates</w:t>
      </w:r>
      <w:r w:rsidRPr="00CE116F">
        <w:rPr>
          <w:rFonts w:ascii="Times New Roman" w:hAnsi="Times New Roman" w:cs="Times New Roman"/>
          <w:noProof/>
          <w:sz w:val="24"/>
          <w:szCs w:val="24"/>
          <w:shd w:val="clear" w:color="auto" w:fill="FFFFFF"/>
          <w:lang w:val="en-IE"/>
        </w:rPr>
        <w:t xml:space="preserve"> and a highly qualified workforce, R&amp;D expenditure and patenting rates </w:t>
      </w:r>
      <w:r w:rsidR="00B26484" w:rsidRPr="00CE116F">
        <w:rPr>
          <w:rFonts w:ascii="Times New Roman" w:hAnsi="Times New Roman" w:cs="Times New Roman"/>
          <w:noProof/>
          <w:sz w:val="24"/>
          <w:szCs w:val="24"/>
          <w:shd w:val="clear" w:color="auto" w:fill="FFFFFF"/>
          <w:lang w:val="en-IE"/>
        </w:rPr>
        <w:t>in the EU</w:t>
      </w:r>
      <w:r w:rsidRPr="00CE116F">
        <w:rPr>
          <w:rFonts w:ascii="Times New Roman" w:hAnsi="Times New Roman" w:cs="Times New Roman"/>
          <w:noProof/>
          <w:sz w:val="24"/>
          <w:szCs w:val="24"/>
          <w:shd w:val="clear" w:color="auto" w:fill="FFFFFF"/>
          <w:lang w:val="en-IE"/>
        </w:rPr>
        <w:t xml:space="preserve"> remain flat. Start-ups and </w:t>
      </w:r>
      <w:r w:rsidR="00344588" w:rsidRPr="00CE116F">
        <w:rPr>
          <w:rFonts w:ascii="Times New Roman" w:hAnsi="Times New Roman" w:cs="Times New Roman"/>
          <w:noProof/>
          <w:sz w:val="24"/>
          <w:szCs w:val="24"/>
          <w:shd w:val="clear" w:color="auto" w:fill="FFFFFF"/>
          <w:lang w:val="en-IE"/>
        </w:rPr>
        <w:t>s</w:t>
      </w:r>
      <w:r w:rsidRPr="00CE116F">
        <w:rPr>
          <w:rFonts w:ascii="Times New Roman" w:hAnsi="Times New Roman" w:cs="Times New Roman"/>
          <w:noProof/>
          <w:sz w:val="24"/>
          <w:szCs w:val="24"/>
          <w:shd w:val="clear" w:color="auto" w:fill="FFFFFF"/>
          <w:lang w:val="en-IE"/>
        </w:rPr>
        <w:t>cale-up</w:t>
      </w:r>
      <w:r w:rsidR="005D3627" w:rsidRPr="00CE116F">
        <w:rPr>
          <w:rFonts w:ascii="Times New Roman" w:hAnsi="Times New Roman" w:cs="Times New Roman"/>
          <w:noProof/>
          <w:sz w:val="24"/>
          <w:szCs w:val="24"/>
          <w:shd w:val="clear" w:color="auto" w:fill="FFFFFF"/>
          <w:lang w:val="en-IE"/>
        </w:rPr>
        <w:t>s</w:t>
      </w:r>
      <w:r w:rsidRPr="00CE116F">
        <w:rPr>
          <w:rFonts w:ascii="Times New Roman" w:hAnsi="Times New Roman" w:cs="Times New Roman"/>
          <w:noProof/>
          <w:sz w:val="24"/>
          <w:szCs w:val="24"/>
          <w:shd w:val="clear" w:color="auto" w:fill="FFFFFF"/>
          <w:lang w:val="en-IE"/>
        </w:rPr>
        <w:t xml:space="preserve"> struggle to grow</w:t>
      </w:r>
      <w:r w:rsidR="000A7029" w:rsidRPr="00CE116F">
        <w:rPr>
          <w:rFonts w:ascii="Times New Roman" w:hAnsi="Times New Roman" w:cs="Times New Roman"/>
          <w:noProof/>
          <w:sz w:val="24"/>
          <w:szCs w:val="24"/>
          <w:shd w:val="clear" w:color="auto" w:fill="FFFFFF"/>
          <w:lang w:val="en-IE"/>
        </w:rPr>
        <w:t xml:space="preserve">, while </w:t>
      </w:r>
      <w:r w:rsidRPr="00CE116F">
        <w:rPr>
          <w:rFonts w:ascii="Times New Roman" w:hAnsi="Times New Roman" w:cs="Times New Roman"/>
          <w:noProof/>
          <w:sz w:val="24"/>
          <w:szCs w:val="24"/>
          <w:shd w:val="clear" w:color="auto" w:fill="FFFFFF"/>
          <w:lang w:val="en-IE"/>
        </w:rPr>
        <w:t xml:space="preserve">digitalisation </w:t>
      </w:r>
      <w:r w:rsidR="00F71D1E" w:rsidRPr="00CE116F">
        <w:rPr>
          <w:rFonts w:ascii="Times New Roman" w:hAnsi="Times New Roman" w:cs="Times New Roman"/>
          <w:noProof/>
          <w:sz w:val="24"/>
          <w:szCs w:val="24"/>
          <w:shd w:val="clear" w:color="auto" w:fill="FFFFFF"/>
          <w:lang w:val="en-IE"/>
        </w:rPr>
        <w:t>is</w:t>
      </w:r>
      <w:r w:rsidRPr="00CE116F">
        <w:rPr>
          <w:rFonts w:ascii="Times New Roman" w:hAnsi="Times New Roman" w:cs="Times New Roman"/>
          <w:noProof/>
          <w:sz w:val="24"/>
          <w:szCs w:val="24"/>
          <w:shd w:val="clear" w:color="auto" w:fill="FFFFFF"/>
          <w:lang w:val="en-IE"/>
        </w:rPr>
        <w:t xml:space="preserve"> progress</w:t>
      </w:r>
      <w:r w:rsidR="00F71D1E" w:rsidRPr="00CE116F">
        <w:rPr>
          <w:rFonts w:ascii="Times New Roman" w:hAnsi="Times New Roman" w:cs="Times New Roman"/>
          <w:noProof/>
          <w:sz w:val="24"/>
          <w:szCs w:val="24"/>
          <w:shd w:val="clear" w:color="auto" w:fill="FFFFFF"/>
          <w:lang w:val="en-IE"/>
        </w:rPr>
        <w:t>ing</w:t>
      </w:r>
      <w:r w:rsidRPr="00DD0DC9">
        <w:rPr>
          <w:rFonts w:ascii="Times New Roman" w:hAnsi="Times New Roman" w:cs="Times New Roman"/>
          <w:noProof/>
          <w:sz w:val="24"/>
          <w:szCs w:val="24"/>
          <w:shd w:val="clear" w:color="auto" w:fill="FFFFFF"/>
          <w:lang w:val="en-IE"/>
        </w:rPr>
        <w:t xml:space="preserve"> </w:t>
      </w:r>
      <w:r w:rsidR="00F71D1E">
        <w:rPr>
          <w:rFonts w:ascii="Times New Roman" w:hAnsi="Times New Roman" w:cs="Times New Roman"/>
          <w:noProof/>
          <w:sz w:val="24"/>
          <w:szCs w:val="24"/>
          <w:shd w:val="clear" w:color="auto" w:fill="FFFFFF"/>
          <w:lang w:val="en-IE"/>
        </w:rPr>
        <w:t xml:space="preserve">more </w:t>
      </w:r>
      <w:r w:rsidRPr="00DD0DC9">
        <w:rPr>
          <w:rFonts w:ascii="Times New Roman" w:hAnsi="Times New Roman" w:cs="Times New Roman"/>
          <w:noProof/>
          <w:sz w:val="24"/>
          <w:szCs w:val="24"/>
          <w:shd w:val="clear" w:color="auto" w:fill="FFFFFF"/>
          <w:lang w:val="en-IE"/>
        </w:rPr>
        <w:t>slow</w:t>
      </w:r>
      <w:r w:rsidR="00F71D1E">
        <w:rPr>
          <w:rFonts w:ascii="Times New Roman" w:hAnsi="Times New Roman" w:cs="Times New Roman"/>
          <w:noProof/>
          <w:sz w:val="24"/>
          <w:szCs w:val="24"/>
          <w:shd w:val="clear" w:color="auto" w:fill="FFFFFF"/>
          <w:lang w:val="en-IE"/>
        </w:rPr>
        <w:t>ly</w:t>
      </w:r>
      <w:r w:rsidRPr="00DD0DC9">
        <w:rPr>
          <w:rFonts w:ascii="Times New Roman" w:hAnsi="Times New Roman" w:cs="Times New Roman"/>
          <w:noProof/>
          <w:sz w:val="24"/>
          <w:szCs w:val="24"/>
          <w:shd w:val="clear" w:color="auto" w:fill="FFFFFF"/>
          <w:lang w:val="en-IE"/>
        </w:rPr>
        <w:t xml:space="preserve"> than in competing economies. Labour shortages and skills gaps in areas such as IT and clean tech hamper innovation.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7"/>
        <w:gridCol w:w="3685"/>
        <w:gridCol w:w="2835"/>
      </w:tblGrid>
      <w:tr w:rsidR="00DD0DC9" w:rsidRPr="00DD0DC9" w14:paraId="51BD7FC1"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5841622F" w14:textId="6EE4A375"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1</w:t>
            </w:r>
            <w:r>
              <w:rPr>
                <w:rFonts w:ascii="Times New Roman" w:eastAsia="Times New Roman" w:hAnsi="Times New Roman" w:cs="Times New Roman"/>
                <w:noProof/>
                <w:color w:val="000000"/>
                <w:kern w:val="3"/>
                <w:sz w:val="20"/>
                <w:szCs w:val="20"/>
                <w:lang w:val="en-IE" w:eastAsia="en-IE"/>
              </w:rPr>
              <w:t>2</w:t>
            </w:r>
            <w:r w:rsidRPr="00DD0DC9">
              <w:rPr>
                <w:rFonts w:ascii="Times New Roman" w:eastAsia="Times New Roman" w:hAnsi="Times New Roman" w:cs="Times New Roman"/>
                <w:noProof/>
                <w:color w:val="000000"/>
                <w:kern w:val="3"/>
                <w:sz w:val="20"/>
                <w:szCs w:val="20"/>
                <w:lang w:val="en-IE" w:eastAsia="en-IE"/>
              </w:rPr>
              <w:t>: R&amp;D expenditure </w:t>
            </w:r>
            <w:r w:rsidRPr="00DD0DC9">
              <w:rPr>
                <w:rFonts w:ascii="Times New Roman" w:eastAsia="Times New Roman" w:hAnsi="Times New Roman" w:cs="Times New Roman"/>
                <w:noProof/>
                <w:kern w:val="3"/>
                <w:sz w:val="20"/>
                <w:szCs w:val="20"/>
                <w:lang w:val="en-IE" w:eastAsia="en-IE"/>
              </w:rPr>
              <w:t>  </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5F609431" w14:textId="60718DC5"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Total private and public expenditure in research and development as a share of GDP. </w:t>
            </w:r>
            <w:r w:rsidRPr="00DD0DC9">
              <w:rPr>
                <w:rFonts w:ascii="Times New Roman" w:eastAsia="Times New Roman" w:hAnsi="Times New Roman" w:cs="Times New Roman"/>
                <w:b/>
                <w:bCs/>
                <w:noProof/>
                <w:kern w:val="3"/>
                <w:sz w:val="20"/>
                <w:szCs w:val="20"/>
                <w:lang w:val="en-IE" w:eastAsia="en-IE"/>
              </w:rPr>
              <w:t xml:space="preserve">Target = Above </w:t>
            </w:r>
            <w:r w:rsidRPr="00DD0DC9">
              <w:rPr>
                <w:rFonts w:ascii="Times New Roman" w:eastAsia="Times New Roman" w:hAnsi="Times New Roman" w:cs="Times New Roman"/>
                <w:b/>
                <w:bCs/>
                <w:noProof/>
                <w:color w:val="000000"/>
                <w:kern w:val="3"/>
                <w:sz w:val="20"/>
                <w:szCs w:val="20"/>
                <w:lang w:val="en-IE" w:eastAsia="en-IE"/>
              </w:rPr>
              <w:t>3% by 2030</w:t>
            </w:r>
            <w:r>
              <w:rPr>
                <w:rFonts w:ascii="Times New Roman" w:eastAsia="Times New Roman" w:hAnsi="Times New Roman" w:cs="Times New Roman"/>
                <w:b/>
                <w:bCs/>
                <w:noProof/>
                <w:color w:val="000000"/>
                <w:kern w:val="3"/>
                <w:sz w:val="20"/>
                <w:szCs w:val="20"/>
                <w:lang w:val="en-IE" w:eastAsia="en-IE"/>
              </w:rPr>
              <w:t>.</w:t>
            </w:r>
            <w:r w:rsidRPr="00DD0DC9">
              <w:rPr>
                <w:rFonts w:ascii="Times New Roman" w:eastAsia="Times New Roman" w:hAnsi="Times New Roman" w:cs="Times New Roman"/>
                <w:noProof/>
                <w:color w:val="000000"/>
                <w:kern w:val="3"/>
                <w:sz w:val="20"/>
                <w:szCs w:val="20"/>
                <w:lang w:val="en-IE" w:eastAsia="en-IE"/>
              </w:rPr>
              <w:t> </w:t>
            </w:r>
            <w:r w:rsidRPr="00DD0DC9">
              <w:rPr>
                <w:rFonts w:ascii="Times New Roman" w:eastAsia="Times New Roman" w:hAnsi="Times New Roman" w:cs="Times New Roman"/>
                <w:noProof/>
                <w:kern w:val="3"/>
                <w:sz w:val="20"/>
                <w:szCs w:val="20"/>
                <w:lang w:val="en-IE" w:eastAsia="en-IE"/>
              </w:rPr>
              <w:t>  </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172203F4"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2.24% (2024) </w:t>
            </w:r>
          </w:p>
          <w:p w14:paraId="0EFE6D8D"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color w:val="000000"/>
                <w:kern w:val="3"/>
                <w:sz w:val="20"/>
                <w:szCs w:val="20"/>
                <w:lang w:val="en-IE" w:eastAsia="en-IE"/>
              </w:rPr>
              <w:t>2.26% (2023)</w:t>
            </w:r>
          </w:p>
        </w:tc>
      </w:tr>
      <w:tr w:rsidR="00DD0DC9" w:rsidRPr="00DD0DC9" w14:paraId="2DC5C7F4"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6DDAFE87" w14:textId="0993A103"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1</w:t>
            </w:r>
            <w:r>
              <w:rPr>
                <w:rFonts w:ascii="Times New Roman" w:eastAsia="Times New Roman" w:hAnsi="Times New Roman" w:cs="Times New Roman"/>
                <w:noProof/>
                <w:color w:val="000000"/>
                <w:kern w:val="3"/>
                <w:sz w:val="20"/>
                <w:szCs w:val="20"/>
                <w:lang w:val="en-IE" w:eastAsia="en-IE"/>
              </w:rPr>
              <w:t>3</w:t>
            </w:r>
            <w:r w:rsidRPr="00DD0DC9">
              <w:rPr>
                <w:rFonts w:ascii="Times New Roman" w:eastAsia="Times New Roman" w:hAnsi="Times New Roman" w:cs="Times New Roman"/>
                <w:noProof/>
                <w:color w:val="000000"/>
                <w:kern w:val="3"/>
                <w:sz w:val="20"/>
                <w:szCs w:val="20"/>
                <w:lang w:val="en-IE" w:eastAsia="en-IE"/>
              </w:rPr>
              <w:t>: Patent applications  </w:t>
            </w:r>
            <w:r w:rsidRPr="00DD0DC9">
              <w:rPr>
                <w:rFonts w:ascii="Times New Roman" w:eastAsia="Times New Roman" w:hAnsi="Times New Roman" w:cs="Times New Roman"/>
                <w:noProof/>
                <w:kern w:val="3"/>
                <w:sz w:val="20"/>
                <w:szCs w:val="20"/>
                <w:lang w:val="en-IE" w:eastAsia="en-IE"/>
              </w:rPr>
              <w:t>   </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05638512" w14:textId="77777777" w:rsidR="00DD0DC9" w:rsidRPr="000D6F7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fr-BE"/>
              </w:rPr>
            </w:pPr>
            <w:r w:rsidRPr="000D6F7C">
              <w:rPr>
                <w:rFonts w:ascii="Times New Roman" w:eastAsia="Times New Roman" w:hAnsi="Times New Roman" w:cs="Times New Roman"/>
                <w:noProof/>
                <w:kern w:val="3"/>
                <w:sz w:val="20"/>
                <w:szCs w:val="20"/>
                <w:lang w:val="fr-BE" w:eastAsia="en-IE"/>
              </w:rPr>
              <w:t>Patent applications per million inhabitants</w:t>
            </w:r>
            <w:r w:rsidRPr="00DD0DC9">
              <w:rPr>
                <w:rFonts w:ascii="Times New Roman" w:eastAsia="Times New Roman" w:hAnsi="Times New Roman" w:cs="Times New Roman"/>
                <w:noProof/>
                <w:kern w:val="3"/>
                <w:sz w:val="20"/>
                <w:szCs w:val="20"/>
                <w:vertAlign w:val="superscript"/>
                <w:lang w:val="en-IE" w:eastAsia="en-IE"/>
              </w:rPr>
              <w:footnoteReference w:id="19"/>
            </w:r>
            <w:r w:rsidRPr="000D6F7C">
              <w:rPr>
                <w:rFonts w:ascii="Times New Roman" w:eastAsia="Times New Roman" w:hAnsi="Times New Roman" w:cs="Times New Roman"/>
                <w:noProof/>
                <w:kern w:val="3"/>
                <w:sz w:val="20"/>
                <w:szCs w:val="20"/>
                <w:lang w:val="fr-BE" w:eastAsia="en-IE"/>
              </w:rPr>
              <w:t>.</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55F4B91D"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152 (2024)</w:t>
            </w:r>
          </w:p>
          <w:p w14:paraId="286E6281"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153 (2023)  </w:t>
            </w:r>
          </w:p>
        </w:tc>
      </w:tr>
      <w:tr w:rsidR="00DD0DC9" w:rsidRPr="00DD0DC9" w14:paraId="51A30F2E"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C5E0B3"/>
          </w:tcPr>
          <w:p w14:paraId="1794B45C" w14:textId="7A3E1CB8"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1</w:t>
            </w:r>
            <w:r>
              <w:rPr>
                <w:rFonts w:ascii="Times New Roman" w:eastAsia="Times New Roman" w:hAnsi="Times New Roman" w:cs="Times New Roman"/>
                <w:noProof/>
                <w:color w:val="000000"/>
                <w:kern w:val="3"/>
                <w:sz w:val="20"/>
                <w:szCs w:val="20"/>
                <w:lang w:val="en-IE" w:eastAsia="en-IE"/>
              </w:rPr>
              <w:t>4</w:t>
            </w:r>
            <w:r w:rsidRPr="00DD0DC9">
              <w:rPr>
                <w:rFonts w:ascii="Times New Roman" w:eastAsia="Times New Roman" w:hAnsi="Times New Roman" w:cs="Times New Roman"/>
                <w:noProof/>
                <w:color w:val="000000"/>
                <w:kern w:val="3"/>
                <w:sz w:val="20"/>
                <w:szCs w:val="20"/>
                <w:lang w:val="en-IE" w:eastAsia="en-IE"/>
              </w:rPr>
              <w:t>: Digital technologies adoption by companies  </w:t>
            </w:r>
            <w:r w:rsidRPr="00DD0DC9">
              <w:rPr>
                <w:rFonts w:ascii="Times New Roman" w:eastAsia="Times New Roman" w:hAnsi="Times New Roman" w:cs="Times New Roman"/>
                <w:noProof/>
                <w:kern w:val="3"/>
                <w:sz w:val="20"/>
                <w:szCs w:val="20"/>
                <w:lang w:val="en-IE" w:eastAsia="en-IE"/>
              </w:rPr>
              <w:t>   </w:t>
            </w:r>
          </w:p>
        </w:tc>
        <w:tc>
          <w:tcPr>
            <w:tcW w:w="3685" w:type="dxa"/>
            <w:tcBorders>
              <w:top w:val="single" w:sz="4" w:space="0" w:color="auto"/>
              <w:left w:val="single" w:sz="4" w:space="0" w:color="auto"/>
              <w:bottom w:val="single" w:sz="4" w:space="0" w:color="auto"/>
              <w:right w:val="single" w:sz="4" w:space="0" w:color="auto"/>
            </w:tcBorders>
            <w:shd w:val="clear" w:color="auto" w:fill="C5E0B3"/>
          </w:tcPr>
          <w:p w14:paraId="3ED7E34C"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Share of European enterprises that have taken up cloud computing services, data analytics and/or Artificial Intelligence.</w:t>
            </w:r>
            <w:r w:rsidRPr="00DD0DC9">
              <w:rPr>
                <w:rFonts w:ascii="Times New Roman" w:eastAsia="Times New Roman" w:hAnsi="Times New Roman" w:cs="Times New Roman"/>
                <w:b/>
                <w:bCs/>
                <w:noProof/>
                <w:kern w:val="3"/>
                <w:sz w:val="20"/>
                <w:szCs w:val="20"/>
                <w:lang w:val="en-IE" w:eastAsia="en-IE"/>
              </w:rPr>
              <w:t xml:space="preserve"> Target = </w:t>
            </w:r>
            <w:r w:rsidRPr="00DD0DC9">
              <w:rPr>
                <w:rFonts w:ascii="Times New Roman" w:eastAsia="Times New Roman" w:hAnsi="Times New Roman" w:cs="Times New Roman"/>
                <w:b/>
                <w:bCs/>
                <w:noProof/>
                <w:color w:val="000000"/>
                <w:kern w:val="3"/>
                <w:sz w:val="20"/>
                <w:szCs w:val="20"/>
                <w:lang w:val="en-IE" w:eastAsia="en-IE"/>
              </w:rPr>
              <w:t>75% by 2030.</w:t>
            </w:r>
          </w:p>
        </w:tc>
        <w:tc>
          <w:tcPr>
            <w:tcW w:w="2835" w:type="dxa"/>
            <w:tcBorders>
              <w:top w:val="single" w:sz="4" w:space="0" w:color="auto"/>
              <w:left w:val="single" w:sz="4" w:space="0" w:color="auto"/>
              <w:bottom w:val="single" w:sz="4" w:space="0" w:color="auto"/>
              <w:right w:val="single" w:sz="4" w:space="0" w:color="auto"/>
            </w:tcBorders>
            <w:shd w:val="clear" w:color="auto" w:fill="C5E0B3"/>
          </w:tcPr>
          <w:p w14:paraId="7B37A516" w14:textId="6ED67FC9"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sidRPr="00DD0DC9">
              <w:rPr>
                <w:rFonts w:ascii="Times New Roman" w:eastAsia="Times New Roman" w:hAnsi="Times New Roman" w:cs="Times New Roman"/>
                <w:noProof/>
                <w:kern w:val="3"/>
                <w:sz w:val="20"/>
                <w:szCs w:val="20"/>
                <w:lang w:val="en-IE" w:eastAsia="en-IE"/>
              </w:rPr>
              <w:t>Artificial intelligence:  </w:t>
            </w:r>
          </w:p>
          <w:p w14:paraId="20C52BF7" w14:textId="6572B6D3" w:rsidR="00DD0DC9" w:rsidRPr="00DD0DC9" w:rsidRDefault="0020321D"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Pr>
                <w:rFonts w:ascii="Times New Roman" w:eastAsia="Times New Roman" w:hAnsi="Times New Roman" w:cs="Times New Roman"/>
                <w:noProof/>
                <w:kern w:val="3"/>
                <w:sz w:val="20"/>
                <w:szCs w:val="20"/>
                <w:lang w:val="en-IE" w:eastAsia="en-IE"/>
              </w:rPr>
              <w:t>20% (2025)</w:t>
            </w:r>
            <w:r w:rsidR="00B21F38">
              <w:rPr>
                <w:rFonts w:ascii="Times New Roman" w:eastAsia="Times New Roman" w:hAnsi="Times New Roman" w:cs="Times New Roman"/>
                <w:noProof/>
                <w:kern w:val="3"/>
                <w:sz w:val="20"/>
                <w:szCs w:val="20"/>
                <w:lang w:val="en-IE" w:eastAsia="en-IE"/>
              </w:rPr>
              <w:t xml:space="preserve">, </w:t>
            </w:r>
            <w:r w:rsidR="00DD0DC9" w:rsidRPr="00DD0DC9">
              <w:rPr>
                <w:rFonts w:ascii="Times New Roman" w:eastAsia="Times New Roman" w:hAnsi="Times New Roman" w:cs="Times New Roman"/>
                <w:noProof/>
                <w:kern w:val="3"/>
                <w:sz w:val="20"/>
                <w:szCs w:val="20"/>
                <w:lang w:val="en-IE" w:eastAsia="en-IE"/>
              </w:rPr>
              <w:t>13.5% (2024)</w:t>
            </w:r>
          </w:p>
          <w:p w14:paraId="473456A8"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sidRPr="00DD0DC9">
              <w:rPr>
                <w:rFonts w:ascii="Times New Roman" w:eastAsia="Times New Roman" w:hAnsi="Times New Roman" w:cs="Times New Roman"/>
                <w:noProof/>
                <w:kern w:val="3"/>
                <w:sz w:val="20"/>
                <w:szCs w:val="20"/>
                <w:lang w:val="en-IE" w:eastAsia="en-IE"/>
              </w:rPr>
              <w:t xml:space="preserve">Data analytics: </w:t>
            </w:r>
          </w:p>
          <w:p w14:paraId="3DED4026" w14:textId="7CDCB62F" w:rsidR="00DD0DC9" w:rsidRPr="00DD0DC9" w:rsidRDefault="00AF267C"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Pr>
                <w:rFonts w:ascii="Times New Roman" w:eastAsia="Times New Roman" w:hAnsi="Times New Roman" w:cs="Times New Roman"/>
                <w:noProof/>
                <w:kern w:val="3"/>
                <w:sz w:val="20"/>
                <w:szCs w:val="20"/>
                <w:lang w:val="en-IE" w:eastAsia="en-IE"/>
              </w:rPr>
              <w:t>39</w:t>
            </w:r>
            <w:r w:rsidR="000F5FAB">
              <w:rPr>
                <w:rFonts w:ascii="Times New Roman" w:eastAsia="Times New Roman" w:hAnsi="Times New Roman" w:cs="Times New Roman"/>
                <w:noProof/>
                <w:kern w:val="3"/>
                <w:sz w:val="20"/>
                <w:szCs w:val="20"/>
                <w:lang w:val="en-IE" w:eastAsia="en-IE"/>
              </w:rPr>
              <w:t>.</w:t>
            </w:r>
            <w:r w:rsidR="008F71FF">
              <w:rPr>
                <w:rFonts w:ascii="Times New Roman" w:eastAsia="Times New Roman" w:hAnsi="Times New Roman" w:cs="Times New Roman"/>
                <w:noProof/>
                <w:kern w:val="3"/>
                <w:sz w:val="20"/>
                <w:szCs w:val="20"/>
                <w:lang w:val="en-IE" w:eastAsia="en-IE"/>
              </w:rPr>
              <w:t xml:space="preserve">9% (2025), </w:t>
            </w:r>
            <w:r w:rsidR="00DD0DC9" w:rsidRPr="00DD0DC9">
              <w:rPr>
                <w:rFonts w:ascii="Times New Roman" w:eastAsia="Times New Roman" w:hAnsi="Times New Roman" w:cs="Times New Roman"/>
                <w:noProof/>
                <w:kern w:val="3"/>
                <w:sz w:val="20"/>
                <w:szCs w:val="20"/>
                <w:lang w:val="en-IE" w:eastAsia="en-IE"/>
              </w:rPr>
              <w:t>33.2% (2023)</w:t>
            </w:r>
          </w:p>
          <w:p w14:paraId="51C2D8D5"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sidRPr="00DD0DC9">
              <w:rPr>
                <w:rFonts w:ascii="Times New Roman" w:eastAsia="Times New Roman" w:hAnsi="Times New Roman" w:cs="Times New Roman"/>
                <w:noProof/>
                <w:kern w:val="3"/>
                <w:sz w:val="20"/>
                <w:szCs w:val="20"/>
                <w:lang w:val="en-IE" w:eastAsia="en-IE"/>
              </w:rPr>
              <w:t xml:space="preserve">Cloud computing services: </w:t>
            </w:r>
          </w:p>
          <w:p w14:paraId="3B0533DA" w14:textId="3A461ABE" w:rsidR="00DD0DC9" w:rsidRPr="00DD0DC9" w:rsidRDefault="00386F71"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Pr>
                <w:rFonts w:ascii="Times New Roman" w:eastAsia="Times New Roman" w:hAnsi="Times New Roman" w:cs="Times New Roman"/>
                <w:noProof/>
                <w:kern w:val="3"/>
                <w:sz w:val="20"/>
                <w:szCs w:val="20"/>
                <w:lang w:val="en-IE" w:eastAsia="en-IE"/>
              </w:rPr>
              <w:t>46</w:t>
            </w:r>
            <w:r w:rsidR="007D2B3A">
              <w:rPr>
                <w:rFonts w:ascii="Times New Roman" w:eastAsia="Times New Roman" w:hAnsi="Times New Roman" w:cs="Times New Roman"/>
                <w:noProof/>
                <w:kern w:val="3"/>
                <w:sz w:val="20"/>
                <w:szCs w:val="20"/>
                <w:lang w:val="en-IE" w:eastAsia="en-IE"/>
              </w:rPr>
              <w:t xml:space="preserve">.7% (2025), </w:t>
            </w:r>
            <w:r w:rsidR="00DD0DC9" w:rsidRPr="00DD0DC9">
              <w:rPr>
                <w:rFonts w:ascii="Times New Roman" w:eastAsia="Times New Roman" w:hAnsi="Times New Roman" w:cs="Times New Roman"/>
                <w:noProof/>
                <w:kern w:val="3"/>
                <w:sz w:val="20"/>
                <w:szCs w:val="20"/>
                <w:lang w:val="en-IE" w:eastAsia="en-IE"/>
              </w:rPr>
              <w:t>38.9% (2023) </w:t>
            </w:r>
          </w:p>
        </w:tc>
      </w:tr>
      <w:tr w:rsidR="00DD0DC9" w:rsidRPr="00DD0DC9" w14:paraId="7450194C"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778A4182" w14:textId="29B1C1CD"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1</w:t>
            </w:r>
            <w:r>
              <w:rPr>
                <w:rFonts w:ascii="Times New Roman" w:eastAsia="Times New Roman" w:hAnsi="Times New Roman" w:cs="Times New Roman"/>
                <w:noProof/>
                <w:color w:val="000000"/>
                <w:kern w:val="3"/>
                <w:sz w:val="20"/>
                <w:szCs w:val="20"/>
                <w:lang w:val="en-IE" w:eastAsia="en-IE"/>
              </w:rPr>
              <w:t>5</w:t>
            </w:r>
            <w:r w:rsidRPr="00DD0DC9">
              <w:rPr>
                <w:rFonts w:ascii="Times New Roman" w:eastAsia="Times New Roman" w:hAnsi="Times New Roman" w:cs="Times New Roman"/>
                <w:noProof/>
                <w:color w:val="000000"/>
                <w:kern w:val="3"/>
                <w:sz w:val="20"/>
                <w:szCs w:val="20"/>
                <w:lang w:val="en-IE" w:eastAsia="en-IE"/>
              </w:rPr>
              <w:t>: Employment rate</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0E00045A"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The share of working-age people employed.</w:t>
            </w:r>
            <w:r w:rsidRPr="00DD0DC9">
              <w:rPr>
                <w:rFonts w:ascii="Times New Roman" w:eastAsia="Times New Roman" w:hAnsi="Times New Roman" w:cs="Times New Roman"/>
                <w:b/>
                <w:bCs/>
                <w:noProof/>
                <w:kern w:val="3"/>
                <w:sz w:val="20"/>
                <w:szCs w:val="20"/>
                <w:lang w:val="en-IE" w:eastAsia="en-IE"/>
              </w:rPr>
              <w:t xml:space="preserve">  Target = </w:t>
            </w:r>
            <w:r w:rsidRPr="00DD0DC9">
              <w:rPr>
                <w:rFonts w:ascii="Times New Roman" w:eastAsia="Times New Roman" w:hAnsi="Times New Roman" w:cs="Times New Roman"/>
                <w:b/>
                <w:bCs/>
                <w:noProof/>
                <w:color w:val="000000"/>
                <w:kern w:val="3"/>
                <w:sz w:val="20"/>
                <w:szCs w:val="20"/>
                <w:lang w:val="en-IE" w:eastAsia="en-IE"/>
              </w:rPr>
              <w:t>78% by 2030.</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31B3A85E"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75.8% (2024)</w:t>
            </w:r>
          </w:p>
          <w:p w14:paraId="544EF66A"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75.3% (2023)</w:t>
            </w:r>
          </w:p>
        </w:tc>
      </w:tr>
      <w:tr w:rsidR="00DD0DC9" w:rsidRPr="00DD0DC9" w14:paraId="6AC40CB5"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4B083"/>
          </w:tcPr>
          <w:p w14:paraId="3FE75BD1" w14:textId="461E7166"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1</w:t>
            </w:r>
            <w:r>
              <w:rPr>
                <w:rFonts w:ascii="Times New Roman" w:eastAsia="Times New Roman" w:hAnsi="Times New Roman" w:cs="Times New Roman"/>
                <w:noProof/>
                <w:color w:val="000000"/>
                <w:kern w:val="3"/>
                <w:sz w:val="20"/>
                <w:szCs w:val="20"/>
                <w:lang w:val="en-IE" w:eastAsia="en-IE"/>
              </w:rPr>
              <w:t>6</w:t>
            </w:r>
            <w:r w:rsidRPr="00DD0DC9">
              <w:rPr>
                <w:rFonts w:ascii="Times New Roman" w:eastAsia="Times New Roman" w:hAnsi="Times New Roman" w:cs="Times New Roman"/>
                <w:noProof/>
                <w:color w:val="000000"/>
                <w:kern w:val="3"/>
                <w:sz w:val="20"/>
                <w:szCs w:val="20"/>
                <w:lang w:val="en-IE" w:eastAsia="en-IE"/>
              </w:rPr>
              <w:t>: Labour shortages relevant for the green transition</w:t>
            </w:r>
          </w:p>
        </w:tc>
        <w:tc>
          <w:tcPr>
            <w:tcW w:w="3685" w:type="dxa"/>
            <w:tcBorders>
              <w:top w:val="single" w:sz="4" w:space="0" w:color="auto"/>
              <w:left w:val="single" w:sz="4" w:space="0" w:color="auto"/>
              <w:bottom w:val="single" w:sz="4" w:space="0" w:color="auto"/>
              <w:right w:val="single" w:sz="4" w:space="0" w:color="auto"/>
            </w:tcBorders>
            <w:shd w:val="clear" w:color="auto" w:fill="F4B083"/>
          </w:tcPr>
          <w:p w14:paraId="29BA2749"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rPr>
              <w:t>Number of occupations requiring specific skills for the green transition where at least five Member States reported a shortage.</w:t>
            </w:r>
          </w:p>
        </w:tc>
        <w:tc>
          <w:tcPr>
            <w:tcW w:w="2835" w:type="dxa"/>
            <w:tcBorders>
              <w:top w:val="single" w:sz="4" w:space="0" w:color="auto"/>
              <w:left w:val="single" w:sz="4" w:space="0" w:color="auto"/>
              <w:bottom w:val="single" w:sz="4" w:space="0" w:color="auto"/>
              <w:right w:val="single" w:sz="4" w:space="0" w:color="auto"/>
            </w:tcBorders>
            <w:shd w:val="clear" w:color="auto" w:fill="F4B083"/>
          </w:tcPr>
          <w:p w14:paraId="6581E47F"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sidRPr="00DD0DC9">
              <w:rPr>
                <w:rFonts w:ascii="Times New Roman" w:eastAsia="Times New Roman" w:hAnsi="Times New Roman" w:cs="Times New Roman"/>
                <w:noProof/>
                <w:kern w:val="3"/>
                <w:sz w:val="20"/>
                <w:szCs w:val="20"/>
                <w:lang w:val="en-IE" w:eastAsia="en-IE"/>
              </w:rPr>
              <w:t>25 (2024)</w:t>
            </w:r>
          </w:p>
          <w:p w14:paraId="4327D931"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lang w:val="en-IE" w:eastAsia="en-IE"/>
              </w:rPr>
            </w:pPr>
            <w:r w:rsidRPr="00DD0DC9">
              <w:rPr>
                <w:rFonts w:ascii="Times New Roman" w:eastAsia="Times New Roman" w:hAnsi="Times New Roman" w:cs="Times New Roman"/>
                <w:noProof/>
                <w:kern w:val="3"/>
                <w:sz w:val="20"/>
                <w:szCs w:val="20"/>
                <w:lang w:val="en-IE" w:eastAsia="en-IE"/>
              </w:rPr>
              <w:t>13 (2023)</w:t>
            </w:r>
          </w:p>
        </w:tc>
      </w:tr>
      <w:tr w:rsidR="00DD0DC9" w:rsidRPr="00DD0DC9" w14:paraId="6800C511"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4B083"/>
          </w:tcPr>
          <w:p w14:paraId="7E2868C5" w14:textId="4EF64560"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1</w:t>
            </w:r>
            <w:r>
              <w:rPr>
                <w:rFonts w:ascii="Times New Roman" w:eastAsia="Times New Roman" w:hAnsi="Times New Roman" w:cs="Times New Roman"/>
                <w:noProof/>
                <w:color w:val="000000"/>
                <w:kern w:val="3"/>
                <w:sz w:val="20"/>
                <w:szCs w:val="20"/>
                <w:lang w:val="en-IE" w:eastAsia="en-IE"/>
              </w:rPr>
              <w:t>7</w:t>
            </w:r>
            <w:r w:rsidRPr="00DD0DC9">
              <w:rPr>
                <w:rFonts w:ascii="Times New Roman" w:eastAsia="Times New Roman" w:hAnsi="Times New Roman" w:cs="Times New Roman"/>
                <w:noProof/>
                <w:color w:val="000000"/>
                <w:kern w:val="3"/>
                <w:sz w:val="20"/>
                <w:szCs w:val="20"/>
                <w:lang w:val="en-IE" w:eastAsia="en-IE"/>
              </w:rPr>
              <w:t>: PISA score       </w:t>
            </w:r>
          </w:p>
        </w:tc>
        <w:tc>
          <w:tcPr>
            <w:tcW w:w="3685" w:type="dxa"/>
            <w:tcBorders>
              <w:top w:val="single" w:sz="4" w:space="0" w:color="auto"/>
              <w:left w:val="single" w:sz="4" w:space="0" w:color="auto"/>
              <w:bottom w:val="single" w:sz="4" w:space="0" w:color="auto"/>
              <w:right w:val="single" w:sz="4" w:space="0" w:color="auto"/>
            </w:tcBorders>
            <w:shd w:val="clear" w:color="auto" w:fill="F4B083"/>
          </w:tcPr>
          <w:p w14:paraId="6F4858C8"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15-year-olds’ performance in the OECD’s PISA tests. High scores indicate better performance.</w:t>
            </w:r>
          </w:p>
        </w:tc>
        <w:tc>
          <w:tcPr>
            <w:tcW w:w="2835" w:type="dxa"/>
            <w:tcBorders>
              <w:top w:val="single" w:sz="4" w:space="0" w:color="auto"/>
              <w:left w:val="single" w:sz="4" w:space="0" w:color="auto"/>
              <w:bottom w:val="single" w:sz="4" w:space="0" w:color="auto"/>
              <w:right w:val="single" w:sz="4" w:space="0" w:color="auto"/>
            </w:tcBorders>
            <w:shd w:val="clear" w:color="auto" w:fill="F4B083"/>
          </w:tcPr>
          <w:p w14:paraId="4582DD61"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color w:val="000000"/>
                <w:kern w:val="3"/>
                <w:sz w:val="8"/>
                <w:szCs w:val="8"/>
                <w:lang w:val="en-IE" w:eastAsia="en-IE"/>
              </w:rPr>
            </w:pPr>
            <w:r w:rsidRPr="00DD0DC9">
              <w:rPr>
                <w:rFonts w:ascii="Times New Roman" w:eastAsia="Times New Roman" w:hAnsi="Times New Roman" w:cs="Times New Roman"/>
                <w:noProof/>
                <w:color w:val="000000"/>
                <w:kern w:val="3"/>
                <w:sz w:val="20"/>
                <w:szCs w:val="20"/>
                <w:lang w:val="en-IE" w:eastAsia="en-IE"/>
              </w:rPr>
              <w:t>Maths: 474 (2022), 492 (2018)</w:t>
            </w:r>
          </w:p>
          <w:p w14:paraId="48739B4B"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color w:val="000000"/>
                <w:kern w:val="3"/>
                <w:sz w:val="8"/>
                <w:szCs w:val="8"/>
                <w:lang w:val="en-IE" w:eastAsia="en-IE"/>
              </w:rPr>
            </w:pPr>
            <w:r w:rsidRPr="00DD0DC9">
              <w:rPr>
                <w:rFonts w:ascii="Times New Roman" w:eastAsia="Times New Roman" w:hAnsi="Times New Roman" w:cs="Times New Roman"/>
                <w:noProof/>
                <w:color w:val="000000"/>
                <w:kern w:val="3"/>
                <w:sz w:val="20"/>
                <w:szCs w:val="20"/>
                <w:lang w:val="en-IE" w:eastAsia="en-IE"/>
              </w:rPr>
              <w:t>Reading: 475 (2022), 488 (2018)</w:t>
            </w:r>
          </w:p>
          <w:p w14:paraId="161969E9"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Science: 484 (2022), 488 (2018) </w:t>
            </w:r>
          </w:p>
        </w:tc>
      </w:tr>
    </w:tbl>
    <w:p w14:paraId="00950A93" w14:textId="1C4A00C1" w:rsidR="00DD0DC9" w:rsidRPr="00752EBF" w:rsidRDefault="00DD0DC9" w:rsidP="00A16BDF">
      <w:pPr>
        <w:spacing w:before="120"/>
        <w:jc w:val="both"/>
        <w:rPr>
          <w:rFonts w:ascii="Times New Roman" w:hAnsi="Times New Roman" w:cs="Times New Roman"/>
          <w:noProof/>
          <w:sz w:val="24"/>
          <w:szCs w:val="24"/>
          <w:lang w:val="en-IE"/>
        </w:rPr>
      </w:pPr>
      <w:r w:rsidRPr="00DD0DC9">
        <w:rPr>
          <w:rFonts w:ascii="Times New Roman" w:hAnsi="Times New Roman" w:cs="Times New Roman"/>
          <w:b/>
          <w:bCs/>
          <w:noProof/>
          <w:sz w:val="24"/>
          <w:szCs w:val="24"/>
          <w:lang w:val="en-IE"/>
        </w:rPr>
        <w:t xml:space="preserve">Notwithstanding the strong foundations of the EU research landscape, R&amp;D investment </w:t>
      </w:r>
      <w:r w:rsidR="005724E3">
        <w:rPr>
          <w:rFonts w:ascii="Times New Roman" w:hAnsi="Times New Roman" w:cs="Times New Roman"/>
          <w:b/>
          <w:bCs/>
          <w:noProof/>
          <w:sz w:val="24"/>
          <w:szCs w:val="24"/>
          <w:lang w:val="en-IE"/>
        </w:rPr>
        <w:t xml:space="preserve">in the EU </w:t>
      </w:r>
      <w:r w:rsidRPr="00DD0DC9">
        <w:rPr>
          <w:rFonts w:ascii="Times New Roman" w:hAnsi="Times New Roman" w:cs="Times New Roman"/>
          <w:b/>
          <w:bCs/>
          <w:noProof/>
          <w:sz w:val="24"/>
          <w:szCs w:val="24"/>
          <w:lang w:val="en-IE"/>
        </w:rPr>
        <w:t xml:space="preserve">still falls short of the 3% </w:t>
      </w:r>
      <w:r w:rsidR="005724E3">
        <w:rPr>
          <w:rFonts w:ascii="Times New Roman" w:hAnsi="Times New Roman" w:cs="Times New Roman"/>
          <w:b/>
          <w:bCs/>
          <w:noProof/>
          <w:sz w:val="24"/>
          <w:szCs w:val="24"/>
          <w:lang w:val="en-IE"/>
        </w:rPr>
        <w:t>of GDP</w:t>
      </w:r>
      <w:r w:rsidRPr="00DD0DC9">
        <w:rPr>
          <w:rFonts w:ascii="Times New Roman" w:hAnsi="Times New Roman" w:cs="Times New Roman"/>
          <w:b/>
          <w:bCs/>
          <w:noProof/>
          <w:sz w:val="24"/>
          <w:szCs w:val="24"/>
          <w:lang w:val="en-IE"/>
        </w:rPr>
        <w:t xml:space="preserve"> target.</w:t>
      </w:r>
      <w:r w:rsidRPr="00DD0DC9">
        <w:rPr>
          <w:noProof/>
          <w:lang w:val="en-IE"/>
        </w:rPr>
        <w:t xml:space="preserve"> </w:t>
      </w:r>
      <w:r w:rsidR="00E514C7">
        <w:rPr>
          <w:rFonts w:ascii="Times New Roman" w:hAnsi="Times New Roman" w:cs="Times New Roman"/>
          <w:noProof/>
          <w:sz w:val="24"/>
          <w:szCs w:val="24"/>
          <w:lang w:val="en-IE"/>
        </w:rPr>
        <w:t>T</w:t>
      </w:r>
      <w:r w:rsidRPr="00DD0DC9">
        <w:rPr>
          <w:rFonts w:ascii="Times New Roman" w:hAnsi="Times New Roman" w:cs="Times New Roman"/>
          <w:noProof/>
          <w:sz w:val="24"/>
          <w:szCs w:val="24"/>
          <w:lang w:val="en-IE"/>
        </w:rPr>
        <w:t xml:space="preserve">otal R&amp;D investment </w:t>
      </w:r>
      <w:r w:rsidR="00E514C7">
        <w:rPr>
          <w:rFonts w:ascii="Times New Roman" w:hAnsi="Times New Roman" w:cs="Times New Roman"/>
          <w:noProof/>
          <w:sz w:val="24"/>
          <w:szCs w:val="24"/>
          <w:lang w:val="en-IE"/>
        </w:rPr>
        <w:t xml:space="preserve">in the </w:t>
      </w:r>
      <w:r w:rsidR="00E514C7" w:rsidRPr="00DD0DC9">
        <w:rPr>
          <w:rFonts w:ascii="Times New Roman" w:hAnsi="Times New Roman" w:cs="Times New Roman"/>
          <w:noProof/>
          <w:sz w:val="24"/>
          <w:szCs w:val="24"/>
          <w:lang w:val="en-IE"/>
        </w:rPr>
        <w:t xml:space="preserve">EU </w:t>
      </w:r>
      <w:r w:rsidRPr="00DD0DC9">
        <w:rPr>
          <w:rFonts w:ascii="Times New Roman" w:hAnsi="Times New Roman" w:cs="Times New Roman"/>
          <w:noProof/>
          <w:sz w:val="24"/>
          <w:szCs w:val="24"/>
          <w:lang w:val="en-IE"/>
        </w:rPr>
        <w:t xml:space="preserve">reached 2.2 % of GDP in 2024, </w:t>
      </w:r>
      <w:r w:rsidRPr="00CE116F">
        <w:rPr>
          <w:rFonts w:ascii="Times New Roman" w:hAnsi="Times New Roman" w:cs="Times New Roman"/>
          <w:noProof/>
          <w:sz w:val="24"/>
          <w:szCs w:val="24"/>
          <w:lang w:val="en-IE"/>
        </w:rPr>
        <w:t>showing little progress</w:t>
      </w:r>
      <w:r w:rsidRPr="00DD0DC9">
        <w:rPr>
          <w:rFonts w:ascii="Times New Roman" w:hAnsi="Times New Roman" w:cs="Times New Roman"/>
          <w:noProof/>
          <w:sz w:val="24"/>
          <w:szCs w:val="24"/>
          <w:lang w:val="en-IE"/>
        </w:rPr>
        <w:t xml:space="preserve"> over the ten years and remaining below peers (KPI</w:t>
      </w:r>
      <w:r>
        <w:rPr>
          <w:rFonts w:ascii="Times New Roman" w:hAnsi="Times New Roman" w:cs="Times New Roman"/>
          <w:noProof/>
          <w:sz w:val="24"/>
          <w:szCs w:val="24"/>
          <w:lang w:val="en-IE"/>
        </w:rPr>
        <w:t> </w:t>
      </w:r>
      <w:r w:rsidRPr="00DD0DC9">
        <w:rPr>
          <w:rFonts w:ascii="Times New Roman" w:hAnsi="Times New Roman" w:cs="Times New Roman"/>
          <w:noProof/>
          <w:sz w:val="24"/>
          <w:szCs w:val="24"/>
          <w:lang w:val="en-IE"/>
        </w:rPr>
        <w:t>1</w:t>
      </w:r>
      <w:r>
        <w:rPr>
          <w:rFonts w:ascii="Times New Roman" w:hAnsi="Times New Roman" w:cs="Times New Roman"/>
          <w:noProof/>
          <w:sz w:val="24"/>
          <w:szCs w:val="24"/>
          <w:lang w:val="en-IE"/>
        </w:rPr>
        <w:t>2</w:t>
      </w:r>
      <w:r w:rsidRPr="00DD0DC9">
        <w:rPr>
          <w:rFonts w:ascii="Times New Roman" w:hAnsi="Times New Roman" w:cs="Times New Roman"/>
          <w:noProof/>
          <w:sz w:val="24"/>
          <w:szCs w:val="24"/>
          <w:lang w:val="en-IE"/>
        </w:rPr>
        <w:t>).</w:t>
      </w:r>
      <w:r w:rsidR="008D109C" w:rsidRPr="005B4F13">
        <w:rPr>
          <w:noProof/>
          <w:lang w:val="en-IE"/>
        </w:rPr>
        <w:t xml:space="preserve"> </w:t>
      </w:r>
      <w:r w:rsidR="00BA3F66" w:rsidRPr="00BA3F66">
        <w:rPr>
          <w:rFonts w:ascii="Times New Roman" w:hAnsi="Times New Roman" w:cs="Times New Roman"/>
          <w:noProof/>
          <w:sz w:val="24"/>
          <w:szCs w:val="24"/>
          <w:lang w:val="en-IE"/>
        </w:rPr>
        <w:t>Despite high public R&amp;D investment in the EU, private sector R&amp;D investment</w:t>
      </w:r>
      <w:r w:rsidR="00BA3F66">
        <w:rPr>
          <w:rFonts w:ascii="Times New Roman" w:hAnsi="Times New Roman" w:cs="Times New Roman"/>
          <w:noProof/>
          <w:sz w:val="24"/>
          <w:szCs w:val="24"/>
          <w:lang w:val="en-IE"/>
        </w:rPr>
        <w:t xml:space="preserve"> </w:t>
      </w:r>
      <w:r w:rsidR="00DA046D">
        <w:rPr>
          <w:rFonts w:ascii="Times New Roman" w:hAnsi="Times New Roman" w:cs="Times New Roman"/>
          <w:noProof/>
          <w:sz w:val="24"/>
          <w:szCs w:val="24"/>
          <w:lang w:val="en-IE"/>
        </w:rPr>
        <w:t>trails peers</w:t>
      </w:r>
      <w:r w:rsidR="004A69E7">
        <w:rPr>
          <w:rFonts w:ascii="Times New Roman" w:hAnsi="Times New Roman" w:cs="Times New Roman"/>
          <w:noProof/>
          <w:sz w:val="24"/>
          <w:szCs w:val="24"/>
          <w:lang w:val="en-IE"/>
        </w:rPr>
        <w:t xml:space="preserve">, </w:t>
      </w:r>
      <w:r w:rsidR="002462F9">
        <w:rPr>
          <w:rFonts w:ascii="Times New Roman" w:hAnsi="Times New Roman" w:cs="Times New Roman"/>
          <w:noProof/>
          <w:sz w:val="24"/>
          <w:szCs w:val="24"/>
          <w:lang w:val="en-IE"/>
        </w:rPr>
        <w:t xml:space="preserve">notably in </w:t>
      </w:r>
      <w:r w:rsidR="00FA4E1B">
        <w:rPr>
          <w:rFonts w:ascii="Times New Roman" w:hAnsi="Times New Roman" w:cs="Times New Roman"/>
          <w:noProof/>
          <w:sz w:val="24"/>
          <w:szCs w:val="24"/>
          <w:lang w:val="en-IE"/>
        </w:rPr>
        <w:t>overall</w:t>
      </w:r>
      <w:r w:rsidRPr="00DD0DC9">
        <w:rPr>
          <w:rFonts w:ascii="Times New Roman" w:hAnsi="Times New Roman" w:cs="Times New Roman"/>
          <w:noProof/>
          <w:sz w:val="24"/>
          <w:szCs w:val="24"/>
          <w:lang w:val="en-IE"/>
        </w:rPr>
        <w:t xml:space="preserve"> corporate R&amp;D</w:t>
      </w:r>
      <w:r w:rsidR="002C189D">
        <w:rPr>
          <w:rStyle w:val="FootnoteReference"/>
          <w:rFonts w:ascii="Times New Roman" w:hAnsi="Times New Roman"/>
          <w:noProof/>
          <w:sz w:val="24"/>
          <w:szCs w:val="24"/>
          <w:lang w:val="en-IE"/>
        </w:rPr>
        <w:footnoteReference w:id="20"/>
      </w:r>
      <w:r w:rsidRPr="00DD0DC9">
        <w:rPr>
          <w:rFonts w:ascii="Times New Roman" w:hAnsi="Times New Roman" w:cs="Times New Roman"/>
          <w:noProof/>
          <w:sz w:val="24"/>
          <w:szCs w:val="24"/>
          <w:lang w:val="en-IE"/>
        </w:rPr>
        <w:t xml:space="preserve"> and </w:t>
      </w:r>
      <w:r w:rsidR="00B058F9">
        <w:rPr>
          <w:rFonts w:ascii="Times New Roman" w:hAnsi="Times New Roman" w:cs="Times New Roman"/>
          <w:noProof/>
          <w:sz w:val="24"/>
          <w:szCs w:val="24"/>
          <w:lang w:val="en-IE"/>
        </w:rPr>
        <w:t xml:space="preserve">in </w:t>
      </w:r>
      <w:r w:rsidRPr="00DD0DC9">
        <w:rPr>
          <w:rFonts w:ascii="Times New Roman" w:hAnsi="Times New Roman" w:cs="Times New Roman"/>
          <w:noProof/>
          <w:sz w:val="24"/>
          <w:szCs w:val="24"/>
          <w:lang w:val="en-IE"/>
        </w:rPr>
        <w:t>digital tech</w:t>
      </w:r>
      <w:r w:rsidR="00140E59">
        <w:rPr>
          <w:rFonts w:ascii="Times New Roman" w:hAnsi="Times New Roman" w:cs="Times New Roman"/>
          <w:noProof/>
          <w:sz w:val="24"/>
          <w:szCs w:val="24"/>
          <w:lang w:val="en-IE"/>
        </w:rPr>
        <w:t>nology</w:t>
      </w:r>
      <w:r w:rsidR="000F53D7" w:rsidRPr="000F53D7">
        <w:rPr>
          <w:rFonts w:ascii="Times New Roman" w:hAnsi="Times New Roman" w:cs="Times New Roman"/>
          <w:noProof/>
          <w:sz w:val="24"/>
          <w:szCs w:val="24"/>
          <w:lang w:val="en-IE"/>
        </w:rPr>
        <w:t>.</w:t>
      </w:r>
      <w:r w:rsidR="000F53D7" w:rsidRPr="000F53D7">
        <w:rPr>
          <w:rFonts w:ascii="Times New Roman" w:hAnsi="Times New Roman" w:cs="Times New Roman"/>
          <w:b/>
          <w:bCs/>
          <w:noProof/>
          <w:sz w:val="24"/>
          <w:szCs w:val="24"/>
          <w:lang w:val="en-IE"/>
        </w:rPr>
        <w:t xml:space="preserve"> </w:t>
      </w:r>
      <w:r w:rsidRPr="00DD0DC9">
        <w:rPr>
          <w:rFonts w:ascii="Times New Roman" w:hAnsi="Times New Roman" w:cs="Times New Roman"/>
          <w:noProof/>
          <w:sz w:val="24"/>
          <w:szCs w:val="24"/>
          <w:lang w:val="en-IE"/>
        </w:rPr>
        <w:t xml:space="preserve">Innovation outcomes, such as Intellectual Property and patenting activity, which are crucial to commercial success and competitiveness, have also remained broadly flat </w:t>
      </w:r>
      <w:r w:rsidR="00437090">
        <w:rPr>
          <w:rFonts w:ascii="Times New Roman" w:hAnsi="Times New Roman" w:cs="Times New Roman"/>
          <w:noProof/>
          <w:sz w:val="24"/>
          <w:szCs w:val="24"/>
          <w:lang w:val="en-IE"/>
        </w:rPr>
        <w:t>in recent years</w:t>
      </w:r>
      <w:r w:rsidRPr="00DD0DC9">
        <w:rPr>
          <w:rFonts w:ascii="Times New Roman" w:hAnsi="Times New Roman" w:cs="Times New Roman"/>
          <w:noProof/>
          <w:sz w:val="24"/>
          <w:szCs w:val="24"/>
          <w:lang w:val="en-IE"/>
        </w:rPr>
        <w:t xml:space="preserve"> (KPI 1</w:t>
      </w:r>
      <w:r>
        <w:rPr>
          <w:rFonts w:ascii="Times New Roman" w:hAnsi="Times New Roman" w:cs="Times New Roman"/>
          <w:noProof/>
          <w:sz w:val="24"/>
          <w:szCs w:val="24"/>
          <w:lang w:val="en-IE"/>
        </w:rPr>
        <w:t>3</w:t>
      </w:r>
      <w:r w:rsidRPr="00DD0DC9">
        <w:rPr>
          <w:rFonts w:ascii="Times New Roman" w:hAnsi="Times New Roman" w:cs="Times New Roman"/>
          <w:noProof/>
          <w:sz w:val="24"/>
          <w:szCs w:val="24"/>
          <w:lang w:val="en-IE"/>
        </w:rPr>
        <w:t xml:space="preserve">). A closer look across the technology spectrum shows </w:t>
      </w:r>
      <w:r>
        <w:rPr>
          <w:rFonts w:ascii="Times New Roman" w:hAnsi="Times New Roman" w:cs="Times New Roman"/>
          <w:noProof/>
          <w:sz w:val="24"/>
          <w:szCs w:val="24"/>
          <w:lang w:val="en-IE"/>
        </w:rPr>
        <w:t xml:space="preserve">that </w:t>
      </w:r>
      <w:r w:rsidRPr="00DD0DC9">
        <w:rPr>
          <w:rFonts w:ascii="Times New Roman" w:hAnsi="Times New Roman" w:cs="Times New Roman"/>
          <w:noProof/>
          <w:sz w:val="24"/>
          <w:szCs w:val="24"/>
          <w:lang w:val="en-IE"/>
        </w:rPr>
        <w:t>the EU</w:t>
      </w:r>
      <w:r w:rsidR="0064089C">
        <w:rPr>
          <w:rFonts w:ascii="Times New Roman" w:hAnsi="Times New Roman" w:cs="Times New Roman"/>
          <w:noProof/>
          <w:sz w:val="24"/>
          <w:szCs w:val="24"/>
          <w:lang w:val="en-IE"/>
        </w:rPr>
        <w:t xml:space="preserve"> is</w:t>
      </w:r>
      <w:r w:rsidR="0064089C" w:rsidRPr="00DD0DC9">
        <w:rPr>
          <w:rFonts w:ascii="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 xml:space="preserve">a frontrunner in </w:t>
      </w:r>
      <w:r w:rsidR="0078557D">
        <w:rPr>
          <w:rFonts w:ascii="Times New Roman" w:hAnsi="Times New Roman" w:cs="Times New Roman"/>
          <w:noProof/>
          <w:sz w:val="24"/>
          <w:szCs w:val="24"/>
          <w:lang w:val="en-IE"/>
        </w:rPr>
        <w:t>green inventions</w:t>
      </w:r>
      <w:r w:rsidR="003C4443">
        <w:rPr>
          <w:rStyle w:val="FootnoteReference"/>
          <w:rFonts w:ascii="Times New Roman" w:hAnsi="Times New Roman" w:cs="Times New Roman"/>
          <w:noProof/>
          <w:sz w:val="24"/>
          <w:szCs w:val="24"/>
          <w:lang w:val="en-IE"/>
        </w:rPr>
        <w:footnoteReference w:id="21"/>
      </w:r>
      <w:r w:rsidRPr="00DD0DC9">
        <w:rPr>
          <w:rFonts w:ascii="Times New Roman" w:hAnsi="Times New Roman" w:cs="Times New Roman"/>
          <w:noProof/>
          <w:sz w:val="24"/>
          <w:szCs w:val="24"/>
          <w:lang w:val="en-IE"/>
        </w:rPr>
        <w:t>, and perform</w:t>
      </w:r>
      <w:r w:rsidR="00137D25">
        <w:rPr>
          <w:rFonts w:ascii="Times New Roman" w:hAnsi="Times New Roman" w:cs="Times New Roman"/>
          <w:noProof/>
          <w:sz w:val="24"/>
          <w:szCs w:val="24"/>
          <w:lang w:val="en-IE"/>
        </w:rPr>
        <w:t>s</w:t>
      </w:r>
      <w:r w:rsidRPr="00DD0DC9">
        <w:rPr>
          <w:rFonts w:ascii="Times New Roman" w:hAnsi="Times New Roman" w:cs="Times New Roman"/>
          <w:noProof/>
          <w:sz w:val="24"/>
          <w:szCs w:val="24"/>
          <w:lang w:val="en-IE"/>
        </w:rPr>
        <w:t xml:space="preserve"> well in </w:t>
      </w:r>
      <w:r w:rsidR="00D54E6A">
        <w:rPr>
          <w:rFonts w:ascii="Times New Roman" w:hAnsi="Times New Roman" w:cs="Times New Roman"/>
          <w:noProof/>
          <w:sz w:val="24"/>
          <w:szCs w:val="24"/>
          <w:lang w:val="en-IE"/>
        </w:rPr>
        <w:t>health</w:t>
      </w:r>
      <w:r>
        <w:rPr>
          <w:rFonts w:ascii="Times New Roman" w:hAnsi="Times New Roman" w:cs="Times New Roman"/>
          <w:noProof/>
          <w:sz w:val="24"/>
          <w:szCs w:val="24"/>
          <w:lang w:val="en-IE"/>
        </w:rPr>
        <w:t>,</w:t>
      </w:r>
      <w:r w:rsidR="00D54E6A">
        <w:rPr>
          <w:rFonts w:ascii="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biotech and pharmaceuticals</w:t>
      </w:r>
      <w:r>
        <w:rPr>
          <w:rStyle w:val="FootnoteReference"/>
          <w:rFonts w:ascii="Times New Roman" w:hAnsi="Times New Roman" w:cs="Times New Roman"/>
          <w:noProof/>
          <w:sz w:val="24"/>
          <w:szCs w:val="24"/>
          <w:lang w:val="en-IE"/>
        </w:rPr>
        <w:footnoteReference w:id="22"/>
      </w:r>
      <w:r w:rsidRPr="00DD0DC9">
        <w:rPr>
          <w:rFonts w:ascii="Times New Roman" w:hAnsi="Times New Roman" w:cs="Times New Roman"/>
          <w:noProof/>
          <w:sz w:val="24"/>
          <w:szCs w:val="24"/>
          <w:lang w:val="en-IE"/>
        </w:rPr>
        <w:t xml:space="preserve">, while it continues to score low in </w:t>
      </w:r>
      <w:r w:rsidR="00506E81">
        <w:rPr>
          <w:rFonts w:ascii="Times New Roman" w:hAnsi="Times New Roman" w:cs="Times New Roman"/>
          <w:noProof/>
          <w:sz w:val="24"/>
          <w:szCs w:val="24"/>
          <w:lang w:val="en-IE"/>
        </w:rPr>
        <w:t xml:space="preserve">the area of </w:t>
      </w:r>
      <w:r w:rsidRPr="00DD0DC9">
        <w:rPr>
          <w:rFonts w:ascii="Times New Roman" w:hAnsi="Times New Roman" w:cs="Times New Roman"/>
          <w:noProof/>
          <w:sz w:val="24"/>
          <w:szCs w:val="24"/>
          <w:lang w:val="en-IE"/>
        </w:rPr>
        <w:t>digital</w:t>
      </w:r>
      <w:r w:rsidRPr="00DD0DC9">
        <w:rPr>
          <w:rFonts w:ascii="Times New Roman" w:hAnsi="Times New Roman" w:cs="Times New Roman"/>
          <w:noProof/>
          <w:sz w:val="24"/>
          <w:szCs w:val="24"/>
          <w:vertAlign w:val="superscript"/>
          <w:lang w:val="en-IE"/>
        </w:rPr>
        <w:footnoteReference w:id="23"/>
      </w:r>
      <w:r w:rsidRPr="00DD0DC9">
        <w:rPr>
          <w:rFonts w:ascii="Times New Roman" w:hAnsi="Times New Roman" w:cs="Times New Roman"/>
          <w:noProof/>
          <w:sz w:val="24"/>
          <w:szCs w:val="24"/>
          <w:lang w:val="en-IE"/>
        </w:rPr>
        <w:t>.</w:t>
      </w:r>
      <w:r w:rsidRPr="00DD0DC9">
        <w:rPr>
          <w:rFonts w:ascii="Times New Roman" w:hAnsi="Times New Roman" w:cs="Times New Roman"/>
          <w:b/>
          <w:bCs/>
          <w:noProof/>
          <w:sz w:val="24"/>
          <w:szCs w:val="24"/>
          <w:lang w:val="en-IE"/>
        </w:rPr>
        <w:t xml:space="preserve"> </w:t>
      </w:r>
    </w:p>
    <w:p w14:paraId="70C3645E" w14:textId="7B9BB7DD" w:rsidR="00DD0DC9" w:rsidRPr="00DD0DC9" w:rsidRDefault="00DD0DC9" w:rsidP="65F341CF">
      <w:pPr>
        <w:pStyle w:val="Text1"/>
        <w:spacing w:after="160"/>
        <w:ind w:left="0"/>
        <w:rPr>
          <w:noProof/>
          <w:color w:val="000000" w:themeColor="text1"/>
        </w:rPr>
      </w:pPr>
      <w:r w:rsidRPr="65F341CF">
        <w:rPr>
          <w:b/>
          <w:bCs/>
          <w:noProof/>
        </w:rPr>
        <w:t>Even in areas where R&amp;D investments are being made and results achieved, starting and scaling up innovative companies remain challenging</w:t>
      </w:r>
      <w:r w:rsidRPr="65F341CF">
        <w:rPr>
          <w:noProof/>
        </w:rPr>
        <w:t xml:space="preserve">. Innovative companies </w:t>
      </w:r>
      <w:r w:rsidR="001E38A4" w:rsidRPr="65F341CF">
        <w:rPr>
          <w:noProof/>
        </w:rPr>
        <w:t xml:space="preserve">are hampered in their </w:t>
      </w:r>
      <w:r w:rsidR="008D5F78" w:rsidRPr="65F341CF">
        <w:rPr>
          <w:noProof/>
        </w:rPr>
        <w:t>efforts to commercialise research and</w:t>
      </w:r>
      <w:r w:rsidRPr="65F341CF">
        <w:rPr>
          <w:noProof/>
        </w:rPr>
        <w:t xml:space="preserve"> face regulatory fragmentation, heavy administrative burdens, and difficulties in access to finance</w:t>
      </w:r>
      <w:r w:rsidR="009E49BB" w:rsidRPr="65F341CF">
        <w:rPr>
          <w:noProof/>
        </w:rPr>
        <w:t xml:space="preserve">, </w:t>
      </w:r>
      <w:r w:rsidR="00CA1E3A" w:rsidRPr="65F341CF">
        <w:rPr>
          <w:noProof/>
        </w:rPr>
        <w:t>particularly venture capital</w:t>
      </w:r>
      <w:r w:rsidRPr="65F341CF">
        <w:rPr>
          <w:noProof/>
          <w:color w:val="000000" w:themeColor="text1"/>
        </w:rPr>
        <w:t xml:space="preserve">. </w:t>
      </w:r>
      <w:r w:rsidR="00CD77A9" w:rsidRPr="65F341CF">
        <w:rPr>
          <w:noProof/>
        </w:rPr>
        <w:t>Even though</w:t>
      </w:r>
      <w:r w:rsidRPr="65F341CF">
        <w:rPr>
          <w:noProof/>
        </w:rPr>
        <w:t xml:space="preserve"> Europe's tech sector gr</w:t>
      </w:r>
      <w:r w:rsidR="00CD77A9" w:rsidRPr="65F341CF">
        <w:rPr>
          <w:noProof/>
        </w:rPr>
        <w:t>e</w:t>
      </w:r>
      <w:r w:rsidRPr="65F341CF">
        <w:rPr>
          <w:noProof/>
        </w:rPr>
        <w:t>w by more than 15 000 new startups per year from 2018 to 2023,</w:t>
      </w:r>
      <w:r w:rsidR="009716A2" w:rsidRPr="65F341CF">
        <w:rPr>
          <w:noProof/>
        </w:rPr>
        <w:t xml:space="preserve"> </w:t>
      </w:r>
      <w:r w:rsidR="00B67977" w:rsidRPr="65F341CF">
        <w:rPr>
          <w:noProof/>
        </w:rPr>
        <w:t xml:space="preserve">it </w:t>
      </w:r>
      <w:r w:rsidR="001F76D3" w:rsidRPr="65F341CF">
        <w:rPr>
          <w:noProof/>
        </w:rPr>
        <w:t xml:space="preserve">produced only </w:t>
      </w:r>
      <w:r w:rsidR="00C94E6D" w:rsidRPr="65F341CF">
        <w:rPr>
          <w:noProof/>
        </w:rPr>
        <w:t>one fifth</w:t>
      </w:r>
      <w:r w:rsidR="00BD65BB" w:rsidRPr="65F341CF">
        <w:rPr>
          <w:noProof/>
        </w:rPr>
        <w:t xml:space="preserve"> </w:t>
      </w:r>
      <w:r w:rsidR="0059425B" w:rsidRPr="65F341CF">
        <w:rPr>
          <w:noProof/>
        </w:rPr>
        <w:t>as man</w:t>
      </w:r>
      <w:r w:rsidR="00015400" w:rsidRPr="65F341CF">
        <w:rPr>
          <w:noProof/>
        </w:rPr>
        <w:t xml:space="preserve">y </w:t>
      </w:r>
      <w:r w:rsidR="00D16FF2" w:rsidRPr="65F341CF">
        <w:rPr>
          <w:noProof/>
        </w:rPr>
        <w:t xml:space="preserve">new </w:t>
      </w:r>
      <w:r w:rsidRPr="65F341CF">
        <w:rPr>
          <w:noProof/>
        </w:rPr>
        <w:t>unicorns</w:t>
      </w:r>
      <w:r w:rsidR="004A322A" w:rsidRPr="65F341CF">
        <w:rPr>
          <w:noProof/>
        </w:rPr>
        <w:t xml:space="preserve"> </w:t>
      </w:r>
      <w:r w:rsidR="00015400" w:rsidRPr="65F341CF">
        <w:rPr>
          <w:noProof/>
        </w:rPr>
        <w:t>as</w:t>
      </w:r>
      <w:r w:rsidR="004A322A" w:rsidRPr="65F341CF">
        <w:rPr>
          <w:noProof/>
        </w:rPr>
        <w:t xml:space="preserve"> </w:t>
      </w:r>
      <w:r w:rsidR="00835A7B" w:rsidRPr="65F341CF">
        <w:rPr>
          <w:noProof/>
        </w:rPr>
        <w:t xml:space="preserve">in </w:t>
      </w:r>
      <w:r w:rsidR="004A322A" w:rsidRPr="003802D0">
        <w:rPr>
          <w:noProof/>
        </w:rPr>
        <w:t>the US</w:t>
      </w:r>
      <w:r w:rsidR="00C02B40" w:rsidRPr="003802D0">
        <w:rPr>
          <w:rStyle w:val="FootnoteReference"/>
          <w:noProof/>
        </w:rPr>
        <w:footnoteReference w:id="24"/>
      </w:r>
      <w:r w:rsidR="00C02B40" w:rsidRPr="003802D0">
        <w:rPr>
          <w:noProof/>
        </w:rPr>
        <w:t>.</w:t>
      </w:r>
      <w:r w:rsidR="00B12E78" w:rsidRPr="003802D0">
        <w:rPr>
          <w:noProof/>
        </w:rPr>
        <w:t xml:space="preserve"> </w:t>
      </w:r>
      <w:r w:rsidR="007065EA" w:rsidRPr="003802D0">
        <w:rPr>
          <w:noProof/>
        </w:rPr>
        <w:t>M</w:t>
      </w:r>
      <w:r w:rsidR="00491AD8" w:rsidRPr="003802D0">
        <w:rPr>
          <w:noProof/>
        </w:rPr>
        <w:t xml:space="preserve">oreover, </w:t>
      </w:r>
      <w:r w:rsidRPr="003802D0">
        <w:rPr>
          <w:noProof/>
        </w:rPr>
        <w:t>the EU’s market share in development of digital technologies remain modest</w:t>
      </w:r>
      <w:r w:rsidR="00491AD8" w:rsidRPr="003802D0">
        <w:rPr>
          <w:noProof/>
        </w:rPr>
        <w:t>,</w:t>
      </w:r>
      <w:r w:rsidR="009E7194" w:rsidRPr="003802D0">
        <w:rPr>
          <w:noProof/>
        </w:rPr>
        <w:t xml:space="preserve"> </w:t>
      </w:r>
      <w:r w:rsidR="009E7194" w:rsidRPr="003802D0">
        <w:rPr>
          <w:noProof/>
          <w:color w:val="000000" w:themeColor="text1"/>
        </w:rPr>
        <w:t>a</w:t>
      </w:r>
      <w:r w:rsidRPr="003802D0">
        <w:rPr>
          <w:noProof/>
          <w:color w:val="000000" w:themeColor="text1"/>
        </w:rPr>
        <w:t>s a result, the EU continues to rely heavily on external providers of notably digital technologies.</w:t>
      </w:r>
      <w:r>
        <w:rPr>
          <w:noProof/>
          <w:color w:val="000000" w:themeColor="text1"/>
        </w:rPr>
        <w:t xml:space="preserve"> Fostering the transition from laboratory to market is crucial in this context, as through the Biotech Act</w:t>
      </w:r>
      <w:r>
        <w:rPr>
          <w:rStyle w:val="FootnoteReference"/>
          <w:noProof/>
          <w:color w:val="000000" w:themeColor="text1"/>
          <w:lang w:val="en-IE"/>
        </w:rPr>
        <w:footnoteReference w:id="25"/>
      </w:r>
      <w:r>
        <w:rPr>
          <w:noProof/>
          <w:color w:val="000000" w:themeColor="text1"/>
        </w:rPr>
        <w:t xml:space="preserve">. </w:t>
      </w:r>
      <w:r w:rsidRPr="65F341CF">
        <w:rPr>
          <w:noProof/>
          <w:color w:val="000000" w:themeColor="text1"/>
        </w:rPr>
        <w:t xml:space="preserve"> </w:t>
      </w:r>
    </w:p>
    <w:p w14:paraId="12EE687B" w14:textId="004CAC8C" w:rsidR="00DD0DC9" w:rsidRPr="00DD0DC9" w:rsidRDefault="00DD0DC9" w:rsidP="00DD0DC9">
      <w:pPr>
        <w:pStyle w:val="Text1"/>
        <w:widowControl w:val="0"/>
        <w:spacing w:after="160"/>
        <w:ind w:left="0"/>
        <w:rPr>
          <w:noProof/>
          <w:color w:val="000000" w:themeColor="text1"/>
          <w:lang w:val="en-IE"/>
        </w:rPr>
      </w:pPr>
      <w:r w:rsidRPr="00DD0DC9">
        <w:rPr>
          <w:b/>
          <w:bCs/>
          <w:noProof/>
          <w:color w:val="000000" w:themeColor="text1"/>
          <w:lang w:val="en-IE"/>
        </w:rPr>
        <w:t>The adoption of digital technologies is increasing, but too slowly</w:t>
      </w:r>
      <w:r w:rsidR="005E774C">
        <w:rPr>
          <w:rStyle w:val="FootnoteReference"/>
          <w:b/>
          <w:bCs/>
          <w:noProof/>
          <w:color w:val="000000" w:themeColor="text1"/>
          <w:lang w:val="en-IE"/>
        </w:rPr>
        <w:footnoteReference w:id="26"/>
      </w:r>
      <w:r w:rsidRPr="00DD0DC9">
        <w:rPr>
          <w:b/>
          <w:bCs/>
          <w:noProof/>
          <w:color w:val="000000" w:themeColor="text1"/>
          <w:lang w:val="en-IE"/>
        </w:rPr>
        <w:t xml:space="preserve">. </w:t>
      </w:r>
      <w:r w:rsidRPr="00DD0DC9">
        <w:rPr>
          <w:noProof/>
          <w:color w:val="000000" w:themeColor="text1"/>
          <w:lang w:val="en-IE"/>
        </w:rPr>
        <w:t xml:space="preserve">The share of companies </w:t>
      </w:r>
      <w:r w:rsidR="00596930">
        <w:rPr>
          <w:noProof/>
          <w:color w:val="000000" w:themeColor="text1"/>
          <w:lang w:val="en-IE"/>
        </w:rPr>
        <w:t>in the EU</w:t>
      </w:r>
      <w:r w:rsidRPr="00DD0DC9">
        <w:rPr>
          <w:noProof/>
          <w:color w:val="000000" w:themeColor="text1"/>
          <w:lang w:val="en-IE"/>
        </w:rPr>
        <w:t xml:space="preserve"> using artificial intelligence, cloud computing and data analytics gr</w:t>
      </w:r>
      <w:r w:rsidR="005C6C99">
        <w:rPr>
          <w:noProof/>
          <w:color w:val="000000" w:themeColor="text1"/>
          <w:lang w:val="en-IE"/>
        </w:rPr>
        <w:t>ew significa</w:t>
      </w:r>
      <w:r w:rsidR="00060C68">
        <w:rPr>
          <w:noProof/>
          <w:color w:val="000000" w:themeColor="text1"/>
          <w:lang w:val="en-IE"/>
        </w:rPr>
        <w:t>ntly in 2025</w:t>
      </w:r>
      <w:r w:rsidR="00A47F4F">
        <w:rPr>
          <w:noProof/>
          <w:color w:val="000000" w:themeColor="text1"/>
          <w:lang w:val="en-IE"/>
        </w:rPr>
        <w:t>, yet</w:t>
      </w:r>
      <w:r w:rsidRPr="00DD0DC9">
        <w:rPr>
          <w:noProof/>
          <w:color w:val="000000" w:themeColor="text1"/>
          <w:lang w:val="en-IE"/>
        </w:rPr>
        <w:t xml:space="preserve"> </w:t>
      </w:r>
      <w:r w:rsidR="00E457F1">
        <w:rPr>
          <w:noProof/>
          <w:color w:val="000000" w:themeColor="text1"/>
          <w:lang w:val="en-IE"/>
        </w:rPr>
        <w:t>more</w:t>
      </w:r>
      <w:r w:rsidR="004D519C">
        <w:rPr>
          <w:noProof/>
          <w:color w:val="000000" w:themeColor="text1"/>
          <w:lang w:val="en-IE"/>
        </w:rPr>
        <w:t xml:space="preserve"> </w:t>
      </w:r>
      <w:r w:rsidRPr="00DD0DC9">
        <w:rPr>
          <w:noProof/>
          <w:color w:val="000000" w:themeColor="text1"/>
          <w:lang w:val="en-IE"/>
        </w:rPr>
        <w:t>slow</w:t>
      </w:r>
      <w:r w:rsidR="00E457F1">
        <w:rPr>
          <w:noProof/>
          <w:color w:val="000000" w:themeColor="text1"/>
          <w:lang w:val="en-IE"/>
        </w:rPr>
        <w:t>ly</w:t>
      </w:r>
      <w:r w:rsidR="004D519C">
        <w:rPr>
          <w:noProof/>
          <w:color w:val="000000" w:themeColor="text1"/>
          <w:lang w:val="en-IE"/>
        </w:rPr>
        <w:t xml:space="preserve"> </w:t>
      </w:r>
      <w:r w:rsidRPr="00DD0DC9">
        <w:rPr>
          <w:noProof/>
          <w:color w:val="000000" w:themeColor="text1"/>
          <w:lang w:val="en-IE"/>
        </w:rPr>
        <w:t>than in competing economies and far from being on track to meet the target of a 75% uptake by 2030 (KPI 1</w:t>
      </w:r>
      <w:r>
        <w:rPr>
          <w:noProof/>
          <w:color w:val="000000" w:themeColor="text1"/>
          <w:lang w:val="en-IE"/>
        </w:rPr>
        <w:t>4</w:t>
      </w:r>
      <w:r w:rsidRPr="00DD0DC9">
        <w:rPr>
          <w:noProof/>
          <w:color w:val="000000" w:themeColor="text1"/>
          <w:lang w:val="en-IE"/>
        </w:rPr>
        <w:t xml:space="preserve">). The lagging uptake of digital technologies is most striking among </w:t>
      </w:r>
      <w:r w:rsidRPr="00582FDD">
        <w:rPr>
          <w:noProof/>
          <w:color w:val="000000" w:themeColor="text1"/>
          <w:lang w:val="en-IE"/>
        </w:rPr>
        <w:t>SMEs</w:t>
      </w:r>
      <w:r w:rsidRPr="00582FDD">
        <w:rPr>
          <w:rStyle w:val="FootnoteReference"/>
          <w:noProof/>
          <w:color w:val="000000" w:themeColor="text1"/>
          <w:lang w:val="en-IE"/>
        </w:rPr>
        <w:footnoteReference w:id="27"/>
      </w:r>
      <w:r w:rsidRPr="00582FDD">
        <w:rPr>
          <w:noProof/>
          <w:color w:val="000000" w:themeColor="text1"/>
          <w:lang w:val="en-IE"/>
        </w:rPr>
        <w:t xml:space="preserve">. Similarly, there is market fragmentation in </w:t>
      </w:r>
      <w:r w:rsidR="00EF7AFD" w:rsidRPr="00582FDD">
        <w:rPr>
          <w:noProof/>
          <w:color w:val="000000" w:themeColor="text1"/>
          <w:lang w:val="en-IE"/>
        </w:rPr>
        <w:t xml:space="preserve">EU </w:t>
      </w:r>
      <w:r>
        <w:rPr>
          <w:noProof/>
          <w:color w:val="000000" w:themeColor="text1"/>
          <w:lang w:val="en-IE"/>
        </w:rPr>
        <w:t>tele</w:t>
      </w:r>
      <w:r w:rsidRPr="00582FDD">
        <w:rPr>
          <w:noProof/>
          <w:color w:val="000000" w:themeColor="text1"/>
          <w:lang w:val="en-IE"/>
        </w:rPr>
        <w:t>communications</w:t>
      </w:r>
      <w:r>
        <w:rPr>
          <w:noProof/>
          <w:color w:val="000000" w:themeColor="text1"/>
          <w:lang w:val="en-IE"/>
        </w:rPr>
        <w:t xml:space="preserve"> further hampering deployment</w:t>
      </w:r>
      <w:r w:rsidR="00AC183F" w:rsidRPr="00582FDD">
        <w:rPr>
          <w:rStyle w:val="FootnoteReference"/>
          <w:noProof/>
          <w:color w:val="000000" w:themeColor="text1"/>
          <w:lang w:val="en-IE"/>
        </w:rPr>
        <w:footnoteReference w:id="28"/>
      </w:r>
      <w:r w:rsidRPr="00582FDD">
        <w:rPr>
          <w:noProof/>
          <w:color w:val="000000" w:themeColor="text1"/>
          <w:lang w:val="en-IE"/>
        </w:rPr>
        <w:t>. As a result of the</w:t>
      </w:r>
      <w:r w:rsidR="00EC2E8D" w:rsidRPr="00582FDD">
        <w:rPr>
          <w:noProof/>
          <w:color w:val="000000" w:themeColor="text1"/>
          <w:lang w:val="en-IE"/>
        </w:rPr>
        <w:t>se issues</w:t>
      </w:r>
      <w:r w:rsidRPr="00582FDD">
        <w:rPr>
          <w:noProof/>
          <w:color w:val="000000" w:themeColor="text1"/>
          <w:lang w:val="en-IE"/>
        </w:rPr>
        <w:t>, substantial productivity ga</w:t>
      </w:r>
      <w:r w:rsidR="008A6F36" w:rsidRPr="00582FDD">
        <w:rPr>
          <w:noProof/>
          <w:color w:val="000000" w:themeColor="text1"/>
          <w:lang w:val="en-IE"/>
        </w:rPr>
        <w:t>i</w:t>
      </w:r>
      <w:r w:rsidRPr="00582FDD">
        <w:rPr>
          <w:noProof/>
          <w:color w:val="000000" w:themeColor="text1"/>
          <w:lang w:val="en-IE"/>
        </w:rPr>
        <w:t>ns remain unrealised</w:t>
      </w:r>
      <w:r w:rsidR="00931CF4" w:rsidRPr="00582FDD">
        <w:rPr>
          <w:noProof/>
          <w:color w:val="000000" w:themeColor="text1"/>
          <w:lang w:val="en-IE"/>
        </w:rPr>
        <w:t xml:space="preserve">. It is estimated that </w:t>
      </w:r>
      <w:r w:rsidRPr="00582FDD">
        <w:rPr>
          <w:noProof/>
          <w:color w:val="000000" w:themeColor="text1"/>
          <w:lang w:val="en-IE"/>
        </w:rPr>
        <w:t>achiev</w:t>
      </w:r>
      <w:r w:rsidR="00223A01" w:rsidRPr="00582FDD">
        <w:rPr>
          <w:noProof/>
          <w:color w:val="000000" w:themeColor="text1"/>
          <w:lang w:val="en-IE"/>
        </w:rPr>
        <w:t>ing</w:t>
      </w:r>
      <w:r w:rsidRPr="00582FDD">
        <w:rPr>
          <w:noProof/>
          <w:color w:val="000000" w:themeColor="text1"/>
          <w:lang w:val="en-IE"/>
        </w:rPr>
        <w:t xml:space="preserve"> the EU’s digitalisation targets </w:t>
      </w:r>
      <w:r w:rsidR="00F27E5E" w:rsidRPr="00582FDD">
        <w:rPr>
          <w:noProof/>
          <w:color w:val="000000" w:themeColor="text1"/>
          <w:lang w:val="en-IE"/>
        </w:rPr>
        <w:t>would</w:t>
      </w:r>
      <w:r w:rsidRPr="00582FDD">
        <w:rPr>
          <w:noProof/>
          <w:color w:val="000000" w:themeColor="text1"/>
          <w:lang w:val="en-IE"/>
        </w:rPr>
        <w:t xml:space="preserve"> unlock economic gains</w:t>
      </w:r>
      <w:r w:rsidRPr="00DD0DC9">
        <w:rPr>
          <w:noProof/>
          <w:color w:val="000000" w:themeColor="text1"/>
          <w:lang w:val="en-IE"/>
        </w:rPr>
        <w:t xml:space="preserve"> </w:t>
      </w:r>
      <w:r w:rsidR="00D268E4">
        <w:rPr>
          <w:noProof/>
          <w:color w:val="000000" w:themeColor="text1"/>
          <w:lang w:val="en-IE"/>
        </w:rPr>
        <w:t>equivalent to</w:t>
      </w:r>
      <w:r w:rsidRPr="00DD0DC9">
        <w:rPr>
          <w:noProof/>
          <w:color w:val="000000" w:themeColor="text1"/>
          <w:lang w:val="en-IE"/>
        </w:rPr>
        <w:t xml:space="preserve"> 1.8% of GDP</w:t>
      </w:r>
      <w:r w:rsidRPr="00DD0DC9">
        <w:rPr>
          <w:rStyle w:val="FootnoteReference"/>
          <w:noProof/>
          <w:color w:val="000000" w:themeColor="text1"/>
          <w:lang w:val="en-IE"/>
        </w:rPr>
        <w:t xml:space="preserve"> </w:t>
      </w:r>
      <w:r w:rsidRPr="00DD0DC9">
        <w:rPr>
          <w:rStyle w:val="FootnoteReference"/>
          <w:noProof/>
          <w:color w:val="000000" w:themeColor="text1"/>
          <w:lang w:val="en-IE"/>
        </w:rPr>
        <w:footnoteReference w:id="29"/>
      </w:r>
      <w:r w:rsidRPr="00DD0DC9">
        <w:rPr>
          <w:noProof/>
          <w:color w:val="000000" w:themeColor="text1"/>
          <w:lang w:val="en-IE"/>
        </w:rPr>
        <w:t>.</w:t>
      </w:r>
    </w:p>
    <w:p w14:paraId="5F2AFF23" w14:textId="292EC69B" w:rsidR="00DD0DC9" w:rsidRPr="00E40ECE" w:rsidRDefault="00DD0DC9" w:rsidP="00DE4866">
      <w:pPr>
        <w:pStyle w:val="Text1"/>
        <w:ind w:left="0"/>
        <w:rPr>
          <w:noProof/>
          <w:lang w:val="en-IE"/>
        </w:rPr>
      </w:pPr>
      <w:r w:rsidRPr="00DD0DC9">
        <w:rPr>
          <w:b/>
          <w:noProof/>
          <w:color w:val="000000" w:themeColor="text1"/>
          <w:lang w:val="en-IE"/>
        </w:rPr>
        <w:t xml:space="preserve">Employment rates are on the rise, but employment in manufacturing is shrinking. </w:t>
      </w:r>
      <w:r w:rsidRPr="00DD0DC9">
        <w:rPr>
          <w:noProof/>
          <w:color w:val="000000" w:themeColor="text1"/>
          <w:lang w:val="en-IE"/>
        </w:rPr>
        <w:t>The EU employment rate reached a record high of 75.8% in 2024</w:t>
      </w:r>
      <w:r w:rsidRPr="00DD0DC9">
        <w:rPr>
          <w:rStyle w:val="FootnoteReference"/>
          <w:noProof/>
          <w:lang w:val="en-IE"/>
        </w:rPr>
        <w:footnoteReference w:id="30"/>
      </w:r>
      <w:r w:rsidRPr="00DD0DC9">
        <w:rPr>
          <w:noProof/>
          <w:color w:val="000000" w:themeColor="text1"/>
          <w:lang w:val="en-IE"/>
        </w:rPr>
        <w:t xml:space="preserve"> (KPI 1</w:t>
      </w:r>
      <w:r>
        <w:rPr>
          <w:noProof/>
          <w:color w:val="000000" w:themeColor="text1"/>
          <w:lang w:val="en-IE"/>
        </w:rPr>
        <w:t>5</w:t>
      </w:r>
      <w:r w:rsidRPr="00DD0DC9">
        <w:rPr>
          <w:noProof/>
          <w:color w:val="000000" w:themeColor="text1"/>
          <w:lang w:val="en-IE"/>
        </w:rPr>
        <w:t>) and is on track to meet the EU’s headline target of 78% in 2030</w:t>
      </w:r>
      <w:r>
        <w:rPr>
          <w:noProof/>
          <w:color w:val="000000" w:themeColor="text1"/>
          <w:lang w:val="en-IE"/>
        </w:rPr>
        <w:t>, but a significant gender gap remains</w:t>
      </w:r>
      <w:r w:rsidRPr="00DD0DC9">
        <w:rPr>
          <w:noProof/>
          <w:lang w:val="en-IE"/>
        </w:rPr>
        <w:t>. This performance is mostly in line with the US, but below trends in Japan and the UK</w:t>
      </w:r>
      <w:r w:rsidRPr="00DD0DC9">
        <w:rPr>
          <w:rStyle w:val="FootnoteReference"/>
          <w:noProof/>
          <w:lang w:val="en-IE"/>
        </w:rPr>
        <w:footnoteReference w:id="31"/>
      </w:r>
      <w:r w:rsidRPr="00DD0DC9">
        <w:rPr>
          <w:noProof/>
          <w:lang w:val="en-IE"/>
        </w:rPr>
        <w:t>.</w:t>
      </w:r>
      <w:r w:rsidRPr="00DD0DC9" w:rsidDel="002D2742">
        <w:rPr>
          <w:noProof/>
          <w:lang w:val="en-IE"/>
        </w:rPr>
        <w:t xml:space="preserve"> </w:t>
      </w:r>
      <w:r w:rsidRPr="00DD0DC9">
        <w:rPr>
          <w:noProof/>
          <w:lang w:val="en-IE"/>
        </w:rPr>
        <w:t xml:space="preserve">However, the weakening competitiveness of the </w:t>
      </w:r>
      <w:r w:rsidR="00F11B11" w:rsidRPr="00DD0DC9">
        <w:rPr>
          <w:noProof/>
          <w:lang w:val="en-IE"/>
        </w:rPr>
        <w:t>EU</w:t>
      </w:r>
      <w:r w:rsidR="00F11B11">
        <w:rPr>
          <w:noProof/>
          <w:lang w:val="en-IE"/>
        </w:rPr>
        <w:t>’s</w:t>
      </w:r>
      <w:r w:rsidR="00F11B11" w:rsidRPr="00DD0DC9">
        <w:rPr>
          <w:noProof/>
          <w:lang w:val="en-IE"/>
        </w:rPr>
        <w:t xml:space="preserve"> </w:t>
      </w:r>
      <w:r w:rsidRPr="00DD0DC9">
        <w:rPr>
          <w:noProof/>
          <w:lang w:val="en-IE"/>
        </w:rPr>
        <w:t xml:space="preserve">manufacturing industry led to an average monthly loss of about 27 000 manufacturing jobs </w:t>
      </w:r>
      <w:r w:rsidRPr="00E40ECE">
        <w:rPr>
          <w:noProof/>
          <w:lang w:val="en-IE"/>
        </w:rPr>
        <w:t>over the past two years</w:t>
      </w:r>
      <w:r w:rsidRPr="00E40ECE">
        <w:rPr>
          <w:rStyle w:val="FootnoteReference"/>
          <w:noProof/>
          <w:lang w:val="en-IE"/>
        </w:rPr>
        <w:footnoteReference w:id="32"/>
      </w:r>
      <w:r w:rsidRPr="00E40ECE">
        <w:rPr>
          <w:noProof/>
          <w:lang w:val="en-IE"/>
        </w:rPr>
        <w:t>.</w:t>
      </w:r>
    </w:p>
    <w:p w14:paraId="0F8AD45C" w14:textId="54596F7D" w:rsidR="00DD0DC9" w:rsidRDefault="00DD0DC9" w:rsidP="00A16BDF">
      <w:pPr>
        <w:pStyle w:val="Text1"/>
        <w:spacing w:after="160"/>
        <w:ind w:left="0"/>
        <w:rPr>
          <w:noProof/>
          <w:color w:val="000000" w:themeColor="text1"/>
          <w:lang w:val="en-IE"/>
        </w:rPr>
      </w:pPr>
      <w:r w:rsidRPr="00E40ECE">
        <w:rPr>
          <w:b/>
          <w:noProof/>
          <w:color w:val="000000" w:themeColor="text1"/>
          <w:lang w:val="en-IE"/>
        </w:rPr>
        <w:t>Labour shortages</w:t>
      </w:r>
      <w:r w:rsidRPr="00DD0DC9">
        <w:rPr>
          <w:b/>
          <w:noProof/>
          <w:color w:val="000000" w:themeColor="text1"/>
          <w:lang w:val="en-IE"/>
        </w:rPr>
        <w:t xml:space="preserve"> and skills gaps </w:t>
      </w:r>
      <w:r w:rsidRPr="00DD0DC9" w:rsidDel="002177B0">
        <w:rPr>
          <w:b/>
          <w:noProof/>
          <w:color w:val="000000" w:themeColor="text1"/>
          <w:lang w:val="en-IE"/>
        </w:rPr>
        <w:t>remain a challenge</w:t>
      </w:r>
      <w:r w:rsidRPr="00DD0DC9">
        <w:rPr>
          <w:b/>
          <w:noProof/>
          <w:color w:val="000000" w:themeColor="text1"/>
          <w:lang w:val="en-IE"/>
        </w:rPr>
        <w:t>, weighing on Europe’s ability to innovate and scale up.</w:t>
      </w:r>
      <w:r w:rsidRPr="00DD0DC9">
        <w:rPr>
          <w:noProof/>
          <w:lang w:val="en-IE"/>
        </w:rPr>
        <w:t xml:space="preserve"> Nearly 80% of companies refer to them as the second biggest obstacle to investment and growth</w:t>
      </w:r>
      <w:r w:rsidRPr="00DD0DC9">
        <w:rPr>
          <w:rStyle w:val="FootnoteReference"/>
          <w:noProof/>
          <w:lang w:val="en-IE"/>
        </w:rPr>
        <w:footnoteReference w:id="33"/>
      </w:r>
      <w:r w:rsidRPr="00DD0DC9">
        <w:rPr>
          <w:noProof/>
          <w:lang w:val="en-IE"/>
        </w:rPr>
        <w:t xml:space="preserve">. </w:t>
      </w:r>
      <w:r w:rsidRPr="00DD0DC9">
        <w:rPr>
          <w:noProof/>
          <w:color w:val="000000" w:themeColor="text1"/>
          <w:lang w:val="en-IE"/>
        </w:rPr>
        <w:t>Many of the new jobs emerging from the green transition will be in sectors already experiencing increasing labour shortages</w:t>
      </w:r>
      <w:r w:rsidRPr="00DD0DC9">
        <w:rPr>
          <w:rStyle w:val="FootnoteReference"/>
          <w:noProof/>
          <w:color w:val="000000" w:themeColor="text1"/>
          <w:lang w:val="en-IE"/>
        </w:rPr>
        <w:footnoteReference w:id="34"/>
      </w:r>
      <w:r w:rsidRPr="00DD0DC9">
        <w:rPr>
          <w:noProof/>
          <w:color w:val="000000" w:themeColor="text1"/>
          <w:lang w:val="en-IE"/>
        </w:rPr>
        <w:t xml:space="preserve"> (KPI 1</w:t>
      </w:r>
      <w:r>
        <w:rPr>
          <w:noProof/>
          <w:color w:val="000000" w:themeColor="text1"/>
          <w:lang w:val="en-IE"/>
        </w:rPr>
        <w:t>6</w:t>
      </w:r>
      <w:r w:rsidRPr="00DD0DC9">
        <w:rPr>
          <w:noProof/>
          <w:color w:val="000000" w:themeColor="text1"/>
          <w:lang w:val="en-IE"/>
        </w:rPr>
        <w:t xml:space="preserve">). Digital skills remain a challenge as well, with just </w:t>
      </w:r>
      <w:r w:rsidR="00F51CAE">
        <w:rPr>
          <w:noProof/>
          <w:color w:val="000000" w:themeColor="text1"/>
          <w:lang w:val="en-IE"/>
        </w:rPr>
        <w:t>60 %</w:t>
      </w:r>
      <w:r w:rsidR="00F51CAE" w:rsidRPr="00DD0DC9" w:rsidDel="007B3238">
        <w:rPr>
          <w:noProof/>
          <w:color w:val="000000" w:themeColor="text1"/>
          <w:lang w:val="en-IE"/>
        </w:rPr>
        <w:t xml:space="preserve"> </w:t>
      </w:r>
      <w:r w:rsidRPr="00DD0DC9">
        <w:rPr>
          <w:noProof/>
          <w:color w:val="000000" w:themeColor="text1"/>
          <w:lang w:val="en-IE"/>
        </w:rPr>
        <w:t xml:space="preserve">of Europeans having basic </w:t>
      </w:r>
      <w:r w:rsidRPr="00E40ECE">
        <w:rPr>
          <w:noProof/>
          <w:color w:val="000000" w:themeColor="text1"/>
          <w:lang w:val="en-IE"/>
        </w:rPr>
        <w:t>digital skills</w:t>
      </w:r>
      <w:r w:rsidR="00DE67D6" w:rsidRPr="00E40ECE">
        <w:rPr>
          <w:rStyle w:val="FootnoteReference"/>
          <w:noProof/>
          <w:color w:val="000000" w:themeColor="text1"/>
          <w:lang w:val="en-IE"/>
        </w:rPr>
        <w:footnoteReference w:id="35"/>
      </w:r>
      <w:r w:rsidRPr="00E40ECE">
        <w:rPr>
          <w:noProof/>
          <w:color w:val="000000" w:themeColor="text1"/>
          <w:lang w:val="en-IE"/>
        </w:rPr>
        <w:t xml:space="preserve"> and the availability of ICT specialists with advanced skills remaining low</w:t>
      </w:r>
      <w:r w:rsidRPr="00E40ECE">
        <w:rPr>
          <w:rStyle w:val="FootnoteReference"/>
          <w:noProof/>
          <w:color w:val="000000" w:themeColor="text1"/>
          <w:lang w:val="en-IE"/>
        </w:rPr>
        <w:footnoteReference w:id="36"/>
      </w:r>
      <w:r w:rsidRPr="00E40ECE">
        <w:rPr>
          <w:noProof/>
          <w:lang w:val="en-IE"/>
        </w:rPr>
        <w:t xml:space="preserve">. Europe is also facing </w:t>
      </w:r>
      <w:r w:rsidR="006B4FF8" w:rsidRPr="00E40ECE">
        <w:rPr>
          <w:noProof/>
          <w:lang w:val="en-IE"/>
        </w:rPr>
        <w:t xml:space="preserve">difficulties </w:t>
      </w:r>
      <w:r w:rsidRPr="00E40ECE">
        <w:rPr>
          <w:noProof/>
          <w:lang w:val="en-IE"/>
        </w:rPr>
        <w:t>in the area of basic</w:t>
      </w:r>
      <w:r w:rsidRPr="00DD0DC9">
        <w:rPr>
          <w:noProof/>
          <w:lang w:val="en-IE"/>
        </w:rPr>
        <w:t xml:space="preserve"> skills</w:t>
      </w:r>
      <w:r w:rsidR="00FC5EC9">
        <w:rPr>
          <w:rStyle w:val="FootnoteReference"/>
          <w:noProof/>
          <w:lang w:val="en-IE"/>
        </w:rPr>
        <w:footnoteReference w:id="37"/>
      </w:r>
      <w:r w:rsidRPr="00DD0DC9">
        <w:rPr>
          <w:noProof/>
          <w:lang w:val="en-IE"/>
        </w:rPr>
        <w:t xml:space="preserve"> (KPI 1</w:t>
      </w:r>
      <w:r>
        <w:rPr>
          <w:noProof/>
          <w:lang w:val="en-IE"/>
        </w:rPr>
        <w:t>7</w:t>
      </w:r>
      <w:r w:rsidRPr="00DD0DC9">
        <w:rPr>
          <w:noProof/>
          <w:lang w:val="en-IE"/>
        </w:rPr>
        <w:t xml:space="preserve">). </w:t>
      </w:r>
      <w:r w:rsidRPr="00DD0DC9">
        <w:rPr>
          <w:noProof/>
          <w:color w:val="000000" w:themeColor="text1"/>
          <w:lang w:val="en-IE"/>
        </w:rPr>
        <w:t xml:space="preserve">Challenges relating to the recognition of qualifications across countries and language barriers </w:t>
      </w:r>
      <w:r w:rsidR="005B5E32">
        <w:rPr>
          <w:noProof/>
          <w:color w:val="000000" w:themeColor="text1"/>
          <w:lang w:val="en-IE"/>
        </w:rPr>
        <w:t xml:space="preserve">hinder </w:t>
      </w:r>
      <w:r w:rsidR="003E30A5">
        <w:rPr>
          <w:noProof/>
          <w:color w:val="000000" w:themeColor="text1"/>
          <w:lang w:val="en-IE"/>
        </w:rPr>
        <w:t>intra-</w:t>
      </w:r>
      <w:r w:rsidR="00E13631">
        <w:rPr>
          <w:noProof/>
          <w:color w:val="000000" w:themeColor="text1"/>
          <w:lang w:val="en-IE"/>
        </w:rPr>
        <w:t xml:space="preserve">EU </w:t>
      </w:r>
      <w:r w:rsidRPr="00DD0DC9" w:rsidDel="00C71614">
        <w:rPr>
          <w:noProof/>
          <w:color w:val="000000" w:themeColor="text1"/>
          <w:lang w:val="en-IE"/>
        </w:rPr>
        <w:t>labour mobility</w:t>
      </w:r>
      <w:r w:rsidR="00A407B0">
        <w:rPr>
          <w:noProof/>
          <w:color w:val="000000" w:themeColor="text1"/>
          <w:lang w:val="en-IE"/>
        </w:rPr>
        <w:t xml:space="preserve">. </w:t>
      </w:r>
      <w:r w:rsidR="00921877">
        <w:rPr>
          <w:noProof/>
          <w:color w:val="000000" w:themeColor="text1"/>
          <w:lang w:val="en-IE"/>
        </w:rPr>
        <w:t>Fostering skills development</w:t>
      </w:r>
      <w:r w:rsidR="00FA7D45">
        <w:rPr>
          <w:noProof/>
          <w:color w:val="000000" w:themeColor="text1"/>
          <w:lang w:val="en-IE"/>
        </w:rPr>
        <w:t>, including through vocational training,</w:t>
      </w:r>
      <w:r w:rsidR="00921877">
        <w:rPr>
          <w:noProof/>
          <w:color w:val="000000" w:themeColor="text1"/>
          <w:lang w:val="en-IE"/>
        </w:rPr>
        <w:t xml:space="preserve"> and </w:t>
      </w:r>
      <w:r w:rsidRPr="00DD0DC9" w:rsidDel="00C71614">
        <w:rPr>
          <w:noProof/>
          <w:color w:val="000000" w:themeColor="text1"/>
          <w:lang w:val="en-IE"/>
        </w:rPr>
        <w:t>attract</w:t>
      </w:r>
      <w:r w:rsidRPr="00DD0DC9">
        <w:rPr>
          <w:noProof/>
          <w:color w:val="000000" w:themeColor="text1"/>
          <w:lang w:val="en-IE"/>
        </w:rPr>
        <w:t>ing</w:t>
      </w:r>
      <w:r w:rsidRPr="00DD0DC9" w:rsidDel="00C71614">
        <w:rPr>
          <w:noProof/>
          <w:color w:val="000000" w:themeColor="text1"/>
          <w:lang w:val="en-IE"/>
        </w:rPr>
        <w:t xml:space="preserve"> global talent are </w:t>
      </w:r>
      <w:r w:rsidRPr="00DD0DC9">
        <w:rPr>
          <w:noProof/>
          <w:color w:val="000000" w:themeColor="text1"/>
          <w:lang w:val="en-IE"/>
        </w:rPr>
        <w:t xml:space="preserve">essential </w:t>
      </w:r>
      <w:r w:rsidRPr="00DD0DC9" w:rsidDel="00C71614">
        <w:rPr>
          <w:noProof/>
          <w:color w:val="000000" w:themeColor="text1"/>
          <w:lang w:val="en-IE"/>
        </w:rPr>
        <w:t xml:space="preserve">to addressing labour shortages. </w:t>
      </w:r>
    </w:p>
    <w:p w14:paraId="02771E3B" w14:textId="77777777" w:rsidR="00134CB2" w:rsidRPr="00DD0DC9" w:rsidDel="00C71614" w:rsidRDefault="00134CB2" w:rsidP="00DD0DC9">
      <w:pPr>
        <w:pStyle w:val="Text1"/>
        <w:widowControl w:val="0"/>
        <w:spacing w:after="160"/>
        <w:ind w:left="0"/>
        <w:rPr>
          <w:noProof/>
          <w:lang w:val="en-IE"/>
        </w:rPr>
      </w:pPr>
    </w:p>
    <w:p w14:paraId="5C017D73" w14:textId="0E12E074" w:rsidR="00DD0DC9" w:rsidRPr="00DD0DC9" w:rsidRDefault="00DD0DC9" w:rsidP="00DD0DC9">
      <w:pPr>
        <w:widowControl w:val="0"/>
        <w:spacing w:before="240"/>
        <w:contextualSpacing/>
        <w:mirrorIndents/>
        <w:rPr>
          <w:rFonts w:ascii="Times New Roman" w:hAnsi="Times New Roman" w:cs="Times New Roman"/>
          <w:b/>
          <w:noProof/>
          <w:sz w:val="28"/>
          <w:szCs w:val="28"/>
          <w:shd w:val="clear" w:color="auto" w:fill="FFFFFF"/>
          <w:lang w:val="en-IE"/>
        </w:rPr>
      </w:pPr>
      <w:r w:rsidRPr="00DD0DC9">
        <w:rPr>
          <w:rFonts w:ascii="Times New Roman" w:hAnsi="Times New Roman" w:cs="Times New Roman"/>
          <w:b/>
          <w:bCs/>
          <w:noProof/>
          <w:sz w:val="28"/>
          <w:szCs w:val="28"/>
          <w:shd w:val="clear" w:color="auto" w:fill="FFFFFF"/>
          <w:lang w:val="en-IE"/>
        </w:rPr>
        <w:t xml:space="preserve">SECTION </w:t>
      </w:r>
      <w:r w:rsidRPr="00DD0DC9" w:rsidDel="007B2AFA">
        <w:rPr>
          <w:rFonts w:ascii="Times New Roman" w:hAnsi="Times New Roman" w:cs="Times New Roman"/>
          <w:b/>
          <w:bCs/>
          <w:noProof/>
          <w:sz w:val="28"/>
          <w:szCs w:val="28"/>
          <w:shd w:val="clear" w:color="auto" w:fill="FFFFFF"/>
          <w:lang w:val="en-IE"/>
        </w:rPr>
        <w:t xml:space="preserve">3 </w:t>
      </w:r>
      <w:r w:rsidRPr="00DD0DC9">
        <w:rPr>
          <w:rFonts w:ascii="Times New Roman" w:hAnsi="Times New Roman" w:cs="Times New Roman"/>
          <w:b/>
          <w:bCs/>
          <w:noProof/>
          <w:sz w:val="28"/>
          <w:szCs w:val="28"/>
          <w:shd w:val="clear" w:color="auto" w:fill="FFFFFF"/>
          <w:lang w:val="en-IE"/>
        </w:rPr>
        <w:t>– Decarbonisation of industry and investment</w:t>
      </w:r>
    </w:p>
    <w:p w14:paraId="40368F2D" w14:textId="5BB960CE" w:rsidR="00DD0DC9" w:rsidRPr="00DD0DC9" w:rsidRDefault="00DD0DC9" w:rsidP="00DD0DC9">
      <w:pPr>
        <w:pStyle w:val="Text1"/>
        <w:widowControl w:val="0"/>
        <w:spacing w:after="160"/>
        <w:ind w:left="0"/>
        <w:rPr>
          <w:noProof/>
          <w:color w:val="000000" w:themeColor="text1"/>
          <w:lang w:val="en-IE"/>
        </w:rPr>
      </w:pPr>
      <w:r w:rsidRPr="00DD0DC9">
        <w:rPr>
          <w:rFonts w:eastAsiaTheme="minorHAnsi"/>
          <w:b/>
          <w:noProof/>
          <w:color w:val="000000" w:themeColor="text1"/>
          <w:lang w:val="en-IE" w:eastAsia="en-US"/>
        </w:rPr>
        <w:t xml:space="preserve">Investment momentum in the EU is weak, reflecting </w:t>
      </w:r>
      <w:r w:rsidR="001668A3">
        <w:rPr>
          <w:rFonts w:eastAsiaTheme="minorHAnsi"/>
          <w:b/>
          <w:noProof/>
          <w:color w:val="000000" w:themeColor="text1"/>
          <w:lang w:val="en-IE" w:eastAsia="en-US"/>
        </w:rPr>
        <w:t>both</w:t>
      </w:r>
      <w:r w:rsidRPr="00DD0DC9">
        <w:rPr>
          <w:rFonts w:eastAsiaTheme="minorHAnsi"/>
          <w:b/>
          <w:noProof/>
          <w:color w:val="000000" w:themeColor="text1"/>
          <w:lang w:val="en-IE" w:eastAsia="en-US"/>
        </w:rPr>
        <w:t xml:space="preserve"> general uncertainty </w:t>
      </w:r>
      <w:r w:rsidR="00C270BC">
        <w:rPr>
          <w:rFonts w:eastAsiaTheme="minorHAnsi"/>
          <w:b/>
          <w:noProof/>
          <w:color w:val="000000" w:themeColor="text1"/>
          <w:lang w:val="en-IE" w:eastAsia="en-US"/>
        </w:rPr>
        <w:t>over</w:t>
      </w:r>
      <w:r w:rsidR="00C270BC" w:rsidRPr="00DD0DC9">
        <w:rPr>
          <w:rFonts w:eastAsiaTheme="minorHAnsi"/>
          <w:b/>
          <w:noProof/>
          <w:color w:val="000000" w:themeColor="text1"/>
          <w:lang w:val="en-IE" w:eastAsia="en-US"/>
        </w:rPr>
        <w:t xml:space="preserve"> </w:t>
      </w:r>
      <w:r w:rsidRPr="00DD0DC9">
        <w:rPr>
          <w:rFonts w:eastAsiaTheme="minorHAnsi"/>
          <w:b/>
          <w:noProof/>
          <w:color w:val="000000" w:themeColor="text1"/>
          <w:lang w:val="en-IE" w:eastAsia="en-US"/>
        </w:rPr>
        <w:t xml:space="preserve">the economic environment and </w:t>
      </w:r>
      <w:r w:rsidR="00C270BC">
        <w:rPr>
          <w:rFonts w:eastAsiaTheme="minorHAnsi"/>
          <w:b/>
          <w:noProof/>
          <w:color w:val="000000" w:themeColor="text1"/>
          <w:lang w:val="en-IE" w:eastAsia="en-US"/>
        </w:rPr>
        <w:t>a decline in</w:t>
      </w:r>
      <w:r w:rsidRPr="00DD0DC9">
        <w:rPr>
          <w:rFonts w:eastAsiaTheme="minorHAnsi"/>
          <w:b/>
          <w:noProof/>
          <w:color w:val="000000" w:themeColor="text1"/>
          <w:lang w:val="en-IE" w:eastAsia="en-US"/>
        </w:rPr>
        <w:t xml:space="preserve"> competitiveness. </w:t>
      </w:r>
      <w:r w:rsidRPr="00DD0DC9">
        <w:rPr>
          <w:rFonts w:eastAsiaTheme="minorHAnsi"/>
          <w:noProof/>
          <w:color w:val="000000" w:themeColor="text1"/>
          <w:lang w:val="en-IE" w:eastAsia="en-US"/>
        </w:rPr>
        <w:t>Private investment and industrial production declined in 2024</w:t>
      </w:r>
      <w:r w:rsidR="00061C58">
        <w:rPr>
          <w:rFonts w:eastAsiaTheme="minorHAnsi"/>
          <w:noProof/>
          <w:color w:val="000000" w:themeColor="text1"/>
          <w:lang w:val="en-IE" w:eastAsia="en-US"/>
        </w:rPr>
        <w:t>,</w:t>
      </w:r>
      <w:r w:rsidRPr="00DD0DC9">
        <w:rPr>
          <w:rFonts w:eastAsiaTheme="minorHAnsi"/>
          <w:noProof/>
          <w:color w:val="000000" w:themeColor="text1"/>
          <w:lang w:val="en-IE" w:eastAsia="en-US"/>
        </w:rPr>
        <w:t xml:space="preserve"> </w:t>
      </w:r>
      <w:r w:rsidR="00061C58">
        <w:rPr>
          <w:rFonts w:eastAsiaTheme="minorHAnsi"/>
          <w:noProof/>
          <w:color w:val="000000" w:themeColor="text1"/>
          <w:lang w:val="en-IE" w:eastAsia="en-US"/>
        </w:rPr>
        <w:t>although</w:t>
      </w:r>
      <w:r w:rsidRPr="00DD0DC9">
        <w:rPr>
          <w:rFonts w:eastAsiaTheme="minorHAnsi"/>
          <w:noProof/>
          <w:color w:val="000000" w:themeColor="text1"/>
          <w:lang w:val="en-IE" w:eastAsia="en-US"/>
        </w:rPr>
        <w:t xml:space="preserve"> public investment is stable and provides an opportunity to unlock private </w:t>
      </w:r>
      <w:r w:rsidR="0040726E">
        <w:rPr>
          <w:rFonts w:eastAsiaTheme="minorHAnsi"/>
          <w:noProof/>
          <w:color w:val="000000" w:themeColor="text1"/>
          <w:lang w:val="en-IE" w:eastAsia="en-US"/>
        </w:rPr>
        <w:t xml:space="preserve">sector </w:t>
      </w:r>
      <w:r w:rsidRPr="00DD0DC9">
        <w:rPr>
          <w:rFonts w:eastAsiaTheme="minorHAnsi"/>
          <w:noProof/>
          <w:color w:val="000000" w:themeColor="text1"/>
          <w:lang w:val="en-IE" w:eastAsia="en-US"/>
        </w:rPr>
        <w:t>activity through well-aligned policy design. High energy prices hinder industrial competitiveness</w:t>
      </w:r>
      <w:r>
        <w:rPr>
          <w:rFonts w:eastAsiaTheme="minorHAnsi"/>
          <w:noProof/>
          <w:color w:val="000000" w:themeColor="text1"/>
          <w:lang w:val="en-IE" w:eastAsia="en-US"/>
        </w:rPr>
        <w:t>. E</w:t>
      </w:r>
      <w:r w:rsidRPr="00DD0DC9">
        <w:rPr>
          <w:rFonts w:eastAsiaTheme="minorHAnsi"/>
          <w:noProof/>
          <w:color w:val="000000" w:themeColor="text1"/>
          <w:lang w:val="en-IE" w:eastAsia="en-US"/>
        </w:rPr>
        <w:t>lectrification</w:t>
      </w:r>
      <w:r>
        <w:rPr>
          <w:rFonts w:eastAsiaTheme="minorHAnsi"/>
          <w:noProof/>
          <w:color w:val="000000" w:themeColor="text1"/>
          <w:lang w:val="en-IE" w:eastAsia="en-US"/>
        </w:rPr>
        <w:t xml:space="preserve"> does not progress</w:t>
      </w:r>
      <w:r w:rsidRPr="00DD0DC9">
        <w:rPr>
          <w:rFonts w:eastAsiaTheme="minorHAnsi"/>
          <w:noProof/>
          <w:color w:val="000000" w:themeColor="text1"/>
          <w:lang w:val="en-IE" w:eastAsia="en-US"/>
        </w:rPr>
        <w:t>. The switch to clean energy is accelerating but not yet feeding through to lower electricity prices</w:t>
      </w:r>
      <w:r>
        <w:rPr>
          <w:rFonts w:eastAsiaTheme="minorHAnsi"/>
          <w:noProof/>
          <w:color w:val="000000" w:themeColor="text1"/>
          <w:lang w:val="en-IE" w:eastAsia="en-US"/>
        </w:rPr>
        <w:t xml:space="preserve"> in the EU as a whole</w:t>
      </w:r>
      <w:r w:rsidRPr="00DD0DC9">
        <w:rPr>
          <w:rFonts w:eastAsiaTheme="minorHAnsi"/>
          <w:noProof/>
          <w:color w:val="000000" w:themeColor="text1"/>
          <w:lang w:val="en-IE" w:eastAsia="en-US"/>
        </w:rPr>
        <w:t>.</w:t>
      </w:r>
      <w:r w:rsidRPr="00DD0DC9">
        <w:rPr>
          <w:rFonts w:eastAsiaTheme="minorHAnsi"/>
          <w:bCs/>
          <w:noProof/>
          <w:color w:val="000000" w:themeColor="text1"/>
          <w:lang w:val="en-IE" w:eastAsia="en-US"/>
        </w:rPr>
        <w:t xml:space="preserve">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9"/>
        <w:gridCol w:w="3969"/>
        <w:gridCol w:w="2409"/>
      </w:tblGrid>
      <w:tr w:rsidR="00DD0DC9" w:rsidRPr="00DD0DC9" w14:paraId="0276F79B"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4B083"/>
          </w:tcPr>
          <w:p w14:paraId="081F887E" w14:textId="47904DEB"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kern w:val="3"/>
                <w:sz w:val="20"/>
                <w:szCs w:val="20"/>
                <w:lang w:val="en-IE" w:eastAsia="en-IE"/>
              </w:rPr>
              <w:t>KPI 1</w:t>
            </w:r>
            <w:r>
              <w:rPr>
                <w:rFonts w:ascii="Times New Roman" w:eastAsia="Times New Roman" w:hAnsi="Times New Roman" w:cs="Times New Roman"/>
                <w:noProof/>
                <w:kern w:val="3"/>
                <w:sz w:val="20"/>
                <w:szCs w:val="20"/>
                <w:lang w:val="en-IE" w:eastAsia="en-IE"/>
              </w:rPr>
              <w:t>8</w:t>
            </w:r>
            <w:r w:rsidRPr="00DD0DC9">
              <w:rPr>
                <w:rFonts w:ascii="Times New Roman" w:eastAsia="Times New Roman" w:hAnsi="Times New Roman" w:cs="Times New Roman"/>
                <w:noProof/>
                <w:kern w:val="3"/>
                <w:sz w:val="20"/>
                <w:szCs w:val="20"/>
                <w:lang w:val="en-IE" w:eastAsia="en-IE"/>
              </w:rPr>
              <w:t>: Private investment  </w:t>
            </w:r>
          </w:p>
        </w:tc>
        <w:tc>
          <w:tcPr>
            <w:tcW w:w="3969" w:type="dxa"/>
            <w:tcBorders>
              <w:top w:val="single" w:sz="4" w:space="0" w:color="auto"/>
              <w:left w:val="single" w:sz="4" w:space="0" w:color="auto"/>
              <w:bottom w:val="single" w:sz="4" w:space="0" w:color="auto"/>
              <w:right w:val="single" w:sz="4" w:space="0" w:color="auto"/>
            </w:tcBorders>
            <w:shd w:val="clear" w:color="auto" w:fill="F4B083"/>
          </w:tcPr>
          <w:p w14:paraId="3CC406C4"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Private investment (share of GDP).  </w:t>
            </w:r>
          </w:p>
        </w:tc>
        <w:tc>
          <w:tcPr>
            <w:tcW w:w="2409" w:type="dxa"/>
            <w:tcBorders>
              <w:top w:val="single" w:sz="4" w:space="0" w:color="auto"/>
              <w:left w:val="single" w:sz="4" w:space="0" w:color="auto"/>
              <w:bottom w:val="single" w:sz="4" w:space="0" w:color="auto"/>
              <w:right w:val="single" w:sz="4" w:space="0" w:color="auto"/>
            </w:tcBorders>
            <w:shd w:val="clear" w:color="auto" w:fill="F4B083"/>
          </w:tcPr>
          <w:p w14:paraId="4744617F"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17.6% (2024)</w:t>
            </w:r>
          </w:p>
          <w:p w14:paraId="255D2C3D"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18.6% (2023)</w:t>
            </w:r>
          </w:p>
        </w:tc>
      </w:tr>
      <w:tr w:rsidR="00DD0DC9" w:rsidRPr="00DD0DC9" w14:paraId="22C20696"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2905A7D0" w14:textId="174D9445"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kern w:val="3"/>
                <w:sz w:val="20"/>
                <w:szCs w:val="20"/>
                <w:lang w:val="en-IE" w:eastAsia="en-IE"/>
              </w:rPr>
              <w:t xml:space="preserve">KPI </w:t>
            </w:r>
            <w:r>
              <w:rPr>
                <w:rFonts w:ascii="Times New Roman" w:eastAsia="Times New Roman" w:hAnsi="Times New Roman" w:cs="Times New Roman"/>
                <w:noProof/>
                <w:kern w:val="3"/>
                <w:sz w:val="20"/>
                <w:szCs w:val="20"/>
                <w:lang w:val="en-IE" w:eastAsia="en-IE"/>
              </w:rPr>
              <w:t>19</w:t>
            </w:r>
            <w:r w:rsidRPr="00DD0DC9">
              <w:rPr>
                <w:rFonts w:ascii="Times New Roman" w:eastAsia="Times New Roman" w:hAnsi="Times New Roman" w:cs="Times New Roman"/>
                <w:noProof/>
                <w:kern w:val="3"/>
                <w:sz w:val="20"/>
                <w:szCs w:val="20"/>
                <w:lang w:val="en-IE" w:eastAsia="en-IE"/>
              </w:rPr>
              <w:t>: Public investment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59039A60"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Public investment (share of GDP).  </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7A462E1D"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3.7% (2024)</w:t>
            </w:r>
          </w:p>
          <w:p w14:paraId="7163F52F"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3.6% (2023)    </w:t>
            </w:r>
          </w:p>
        </w:tc>
      </w:tr>
      <w:tr w:rsidR="00DD0DC9" w:rsidRPr="00DD0DC9" w14:paraId="738C7136"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08835B5F" w14:textId="7C062C10"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kern w:val="3"/>
                <w:sz w:val="20"/>
                <w:szCs w:val="20"/>
                <w:lang w:val="en-IE" w:eastAsia="en-IE"/>
              </w:rPr>
              <w:t>KPI 2</w:t>
            </w:r>
            <w:r>
              <w:rPr>
                <w:rFonts w:ascii="Times New Roman" w:eastAsia="Times New Roman" w:hAnsi="Times New Roman" w:cs="Times New Roman"/>
                <w:noProof/>
                <w:kern w:val="3"/>
                <w:sz w:val="20"/>
                <w:szCs w:val="20"/>
                <w:lang w:val="en-IE" w:eastAsia="en-IE"/>
              </w:rPr>
              <w:t>0</w:t>
            </w:r>
            <w:r w:rsidRPr="00DD0DC9">
              <w:rPr>
                <w:rFonts w:ascii="Times New Roman" w:eastAsia="Times New Roman" w:hAnsi="Times New Roman" w:cs="Times New Roman"/>
                <w:noProof/>
                <w:kern w:val="3"/>
                <w:sz w:val="20"/>
                <w:szCs w:val="20"/>
                <w:lang w:val="en-IE" w:eastAsia="en-IE"/>
              </w:rPr>
              <w:t>: Venture capital investment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32550BCD"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Venture capital investment (share of GDP).  </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03B28B79"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0.06% (2024)</w:t>
            </w:r>
          </w:p>
          <w:p w14:paraId="739D45D2"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0.06% (2023)    </w:t>
            </w:r>
          </w:p>
        </w:tc>
      </w:tr>
      <w:tr w:rsidR="00DD0DC9" w:rsidRPr="00DD0DC9" w14:paraId="53DAAA6E"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6DE0226B" w14:textId="48A31818"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kern w:val="3"/>
                <w:sz w:val="20"/>
                <w:szCs w:val="20"/>
                <w:lang w:val="en-IE" w:eastAsia="en-IE"/>
              </w:rPr>
              <w:t>KPI 2</w:t>
            </w:r>
            <w:r>
              <w:rPr>
                <w:rFonts w:ascii="Times New Roman" w:eastAsia="Times New Roman" w:hAnsi="Times New Roman" w:cs="Times New Roman"/>
                <w:noProof/>
                <w:kern w:val="3"/>
                <w:sz w:val="20"/>
                <w:szCs w:val="20"/>
                <w:lang w:val="en-IE" w:eastAsia="en-IE"/>
              </w:rPr>
              <w:t>1</w:t>
            </w:r>
            <w:r w:rsidRPr="00DD0DC9">
              <w:rPr>
                <w:rFonts w:ascii="Times New Roman" w:eastAsia="Times New Roman" w:hAnsi="Times New Roman" w:cs="Times New Roman"/>
                <w:noProof/>
                <w:kern w:val="3"/>
                <w:sz w:val="20"/>
                <w:szCs w:val="20"/>
                <w:lang w:val="en-IE" w:eastAsia="en-IE"/>
              </w:rPr>
              <w:t>: EU investments supporting industrial transition</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4A95622D"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 xml:space="preserve">Cumulative volume of InvestEU investments supporting industrial transition. </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5FE42333" w14:textId="0923EC60" w:rsidR="00DD0DC9" w:rsidRPr="005B4F13"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20"/>
                <w:szCs w:val="20"/>
                <w:lang w:eastAsia="en-IE"/>
              </w:rPr>
            </w:pPr>
            <w:r w:rsidRPr="005B4F13">
              <w:rPr>
                <w:rFonts w:ascii="Times New Roman" w:eastAsia="Times New Roman" w:hAnsi="Times New Roman" w:cs="Times New Roman"/>
                <w:noProof/>
                <w:kern w:val="3"/>
                <w:sz w:val="20"/>
                <w:szCs w:val="20"/>
                <w:lang w:eastAsia="en-IE"/>
              </w:rPr>
              <w:t xml:space="preserve">EUR </w:t>
            </w:r>
            <w:r w:rsidR="00A844CE">
              <w:rPr>
                <w:rFonts w:ascii="Times New Roman" w:eastAsia="Times New Roman" w:hAnsi="Times New Roman" w:cs="Times New Roman"/>
                <w:noProof/>
                <w:kern w:val="3"/>
                <w:sz w:val="20"/>
                <w:szCs w:val="20"/>
                <w:lang w:eastAsia="en-IE"/>
              </w:rPr>
              <w:t>115.5</w:t>
            </w:r>
            <w:r w:rsidRPr="005B4F13">
              <w:rPr>
                <w:rFonts w:ascii="Times New Roman" w:eastAsia="Times New Roman" w:hAnsi="Times New Roman" w:cs="Times New Roman"/>
                <w:noProof/>
                <w:kern w:val="3"/>
                <w:sz w:val="20"/>
                <w:szCs w:val="20"/>
                <w:lang w:eastAsia="en-IE"/>
              </w:rPr>
              <w:t xml:space="preserve"> bn (</w:t>
            </w:r>
            <w:r w:rsidR="00A844CE">
              <w:rPr>
                <w:rFonts w:ascii="Times New Roman" w:eastAsia="Times New Roman" w:hAnsi="Times New Roman" w:cs="Times New Roman"/>
                <w:noProof/>
                <w:kern w:val="3"/>
                <w:sz w:val="20"/>
                <w:szCs w:val="20"/>
                <w:lang w:eastAsia="en-IE"/>
              </w:rPr>
              <w:t>Jun</w:t>
            </w:r>
            <w:r w:rsidRPr="005B4F13">
              <w:rPr>
                <w:rFonts w:ascii="Times New Roman" w:eastAsia="Times New Roman" w:hAnsi="Times New Roman" w:cs="Times New Roman"/>
                <w:noProof/>
                <w:kern w:val="3"/>
                <w:sz w:val="20"/>
                <w:szCs w:val="20"/>
                <w:lang w:eastAsia="en-IE"/>
              </w:rPr>
              <w:t xml:space="preserve"> 202</w:t>
            </w:r>
            <w:r w:rsidR="00023973">
              <w:rPr>
                <w:rFonts w:ascii="Times New Roman" w:eastAsia="Times New Roman" w:hAnsi="Times New Roman" w:cs="Times New Roman"/>
                <w:noProof/>
                <w:kern w:val="3"/>
                <w:sz w:val="20"/>
                <w:szCs w:val="20"/>
                <w:lang w:eastAsia="en-IE"/>
              </w:rPr>
              <w:t>5</w:t>
            </w:r>
            <w:r w:rsidRPr="005B4F13">
              <w:rPr>
                <w:rFonts w:ascii="Times New Roman" w:eastAsia="Times New Roman" w:hAnsi="Times New Roman" w:cs="Times New Roman"/>
                <w:noProof/>
                <w:kern w:val="3"/>
                <w:sz w:val="20"/>
                <w:szCs w:val="20"/>
                <w:lang w:eastAsia="en-IE"/>
              </w:rPr>
              <w:t>)</w:t>
            </w:r>
          </w:p>
          <w:p w14:paraId="4E2746F9" w14:textId="3E5C1024" w:rsidR="00DD0DC9" w:rsidRPr="005B4F13"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20"/>
                <w:szCs w:val="20"/>
                <w:lang w:eastAsia="en-IE"/>
              </w:rPr>
            </w:pPr>
            <w:r w:rsidRPr="005B4F13">
              <w:rPr>
                <w:rFonts w:ascii="Times New Roman" w:eastAsia="Times New Roman" w:hAnsi="Times New Roman" w:cs="Times New Roman"/>
                <w:noProof/>
                <w:kern w:val="3"/>
                <w:sz w:val="20"/>
                <w:szCs w:val="20"/>
                <w:lang w:eastAsia="en-IE"/>
              </w:rPr>
              <w:t>EUR 52.7 bn (Jun 2024)</w:t>
            </w:r>
          </w:p>
        </w:tc>
      </w:tr>
      <w:tr w:rsidR="00DD0DC9" w:rsidRPr="009E1879" w14:paraId="46E602CC" w14:textId="77777777">
        <w:trPr>
          <w:trHeight w:val="516"/>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06C90DFD" w14:textId="6AE4BA23"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2</w:t>
            </w:r>
            <w:r w:rsidRPr="00DD0DC9">
              <w:rPr>
                <w:rFonts w:ascii="Times New Roman" w:eastAsia="Times New Roman" w:hAnsi="Times New Roman" w:cs="Times New Roman"/>
                <w:noProof/>
                <w:color w:val="000000"/>
                <w:kern w:val="3"/>
                <w:sz w:val="20"/>
                <w:szCs w:val="20"/>
                <w:lang w:val="en-IE" w:eastAsia="en-IE"/>
              </w:rPr>
              <w:t>: Electricity prices for non-household consumers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6A2A5615"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Electricity prices for non-household consumers (EU ID price band, large commercial users)</w:t>
            </w:r>
            <w:r w:rsidRPr="00DD0DC9">
              <w:rPr>
                <w:rFonts w:ascii="Times New Roman" w:eastAsia="Times New Roman" w:hAnsi="Times New Roman" w:cs="Times New Roman"/>
                <w:noProof/>
                <w:kern w:val="3"/>
                <w:sz w:val="20"/>
                <w:szCs w:val="20"/>
                <w:vertAlign w:val="superscript"/>
                <w:lang w:val="en-IE" w:eastAsia="en-IE"/>
              </w:rPr>
              <w:footnoteReference w:id="38"/>
            </w:r>
            <w:r w:rsidRPr="00DD0DC9">
              <w:rPr>
                <w:rFonts w:ascii="Times New Roman" w:eastAsia="Times New Roman" w:hAnsi="Times New Roman" w:cs="Times New Roman"/>
                <w:noProof/>
                <w:kern w:val="3"/>
                <w:sz w:val="20"/>
                <w:szCs w:val="20"/>
                <w:lang w:val="en-IE" w:eastAsia="en-IE"/>
              </w:rPr>
              <w:t>.</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75356627" w14:textId="77777777" w:rsidR="00DD0DC9" w:rsidRPr="000D6F7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it-IT" w:eastAsia="en-IE"/>
              </w:rPr>
            </w:pPr>
            <w:r w:rsidRPr="000D6F7C">
              <w:rPr>
                <w:rFonts w:ascii="Times New Roman" w:eastAsia="Times New Roman" w:hAnsi="Times New Roman" w:cs="Times New Roman"/>
                <w:noProof/>
                <w:kern w:val="3"/>
                <w:sz w:val="20"/>
                <w:szCs w:val="20"/>
                <w:lang w:val="it-IT" w:eastAsia="en-IE"/>
              </w:rPr>
              <w:t>EUR 0.164 per kWh (2025)   </w:t>
            </w:r>
          </w:p>
          <w:p w14:paraId="1C9CD00B" w14:textId="77777777" w:rsidR="00DD0DC9" w:rsidRPr="000D6F7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it-IT" w:eastAsia="en-IE"/>
              </w:rPr>
            </w:pPr>
            <w:r w:rsidRPr="000D6F7C">
              <w:rPr>
                <w:rFonts w:ascii="Times New Roman" w:eastAsia="Times New Roman" w:hAnsi="Times New Roman" w:cs="Times New Roman"/>
                <w:noProof/>
                <w:kern w:val="3"/>
                <w:sz w:val="20"/>
                <w:szCs w:val="20"/>
                <w:lang w:val="it-IT" w:eastAsia="en-IE"/>
              </w:rPr>
              <w:t>EUR 0.163 per kWh (2024)</w:t>
            </w:r>
          </w:p>
        </w:tc>
      </w:tr>
      <w:tr w:rsidR="00DD0DC9" w:rsidRPr="00DD0DC9" w14:paraId="59A4189D"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01062CEC" w14:textId="4AE85B02"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3</w:t>
            </w:r>
            <w:r w:rsidRPr="00DD0DC9">
              <w:rPr>
                <w:rFonts w:ascii="Times New Roman" w:eastAsia="Times New Roman" w:hAnsi="Times New Roman" w:cs="Times New Roman"/>
                <w:noProof/>
                <w:color w:val="000000"/>
                <w:kern w:val="3"/>
                <w:sz w:val="20"/>
                <w:szCs w:val="20"/>
                <w:lang w:val="en-IE" w:eastAsia="en-IE"/>
              </w:rPr>
              <w:t>: Electrification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64F600EC" w14:textId="28788289"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color w:val="000000"/>
                <w:kern w:val="3"/>
                <w:sz w:val="20"/>
                <w:szCs w:val="20"/>
                <w:lang w:val="en-IE" w:eastAsia="en-IE"/>
              </w:rPr>
              <w:t>Electricity as a share of the total (final) energy consumption.  </w:t>
            </w:r>
            <w:r>
              <w:rPr>
                <w:rFonts w:ascii="Times New Roman" w:eastAsia="Times New Roman" w:hAnsi="Times New Roman" w:cs="Times New Roman"/>
                <w:b/>
                <w:bCs/>
                <w:noProof/>
                <w:color w:val="000000"/>
                <w:kern w:val="3"/>
                <w:sz w:val="20"/>
                <w:szCs w:val="20"/>
                <w:lang w:val="en-IE" w:eastAsia="en-IE"/>
              </w:rPr>
              <w:t>Objective</w:t>
            </w:r>
            <w:r w:rsidRPr="00DD0DC9">
              <w:rPr>
                <w:rFonts w:ascii="Times New Roman" w:eastAsia="Times New Roman" w:hAnsi="Times New Roman" w:cs="Times New Roman"/>
                <w:b/>
                <w:bCs/>
                <w:noProof/>
                <w:kern w:val="3"/>
                <w:sz w:val="20"/>
                <w:szCs w:val="20"/>
                <w:lang w:val="en-IE" w:eastAsia="en-IE"/>
              </w:rPr>
              <w:t xml:space="preserve"> = 32% in 2030</w:t>
            </w:r>
            <w:bookmarkStart w:id="7" w:name="_Ref220076594"/>
            <w:r>
              <w:rPr>
                <w:rStyle w:val="FootnoteReference"/>
                <w:rFonts w:ascii="Times New Roman" w:eastAsia="Times New Roman" w:hAnsi="Times New Roman" w:cs="Times New Roman"/>
                <w:b/>
                <w:bCs/>
                <w:noProof/>
                <w:kern w:val="3"/>
                <w:sz w:val="20"/>
                <w:szCs w:val="20"/>
                <w:lang w:val="en-IE" w:eastAsia="en-IE"/>
              </w:rPr>
              <w:footnoteReference w:id="39"/>
            </w:r>
            <w:bookmarkEnd w:id="7"/>
            <w:r w:rsidRPr="00DD0DC9">
              <w:rPr>
                <w:rFonts w:ascii="Times New Roman" w:eastAsia="Times New Roman" w:hAnsi="Times New Roman" w:cs="Times New Roman"/>
                <w:b/>
                <w:bCs/>
                <w:noProof/>
                <w:kern w:val="3"/>
                <w:sz w:val="20"/>
                <w:szCs w:val="20"/>
                <w:lang w:val="en-IE" w:eastAsia="en-IE"/>
              </w:rPr>
              <w:t>.</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4C8E3780"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22.9% (2023)</w:t>
            </w:r>
          </w:p>
          <w:p w14:paraId="06F3FFAC"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kern w:val="3"/>
                <w:sz w:val="20"/>
                <w:szCs w:val="20"/>
                <w:lang w:val="en-IE" w:eastAsia="en-IE"/>
              </w:rPr>
              <w:t>22.9% of (2022)</w:t>
            </w:r>
          </w:p>
        </w:tc>
      </w:tr>
      <w:tr w:rsidR="00DD0DC9" w:rsidRPr="00DD0DC9" w14:paraId="1D984440"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0751228B" w14:textId="41B62FC6"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4</w:t>
            </w:r>
            <w:r w:rsidRPr="00DD0DC9">
              <w:rPr>
                <w:rFonts w:ascii="Times New Roman" w:eastAsia="Times New Roman" w:hAnsi="Times New Roman" w:cs="Times New Roman"/>
                <w:noProof/>
                <w:color w:val="000000"/>
                <w:kern w:val="3"/>
                <w:sz w:val="20"/>
                <w:szCs w:val="20"/>
                <w:lang w:val="en-IE" w:eastAsia="en-IE"/>
              </w:rPr>
              <w:t>: Share of energy from renewable sources  </w:t>
            </w:r>
            <w:r w:rsidRPr="00DD0DC9">
              <w:rPr>
                <w:rFonts w:ascii="Times New Roman" w:eastAsia="Times New Roman" w:hAnsi="Times New Roman" w:cs="Times New Roman"/>
                <w:noProof/>
                <w:kern w:val="3"/>
                <w:sz w:val="20"/>
                <w:szCs w:val="20"/>
                <w:lang w:val="en-IE" w:eastAsia="en-IE"/>
              </w:rPr>
              <w:t>  </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4EA6EA5D" w14:textId="0934F17B"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Renewable energy generation as share of energy consumption. </w:t>
            </w:r>
            <w:r w:rsidRPr="00DD0DC9">
              <w:rPr>
                <w:rFonts w:ascii="Times New Roman" w:eastAsia="Times New Roman" w:hAnsi="Times New Roman" w:cs="Times New Roman"/>
                <w:b/>
                <w:bCs/>
                <w:noProof/>
                <w:kern w:val="3"/>
                <w:sz w:val="20"/>
                <w:szCs w:val="20"/>
                <w:lang w:val="en-IE" w:eastAsia="en-IE"/>
              </w:rPr>
              <w:t>Target = 4</w:t>
            </w:r>
            <w:r w:rsidR="003254B1" w:rsidRPr="5248C967">
              <w:rPr>
                <w:rFonts w:ascii="Times New Roman" w:eastAsia="Times New Roman" w:hAnsi="Times New Roman" w:cs="Times New Roman"/>
                <w:b/>
                <w:noProof/>
                <w:sz w:val="20"/>
                <w:szCs w:val="20"/>
                <w:lang w:val="en-IE" w:eastAsia="en-IE"/>
              </w:rPr>
              <w:t>2.</w:t>
            </w:r>
            <w:r w:rsidRPr="00DD0DC9">
              <w:rPr>
                <w:rFonts w:ascii="Times New Roman" w:eastAsia="Times New Roman" w:hAnsi="Times New Roman" w:cs="Times New Roman"/>
                <w:b/>
                <w:bCs/>
                <w:noProof/>
                <w:kern w:val="3"/>
                <w:sz w:val="20"/>
                <w:szCs w:val="20"/>
                <w:lang w:val="en-IE" w:eastAsia="en-IE"/>
              </w:rPr>
              <w:t>5% in 2030.</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7479D0A4"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25.2% (2024)</w:t>
            </w:r>
          </w:p>
          <w:p w14:paraId="00462223"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24.5% (2023) </w:t>
            </w:r>
          </w:p>
        </w:tc>
      </w:tr>
      <w:tr w:rsidR="00DD0DC9" w:rsidRPr="00DD0DC9" w14:paraId="42C7571B"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757F132E" w14:textId="58C2BF5D"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5</w:t>
            </w:r>
            <w:r w:rsidRPr="00DD0DC9">
              <w:rPr>
                <w:rFonts w:ascii="Times New Roman" w:eastAsia="Times New Roman" w:hAnsi="Times New Roman" w:cs="Times New Roman"/>
                <w:noProof/>
                <w:color w:val="000000"/>
                <w:kern w:val="3"/>
                <w:sz w:val="20"/>
                <w:szCs w:val="20"/>
                <w:lang w:val="en-IE" w:eastAsia="en-IE"/>
              </w:rPr>
              <w:t>: Annual growth in renewable electricity generation</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270FC253" w14:textId="4059371D"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Annually added capacity to generate renewable electricity.</w:t>
            </w:r>
            <w:r w:rsidRPr="00DD0DC9">
              <w:rPr>
                <w:rFonts w:ascii="Times New Roman" w:eastAsia="Times New Roman" w:hAnsi="Times New Roman" w:cs="Times New Roman"/>
                <w:b/>
                <w:bCs/>
                <w:noProof/>
                <w:kern w:val="3"/>
                <w:sz w:val="20"/>
                <w:szCs w:val="20"/>
                <w:lang w:val="en-IE" w:eastAsia="en-IE"/>
              </w:rPr>
              <w:t xml:space="preserve"> </w:t>
            </w:r>
            <w:r>
              <w:rPr>
                <w:rFonts w:ascii="Times New Roman" w:eastAsia="Times New Roman" w:hAnsi="Times New Roman" w:cs="Times New Roman"/>
                <w:b/>
                <w:bCs/>
                <w:noProof/>
                <w:kern w:val="3"/>
                <w:sz w:val="20"/>
                <w:szCs w:val="20"/>
                <w:lang w:val="en-IE" w:eastAsia="en-IE"/>
              </w:rPr>
              <w:t>Objective</w:t>
            </w:r>
            <w:r w:rsidRPr="00DE4866">
              <w:rPr>
                <w:rFonts w:ascii="Times New Roman" w:eastAsia="Times New Roman" w:hAnsi="Times New Roman" w:cs="Times New Roman"/>
                <w:b/>
                <w:bCs/>
                <w:noProof/>
                <w:kern w:val="3"/>
                <w:sz w:val="20"/>
                <w:szCs w:val="20"/>
                <w:vertAlign w:val="superscript"/>
                <w:lang w:val="en-IE" w:eastAsia="en-IE"/>
              </w:rPr>
              <w:t xml:space="preserve"> </w:t>
            </w:r>
            <w:r w:rsidRPr="00DD0DC9">
              <w:rPr>
                <w:rFonts w:ascii="Times New Roman" w:eastAsia="Times New Roman" w:hAnsi="Times New Roman" w:cs="Times New Roman"/>
                <w:b/>
                <w:bCs/>
                <w:noProof/>
                <w:kern w:val="3"/>
                <w:sz w:val="20"/>
                <w:szCs w:val="20"/>
                <w:lang w:val="en-IE" w:eastAsia="en-IE"/>
              </w:rPr>
              <w:t>= +100 GW per year</w:t>
            </w:r>
            <w:r>
              <w:rPr>
                <w:rStyle w:val="FootnoteReference"/>
                <w:rFonts w:ascii="Times New Roman" w:eastAsia="Times New Roman" w:hAnsi="Times New Roman" w:cs="Times New Roman"/>
                <w:b/>
                <w:bCs/>
                <w:noProof/>
                <w:kern w:val="3"/>
                <w:sz w:val="20"/>
                <w:szCs w:val="20"/>
                <w:lang w:val="en-IE" w:eastAsia="en-IE"/>
              </w:rPr>
              <w:footnoteReference w:id="40"/>
            </w:r>
            <w:r w:rsidRPr="00DD0DC9">
              <w:rPr>
                <w:rFonts w:ascii="Times New Roman" w:eastAsia="Times New Roman" w:hAnsi="Times New Roman" w:cs="Times New Roman"/>
                <w:b/>
                <w:bCs/>
                <w:noProof/>
                <w:kern w:val="3"/>
                <w:sz w:val="20"/>
                <w:szCs w:val="20"/>
                <w:lang w:val="en-IE" w:eastAsia="en-IE"/>
              </w:rPr>
              <w:t>.</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229EB24F" w14:textId="4BE68AFC"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w:t>
            </w:r>
            <w:r>
              <w:rPr>
                <w:rFonts w:ascii="Times New Roman" w:eastAsia="Times New Roman" w:hAnsi="Times New Roman" w:cs="Times New Roman"/>
                <w:noProof/>
                <w:color w:val="000000"/>
                <w:kern w:val="3"/>
                <w:sz w:val="20"/>
                <w:szCs w:val="20"/>
                <w:lang w:val="en-IE" w:eastAsia="en-IE"/>
              </w:rPr>
              <w:t xml:space="preserve">68 </w:t>
            </w:r>
            <w:r w:rsidRPr="00DD0DC9">
              <w:rPr>
                <w:rFonts w:ascii="Times New Roman" w:eastAsia="Times New Roman" w:hAnsi="Times New Roman" w:cs="Times New Roman"/>
                <w:noProof/>
                <w:color w:val="000000"/>
                <w:kern w:val="3"/>
                <w:sz w:val="20"/>
                <w:szCs w:val="20"/>
                <w:lang w:val="en-IE" w:eastAsia="en-IE"/>
              </w:rPr>
              <w:t>GW (2024)</w:t>
            </w:r>
          </w:p>
          <w:p w14:paraId="3D2B5777" w14:textId="1DFEDFF5"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+6</w:t>
            </w:r>
            <w:r>
              <w:rPr>
                <w:rFonts w:ascii="Times New Roman" w:eastAsia="Times New Roman" w:hAnsi="Times New Roman" w:cs="Times New Roman"/>
                <w:noProof/>
                <w:color w:val="000000"/>
                <w:kern w:val="3"/>
                <w:sz w:val="20"/>
                <w:szCs w:val="20"/>
                <w:lang w:val="en-IE" w:eastAsia="en-IE"/>
              </w:rPr>
              <w:t>7</w:t>
            </w:r>
            <w:r w:rsidRPr="00DD0DC9">
              <w:rPr>
                <w:rFonts w:ascii="Times New Roman" w:eastAsia="Times New Roman" w:hAnsi="Times New Roman" w:cs="Times New Roman"/>
                <w:noProof/>
                <w:color w:val="000000"/>
                <w:kern w:val="3"/>
                <w:sz w:val="20"/>
                <w:szCs w:val="20"/>
                <w:lang w:val="en-IE" w:eastAsia="en-IE"/>
              </w:rPr>
              <w:t xml:space="preserve"> GW (2023)</w:t>
            </w:r>
          </w:p>
        </w:tc>
      </w:tr>
    </w:tbl>
    <w:p w14:paraId="74658FB5" w14:textId="7DE11219" w:rsidR="00DD0DC9" w:rsidRPr="00134137" w:rsidRDefault="00DD0DC9" w:rsidP="00DD0DC9">
      <w:pPr>
        <w:spacing w:before="120"/>
        <w:jc w:val="both"/>
        <w:rPr>
          <w:rFonts w:ascii="Times New Roman" w:eastAsia="Times New Roman" w:hAnsi="Times New Roman" w:cs="Times New Roman"/>
          <w:noProof/>
          <w:sz w:val="24"/>
          <w:szCs w:val="24"/>
          <w:lang w:val="en-IE"/>
        </w:rPr>
      </w:pPr>
      <w:r w:rsidRPr="00DD0DC9">
        <w:rPr>
          <w:rFonts w:ascii="Times New Roman" w:eastAsia="Times New Roman" w:hAnsi="Times New Roman" w:cs="Times New Roman"/>
          <w:b/>
          <w:noProof/>
          <w:sz w:val="24"/>
          <w:szCs w:val="24"/>
          <w:lang w:val="en-IE"/>
        </w:rPr>
        <w:t xml:space="preserve">EU private investment declined in </w:t>
      </w:r>
      <w:r w:rsidRPr="00B669CB">
        <w:rPr>
          <w:rFonts w:ascii="Times New Roman" w:eastAsia="Times New Roman" w:hAnsi="Times New Roman" w:cs="Times New Roman"/>
          <w:b/>
          <w:noProof/>
          <w:sz w:val="24"/>
          <w:szCs w:val="24"/>
          <w:lang w:val="en-IE"/>
        </w:rPr>
        <w:t>2024,</w:t>
      </w:r>
      <w:r w:rsidRPr="00B669CB">
        <w:rPr>
          <w:rFonts w:ascii="Times New Roman" w:hAnsi="Times New Roman" w:cs="Times New Roman"/>
          <w:b/>
          <w:noProof/>
          <w:sz w:val="24"/>
          <w:szCs w:val="24"/>
          <w:lang w:val="en-IE"/>
        </w:rPr>
        <w:t xml:space="preserve"> </w:t>
      </w:r>
      <w:r w:rsidR="00C74232" w:rsidRPr="00B669CB">
        <w:rPr>
          <w:rFonts w:ascii="Times New Roman" w:hAnsi="Times New Roman" w:cs="Times New Roman"/>
          <w:b/>
          <w:noProof/>
          <w:sz w:val="24"/>
          <w:szCs w:val="24"/>
          <w:lang w:val="en-IE"/>
        </w:rPr>
        <w:t>among</w:t>
      </w:r>
      <w:r w:rsidRPr="00B669CB">
        <w:rPr>
          <w:rFonts w:ascii="Times New Roman" w:hAnsi="Times New Roman" w:cs="Times New Roman"/>
          <w:b/>
          <w:noProof/>
          <w:sz w:val="24"/>
          <w:szCs w:val="24"/>
          <w:lang w:val="en-IE"/>
        </w:rPr>
        <w:t xml:space="preserve"> headwinds</w:t>
      </w:r>
      <w:r w:rsidRPr="00C74232">
        <w:rPr>
          <w:rFonts w:ascii="Times New Roman" w:hAnsi="Times New Roman" w:cs="Times New Roman"/>
          <w:b/>
          <w:noProof/>
          <w:sz w:val="24"/>
          <w:szCs w:val="24"/>
          <w:lang w:val="en-IE"/>
        </w:rPr>
        <w:t xml:space="preserve"> for industry</w:t>
      </w:r>
      <w:r w:rsidRPr="00DD0DC9">
        <w:rPr>
          <w:rFonts w:ascii="Times New Roman" w:eastAsia="Times New Roman" w:hAnsi="Times New Roman" w:cs="Times New Roman"/>
          <w:b/>
          <w:noProof/>
          <w:sz w:val="24"/>
          <w:szCs w:val="24"/>
          <w:lang w:val="en-IE"/>
        </w:rPr>
        <w:t>.</w:t>
      </w:r>
      <w:r w:rsidRPr="00DD0DC9">
        <w:rPr>
          <w:rFonts w:ascii="Times New Roman" w:eastAsia="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As a result, private</w:t>
      </w:r>
      <w:r w:rsidRPr="00DD0DC9">
        <w:rPr>
          <w:rFonts w:ascii="Times New Roman" w:eastAsia="Times New Roman" w:hAnsi="Times New Roman" w:cs="Times New Roman"/>
          <w:noProof/>
          <w:sz w:val="24"/>
          <w:szCs w:val="24"/>
          <w:lang w:val="en-IE"/>
        </w:rPr>
        <w:t xml:space="preserve"> investment </w:t>
      </w:r>
      <w:r w:rsidRPr="00DD0DC9">
        <w:rPr>
          <w:rFonts w:ascii="Times New Roman" w:hAnsi="Times New Roman" w:cs="Times New Roman"/>
          <w:noProof/>
          <w:sz w:val="24"/>
          <w:szCs w:val="24"/>
          <w:lang w:val="en-IE"/>
        </w:rPr>
        <w:t xml:space="preserve">as </w:t>
      </w:r>
      <w:r w:rsidR="00302FB4">
        <w:rPr>
          <w:rFonts w:ascii="Times New Roman" w:hAnsi="Times New Roman" w:cs="Times New Roman"/>
          <w:noProof/>
          <w:sz w:val="24"/>
          <w:szCs w:val="24"/>
          <w:lang w:val="en-IE"/>
        </w:rPr>
        <w:t>a</w:t>
      </w:r>
      <w:r w:rsidRPr="00DD0DC9">
        <w:rPr>
          <w:rFonts w:ascii="Times New Roman" w:hAnsi="Times New Roman" w:cs="Times New Roman"/>
          <w:noProof/>
          <w:sz w:val="24"/>
          <w:szCs w:val="24"/>
          <w:lang w:val="en-IE"/>
        </w:rPr>
        <w:t xml:space="preserve"> share of GDP dropped to 17.6% of GDP</w:t>
      </w:r>
      <w:r w:rsidRPr="00DD0DC9">
        <w:rPr>
          <w:rFonts w:ascii="Times New Roman" w:eastAsia="Times New Roman" w:hAnsi="Times New Roman" w:cs="Times New Roman"/>
          <w:noProof/>
          <w:sz w:val="24"/>
          <w:szCs w:val="24"/>
          <w:lang w:val="en-IE"/>
        </w:rPr>
        <w:t xml:space="preserve"> in 2024</w:t>
      </w:r>
      <w:r w:rsidRPr="00DD0DC9">
        <w:rPr>
          <w:rFonts w:ascii="Times New Roman" w:hAnsi="Times New Roman" w:cs="Times New Roman"/>
          <w:noProof/>
          <w:sz w:val="24"/>
          <w:szCs w:val="24"/>
          <w:lang w:val="en-IE"/>
        </w:rPr>
        <w:t xml:space="preserve"> and stood </w:t>
      </w:r>
      <w:r w:rsidR="00102B9D">
        <w:rPr>
          <w:rFonts w:ascii="Times New Roman" w:hAnsi="Times New Roman" w:cs="Times New Roman"/>
          <w:noProof/>
          <w:sz w:val="24"/>
          <w:szCs w:val="24"/>
          <w:lang w:val="en-IE"/>
        </w:rPr>
        <w:t>on</w:t>
      </w:r>
      <w:r w:rsidRPr="00DD0DC9">
        <w:rPr>
          <w:rFonts w:ascii="Times New Roman" w:hAnsi="Times New Roman" w:cs="Times New Roman"/>
          <w:noProof/>
          <w:sz w:val="24"/>
          <w:szCs w:val="24"/>
          <w:lang w:val="en-IE"/>
        </w:rPr>
        <w:t xml:space="preserve"> par with US levels, after being broadly stable and higher than in US in recent years (KPI 1</w:t>
      </w:r>
      <w:r>
        <w:rPr>
          <w:rFonts w:ascii="Times New Roman" w:hAnsi="Times New Roman" w:cs="Times New Roman"/>
          <w:noProof/>
          <w:sz w:val="24"/>
          <w:szCs w:val="24"/>
          <w:lang w:val="en-IE"/>
        </w:rPr>
        <w:t>8</w:t>
      </w:r>
      <w:r w:rsidRPr="00DD0DC9">
        <w:rPr>
          <w:rFonts w:ascii="Times New Roman" w:hAnsi="Times New Roman" w:cs="Times New Roman"/>
          <w:noProof/>
          <w:sz w:val="24"/>
          <w:szCs w:val="24"/>
          <w:lang w:val="en-IE"/>
        </w:rPr>
        <w:t>)</w:t>
      </w:r>
      <w:r>
        <w:rPr>
          <w:rStyle w:val="FootnoteReference"/>
          <w:rFonts w:ascii="Times New Roman" w:hAnsi="Times New Roman" w:cs="Times New Roman"/>
          <w:noProof/>
          <w:sz w:val="24"/>
          <w:szCs w:val="24"/>
          <w:lang w:val="en-IE"/>
        </w:rPr>
        <w:footnoteReference w:id="41"/>
      </w:r>
      <w:r w:rsidRPr="00DD0DC9">
        <w:rPr>
          <w:rFonts w:ascii="Times New Roman" w:hAnsi="Times New Roman" w:cs="Times New Roman"/>
          <w:noProof/>
          <w:sz w:val="24"/>
          <w:szCs w:val="24"/>
          <w:lang w:val="en-IE"/>
        </w:rPr>
        <w:t>.</w:t>
      </w:r>
      <w:r w:rsidRPr="00DD0DC9">
        <w:rPr>
          <w:rFonts w:ascii="Times New Roman" w:eastAsia="Times New Roman" w:hAnsi="Times New Roman" w:cs="Times New Roman"/>
          <w:noProof/>
          <w:sz w:val="24"/>
          <w:szCs w:val="24"/>
          <w:lang w:val="en-IE"/>
        </w:rPr>
        <w:t xml:space="preserve"> Industrial production </w:t>
      </w:r>
      <w:r w:rsidR="00A561BC">
        <w:rPr>
          <w:rFonts w:ascii="Times New Roman" w:eastAsia="Times New Roman" w:hAnsi="Times New Roman" w:cs="Times New Roman"/>
          <w:noProof/>
          <w:sz w:val="24"/>
          <w:szCs w:val="24"/>
          <w:lang w:val="en-IE"/>
        </w:rPr>
        <w:t>in the EU</w:t>
      </w:r>
      <w:r w:rsidRPr="00DD0DC9">
        <w:rPr>
          <w:rFonts w:ascii="Times New Roman" w:eastAsia="Times New Roman" w:hAnsi="Times New Roman" w:cs="Times New Roman"/>
          <w:noProof/>
          <w:sz w:val="24"/>
          <w:szCs w:val="24"/>
          <w:lang w:val="en-IE"/>
        </w:rPr>
        <w:t xml:space="preserve"> declined by 1.5% in 2023 and a further 2.4% in 2024. The financing of EU business investment is still too </w:t>
      </w:r>
      <w:r w:rsidR="00495635">
        <w:rPr>
          <w:rFonts w:ascii="Times New Roman" w:eastAsia="Times New Roman" w:hAnsi="Times New Roman" w:cs="Times New Roman"/>
          <w:noProof/>
          <w:sz w:val="24"/>
          <w:szCs w:val="24"/>
          <w:lang w:val="en-IE"/>
        </w:rPr>
        <w:t>reliant</w:t>
      </w:r>
      <w:r w:rsidR="00021BF4">
        <w:rPr>
          <w:rFonts w:ascii="Times New Roman" w:eastAsia="Times New Roman" w:hAnsi="Times New Roman" w:cs="Times New Roman"/>
          <w:noProof/>
          <w:sz w:val="24"/>
          <w:szCs w:val="24"/>
          <w:lang w:val="en-IE"/>
        </w:rPr>
        <w:t xml:space="preserve"> </w:t>
      </w:r>
      <w:r w:rsidR="00495635" w:rsidRPr="00DD0DC9">
        <w:rPr>
          <w:rFonts w:ascii="Times New Roman" w:eastAsia="Times New Roman" w:hAnsi="Times New Roman" w:cs="Times New Roman"/>
          <w:noProof/>
          <w:sz w:val="24"/>
          <w:szCs w:val="24"/>
          <w:lang w:val="en-IE"/>
        </w:rPr>
        <w:t>on</w:t>
      </w:r>
      <w:r w:rsidRPr="00DD0DC9">
        <w:rPr>
          <w:rFonts w:ascii="Times New Roman" w:eastAsia="Times New Roman" w:hAnsi="Times New Roman" w:cs="Times New Roman"/>
          <w:noProof/>
          <w:sz w:val="24"/>
          <w:szCs w:val="24"/>
          <w:lang w:val="en-IE"/>
        </w:rPr>
        <w:t xml:space="preserve"> bank lending (</w:t>
      </w:r>
      <w:r w:rsidR="002739F3">
        <w:rPr>
          <w:rFonts w:ascii="Times New Roman" w:eastAsia="Times New Roman" w:hAnsi="Times New Roman" w:cs="Times New Roman"/>
          <w:noProof/>
          <w:sz w:val="24"/>
          <w:szCs w:val="24"/>
          <w:lang w:val="en-IE"/>
        </w:rPr>
        <w:t>accoun</w:t>
      </w:r>
      <w:r w:rsidR="008758E5">
        <w:rPr>
          <w:rFonts w:ascii="Times New Roman" w:eastAsia="Times New Roman" w:hAnsi="Times New Roman" w:cs="Times New Roman"/>
          <w:noProof/>
          <w:sz w:val="24"/>
          <w:szCs w:val="24"/>
          <w:lang w:val="en-IE"/>
        </w:rPr>
        <w:t>t</w:t>
      </w:r>
      <w:r w:rsidR="002739F3">
        <w:rPr>
          <w:rFonts w:ascii="Times New Roman" w:eastAsia="Times New Roman" w:hAnsi="Times New Roman" w:cs="Times New Roman"/>
          <w:noProof/>
          <w:sz w:val="24"/>
          <w:szCs w:val="24"/>
          <w:lang w:val="en-IE"/>
        </w:rPr>
        <w:t>ing for</w:t>
      </w:r>
      <w:r w:rsidR="00877328" w:rsidRPr="00877328">
        <w:rPr>
          <w:rFonts w:ascii="Times New Roman" w:eastAsia="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 xml:space="preserve">more than 51% </w:t>
      </w:r>
      <w:r w:rsidR="00877328" w:rsidRPr="00877328">
        <w:rPr>
          <w:rFonts w:ascii="Times New Roman" w:eastAsia="Times New Roman" w:hAnsi="Times New Roman" w:cs="Times New Roman"/>
          <w:noProof/>
          <w:sz w:val="24"/>
          <w:szCs w:val="24"/>
          <w:lang w:val="en-IE"/>
        </w:rPr>
        <w:t xml:space="preserve">of business investment </w:t>
      </w:r>
      <w:r w:rsidR="009C093B">
        <w:rPr>
          <w:rFonts w:ascii="Times New Roman" w:hAnsi="Times New Roman" w:cs="Times New Roman"/>
          <w:noProof/>
          <w:sz w:val="24"/>
          <w:szCs w:val="24"/>
          <w:lang w:val="en-IE"/>
        </w:rPr>
        <w:t>in</w:t>
      </w:r>
      <w:r w:rsidR="009C093B" w:rsidRPr="00DD0DC9">
        <w:rPr>
          <w:rFonts w:ascii="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2024)</w:t>
      </w:r>
      <w:r w:rsidRPr="00DD0DC9">
        <w:rPr>
          <w:rFonts w:ascii="Times New Roman" w:eastAsia="Times New Roman" w:hAnsi="Times New Roman" w:cs="Times New Roman"/>
          <w:noProof/>
          <w:sz w:val="24"/>
          <w:szCs w:val="24"/>
          <w:lang w:val="en-IE"/>
        </w:rPr>
        <w:t>. Venture capital investment in the EU is o</w:t>
      </w:r>
      <w:r w:rsidRPr="00DD0DC9">
        <w:rPr>
          <w:rFonts w:ascii="Times New Roman" w:hAnsi="Times New Roman" w:cs="Times New Roman"/>
          <w:noProof/>
          <w:sz w:val="24"/>
          <w:szCs w:val="24"/>
          <w:lang w:val="en-IE"/>
        </w:rPr>
        <w:t>nly equivalent to 0.06% of GDP</w:t>
      </w:r>
      <w:r w:rsidRPr="00DD0DC9">
        <w:rPr>
          <w:rFonts w:ascii="Times New Roman" w:eastAsia="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(KPI 2</w:t>
      </w:r>
      <w:r>
        <w:rPr>
          <w:rFonts w:ascii="Times New Roman" w:hAnsi="Times New Roman" w:cs="Times New Roman"/>
          <w:noProof/>
          <w:sz w:val="24"/>
          <w:szCs w:val="24"/>
          <w:lang w:val="en-IE"/>
        </w:rPr>
        <w:t>0</w:t>
      </w:r>
      <w:r w:rsidRPr="00DD0DC9">
        <w:rPr>
          <w:rFonts w:ascii="Times New Roman" w:hAnsi="Times New Roman" w:cs="Times New Roman"/>
          <w:noProof/>
          <w:sz w:val="24"/>
          <w:szCs w:val="24"/>
          <w:lang w:val="en-IE"/>
        </w:rPr>
        <w:t>)</w:t>
      </w:r>
      <w:r>
        <w:rPr>
          <w:rFonts w:ascii="Times New Roman" w:hAnsi="Times New Roman" w:cs="Times New Roman"/>
          <w:noProof/>
          <w:sz w:val="24"/>
          <w:szCs w:val="24"/>
          <w:lang w:val="en-IE"/>
        </w:rPr>
        <w:t>, one-tenth of US levels</w:t>
      </w:r>
      <w:r w:rsidRPr="00DD0DC9">
        <w:rPr>
          <w:rFonts w:ascii="Times New Roman" w:eastAsia="Times New Roman" w:hAnsi="Times New Roman" w:cs="Times New Roman"/>
          <w:noProof/>
          <w:sz w:val="24"/>
          <w:szCs w:val="24"/>
          <w:lang w:val="en-IE"/>
        </w:rPr>
        <w:t>.</w:t>
      </w:r>
      <w:r w:rsidRPr="00DD0DC9">
        <w:rPr>
          <w:rFonts w:ascii="Times New Roman" w:hAnsi="Times New Roman" w:cs="Times New Roman"/>
          <w:noProof/>
          <w:sz w:val="24"/>
          <w:szCs w:val="24"/>
          <w:lang w:val="en-IE"/>
        </w:rPr>
        <w:t xml:space="preserve"> Currently only 44% of EU households’ financial savings are invested in company bonds, listed shares, investment funds and similar, which is much lower than in other jurisdictions</w:t>
      </w:r>
      <w:r w:rsidRPr="00DE4866">
        <w:rPr>
          <w:rStyle w:val="FootnoteReference"/>
          <w:rFonts w:ascii="Times New Roman" w:hAnsi="Times New Roman" w:cs="Times New Roman"/>
          <w:noProof/>
          <w:sz w:val="24"/>
          <w:szCs w:val="24"/>
          <w:lang w:val="en-IE"/>
        </w:rPr>
        <w:footnoteReference w:id="42"/>
      </w:r>
      <w:r w:rsidRPr="00DD0DC9">
        <w:rPr>
          <w:rFonts w:ascii="Times New Roman" w:hAnsi="Times New Roman" w:cs="Times New Roman"/>
          <w:noProof/>
          <w:sz w:val="24"/>
          <w:szCs w:val="24"/>
          <w:lang w:val="en-IE"/>
        </w:rPr>
        <w:t>, despite a higher volume of savings in the EU</w:t>
      </w:r>
      <w:r w:rsidRPr="00DE4866">
        <w:rPr>
          <w:rStyle w:val="FootnoteReference"/>
          <w:rFonts w:ascii="Times New Roman" w:hAnsi="Times New Roman" w:cs="Times New Roman"/>
          <w:noProof/>
          <w:sz w:val="24"/>
          <w:szCs w:val="24"/>
          <w:lang w:val="en-IE"/>
        </w:rPr>
        <w:footnoteReference w:id="43"/>
      </w:r>
      <w:r w:rsidRPr="00DD0DC9">
        <w:rPr>
          <w:rFonts w:ascii="Times New Roman" w:hAnsi="Times New Roman" w:cs="Times New Roman"/>
          <w:noProof/>
          <w:sz w:val="24"/>
          <w:szCs w:val="24"/>
          <w:lang w:val="en-IE"/>
        </w:rPr>
        <w:t>.</w:t>
      </w:r>
      <w:r w:rsidRPr="00DD0DC9">
        <w:rPr>
          <w:rFonts w:ascii="Times New Roman" w:eastAsia="Times New Roman" w:hAnsi="Times New Roman" w:cs="Times New Roman"/>
          <w:noProof/>
          <w:sz w:val="24"/>
          <w:szCs w:val="24"/>
          <w:lang w:val="en-IE"/>
        </w:rPr>
        <w:t xml:space="preserve"> Increasing the </w:t>
      </w:r>
      <w:r w:rsidRPr="00DD0DC9">
        <w:rPr>
          <w:rFonts w:ascii="Times New Roman" w:hAnsi="Times New Roman" w:cs="Times New Roman"/>
          <w:noProof/>
          <w:sz w:val="24"/>
          <w:szCs w:val="24"/>
          <w:lang w:val="en-IE"/>
        </w:rPr>
        <w:t>share of EU households’ savings flowing towards productive investments in companies would strengthen capital markets and corporate financing structures</w:t>
      </w:r>
      <w:r w:rsidRPr="00DE4866">
        <w:rPr>
          <w:rStyle w:val="FootnoteReference"/>
          <w:rFonts w:ascii="Times New Roman" w:hAnsi="Times New Roman" w:cs="Times New Roman"/>
          <w:noProof/>
          <w:sz w:val="24"/>
          <w:szCs w:val="24"/>
          <w:lang w:val="en-IE"/>
        </w:rPr>
        <w:footnoteReference w:id="44"/>
      </w:r>
      <w:r w:rsidRPr="00DD0DC9">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r w:rsidR="00A27DA5">
        <w:rPr>
          <w:rFonts w:ascii="Times New Roman" w:hAnsi="Times New Roman" w:cs="Times New Roman"/>
          <w:noProof/>
          <w:sz w:val="24"/>
          <w:szCs w:val="24"/>
          <w:lang w:val="en-IE"/>
        </w:rPr>
        <w:t>With this aim</w:t>
      </w:r>
      <w:r w:rsidR="000F0440">
        <w:rPr>
          <w:rFonts w:ascii="Times New Roman" w:hAnsi="Times New Roman" w:cs="Times New Roman"/>
          <w:noProof/>
          <w:sz w:val="24"/>
          <w:szCs w:val="24"/>
          <w:lang w:val="en-IE"/>
        </w:rPr>
        <w:t xml:space="preserve"> and </w:t>
      </w:r>
      <w:r w:rsidR="00C20183">
        <w:rPr>
          <w:rFonts w:ascii="Times New Roman" w:hAnsi="Times New Roman" w:cs="Times New Roman"/>
          <w:noProof/>
          <w:sz w:val="24"/>
          <w:szCs w:val="24"/>
          <w:lang w:val="en-IE"/>
        </w:rPr>
        <w:t xml:space="preserve">to </w:t>
      </w:r>
      <w:r w:rsidR="00D37408">
        <w:rPr>
          <w:rFonts w:ascii="Times New Roman" w:hAnsi="Times New Roman" w:cs="Times New Roman"/>
          <w:noProof/>
          <w:sz w:val="24"/>
          <w:szCs w:val="24"/>
          <w:lang w:val="en-IE"/>
        </w:rPr>
        <w:t xml:space="preserve">strengthen capital </w:t>
      </w:r>
      <w:r w:rsidR="00845179">
        <w:rPr>
          <w:rFonts w:ascii="Times New Roman" w:hAnsi="Times New Roman" w:cs="Times New Roman"/>
          <w:noProof/>
          <w:sz w:val="24"/>
          <w:szCs w:val="24"/>
          <w:lang w:val="en-IE"/>
        </w:rPr>
        <w:t>mark</w:t>
      </w:r>
      <w:r w:rsidR="002B4AEA">
        <w:rPr>
          <w:rFonts w:ascii="Times New Roman" w:hAnsi="Times New Roman" w:cs="Times New Roman"/>
          <w:noProof/>
          <w:sz w:val="24"/>
          <w:szCs w:val="24"/>
          <w:lang w:val="en-IE"/>
        </w:rPr>
        <w:t>et integr</w:t>
      </w:r>
      <w:r w:rsidR="0050674C">
        <w:rPr>
          <w:rFonts w:ascii="Times New Roman" w:hAnsi="Times New Roman" w:cs="Times New Roman"/>
          <w:noProof/>
          <w:sz w:val="24"/>
          <w:szCs w:val="24"/>
          <w:lang w:val="en-IE"/>
        </w:rPr>
        <w:t>a</w:t>
      </w:r>
      <w:r w:rsidR="002B4AEA">
        <w:rPr>
          <w:rFonts w:ascii="Times New Roman" w:hAnsi="Times New Roman" w:cs="Times New Roman"/>
          <w:noProof/>
          <w:sz w:val="24"/>
          <w:szCs w:val="24"/>
          <w:lang w:val="en-IE"/>
        </w:rPr>
        <w:t>tion</w:t>
      </w:r>
      <w:r w:rsidR="00A27DA5">
        <w:rPr>
          <w:rFonts w:ascii="Times New Roman" w:hAnsi="Times New Roman" w:cs="Times New Roman"/>
          <w:noProof/>
          <w:sz w:val="24"/>
          <w:szCs w:val="24"/>
          <w:lang w:val="en-IE"/>
        </w:rPr>
        <w:t>, i</w:t>
      </w:r>
      <w:r w:rsidR="003F7CA2" w:rsidRPr="005B4F13">
        <w:rPr>
          <w:rFonts w:ascii="Times New Roman" w:hAnsi="Times New Roman" w:cs="Times New Roman"/>
          <w:noProof/>
          <w:sz w:val="24"/>
          <w:szCs w:val="24"/>
          <w:lang w:val="en-IE"/>
        </w:rPr>
        <w:t>n 2025 the Commission</w:t>
      </w:r>
      <w:r w:rsidR="003F7CA2" w:rsidRPr="002A5630">
        <w:rPr>
          <w:rFonts w:ascii="Times New Roman" w:hAnsi="Times New Roman" w:cs="Times New Roman"/>
          <w:noProof/>
          <w:sz w:val="24"/>
          <w:szCs w:val="24"/>
          <w:lang w:val="en-IE"/>
        </w:rPr>
        <w:t xml:space="preserve"> adopted </w:t>
      </w:r>
      <w:r w:rsidR="003F7CA2" w:rsidRPr="003C17A6">
        <w:rPr>
          <w:rFonts w:ascii="Times New Roman" w:hAnsi="Times New Roman" w:cs="Times New Roman"/>
          <w:noProof/>
          <w:sz w:val="24"/>
          <w:szCs w:val="24"/>
          <w:lang w:val="en-IE"/>
        </w:rPr>
        <w:t xml:space="preserve">under the Savings </w:t>
      </w:r>
      <w:r w:rsidR="003F7CA2">
        <w:rPr>
          <w:rFonts w:ascii="Times New Roman" w:hAnsi="Times New Roman" w:cs="Times New Roman"/>
          <w:noProof/>
          <w:sz w:val="24"/>
          <w:szCs w:val="24"/>
          <w:lang w:val="en-IE"/>
        </w:rPr>
        <w:t>a</w:t>
      </w:r>
      <w:r w:rsidR="003F7CA2" w:rsidRPr="003C17A6">
        <w:rPr>
          <w:rFonts w:ascii="Times New Roman" w:hAnsi="Times New Roman" w:cs="Times New Roman"/>
          <w:noProof/>
          <w:sz w:val="24"/>
          <w:szCs w:val="24"/>
          <w:lang w:val="en-IE"/>
        </w:rPr>
        <w:t>nd Investment</w:t>
      </w:r>
      <w:r>
        <w:rPr>
          <w:rFonts w:ascii="Times New Roman" w:hAnsi="Times New Roman" w:cs="Times New Roman"/>
          <w:noProof/>
          <w:sz w:val="24"/>
          <w:szCs w:val="24"/>
          <w:lang w:val="en-IE"/>
        </w:rPr>
        <w:t>s</w:t>
      </w:r>
      <w:r w:rsidR="003F7CA2" w:rsidRPr="003C17A6">
        <w:rPr>
          <w:rFonts w:ascii="Times New Roman" w:hAnsi="Times New Roman" w:cs="Times New Roman"/>
          <w:noProof/>
          <w:sz w:val="24"/>
          <w:szCs w:val="24"/>
          <w:lang w:val="en-IE"/>
        </w:rPr>
        <w:t xml:space="preserve"> Union</w:t>
      </w:r>
      <w:r w:rsidR="003F7CA2">
        <w:rPr>
          <w:rFonts w:ascii="Times New Roman" w:hAnsi="Times New Roman" w:cs="Times New Roman"/>
          <w:noProof/>
          <w:sz w:val="24"/>
          <w:szCs w:val="24"/>
          <w:lang w:val="en-IE"/>
        </w:rPr>
        <w:t xml:space="preserve"> strategy</w:t>
      </w:r>
      <w:r w:rsidR="009C14CD">
        <w:rPr>
          <w:rStyle w:val="FootnoteReference"/>
          <w:rFonts w:ascii="Times New Roman" w:hAnsi="Times New Roman" w:cs="Times New Roman"/>
          <w:noProof/>
          <w:sz w:val="24"/>
          <w:szCs w:val="24"/>
          <w:lang w:val="en-IE"/>
        </w:rPr>
        <w:footnoteReference w:id="45"/>
      </w:r>
      <w:r w:rsidR="003F7CA2" w:rsidRPr="003C17A6">
        <w:rPr>
          <w:rFonts w:ascii="Times New Roman" w:hAnsi="Times New Roman" w:cs="Times New Roman"/>
          <w:noProof/>
          <w:sz w:val="24"/>
          <w:szCs w:val="24"/>
          <w:lang w:val="en-IE"/>
        </w:rPr>
        <w:t xml:space="preserve"> </w:t>
      </w:r>
      <w:r w:rsidR="003C17A6" w:rsidRPr="003C17A6">
        <w:rPr>
          <w:rFonts w:ascii="Times New Roman" w:hAnsi="Times New Roman" w:cs="Times New Roman"/>
          <w:noProof/>
          <w:sz w:val="24"/>
          <w:szCs w:val="24"/>
          <w:lang w:val="en-IE"/>
        </w:rPr>
        <w:t xml:space="preserve">policy </w:t>
      </w:r>
      <w:r w:rsidR="008D058D">
        <w:rPr>
          <w:rFonts w:ascii="Times New Roman" w:hAnsi="Times New Roman" w:cs="Times New Roman"/>
          <w:noProof/>
          <w:sz w:val="24"/>
          <w:szCs w:val="24"/>
          <w:lang w:val="en-IE"/>
        </w:rPr>
        <w:t>ini</w:t>
      </w:r>
      <w:r w:rsidR="00626C07">
        <w:rPr>
          <w:rFonts w:ascii="Times New Roman" w:hAnsi="Times New Roman" w:cs="Times New Roman"/>
          <w:noProof/>
          <w:sz w:val="24"/>
          <w:szCs w:val="24"/>
          <w:lang w:val="en-IE"/>
        </w:rPr>
        <w:t xml:space="preserve">tiatives </w:t>
      </w:r>
      <w:r w:rsidR="003F7CA2">
        <w:rPr>
          <w:rFonts w:ascii="Times New Roman" w:hAnsi="Times New Roman" w:cs="Times New Roman"/>
          <w:noProof/>
          <w:sz w:val="24"/>
          <w:szCs w:val="24"/>
          <w:lang w:val="en-IE"/>
        </w:rPr>
        <w:t xml:space="preserve">that </w:t>
      </w:r>
      <w:r w:rsidR="003C17A6" w:rsidRPr="003C17A6">
        <w:rPr>
          <w:rFonts w:ascii="Times New Roman" w:hAnsi="Times New Roman" w:cs="Times New Roman"/>
          <w:noProof/>
          <w:sz w:val="24"/>
          <w:szCs w:val="24"/>
          <w:lang w:val="en-IE"/>
        </w:rPr>
        <w:t xml:space="preserve">target among others securitisation, </w:t>
      </w:r>
      <w:r w:rsidR="003C17A6" w:rsidRPr="00134137">
        <w:rPr>
          <w:rFonts w:ascii="Times New Roman" w:hAnsi="Times New Roman" w:cs="Times New Roman"/>
          <w:noProof/>
          <w:sz w:val="24"/>
          <w:szCs w:val="24"/>
          <w:lang w:val="en-IE"/>
        </w:rPr>
        <w:t>financial literacy, savings and investment accounts, supplementary pensions, market integration and supervision</w:t>
      </w:r>
      <w:r w:rsidR="00D326BF" w:rsidRPr="00134137">
        <w:rPr>
          <w:rStyle w:val="FootnoteReference"/>
          <w:rFonts w:ascii="Times New Roman" w:hAnsi="Times New Roman" w:cs="Times New Roman"/>
          <w:noProof/>
          <w:sz w:val="24"/>
          <w:szCs w:val="24"/>
          <w:lang w:val="en-IE"/>
        </w:rPr>
        <w:footnoteReference w:id="46"/>
      </w:r>
      <w:r w:rsidR="003C17A6" w:rsidRPr="00134137">
        <w:rPr>
          <w:rFonts w:ascii="Times New Roman" w:hAnsi="Times New Roman" w:cs="Times New Roman"/>
          <w:noProof/>
          <w:sz w:val="24"/>
          <w:szCs w:val="24"/>
          <w:lang w:val="en-IE"/>
        </w:rPr>
        <w:t xml:space="preserve">. </w:t>
      </w:r>
      <w:r w:rsidR="00D74A12" w:rsidRPr="00134137">
        <w:rPr>
          <w:rFonts w:ascii="Times New Roman" w:hAnsi="Times New Roman" w:cs="Times New Roman"/>
          <w:noProof/>
          <w:sz w:val="24"/>
          <w:szCs w:val="24"/>
          <w:lang w:val="en-IE"/>
        </w:rPr>
        <w:t>Under the next Multiannual Financial Framework, the National and Regional Partnership Plans will support reforms that advance</w:t>
      </w:r>
      <w:r>
        <w:rPr>
          <w:rFonts w:ascii="Times New Roman" w:hAnsi="Times New Roman" w:cs="Times New Roman"/>
          <w:noProof/>
          <w:sz w:val="24"/>
          <w:szCs w:val="24"/>
          <w:lang w:val="en-IE"/>
        </w:rPr>
        <w:t xml:space="preserve">, among others, </w:t>
      </w:r>
      <w:r w:rsidR="00D74A12" w:rsidRPr="00134137">
        <w:rPr>
          <w:rFonts w:ascii="Times New Roman" w:hAnsi="Times New Roman" w:cs="Times New Roman"/>
          <w:noProof/>
          <w:sz w:val="24"/>
          <w:szCs w:val="24"/>
          <w:lang w:val="en-IE"/>
        </w:rPr>
        <w:t>the Savings and Investment Union and strengthen the development of market-based funding options.</w:t>
      </w:r>
    </w:p>
    <w:p w14:paraId="7746F7FB" w14:textId="56AF4285" w:rsidR="00DD0DC9" w:rsidRPr="00134137" w:rsidRDefault="00DD0DC9" w:rsidP="00DD0DC9">
      <w:pPr>
        <w:widowControl w:val="0"/>
        <w:jc w:val="both"/>
        <w:rPr>
          <w:rFonts w:ascii="Times New Roman" w:eastAsia="Times New Roman" w:hAnsi="Times New Roman" w:cs="Times New Roman"/>
          <w:noProof/>
          <w:sz w:val="24"/>
          <w:szCs w:val="24"/>
          <w:lang w:val="en-IE"/>
        </w:rPr>
      </w:pPr>
      <w:r w:rsidRPr="00134137">
        <w:rPr>
          <w:rFonts w:ascii="Times New Roman" w:eastAsia="Times New Roman" w:hAnsi="Times New Roman" w:cs="Times New Roman"/>
          <w:b/>
          <w:bCs/>
          <w:noProof/>
          <w:sz w:val="24"/>
          <w:szCs w:val="24"/>
          <w:lang w:val="en-IE"/>
        </w:rPr>
        <w:t xml:space="preserve">Public investment </w:t>
      </w:r>
      <w:r w:rsidR="00AF165B" w:rsidRPr="00134137">
        <w:rPr>
          <w:rFonts w:ascii="Times New Roman" w:eastAsia="Times New Roman" w:hAnsi="Times New Roman" w:cs="Times New Roman"/>
          <w:b/>
          <w:bCs/>
          <w:noProof/>
          <w:sz w:val="24"/>
          <w:szCs w:val="24"/>
          <w:lang w:val="en-IE"/>
        </w:rPr>
        <w:t>r</w:t>
      </w:r>
      <w:r w:rsidR="000E638C" w:rsidRPr="00134137">
        <w:rPr>
          <w:rFonts w:ascii="Times New Roman" w:eastAsia="Times New Roman" w:hAnsi="Times New Roman" w:cs="Times New Roman"/>
          <w:b/>
          <w:bCs/>
          <w:noProof/>
          <w:sz w:val="24"/>
          <w:szCs w:val="24"/>
          <w:lang w:val="en-IE"/>
        </w:rPr>
        <w:t>emains</w:t>
      </w:r>
      <w:r w:rsidR="00A07BEF" w:rsidRPr="00134137">
        <w:rPr>
          <w:rFonts w:ascii="Times New Roman" w:eastAsia="Times New Roman" w:hAnsi="Times New Roman" w:cs="Times New Roman"/>
          <w:b/>
          <w:bCs/>
          <w:noProof/>
          <w:sz w:val="24"/>
          <w:szCs w:val="24"/>
          <w:lang w:val="en-IE"/>
        </w:rPr>
        <w:t xml:space="preserve"> </w:t>
      </w:r>
      <w:r w:rsidRPr="00134137">
        <w:rPr>
          <w:rFonts w:ascii="Times New Roman" w:eastAsia="Times New Roman" w:hAnsi="Times New Roman" w:cs="Times New Roman"/>
          <w:b/>
          <w:bCs/>
          <w:noProof/>
          <w:sz w:val="24"/>
          <w:szCs w:val="24"/>
          <w:lang w:val="en-IE"/>
        </w:rPr>
        <w:t>on a firm footing and EU tools</w:t>
      </w:r>
      <w:r w:rsidRPr="00DD0DC9">
        <w:rPr>
          <w:rFonts w:ascii="Times New Roman" w:eastAsia="Times New Roman" w:hAnsi="Times New Roman" w:cs="Times New Roman"/>
          <w:b/>
          <w:bCs/>
          <w:noProof/>
          <w:sz w:val="24"/>
          <w:szCs w:val="24"/>
          <w:lang w:val="en-IE"/>
        </w:rPr>
        <w:t xml:space="preserve"> have successfully mobilised investment for the industrial transformation.</w:t>
      </w:r>
      <w:r w:rsidRPr="00DD0DC9">
        <w:rPr>
          <w:rFonts w:ascii="Times New Roman" w:eastAsia="Times New Roman" w:hAnsi="Times New Roman" w:cs="Times New Roman"/>
          <w:noProof/>
          <w:sz w:val="24"/>
          <w:szCs w:val="24"/>
          <w:lang w:val="en-IE"/>
        </w:rPr>
        <w:t xml:space="preserve"> In 2024 public investment </w:t>
      </w:r>
      <w:r w:rsidR="007873CF">
        <w:rPr>
          <w:rFonts w:ascii="Times New Roman" w:eastAsia="Times New Roman" w:hAnsi="Times New Roman" w:cs="Times New Roman"/>
          <w:noProof/>
          <w:sz w:val="24"/>
          <w:szCs w:val="24"/>
          <w:lang w:val="en-IE"/>
        </w:rPr>
        <w:t>i</w:t>
      </w:r>
      <w:r w:rsidR="00CF6DDD">
        <w:rPr>
          <w:rFonts w:ascii="Times New Roman" w:eastAsia="Times New Roman" w:hAnsi="Times New Roman" w:cs="Times New Roman"/>
          <w:noProof/>
          <w:sz w:val="24"/>
          <w:szCs w:val="24"/>
          <w:lang w:val="en-IE"/>
        </w:rPr>
        <w:t xml:space="preserve">n the EU </w:t>
      </w:r>
      <w:r w:rsidRPr="00DD0DC9">
        <w:rPr>
          <w:rFonts w:ascii="Times New Roman" w:hAnsi="Times New Roman" w:cs="Times New Roman"/>
          <w:noProof/>
          <w:sz w:val="24"/>
          <w:szCs w:val="24"/>
          <w:lang w:val="en-IE"/>
        </w:rPr>
        <w:t xml:space="preserve">reached 3.7% of GDP confirming the positive trend </w:t>
      </w:r>
      <w:r w:rsidR="0057509D">
        <w:rPr>
          <w:rFonts w:ascii="Times New Roman" w:hAnsi="Times New Roman" w:cs="Times New Roman"/>
          <w:noProof/>
          <w:sz w:val="24"/>
          <w:szCs w:val="24"/>
          <w:lang w:val="en-IE"/>
        </w:rPr>
        <w:t>se</w:t>
      </w:r>
      <w:r w:rsidR="00AC1903">
        <w:rPr>
          <w:rFonts w:ascii="Times New Roman" w:hAnsi="Times New Roman" w:cs="Times New Roman"/>
          <w:noProof/>
          <w:sz w:val="24"/>
          <w:szCs w:val="24"/>
          <w:lang w:val="en-IE"/>
        </w:rPr>
        <w:t>en</w:t>
      </w:r>
      <w:r w:rsidR="0057509D">
        <w:rPr>
          <w:rFonts w:ascii="Times New Roman" w:hAnsi="Times New Roman" w:cs="Times New Roman"/>
          <w:noProof/>
          <w:sz w:val="24"/>
          <w:szCs w:val="24"/>
          <w:lang w:val="en-IE"/>
        </w:rPr>
        <w:t xml:space="preserve"> </w:t>
      </w:r>
      <w:r w:rsidR="001607E1">
        <w:rPr>
          <w:rFonts w:ascii="Times New Roman" w:hAnsi="Times New Roman" w:cs="Times New Roman"/>
          <w:noProof/>
          <w:sz w:val="24"/>
          <w:szCs w:val="24"/>
          <w:lang w:val="en-IE"/>
        </w:rPr>
        <w:t>in</w:t>
      </w:r>
      <w:r w:rsidR="00054DFB">
        <w:rPr>
          <w:rFonts w:ascii="Times New Roman" w:hAnsi="Times New Roman" w:cs="Times New Roman"/>
          <w:noProof/>
          <w:sz w:val="24"/>
          <w:szCs w:val="24"/>
          <w:lang w:val="en-IE"/>
        </w:rPr>
        <w:t xml:space="preserve"> </w:t>
      </w:r>
      <w:r w:rsidR="00A352D1">
        <w:rPr>
          <w:rFonts w:ascii="Times New Roman" w:hAnsi="Times New Roman" w:cs="Times New Roman"/>
          <w:noProof/>
          <w:sz w:val="24"/>
          <w:szCs w:val="24"/>
          <w:lang w:val="en-IE"/>
        </w:rPr>
        <w:t>recent</w:t>
      </w:r>
      <w:r w:rsidRPr="00DD0DC9">
        <w:rPr>
          <w:rFonts w:ascii="Times New Roman" w:hAnsi="Times New Roman" w:cs="Times New Roman"/>
          <w:noProof/>
          <w:sz w:val="24"/>
          <w:szCs w:val="24"/>
          <w:lang w:val="en-IE"/>
        </w:rPr>
        <w:t xml:space="preserve"> years (KPI </w:t>
      </w:r>
      <w:r>
        <w:rPr>
          <w:rFonts w:ascii="Times New Roman" w:hAnsi="Times New Roman" w:cs="Times New Roman"/>
          <w:noProof/>
          <w:sz w:val="24"/>
          <w:szCs w:val="24"/>
          <w:lang w:val="en-IE"/>
        </w:rPr>
        <w:t>19</w:t>
      </w:r>
      <w:r w:rsidRPr="00DD0DC9">
        <w:rPr>
          <w:rFonts w:ascii="Times New Roman" w:hAnsi="Times New Roman" w:cs="Times New Roman"/>
          <w:noProof/>
          <w:sz w:val="24"/>
          <w:szCs w:val="24"/>
          <w:lang w:val="en-IE"/>
        </w:rPr>
        <w:t>)</w:t>
      </w:r>
      <w:r w:rsidR="00DE5647">
        <w:rPr>
          <w:rFonts w:ascii="Times New Roman" w:hAnsi="Times New Roman" w:cs="Times New Roman"/>
          <w:noProof/>
          <w:sz w:val="24"/>
          <w:szCs w:val="24"/>
          <w:lang w:val="en-IE"/>
        </w:rPr>
        <w:t xml:space="preserve">, </w:t>
      </w:r>
      <w:r w:rsidR="00131A82" w:rsidRPr="00131A82">
        <w:rPr>
          <w:rFonts w:ascii="Times New Roman" w:hAnsi="Times New Roman" w:cs="Times New Roman"/>
          <w:noProof/>
          <w:sz w:val="24"/>
          <w:szCs w:val="24"/>
          <w:lang w:val="en-IE"/>
        </w:rPr>
        <w:t xml:space="preserve">also supported by </w:t>
      </w:r>
      <w:r w:rsidR="00607F78">
        <w:rPr>
          <w:rFonts w:ascii="Times New Roman" w:hAnsi="Times New Roman" w:cs="Times New Roman"/>
          <w:noProof/>
          <w:sz w:val="24"/>
          <w:szCs w:val="24"/>
          <w:lang w:val="en-IE"/>
        </w:rPr>
        <w:t>the Multi</w:t>
      </w:r>
      <w:r w:rsidR="008C2CE9">
        <w:rPr>
          <w:rFonts w:ascii="Times New Roman" w:hAnsi="Times New Roman" w:cs="Times New Roman"/>
          <w:noProof/>
          <w:sz w:val="24"/>
          <w:szCs w:val="24"/>
          <w:lang w:val="en-IE"/>
        </w:rPr>
        <w:t>a</w:t>
      </w:r>
      <w:r w:rsidR="00607F78">
        <w:rPr>
          <w:rFonts w:ascii="Times New Roman" w:hAnsi="Times New Roman" w:cs="Times New Roman"/>
          <w:noProof/>
          <w:sz w:val="24"/>
          <w:szCs w:val="24"/>
          <w:lang w:val="en-IE"/>
        </w:rPr>
        <w:t>nnual Financial Framework, including</w:t>
      </w:r>
      <w:r w:rsidR="00131A82" w:rsidRPr="00131A82">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cohesion policy</w:t>
      </w:r>
      <w:r>
        <w:rPr>
          <w:rStyle w:val="FootnoteReference"/>
          <w:rFonts w:ascii="Times New Roman" w:hAnsi="Times New Roman" w:cs="Times New Roman"/>
          <w:noProof/>
          <w:sz w:val="24"/>
          <w:szCs w:val="24"/>
          <w:lang w:val="en-IE"/>
        </w:rPr>
        <w:footnoteReference w:id="47"/>
      </w:r>
      <w:r>
        <w:rPr>
          <w:rFonts w:ascii="Times New Roman" w:hAnsi="Times New Roman" w:cs="Times New Roman"/>
          <w:noProof/>
          <w:sz w:val="24"/>
          <w:szCs w:val="24"/>
          <w:lang w:val="en-IE"/>
        </w:rPr>
        <w:t xml:space="preserve"> and </w:t>
      </w:r>
      <w:r w:rsidR="00131A82" w:rsidRPr="00131A82">
        <w:rPr>
          <w:rFonts w:ascii="Times New Roman" w:hAnsi="Times New Roman" w:cs="Times New Roman"/>
          <w:noProof/>
          <w:sz w:val="24"/>
          <w:szCs w:val="24"/>
          <w:lang w:val="en-IE"/>
        </w:rPr>
        <w:t>the Recovery and Resilience Facility</w:t>
      </w:r>
      <w:r w:rsidRPr="00DD0DC9">
        <w:rPr>
          <w:rFonts w:ascii="Times New Roman" w:hAnsi="Times New Roman" w:cs="Times New Roman"/>
          <w:noProof/>
          <w:sz w:val="24"/>
          <w:szCs w:val="24"/>
          <w:lang w:val="en-IE"/>
        </w:rPr>
        <w:t xml:space="preserve">. As of </w:t>
      </w:r>
      <w:r w:rsidR="00B11527" w:rsidRPr="00A16BDF">
        <w:rPr>
          <w:rFonts w:ascii="Times New Roman" w:hAnsi="Times New Roman" w:cs="Times New Roman"/>
          <w:noProof/>
          <w:sz w:val="24"/>
          <w:szCs w:val="24"/>
          <w:lang w:val="en-IE"/>
        </w:rPr>
        <w:t>June</w:t>
      </w:r>
      <w:r w:rsidR="00B11527" w:rsidRPr="002363B5">
        <w:rPr>
          <w:rFonts w:ascii="Times New Roman" w:hAnsi="Times New Roman" w:cs="Times New Roman"/>
          <w:noProof/>
          <w:sz w:val="24"/>
          <w:szCs w:val="24"/>
          <w:lang w:val="en-IE"/>
        </w:rPr>
        <w:t xml:space="preserve"> 202</w:t>
      </w:r>
      <w:r w:rsidR="00B11527" w:rsidRPr="00A16BDF">
        <w:rPr>
          <w:rFonts w:ascii="Times New Roman" w:hAnsi="Times New Roman" w:cs="Times New Roman"/>
          <w:noProof/>
          <w:sz w:val="24"/>
          <w:szCs w:val="24"/>
          <w:lang w:val="en-IE"/>
        </w:rPr>
        <w:t>5</w:t>
      </w:r>
      <w:r w:rsidRPr="00DD0DC9">
        <w:rPr>
          <w:rFonts w:ascii="Times New Roman" w:hAnsi="Times New Roman" w:cs="Times New Roman"/>
          <w:noProof/>
          <w:sz w:val="24"/>
          <w:szCs w:val="24"/>
          <w:lang w:val="en-IE"/>
        </w:rPr>
        <w:t xml:space="preserve">, InvestEU, the EU’s main tool for attracting public and private sector investment, had mobilised almost EUR 300 bn (of which </w:t>
      </w:r>
      <w:r w:rsidR="00B11527" w:rsidRPr="002363B5">
        <w:rPr>
          <w:rFonts w:ascii="Times New Roman" w:hAnsi="Times New Roman" w:cs="Times New Roman"/>
          <w:noProof/>
          <w:sz w:val="24"/>
          <w:szCs w:val="24"/>
          <w:lang w:val="en-IE"/>
        </w:rPr>
        <w:t>68.7</w:t>
      </w:r>
      <w:r w:rsidRPr="00DD0DC9">
        <w:rPr>
          <w:rFonts w:ascii="Times New Roman" w:hAnsi="Times New Roman" w:cs="Times New Roman"/>
          <w:noProof/>
          <w:sz w:val="24"/>
          <w:szCs w:val="24"/>
          <w:lang w:val="en-IE"/>
        </w:rPr>
        <w:t>% from the private sector)</w:t>
      </w:r>
      <w:r w:rsidRPr="00DD0DC9">
        <w:rPr>
          <w:rFonts w:ascii="Times New Roman" w:hAnsi="Times New Roman" w:cs="Times New Roman"/>
          <w:noProof/>
          <w:sz w:val="24"/>
          <w:szCs w:val="24"/>
          <w:vertAlign w:val="superscript"/>
          <w:lang w:val="en-IE"/>
        </w:rPr>
        <w:footnoteReference w:id="48"/>
      </w:r>
      <w:r w:rsidRPr="00DD0DC9">
        <w:rPr>
          <w:rFonts w:ascii="Times New Roman" w:hAnsi="Times New Roman" w:cs="Times New Roman"/>
          <w:noProof/>
          <w:sz w:val="24"/>
          <w:szCs w:val="24"/>
          <w:lang w:val="en-IE"/>
        </w:rPr>
        <w:t xml:space="preserve"> in investments</w:t>
      </w:r>
      <w:r w:rsidRPr="00DD0DC9">
        <w:rPr>
          <w:rFonts w:ascii="Times New Roman" w:eastAsia="Times New Roman" w:hAnsi="Times New Roman" w:cs="Times New Roman"/>
          <w:noProof/>
          <w:sz w:val="24"/>
          <w:szCs w:val="24"/>
          <w:lang w:val="en-IE"/>
        </w:rPr>
        <w:t xml:space="preserve">. </w:t>
      </w:r>
      <w:r w:rsidR="006D3028">
        <w:rPr>
          <w:rFonts w:ascii="Times New Roman" w:eastAsia="Times New Roman" w:hAnsi="Times New Roman" w:cs="Times New Roman"/>
          <w:noProof/>
          <w:sz w:val="24"/>
          <w:szCs w:val="24"/>
          <w:lang w:val="en-IE"/>
        </w:rPr>
        <w:t>More than</w:t>
      </w:r>
      <w:r w:rsidR="00B11527" w:rsidRPr="00DD0DC9">
        <w:rPr>
          <w:rFonts w:ascii="Times New Roman" w:eastAsia="Times New Roman" w:hAnsi="Times New Roman" w:cs="Times New Roman"/>
          <w:noProof/>
          <w:sz w:val="24"/>
          <w:szCs w:val="24"/>
          <w:lang w:val="en-IE"/>
        </w:rPr>
        <w:t xml:space="preserve"> </w:t>
      </w:r>
      <w:r w:rsidR="0060108C">
        <w:rPr>
          <w:rFonts w:ascii="Times New Roman" w:eastAsia="Times New Roman" w:hAnsi="Times New Roman" w:cs="Times New Roman"/>
          <w:noProof/>
          <w:sz w:val="24"/>
          <w:szCs w:val="24"/>
          <w:lang w:val="en-IE"/>
        </w:rPr>
        <w:t>o</w:t>
      </w:r>
      <w:r w:rsidRPr="00DD0DC9">
        <w:rPr>
          <w:rFonts w:ascii="Times New Roman" w:eastAsia="Times New Roman" w:hAnsi="Times New Roman" w:cs="Times New Roman"/>
          <w:noProof/>
          <w:sz w:val="24"/>
          <w:szCs w:val="24"/>
          <w:lang w:val="en-IE"/>
        </w:rPr>
        <w:t xml:space="preserve">ne third of </w:t>
      </w:r>
      <w:r w:rsidRPr="00DD0DC9">
        <w:rPr>
          <w:rFonts w:ascii="Times New Roman" w:hAnsi="Times New Roman" w:cs="Times New Roman"/>
          <w:noProof/>
          <w:sz w:val="24"/>
          <w:szCs w:val="24"/>
          <w:lang w:val="en-IE"/>
        </w:rPr>
        <w:t xml:space="preserve">it, EUR </w:t>
      </w:r>
      <w:r w:rsidR="00B11527" w:rsidRPr="00A16BDF">
        <w:rPr>
          <w:rFonts w:ascii="Times New Roman" w:hAnsi="Times New Roman" w:cs="Times New Roman"/>
          <w:noProof/>
          <w:sz w:val="24"/>
          <w:szCs w:val="24"/>
          <w:lang w:val="en-IE"/>
        </w:rPr>
        <w:t>115.5</w:t>
      </w:r>
      <w:r>
        <w:rPr>
          <w:rFonts w:ascii="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bn (KPI 2</w:t>
      </w:r>
      <w:r>
        <w:rPr>
          <w:rFonts w:ascii="Times New Roman" w:hAnsi="Times New Roman" w:cs="Times New Roman"/>
          <w:noProof/>
          <w:sz w:val="24"/>
          <w:szCs w:val="24"/>
          <w:lang w:val="en-IE"/>
        </w:rPr>
        <w:t>1</w:t>
      </w:r>
      <w:r w:rsidRPr="00DD0DC9">
        <w:rPr>
          <w:rFonts w:ascii="Times New Roman" w:hAnsi="Times New Roman" w:cs="Times New Roman"/>
          <w:noProof/>
          <w:sz w:val="24"/>
          <w:szCs w:val="24"/>
          <w:lang w:val="en-IE"/>
        </w:rPr>
        <w:t>),</w:t>
      </w:r>
      <w:r w:rsidRPr="00DD0DC9">
        <w:rPr>
          <w:noProof/>
          <w:lang w:val="en-IE"/>
        </w:rPr>
        <w:t xml:space="preserve"> </w:t>
      </w:r>
      <w:r w:rsidRPr="00134137">
        <w:rPr>
          <w:rFonts w:ascii="Times New Roman" w:eastAsia="Times New Roman" w:hAnsi="Times New Roman" w:cs="Times New Roman"/>
          <w:noProof/>
          <w:sz w:val="24"/>
          <w:szCs w:val="24"/>
          <w:lang w:val="en-IE"/>
        </w:rPr>
        <w:t xml:space="preserve">supports the industrial transition. </w:t>
      </w:r>
      <w:r w:rsidR="00B11527" w:rsidRPr="00134137">
        <w:rPr>
          <w:rFonts w:ascii="Times New Roman" w:eastAsia="Times New Roman" w:hAnsi="Times New Roman" w:cs="Times New Roman"/>
          <w:noProof/>
          <w:sz w:val="24"/>
          <w:szCs w:val="24"/>
          <w:lang w:val="en-IE"/>
        </w:rPr>
        <w:t>Under</w:t>
      </w:r>
      <w:r w:rsidR="00FB0D31" w:rsidRPr="00134137">
        <w:rPr>
          <w:noProof/>
          <w:lang w:val="en-IE"/>
        </w:rPr>
        <w:t xml:space="preserve"> </w:t>
      </w:r>
      <w:r w:rsidR="0099028C" w:rsidRPr="00134137">
        <w:rPr>
          <w:rFonts w:ascii="Times New Roman" w:eastAsia="Times New Roman" w:hAnsi="Times New Roman" w:cs="Times New Roman"/>
          <w:noProof/>
          <w:sz w:val="24"/>
          <w:szCs w:val="24"/>
          <w:lang w:val="en-IE"/>
        </w:rPr>
        <w:t>the R</w:t>
      </w:r>
      <w:r w:rsidR="00FB0D31" w:rsidRPr="00134137">
        <w:rPr>
          <w:rFonts w:ascii="Times New Roman" w:eastAsia="Times New Roman" w:hAnsi="Times New Roman" w:cs="Times New Roman"/>
          <w:noProof/>
          <w:sz w:val="24"/>
          <w:szCs w:val="24"/>
          <w:lang w:val="en-IE"/>
        </w:rPr>
        <w:t xml:space="preserve">earm </w:t>
      </w:r>
      <w:r w:rsidR="0099028C" w:rsidRPr="00134137">
        <w:rPr>
          <w:rFonts w:ascii="Times New Roman" w:eastAsia="Times New Roman" w:hAnsi="Times New Roman" w:cs="Times New Roman"/>
          <w:noProof/>
          <w:sz w:val="24"/>
          <w:szCs w:val="24"/>
          <w:lang w:val="en-IE"/>
        </w:rPr>
        <w:t>E</w:t>
      </w:r>
      <w:r w:rsidR="00FB0D31" w:rsidRPr="00134137">
        <w:rPr>
          <w:rFonts w:ascii="Times New Roman" w:eastAsia="Times New Roman" w:hAnsi="Times New Roman" w:cs="Times New Roman"/>
          <w:noProof/>
          <w:sz w:val="24"/>
          <w:szCs w:val="24"/>
          <w:lang w:val="en-IE"/>
        </w:rPr>
        <w:t>urope</w:t>
      </w:r>
      <w:r w:rsidR="0099028C" w:rsidRPr="00134137">
        <w:rPr>
          <w:rFonts w:ascii="Times New Roman" w:eastAsia="Times New Roman" w:hAnsi="Times New Roman" w:cs="Times New Roman"/>
          <w:noProof/>
          <w:sz w:val="24"/>
          <w:szCs w:val="24"/>
          <w:lang w:val="en-IE"/>
        </w:rPr>
        <w:t xml:space="preserve"> plan</w:t>
      </w:r>
      <w:r w:rsidRPr="00134137">
        <w:rPr>
          <w:rFonts w:ascii="Times New Roman" w:eastAsia="Times New Roman" w:hAnsi="Times New Roman" w:cs="Times New Roman"/>
          <w:noProof/>
          <w:sz w:val="24"/>
          <w:szCs w:val="24"/>
          <w:lang w:val="en-IE"/>
        </w:rPr>
        <w:t xml:space="preserve">, EUR 800 bn </w:t>
      </w:r>
      <w:r w:rsidR="00726BF2" w:rsidRPr="00134137">
        <w:rPr>
          <w:rFonts w:ascii="Times New Roman" w:eastAsia="Times New Roman" w:hAnsi="Times New Roman" w:cs="Times New Roman"/>
          <w:noProof/>
          <w:sz w:val="24"/>
          <w:szCs w:val="24"/>
          <w:lang w:val="en-IE"/>
        </w:rPr>
        <w:t xml:space="preserve">is </w:t>
      </w:r>
      <w:r w:rsidRPr="00134137">
        <w:rPr>
          <w:rFonts w:ascii="Times New Roman" w:eastAsia="Times New Roman" w:hAnsi="Times New Roman" w:cs="Times New Roman"/>
          <w:noProof/>
          <w:sz w:val="24"/>
          <w:szCs w:val="24"/>
          <w:lang w:val="en-IE"/>
        </w:rPr>
        <w:t>being unlocked for defence spending, with sizeable spillovers into investment and industrial production.</w:t>
      </w:r>
      <w:r w:rsidR="001714CB" w:rsidRPr="00134137">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F</w:t>
      </w:r>
      <w:r w:rsidR="001714CB" w:rsidRPr="00134137">
        <w:rPr>
          <w:rFonts w:ascii="Times New Roman" w:eastAsia="Times New Roman" w:hAnsi="Times New Roman" w:cs="Times New Roman"/>
          <w:noProof/>
          <w:sz w:val="24"/>
          <w:szCs w:val="24"/>
          <w:lang w:val="en-IE"/>
        </w:rPr>
        <w:t>rom 2028 onwards, the European Competitiveness Fund will anchor EU-level public investment in Europe’s industrial transformation, mobilise private capital at scale, and create a seamless pipeline from Horizon Europe–funded research to industrial deployment.</w:t>
      </w:r>
    </w:p>
    <w:p w14:paraId="78A4414E" w14:textId="562EE278" w:rsidR="00DD0DC9" w:rsidRPr="00134137" w:rsidRDefault="00DD0DC9" w:rsidP="00DD0DC9">
      <w:pPr>
        <w:widowControl w:val="0"/>
        <w:jc w:val="both"/>
        <w:rPr>
          <w:rFonts w:ascii="Times New Roman" w:eastAsia="Times New Roman" w:hAnsi="Times New Roman" w:cs="Times New Roman"/>
          <w:noProof/>
          <w:sz w:val="24"/>
          <w:szCs w:val="24"/>
          <w:lang w:val="en-IE"/>
        </w:rPr>
      </w:pPr>
      <w:r w:rsidRPr="00134137">
        <w:rPr>
          <w:rFonts w:ascii="Times New Roman" w:eastAsia="Times New Roman" w:hAnsi="Times New Roman" w:cs="Times New Roman"/>
          <w:b/>
          <w:bCs/>
          <w:noProof/>
          <w:sz w:val="24"/>
          <w:szCs w:val="24"/>
          <w:lang w:val="en-IE"/>
        </w:rPr>
        <w:t>Align</w:t>
      </w:r>
      <w:r w:rsidR="00882196" w:rsidRPr="00134137">
        <w:rPr>
          <w:rFonts w:ascii="Times New Roman" w:eastAsia="Times New Roman" w:hAnsi="Times New Roman" w:cs="Times New Roman"/>
          <w:b/>
          <w:bCs/>
          <w:noProof/>
          <w:sz w:val="24"/>
          <w:szCs w:val="24"/>
          <w:lang w:val="en-IE"/>
        </w:rPr>
        <w:t>ing</w:t>
      </w:r>
      <w:r w:rsidRPr="00134137">
        <w:rPr>
          <w:rFonts w:ascii="Times New Roman" w:eastAsia="Times New Roman" w:hAnsi="Times New Roman" w:cs="Times New Roman"/>
          <w:b/>
          <w:bCs/>
          <w:noProof/>
          <w:sz w:val="24"/>
          <w:szCs w:val="24"/>
          <w:lang w:val="en-IE"/>
        </w:rPr>
        <w:t xml:space="preserve"> national public investment </w:t>
      </w:r>
      <w:r w:rsidR="003D1B74" w:rsidRPr="00134137">
        <w:rPr>
          <w:rFonts w:ascii="Times New Roman" w:eastAsia="Times New Roman" w:hAnsi="Times New Roman" w:cs="Times New Roman"/>
          <w:b/>
          <w:bCs/>
          <w:noProof/>
          <w:sz w:val="24"/>
          <w:szCs w:val="24"/>
          <w:lang w:val="en-IE"/>
        </w:rPr>
        <w:t>with</w:t>
      </w:r>
      <w:r w:rsidRPr="00134137">
        <w:rPr>
          <w:rFonts w:ascii="Times New Roman" w:eastAsia="Times New Roman" w:hAnsi="Times New Roman" w:cs="Times New Roman"/>
          <w:b/>
          <w:bCs/>
          <w:noProof/>
          <w:sz w:val="24"/>
          <w:szCs w:val="24"/>
          <w:lang w:val="en-IE"/>
        </w:rPr>
        <w:t xml:space="preserve"> EU industrial policy priorities is key</w:t>
      </w:r>
      <w:r w:rsidRPr="00134137">
        <w:rPr>
          <w:rFonts w:ascii="Times New Roman" w:eastAsia="Times New Roman" w:hAnsi="Times New Roman" w:cs="Times New Roman"/>
          <w:b/>
          <w:noProof/>
          <w:sz w:val="24"/>
          <w:szCs w:val="24"/>
          <w:lang w:val="en-IE"/>
        </w:rPr>
        <w:t xml:space="preserve"> to</w:t>
      </w:r>
      <w:r w:rsidR="00A000C4" w:rsidRPr="00134137">
        <w:rPr>
          <w:rFonts w:ascii="Times New Roman" w:eastAsia="Times New Roman" w:hAnsi="Times New Roman" w:cs="Times New Roman"/>
          <w:b/>
          <w:noProof/>
          <w:sz w:val="24"/>
          <w:szCs w:val="24"/>
          <w:lang w:val="en-IE"/>
        </w:rPr>
        <w:t xml:space="preserve"> making the most of</w:t>
      </w:r>
      <w:r w:rsidRPr="00134137">
        <w:rPr>
          <w:rFonts w:ascii="Times New Roman" w:eastAsia="Times New Roman" w:hAnsi="Times New Roman" w:cs="Times New Roman"/>
          <w:b/>
          <w:noProof/>
          <w:sz w:val="24"/>
          <w:szCs w:val="24"/>
          <w:lang w:val="en-IE"/>
        </w:rPr>
        <w:t xml:space="preserve"> synergies and achiev</w:t>
      </w:r>
      <w:r w:rsidR="000476B7" w:rsidRPr="00134137">
        <w:rPr>
          <w:rFonts w:ascii="Times New Roman" w:eastAsia="Times New Roman" w:hAnsi="Times New Roman" w:cs="Times New Roman"/>
          <w:b/>
          <w:noProof/>
          <w:sz w:val="24"/>
          <w:szCs w:val="24"/>
          <w:lang w:val="en-IE"/>
        </w:rPr>
        <w:t>ing</w:t>
      </w:r>
      <w:r w:rsidRPr="00134137">
        <w:rPr>
          <w:rFonts w:ascii="Times New Roman" w:eastAsia="Times New Roman" w:hAnsi="Times New Roman" w:cs="Times New Roman"/>
          <w:b/>
          <w:noProof/>
          <w:sz w:val="24"/>
          <w:szCs w:val="24"/>
          <w:lang w:val="en-IE"/>
        </w:rPr>
        <w:t xml:space="preserve"> impact</w:t>
      </w:r>
      <w:r w:rsidRPr="00134137">
        <w:rPr>
          <w:rFonts w:ascii="Times New Roman" w:eastAsia="Times New Roman" w:hAnsi="Times New Roman" w:cs="Times New Roman"/>
          <w:b/>
          <w:bCs/>
          <w:noProof/>
          <w:sz w:val="24"/>
          <w:szCs w:val="24"/>
          <w:lang w:val="en-IE"/>
        </w:rPr>
        <w:t xml:space="preserve">. </w:t>
      </w:r>
      <w:r w:rsidRPr="00134137">
        <w:rPr>
          <w:rFonts w:ascii="Times New Roman" w:eastAsia="Times New Roman" w:hAnsi="Times New Roman" w:cs="Times New Roman"/>
          <w:noProof/>
          <w:sz w:val="24"/>
          <w:szCs w:val="24"/>
          <w:lang w:val="en-IE"/>
        </w:rPr>
        <w:t xml:space="preserve">The new Clean Industrial </w:t>
      </w:r>
      <w:r w:rsidR="000B0A84" w:rsidRPr="00134137">
        <w:rPr>
          <w:rFonts w:ascii="Times New Roman" w:eastAsia="Times New Roman" w:hAnsi="Times New Roman" w:cs="Times New Roman"/>
          <w:noProof/>
          <w:sz w:val="24"/>
          <w:szCs w:val="24"/>
          <w:lang w:val="en-IE"/>
        </w:rPr>
        <w:t>Deal</w:t>
      </w:r>
      <w:r w:rsidRPr="00B669CB">
        <w:rPr>
          <w:rFonts w:ascii="Times New Roman" w:eastAsia="Times New Roman" w:hAnsi="Times New Roman" w:cs="Times New Roman"/>
          <w:noProof/>
          <w:sz w:val="24"/>
          <w:szCs w:val="24"/>
          <w:lang w:val="en-IE"/>
        </w:rPr>
        <w:t xml:space="preserve"> State Aid Framework</w:t>
      </w:r>
      <w:r w:rsidR="005C3468" w:rsidRPr="00B669CB">
        <w:rPr>
          <w:rFonts w:ascii="Times New Roman" w:eastAsia="Times New Roman" w:hAnsi="Times New Roman" w:cs="Times New Roman"/>
          <w:noProof/>
          <w:sz w:val="24"/>
          <w:szCs w:val="24"/>
          <w:lang w:val="en-IE"/>
        </w:rPr>
        <w:t>,</w:t>
      </w:r>
      <w:r w:rsidRPr="00B669CB">
        <w:rPr>
          <w:rFonts w:ascii="Times New Roman" w:eastAsia="Times New Roman" w:hAnsi="Times New Roman" w:cs="Times New Roman"/>
          <w:noProof/>
          <w:sz w:val="24"/>
          <w:szCs w:val="24"/>
          <w:lang w:val="en-IE"/>
        </w:rPr>
        <w:t xml:space="preserve"> </w:t>
      </w:r>
      <w:r w:rsidR="00DD5207" w:rsidRPr="005B4F13">
        <w:rPr>
          <w:rFonts w:ascii="Times New Roman" w:eastAsia="Times New Roman" w:hAnsi="Times New Roman" w:cs="Times New Roman"/>
          <w:noProof/>
          <w:sz w:val="24"/>
          <w:szCs w:val="24"/>
          <w:lang w:val="en-IE"/>
        </w:rPr>
        <w:t>consistently with EU industrial policy priorities</w:t>
      </w:r>
      <w:r w:rsidR="005C3468" w:rsidRPr="00B669CB">
        <w:rPr>
          <w:rFonts w:ascii="Times New Roman" w:eastAsia="Times New Roman" w:hAnsi="Times New Roman" w:cs="Times New Roman"/>
          <w:noProof/>
          <w:sz w:val="24"/>
          <w:szCs w:val="24"/>
          <w:lang w:val="en-IE"/>
        </w:rPr>
        <w:t>,</w:t>
      </w:r>
      <w:r w:rsidRPr="00B669CB">
        <w:rPr>
          <w:rFonts w:ascii="Times New Roman" w:eastAsia="Times New Roman" w:hAnsi="Times New Roman" w:cs="Times New Roman"/>
          <w:noProof/>
          <w:sz w:val="24"/>
          <w:szCs w:val="24"/>
          <w:lang w:val="en-IE"/>
        </w:rPr>
        <w:t xml:space="preserve"> simplifies</w:t>
      </w:r>
      <w:r w:rsidRPr="00DD0DC9">
        <w:rPr>
          <w:rFonts w:ascii="Times New Roman" w:eastAsia="Times New Roman" w:hAnsi="Times New Roman" w:cs="Times New Roman"/>
          <w:noProof/>
          <w:sz w:val="24"/>
          <w:szCs w:val="24"/>
          <w:lang w:val="en-IE"/>
        </w:rPr>
        <w:t xml:space="preserve"> the process to grant aid to accelerate investments in renewables, industrial decarbonisation, clean tech manufacturing and de-risk private investments. This will </w:t>
      </w:r>
      <w:r w:rsidR="002B61A0">
        <w:rPr>
          <w:rFonts w:ascii="Times New Roman" w:eastAsia="Times New Roman" w:hAnsi="Times New Roman" w:cs="Times New Roman"/>
          <w:noProof/>
          <w:sz w:val="24"/>
          <w:szCs w:val="24"/>
          <w:lang w:val="en-IE"/>
        </w:rPr>
        <w:t>help</w:t>
      </w:r>
      <w:r w:rsidRPr="00DD0DC9">
        <w:rPr>
          <w:rFonts w:ascii="Times New Roman" w:eastAsia="Times New Roman" w:hAnsi="Times New Roman" w:cs="Times New Roman"/>
          <w:noProof/>
          <w:sz w:val="24"/>
          <w:szCs w:val="24"/>
          <w:lang w:val="en-IE"/>
        </w:rPr>
        <w:t xml:space="preserve"> align funding. As </w:t>
      </w:r>
      <w:r w:rsidR="00C46139">
        <w:rPr>
          <w:rFonts w:ascii="Times New Roman" w:eastAsia="Times New Roman" w:hAnsi="Times New Roman" w:cs="Times New Roman"/>
          <w:noProof/>
          <w:sz w:val="24"/>
          <w:szCs w:val="24"/>
          <w:lang w:val="en-IE"/>
        </w:rPr>
        <w:t>for</w:t>
      </w:r>
      <w:r w:rsidRPr="00DD0DC9">
        <w:rPr>
          <w:rFonts w:ascii="Times New Roman" w:eastAsia="Times New Roman" w:hAnsi="Times New Roman" w:cs="Times New Roman"/>
          <w:noProof/>
          <w:sz w:val="24"/>
          <w:szCs w:val="24"/>
          <w:lang w:val="en-IE"/>
        </w:rPr>
        <w:t xml:space="preserve"> </w:t>
      </w:r>
      <w:r w:rsidR="003E68E0">
        <w:rPr>
          <w:rFonts w:ascii="Times New Roman" w:eastAsia="Times New Roman" w:hAnsi="Times New Roman" w:cs="Times New Roman"/>
          <w:noProof/>
          <w:sz w:val="24"/>
          <w:szCs w:val="24"/>
          <w:lang w:val="en-IE"/>
        </w:rPr>
        <w:t>Important</w:t>
      </w:r>
      <w:r w:rsidR="003E68E0" w:rsidRPr="00DD0DC9">
        <w:rPr>
          <w:rFonts w:ascii="Times New Roman" w:eastAsia="Times New Roman" w:hAnsi="Times New Roman" w:cs="Times New Roman"/>
          <w:noProof/>
          <w:sz w:val="24"/>
          <w:szCs w:val="24"/>
          <w:lang w:val="en-IE"/>
        </w:rPr>
        <w:t xml:space="preserve"> </w:t>
      </w:r>
      <w:r w:rsidRPr="00DD0DC9">
        <w:rPr>
          <w:rFonts w:ascii="Times New Roman" w:eastAsia="Times New Roman" w:hAnsi="Times New Roman" w:cs="Times New Roman"/>
          <w:noProof/>
          <w:sz w:val="24"/>
          <w:szCs w:val="24"/>
          <w:lang w:val="en-IE"/>
        </w:rPr>
        <w:t>Projects of Common European Interest (IPCEI</w:t>
      </w:r>
      <w:r w:rsidR="00EE61CC">
        <w:rPr>
          <w:rFonts w:ascii="Times New Roman" w:eastAsia="Times New Roman" w:hAnsi="Times New Roman" w:cs="Times New Roman"/>
          <w:noProof/>
          <w:sz w:val="24"/>
          <w:szCs w:val="24"/>
          <w:lang w:val="en-IE"/>
        </w:rPr>
        <w:t>s</w:t>
      </w:r>
      <w:r w:rsidRPr="00DD0DC9">
        <w:rPr>
          <w:rFonts w:ascii="Times New Roman" w:eastAsia="Times New Roman" w:hAnsi="Times New Roman" w:cs="Times New Roman"/>
          <w:noProof/>
          <w:sz w:val="24"/>
          <w:szCs w:val="24"/>
          <w:lang w:val="en-IE"/>
        </w:rPr>
        <w:t xml:space="preserve">), there are already </w:t>
      </w:r>
      <w:r w:rsidR="009645FF">
        <w:rPr>
          <w:rFonts w:ascii="Times New Roman" w:eastAsia="Times New Roman" w:hAnsi="Times New Roman" w:cs="Times New Roman"/>
          <w:noProof/>
          <w:sz w:val="24"/>
          <w:szCs w:val="24"/>
          <w:lang w:val="en-IE"/>
        </w:rPr>
        <w:t>11</w:t>
      </w:r>
      <w:r w:rsidR="009645FF" w:rsidRPr="00DD0DC9">
        <w:rPr>
          <w:rFonts w:ascii="Times New Roman" w:eastAsia="Times New Roman" w:hAnsi="Times New Roman" w:cs="Times New Roman"/>
          <w:noProof/>
          <w:sz w:val="24"/>
          <w:szCs w:val="24"/>
          <w:lang w:val="en-IE"/>
        </w:rPr>
        <w:t xml:space="preserve"> </w:t>
      </w:r>
      <w:r w:rsidRPr="00DD0DC9">
        <w:rPr>
          <w:rFonts w:ascii="Times New Roman" w:eastAsia="Times New Roman" w:hAnsi="Times New Roman" w:cs="Times New Roman"/>
          <w:noProof/>
          <w:sz w:val="24"/>
          <w:szCs w:val="24"/>
          <w:lang w:val="en-IE"/>
        </w:rPr>
        <w:t>approved IPCEIs</w:t>
      </w:r>
      <w:r w:rsidR="00C15FFF" w:rsidRPr="00D579A6">
        <w:rPr>
          <w:rStyle w:val="FootnoteReference"/>
          <w:rFonts w:ascii="Times New Roman" w:eastAsia="Times New Roman" w:hAnsi="Times New Roman" w:cs="Times New Roman"/>
          <w:noProof/>
          <w:sz w:val="24"/>
          <w:szCs w:val="24"/>
          <w:lang w:val="en-IE"/>
        </w:rPr>
        <w:footnoteReference w:id="49"/>
      </w:r>
      <w:r w:rsidRPr="00DD0DC9">
        <w:rPr>
          <w:rFonts w:ascii="Times New Roman" w:eastAsia="Times New Roman" w:hAnsi="Times New Roman" w:cs="Times New Roman"/>
          <w:noProof/>
          <w:sz w:val="24"/>
          <w:szCs w:val="24"/>
          <w:lang w:val="en-IE"/>
        </w:rPr>
        <w:t xml:space="preserve"> (of which four for hydrogen and two for batteries) and eight IPCEI candidates</w:t>
      </w:r>
      <w:r w:rsidR="00E93EB2">
        <w:rPr>
          <w:rFonts w:ascii="Times New Roman" w:eastAsia="Times New Roman" w:hAnsi="Times New Roman" w:cs="Times New Roman"/>
          <w:noProof/>
          <w:sz w:val="24"/>
          <w:szCs w:val="24"/>
          <w:lang w:val="en-IE"/>
        </w:rPr>
        <w:t xml:space="preserve"> in the </w:t>
      </w:r>
      <w:r w:rsidR="00E93EB2" w:rsidRPr="00134137">
        <w:rPr>
          <w:rFonts w:ascii="Times New Roman" w:eastAsia="Times New Roman" w:hAnsi="Times New Roman" w:cs="Times New Roman"/>
          <w:noProof/>
          <w:sz w:val="24"/>
          <w:szCs w:val="24"/>
          <w:lang w:val="en-IE"/>
        </w:rPr>
        <w:t>design phase</w:t>
      </w:r>
      <w:r w:rsidRPr="00D579A6">
        <w:rPr>
          <w:rStyle w:val="FootnoteReference"/>
          <w:rFonts w:ascii="Times New Roman" w:hAnsi="Times New Roman" w:cs="Times New Roman"/>
          <w:noProof/>
          <w:color w:val="000000" w:themeColor="text1"/>
          <w:sz w:val="24"/>
          <w:szCs w:val="24"/>
          <w:lang w:val="en-IE" w:eastAsia="fr-FR"/>
        </w:rPr>
        <w:footnoteReference w:id="50"/>
      </w:r>
      <w:r w:rsidRPr="00134137">
        <w:rPr>
          <w:rFonts w:ascii="Times New Roman" w:eastAsia="Times New Roman" w:hAnsi="Times New Roman" w:cs="Times New Roman"/>
          <w:noProof/>
          <w:sz w:val="24"/>
          <w:szCs w:val="24"/>
          <w:lang w:val="en-IE"/>
        </w:rPr>
        <w:t xml:space="preserve">. </w:t>
      </w:r>
      <w:r w:rsidRPr="00134137">
        <w:rPr>
          <w:rFonts w:ascii="Times New Roman" w:hAnsi="Times New Roman" w:cs="Times New Roman"/>
          <w:noProof/>
          <w:sz w:val="24"/>
          <w:szCs w:val="24"/>
          <w:lang w:val="en-IE"/>
        </w:rPr>
        <w:t>The new Competitiveness Coordination Tool</w:t>
      </w:r>
      <w:r w:rsidRPr="00D579A6">
        <w:rPr>
          <w:rStyle w:val="FootnoteReference"/>
          <w:rFonts w:ascii="Times New Roman" w:hAnsi="Times New Roman" w:cs="Times New Roman"/>
          <w:noProof/>
          <w:sz w:val="24"/>
          <w:szCs w:val="24"/>
          <w:lang w:val="en-IE"/>
        </w:rPr>
        <w:footnoteReference w:id="51"/>
      </w:r>
      <w:r w:rsidRPr="00134137">
        <w:rPr>
          <w:rFonts w:ascii="Times New Roman" w:hAnsi="Times New Roman" w:cs="Times New Roman"/>
          <w:noProof/>
          <w:sz w:val="24"/>
          <w:szCs w:val="24"/>
          <w:lang w:val="en-IE"/>
        </w:rPr>
        <w:t xml:space="preserve"> is being tested through two ongoing pilots on AI Gigafactories and on charging infrastructure for e-trucks</w:t>
      </w:r>
      <w:r w:rsidR="001526F5" w:rsidRPr="00134137">
        <w:rPr>
          <w:rFonts w:ascii="Times New Roman" w:hAnsi="Times New Roman" w:cs="Times New Roman"/>
          <w:noProof/>
          <w:sz w:val="24"/>
          <w:szCs w:val="24"/>
          <w:lang w:val="en-IE"/>
        </w:rPr>
        <w:t xml:space="preserve">. Under the next Multiannual Financial Framework, the National and Regional Partnership Plans will </w:t>
      </w:r>
      <w:r>
        <w:rPr>
          <w:rFonts w:ascii="Times New Roman" w:hAnsi="Times New Roman" w:cs="Times New Roman"/>
          <w:noProof/>
          <w:sz w:val="24"/>
          <w:szCs w:val="24"/>
          <w:lang w:val="en-IE"/>
        </w:rPr>
        <w:t xml:space="preserve">be able to </w:t>
      </w:r>
      <w:r w:rsidR="001526F5" w:rsidRPr="00134137">
        <w:rPr>
          <w:rFonts w:ascii="Times New Roman" w:hAnsi="Times New Roman" w:cs="Times New Roman"/>
          <w:noProof/>
          <w:sz w:val="24"/>
          <w:szCs w:val="24"/>
          <w:lang w:val="en-IE"/>
        </w:rPr>
        <w:t>support IPCEIs and contribute to strengthening the Union’s industrial base, in line with EU priorities and country-specific challenges.</w:t>
      </w:r>
    </w:p>
    <w:p w14:paraId="506A478B" w14:textId="01F274CB" w:rsidR="00DD0DC9" w:rsidRPr="00DD0DC9" w:rsidRDefault="00DD0DC9" w:rsidP="00D579A6">
      <w:pPr>
        <w:pStyle w:val="Text1"/>
        <w:spacing w:after="160"/>
        <w:ind w:left="0"/>
        <w:rPr>
          <w:rFonts w:eastAsia="Aptos"/>
          <w:noProof/>
          <w:lang w:val="en-IE"/>
        </w:rPr>
      </w:pPr>
      <w:r w:rsidRPr="00134137">
        <w:rPr>
          <w:b/>
          <w:noProof/>
          <w:lang w:val="en-IE"/>
        </w:rPr>
        <w:t xml:space="preserve">Electricity prices remain </w:t>
      </w:r>
      <w:r>
        <w:rPr>
          <w:b/>
          <w:noProof/>
          <w:lang w:val="en-IE"/>
        </w:rPr>
        <w:t>too</w:t>
      </w:r>
      <w:r w:rsidRPr="00134137">
        <w:rPr>
          <w:b/>
          <w:noProof/>
          <w:lang w:val="en-IE"/>
        </w:rPr>
        <w:t xml:space="preserve"> high</w:t>
      </w:r>
      <w:r w:rsidR="00D96E1D" w:rsidRPr="00134137">
        <w:rPr>
          <w:b/>
          <w:noProof/>
          <w:lang w:val="en-IE"/>
        </w:rPr>
        <w:t xml:space="preserve"> in the EU</w:t>
      </w:r>
      <w:r w:rsidRPr="00134137">
        <w:rPr>
          <w:b/>
          <w:noProof/>
          <w:lang w:val="en-IE"/>
        </w:rPr>
        <w:t xml:space="preserve">. </w:t>
      </w:r>
      <w:r w:rsidRPr="00134137">
        <w:rPr>
          <w:bCs/>
          <w:noProof/>
          <w:lang w:val="en-IE"/>
        </w:rPr>
        <w:t>In the first semester of 2025, electricity prices for large industrial users were 0.16 EUR/KWh (KPI 2</w:t>
      </w:r>
      <w:r>
        <w:rPr>
          <w:bCs/>
          <w:noProof/>
          <w:lang w:val="en-IE"/>
        </w:rPr>
        <w:t>2</w:t>
      </w:r>
      <w:r w:rsidRPr="00134137">
        <w:rPr>
          <w:bCs/>
          <w:noProof/>
          <w:lang w:val="en-IE"/>
        </w:rPr>
        <w:t>), which is lower than at the peak in 2023</w:t>
      </w:r>
      <w:r w:rsidRPr="00B669CB">
        <w:rPr>
          <w:bCs/>
          <w:noProof/>
          <w:lang w:val="en-IE"/>
        </w:rPr>
        <w:t xml:space="preserve">. </w:t>
      </w:r>
      <w:r>
        <w:rPr>
          <w:bCs/>
          <w:noProof/>
          <w:lang w:val="en-IE"/>
        </w:rPr>
        <w:t>However, e</w:t>
      </w:r>
      <w:r w:rsidRPr="00B669CB">
        <w:rPr>
          <w:bCs/>
          <w:noProof/>
          <w:lang w:val="en-IE"/>
        </w:rPr>
        <w:t>lectricity prices for business in the EU remain very high in international comparison, more than twice as high as in the US</w:t>
      </w:r>
      <w:r>
        <w:rPr>
          <w:bCs/>
          <w:noProof/>
          <w:lang w:val="en-IE"/>
        </w:rPr>
        <w:t>, as higher natural gas prices impact electricity wholesale markets</w:t>
      </w:r>
      <w:r w:rsidRPr="00B669CB">
        <w:rPr>
          <w:bCs/>
          <w:noProof/>
          <w:lang w:val="en-IE"/>
        </w:rPr>
        <w:t xml:space="preserve">. </w:t>
      </w:r>
      <w:r w:rsidR="006A4BA3" w:rsidRPr="005B4F13">
        <w:rPr>
          <w:noProof/>
          <w:lang w:val="en-IE"/>
        </w:rPr>
        <w:t xml:space="preserve">Energy intensive industries are particularly affected by </w:t>
      </w:r>
      <w:r w:rsidR="00F4085B" w:rsidRPr="005B4F13">
        <w:rPr>
          <w:noProof/>
          <w:lang w:val="en-IE"/>
        </w:rPr>
        <w:t>high</w:t>
      </w:r>
      <w:r w:rsidR="005B1D2C" w:rsidRPr="005B4F13">
        <w:rPr>
          <w:noProof/>
          <w:lang w:val="en-IE"/>
        </w:rPr>
        <w:t xml:space="preserve"> </w:t>
      </w:r>
      <w:r w:rsidR="000B22E7" w:rsidRPr="005B4F13">
        <w:rPr>
          <w:noProof/>
          <w:lang w:val="en-IE"/>
        </w:rPr>
        <w:t xml:space="preserve">electricity and </w:t>
      </w:r>
      <w:r w:rsidR="005B1D2C" w:rsidRPr="005B4F13">
        <w:rPr>
          <w:noProof/>
          <w:lang w:val="en-IE"/>
        </w:rPr>
        <w:t>energy prices.</w:t>
      </w:r>
    </w:p>
    <w:p w14:paraId="1847833A" w14:textId="03DD7B16" w:rsidR="00DD0DC9" w:rsidRPr="00DD0DC9" w:rsidRDefault="00DD0DC9" w:rsidP="00DD0DC9">
      <w:pPr>
        <w:widowControl w:val="0"/>
        <w:jc w:val="both"/>
        <w:rPr>
          <w:noProof/>
          <w:lang w:val="en-IE"/>
        </w:rPr>
      </w:pPr>
      <w:r>
        <w:rPr>
          <w:rFonts w:ascii="Times New Roman" w:eastAsia="Times New Roman" w:hAnsi="Times New Roman" w:cs="Times New Roman"/>
          <w:b/>
          <w:bCs/>
          <w:noProof/>
          <w:sz w:val="24"/>
          <w:szCs w:val="24"/>
          <w:lang w:val="en-IE"/>
        </w:rPr>
        <w:t>E</w:t>
      </w:r>
      <w:r w:rsidRPr="00DD0DC9">
        <w:rPr>
          <w:rFonts w:ascii="Times New Roman" w:eastAsia="Times New Roman" w:hAnsi="Times New Roman" w:cs="Times New Roman"/>
          <w:b/>
          <w:bCs/>
          <w:noProof/>
          <w:sz w:val="24"/>
          <w:szCs w:val="24"/>
          <w:lang w:val="en-IE"/>
        </w:rPr>
        <w:t>lectrification has</w:t>
      </w:r>
      <w:r w:rsidRPr="00DD0DC9">
        <w:rPr>
          <w:rFonts w:ascii="Times New Roman" w:eastAsia="Times New Roman" w:hAnsi="Times New Roman" w:cs="Times New Roman"/>
          <w:noProof/>
          <w:sz w:val="24"/>
          <w:szCs w:val="24"/>
          <w:lang w:val="en-IE"/>
        </w:rPr>
        <w:t xml:space="preserve"> </w:t>
      </w:r>
      <w:r w:rsidRPr="00DD0DC9">
        <w:rPr>
          <w:rFonts w:ascii="Times New Roman" w:hAnsi="Times New Roman" w:cs="Times New Roman"/>
          <w:b/>
          <w:noProof/>
          <w:sz w:val="24"/>
          <w:szCs w:val="24"/>
          <w:lang w:val="en-IE"/>
        </w:rPr>
        <w:t>stagnated</w:t>
      </w:r>
      <w:r w:rsidR="00CD4436" w:rsidRPr="00DD0DC9">
        <w:rPr>
          <w:rFonts w:ascii="Times New Roman" w:hAnsi="Times New Roman" w:cs="Times New Roman"/>
          <w:b/>
          <w:noProof/>
          <w:sz w:val="24"/>
          <w:szCs w:val="24"/>
          <w:lang w:val="en-IE"/>
        </w:rPr>
        <w:t xml:space="preserve"> </w:t>
      </w:r>
      <w:r w:rsidRPr="00DD0DC9">
        <w:rPr>
          <w:rFonts w:ascii="Times New Roman" w:hAnsi="Times New Roman" w:cs="Times New Roman"/>
          <w:b/>
          <w:noProof/>
          <w:sz w:val="24"/>
          <w:szCs w:val="24"/>
          <w:lang w:val="en-IE"/>
        </w:rPr>
        <w:t>over the last ten years</w:t>
      </w:r>
      <w:r w:rsidRPr="00DD0DC9">
        <w:rPr>
          <w:rFonts w:ascii="Times New Roman" w:hAnsi="Times New Roman" w:cs="Times New Roman"/>
          <w:bCs/>
          <w:noProof/>
          <w:sz w:val="24"/>
          <w:szCs w:val="24"/>
          <w:lang w:val="en-IE"/>
        </w:rPr>
        <w:t>.</w:t>
      </w:r>
      <w:r w:rsidRPr="00DD0DC9">
        <w:rPr>
          <w:rFonts w:ascii="Times New Roman" w:hAnsi="Times New Roman" w:cs="Times New Roman"/>
          <w:noProof/>
          <w:sz w:val="24"/>
          <w:szCs w:val="24"/>
          <w:lang w:val="en-IE"/>
        </w:rPr>
        <w:t xml:space="preserve"> Electricity meets just 22.9% of the EU’s total final energy consumption (KPI 2</w:t>
      </w:r>
      <w:r>
        <w:rPr>
          <w:rFonts w:ascii="Times New Roman" w:hAnsi="Times New Roman" w:cs="Times New Roman"/>
          <w:noProof/>
          <w:sz w:val="24"/>
          <w:szCs w:val="24"/>
          <w:lang w:val="en-IE"/>
        </w:rPr>
        <w:t>3</w:t>
      </w:r>
      <w:r w:rsidRPr="00DD0DC9">
        <w:rPr>
          <w:rFonts w:ascii="Times New Roman" w:hAnsi="Times New Roman" w:cs="Times New Roman"/>
          <w:noProof/>
          <w:sz w:val="24"/>
          <w:szCs w:val="24"/>
          <w:lang w:val="en-IE"/>
        </w:rPr>
        <w:t>)</w:t>
      </w:r>
      <w:r w:rsidRPr="00D579A6">
        <w:rPr>
          <w:rStyle w:val="FootnoteReference"/>
          <w:rFonts w:ascii="Times New Roman" w:hAnsi="Times New Roman" w:cs="Times New Roman"/>
          <w:noProof/>
          <w:sz w:val="24"/>
          <w:szCs w:val="24"/>
          <w:lang w:val="en-IE"/>
        </w:rPr>
        <w:footnoteReference w:id="52"/>
      </w:r>
      <w:r w:rsidRPr="00DD0DC9">
        <w:rPr>
          <w:rFonts w:ascii="Times New Roman" w:hAnsi="Times New Roman" w:cs="Times New Roman"/>
          <w:noProof/>
          <w:sz w:val="24"/>
          <w:szCs w:val="24"/>
          <w:lang w:val="en-IE"/>
        </w:rPr>
        <w:t xml:space="preserve">. High electricity taxes coupled with lengthy permitting and insufficient build-out of grids </w:t>
      </w:r>
      <w:r w:rsidR="00472BB0">
        <w:rPr>
          <w:rFonts w:ascii="Times New Roman" w:hAnsi="Times New Roman" w:cs="Times New Roman"/>
          <w:noProof/>
          <w:sz w:val="24"/>
          <w:szCs w:val="24"/>
          <w:lang w:val="en-IE"/>
        </w:rPr>
        <w:t xml:space="preserve">have a negative </w:t>
      </w:r>
      <w:r w:rsidR="002824B1">
        <w:rPr>
          <w:rFonts w:ascii="Times New Roman" w:hAnsi="Times New Roman" w:cs="Times New Roman"/>
          <w:noProof/>
          <w:sz w:val="24"/>
          <w:szCs w:val="24"/>
          <w:lang w:val="en-IE"/>
        </w:rPr>
        <w:t>impact</w:t>
      </w:r>
      <w:r w:rsidRPr="00DD0DC9">
        <w:rPr>
          <w:rFonts w:ascii="Times New Roman" w:hAnsi="Times New Roman" w:cs="Times New Roman"/>
          <w:noProof/>
          <w:sz w:val="24"/>
          <w:szCs w:val="24"/>
          <w:lang w:val="en-IE"/>
        </w:rPr>
        <w:t xml:space="preserve"> </w:t>
      </w:r>
      <w:r w:rsidR="00104FD0">
        <w:rPr>
          <w:rFonts w:ascii="Times New Roman" w:hAnsi="Times New Roman" w:cs="Times New Roman"/>
          <w:noProof/>
          <w:sz w:val="24"/>
          <w:szCs w:val="24"/>
          <w:lang w:val="en-IE"/>
        </w:rPr>
        <w:t>on</w:t>
      </w:r>
      <w:r w:rsidR="00FC787A">
        <w:rPr>
          <w:rFonts w:ascii="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electrification projects and the electrification of industrial processes and transport</w:t>
      </w:r>
      <w:r w:rsidR="008B3CB3">
        <w:rPr>
          <w:rFonts w:ascii="Times New Roman" w:hAnsi="Times New Roman" w:cs="Times New Roman"/>
          <w:noProof/>
          <w:sz w:val="24"/>
          <w:szCs w:val="24"/>
          <w:lang w:val="en-IE"/>
        </w:rPr>
        <w:t>.</w:t>
      </w:r>
    </w:p>
    <w:p w14:paraId="0A8218D9" w14:textId="36063962" w:rsidR="00DD0DC9" w:rsidRPr="00DD0DC9" w:rsidRDefault="00DD0DC9" w:rsidP="00DD0DC9">
      <w:pPr>
        <w:widowControl w:val="0"/>
        <w:jc w:val="both"/>
        <w:rPr>
          <w:rFonts w:ascii="Times New Roman" w:eastAsiaTheme="majorEastAsia" w:hAnsi="Times New Roman" w:cs="Times New Roman"/>
          <w:noProof/>
          <w:sz w:val="24"/>
          <w:szCs w:val="24"/>
          <w:lang w:val="en-IE"/>
        </w:rPr>
      </w:pPr>
      <w:r w:rsidRPr="00DD0DC9">
        <w:rPr>
          <w:rFonts w:ascii="Times New Roman" w:eastAsia="Times New Roman" w:hAnsi="Times New Roman" w:cs="Times New Roman"/>
          <w:b/>
          <w:bCs/>
          <w:noProof/>
          <w:sz w:val="24"/>
          <w:szCs w:val="24"/>
          <w:lang w:val="en-IE"/>
        </w:rPr>
        <w:t>The ongoing switch to clean energy is accelerating</w:t>
      </w:r>
      <w:r w:rsidRPr="00DD0DC9">
        <w:rPr>
          <w:rFonts w:ascii="Times New Roman" w:hAnsi="Times New Roman" w:cs="Times New Roman"/>
          <w:b/>
          <w:noProof/>
          <w:sz w:val="24"/>
          <w:szCs w:val="24"/>
          <w:lang w:val="en-IE"/>
        </w:rPr>
        <w:t xml:space="preserve"> and the EU is broadly on track to reach its climate targets.</w:t>
      </w:r>
      <w:r w:rsidRPr="00DD0DC9">
        <w:rPr>
          <w:rFonts w:ascii="Times New Roman" w:eastAsia="Times New Roman" w:hAnsi="Times New Roman" w:cs="Times New Roman"/>
          <w:b/>
          <w:bCs/>
          <w:noProof/>
          <w:sz w:val="24"/>
          <w:szCs w:val="24"/>
          <w:lang w:val="en-IE"/>
        </w:rPr>
        <w:t xml:space="preserve"> </w:t>
      </w:r>
      <w:r w:rsidRPr="00DD0DC9">
        <w:rPr>
          <w:rFonts w:ascii="Times New Roman" w:eastAsia="Times New Roman" w:hAnsi="Times New Roman" w:cs="Times New Roman"/>
          <w:noProof/>
          <w:sz w:val="24"/>
          <w:szCs w:val="24"/>
          <w:lang w:val="en-IE"/>
        </w:rPr>
        <w:t>The roll-out of clean energy sources is expected to significantly reduce the costs of importing fossil fuels</w:t>
      </w:r>
      <w:r w:rsidR="0074564E" w:rsidRPr="0074564E">
        <w:rPr>
          <w:rFonts w:ascii="Times New Roman" w:eastAsia="Times New Roman" w:hAnsi="Times New Roman" w:cs="Times New Roman"/>
          <w:noProof/>
          <w:sz w:val="24"/>
          <w:szCs w:val="24"/>
          <w:lang w:val="en-IE"/>
        </w:rPr>
        <w:t>, improv</w:t>
      </w:r>
      <w:r w:rsidR="00866AE4">
        <w:rPr>
          <w:rFonts w:ascii="Times New Roman" w:eastAsia="Times New Roman" w:hAnsi="Times New Roman" w:cs="Times New Roman"/>
          <w:noProof/>
          <w:sz w:val="24"/>
          <w:szCs w:val="24"/>
          <w:lang w:val="en-IE"/>
        </w:rPr>
        <w:t>ing</w:t>
      </w:r>
      <w:r w:rsidR="0074564E" w:rsidRPr="0074564E">
        <w:rPr>
          <w:rFonts w:ascii="Times New Roman" w:eastAsia="Times New Roman" w:hAnsi="Times New Roman" w:cs="Times New Roman"/>
          <w:noProof/>
          <w:sz w:val="24"/>
          <w:szCs w:val="24"/>
          <w:lang w:val="en-IE"/>
        </w:rPr>
        <w:t xml:space="preserve"> the EU’s resilience and industrial competitiveness in the medium term</w:t>
      </w:r>
      <w:r w:rsidRPr="00DD0DC9">
        <w:rPr>
          <w:rFonts w:ascii="Times New Roman" w:eastAsia="Times New Roman" w:hAnsi="Times New Roman" w:cs="Times New Roman"/>
          <w:noProof/>
          <w:sz w:val="24"/>
          <w:szCs w:val="24"/>
          <w:lang w:val="en-IE"/>
        </w:rPr>
        <w:t xml:space="preserve">. </w:t>
      </w:r>
      <w:r w:rsidRPr="00DD0DC9">
        <w:rPr>
          <w:rFonts w:ascii="Times New Roman" w:hAnsi="Times New Roman" w:cs="Times New Roman"/>
          <w:noProof/>
          <w:sz w:val="24"/>
          <w:szCs w:val="24"/>
          <w:lang w:val="en-IE"/>
        </w:rPr>
        <w:t xml:space="preserve">Greenhouse gas emissions fell by 2.5% </w:t>
      </w:r>
      <w:r w:rsidR="000D5A88">
        <w:rPr>
          <w:rFonts w:ascii="Times New Roman" w:hAnsi="Times New Roman" w:cs="Times New Roman"/>
          <w:noProof/>
          <w:sz w:val="24"/>
          <w:szCs w:val="24"/>
          <w:lang w:val="en-IE"/>
        </w:rPr>
        <w:t>in 2024</w:t>
      </w:r>
      <w:r w:rsidRPr="00DD0DC9">
        <w:rPr>
          <w:rFonts w:ascii="Times New Roman" w:hAnsi="Times New Roman" w:cs="Times New Roman"/>
          <w:noProof/>
          <w:sz w:val="24"/>
          <w:szCs w:val="24"/>
          <w:lang w:val="en-IE"/>
        </w:rPr>
        <w:t xml:space="preserve"> compared with 2023, and now stand at 37.2% below 1990 levels, while the EU economy is 71% larger</w:t>
      </w:r>
      <w:r w:rsidR="00E74957">
        <w:rPr>
          <w:rFonts w:ascii="Times New Roman" w:hAnsi="Times New Roman" w:cs="Times New Roman"/>
          <w:noProof/>
          <w:sz w:val="24"/>
          <w:szCs w:val="24"/>
          <w:lang w:val="en-IE"/>
        </w:rPr>
        <w:t xml:space="preserve"> </w:t>
      </w:r>
      <w:r w:rsidR="0011255C">
        <w:rPr>
          <w:rFonts w:ascii="Times New Roman" w:hAnsi="Times New Roman" w:cs="Times New Roman"/>
          <w:noProof/>
          <w:sz w:val="24"/>
          <w:szCs w:val="24"/>
          <w:lang w:val="en-IE"/>
        </w:rPr>
        <w:t>than it</w:t>
      </w:r>
      <w:r w:rsidR="006A0D6F">
        <w:rPr>
          <w:rFonts w:ascii="Times New Roman" w:hAnsi="Times New Roman" w:cs="Times New Roman"/>
          <w:noProof/>
          <w:sz w:val="24"/>
          <w:szCs w:val="24"/>
          <w:lang w:val="en-IE"/>
        </w:rPr>
        <w:t xml:space="preserve"> was in 1990</w:t>
      </w:r>
      <w:r w:rsidRPr="00DD0DC9">
        <w:rPr>
          <w:rFonts w:ascii="Times New Roman" w:hAnsi="Times New Roman" w:cs="Times New Roman"/>
          <w:noProof/>
          <w:sz w:val="24"/>
          <w:szCs w:val="24"/>
          <w:lang w:val="en-IE"/>
        </w:rPr>
        <w:t>.</w:t>
      </w:r>
      <w:r w:rsidRPr="00D579A6">
        <w:rPr>
          <w:rFonts w:ascii="Times New Roman" w:hAnsi="Times New Roman" w:cs="Times New Roman"/>
          <w:noProof/>
          <w:lang w:val="en-IE"/>
        </w:rPr>
        <w:t xml:space="preserve"> </w:t>
      </w:r>
      <w:r w:rsidRPr="00DD0DC9">
        <w:rPr>
          <w:rFonts w:ascii="Times New Roman" w:hAnsi="Times New Roman" w:cs="Times New Roman"/>
          <w:noProof/>
          <w:sz w:val="24"/>
          <w:szCs w:val="24"/>
          <w:lang w:val="en-IE"/>
        </w:rPr>
        <w:t xml:space="preserve">The EU is on track to meet its 2030 target of 55% </w:t>
      </w:r>
      <w:r w:rsidR="007E44E7">
        <w:rPr>
          <w:rFonts w:ascii="Times New Roman" w:hAnsi="Times New Roman" w:cs="Times New Roman"/>
          <w:noProof/>
          <w:sz w:val="24"/>
          <w:szCs w:val="24"/>
          <w:lang w:val="en-IE"/>
        </w:rPr>
        <w:t xml:space="preserve">emission </w:t>
      </w:r>
      <w:r w:rsidRPr="00DD0DC9">
        <w:rPr>
          <w:rFonts w:ascii="Times New Roman" w:hAnsi="Times New Roman" w:cs="Times New Roman"/>
          <w:noProof/>
          <w:sz w:val="24"/>
          <w:szCs w:val="24"/>
          <w:lang w:val="en-IE"/>
        </w:rPr>
        <w:t>reduction</w:t>
      </w:r>
      <w:r w:rsidR="007C5B9C">
        <w:rPr>
          <w:rFonts w:ascii="Times New Roman" w:hAnsi="Times New Roman" w:cs="Times New Roman"/>
          <w:noProof/>
          <w:sz w:val="24"/>
          <w:szCs w:val="24"/>
          <w:lang w:val="en-IE"/>
        </w:rPr>
        <w:t xml:space="preserve"> compared wit</w:t>
      </w:r>
      <w:r w:rsidR="00BF3253">
        <w:rPr>
          <w:rFonts w:ascii="Times New Roman" w:hAnsi="Times New Roman" w:cs="Times New Roman"/>
          <w:noProof/>
          <w:sz w:val="24"/>
          <w:szCs w:val="24"/>
          <w:lang w:val="en-IE"/>
        </w:rPr>
        <w:t>h</w:t>
      </w:r>
      <w:r w:rsidR="007C5B9C">
        <w:rPr>
          <w:rFonts w:ascii="Times New Roman" w:hAnsi="Times New Roman" w:cs="Times New Roman"/>
          <w:noProof/>
          <w:sz w:val="24"/>
          <w:szCs w:val="24"/>
          <w:lang w:val="en-IE"/>
        </w:rPr>
        <w:t xml:space="preserve"> 1990</w:t>
      </w:r>
      <w:r w:rsidRPr="00DD0DC9">
        <w:rPr>
          <w:rFonts w:ascii="Times New Roman" w:hAnsi="Times New Roman" w:cs="Times New Roman"/>
          <w:noProof/>
          <w:sz w:val="24"/>
          <w:szCs w:val="24"/>
          <w:lang w:val="en-IE"/>
        </w:rPr>
        <w:t xml:space="preserve">, if all Member States deliver on the measures agreed at EU level and those set out in their National Energy and Climate Plans. </w:t>
      </w:r>
      <w:r w:rsidRPr="00DD0DC9">
        <w:rPr>
          <w:rFonts w:ascii="Times New Roman" w:eastAsia="Times New Roman" w:hAnsi="Times New Roman" w:cs="Times New Roman"/>
          <w:noProof/>
          <w:sz w:val="24"/>
          <w:szCs w:val="24"/>
          <w:lang w:val="en-IE"/>
        </w:rPr>
        <w:t xml:space="preserve">The </w:t>
      </w:r>
      <w:r w:rsidR="009D3C20">
        <w:rPr>
          <w:rFonts w:ascii="Times New Roman" w:eastAsia="Times New Roman" w:hAnsi="Times New Roman" w:cs="Times New Roman"/>
          <w:noProof/>
          <w:sz w:val="24"/>
          <w:szCs w:val="24"/>
          <w:lang w:val="en-IE"/>
        </w:rPr>
        <w:t>shift</w:t>
      </w:r>
      <w:r w:rsidRPr="00DD0DC9">
        <w:rPr>
          <w:rFonts w:ascii="Times New Roman" w:eastAsia="Times New Roman" w:hAnsi="Times New Roman" w:cs="Times New Roman"/>
          <w:noProof/>
          <w:sz w:val="24"/>
          <w:szCs w:val="24"/>
          <w:lang w:val="en-IE"/>
        </w:rPr>
        <w:t xml:space="preserve"> to renewables </w:t>
      </w:r>
      <w:r w:rsidR="009D3C20">
        <w:rPr>
          <w:rFonts w:ascii="Times New Roman" w:eastAsia="Times New Roman" w:hAnsi="Times New Roman" w:cs="Times New Roman"/>
          <w:noProof/>
          <w:sz w:val="24"/>
          <w:szCs w:val="24"/>
          <w:lang w:val="en-IE"/>
        </w:rPr>
        <w:t>is</w:t>
      </w:r>
      <w:r w:rsidR="009D3C20" w:rsidRPr="00DD0DC9">
        <w:rPr>
          <w:rFonts w:ascii="Times New Roman" w:eastAsia="Times New Roman" w:hAnsi="Times New Roman" w:cs="Times New Roman"/>
          <w:noProof/>
          <w:sz w:val="24"/>
          <w:szCs w:val="24"/>
          <w:lang w:val="en-IE"/>
        </w:rPr>
        <w:t xml:space="preserve"> </w:t>
      </w:r>
      <w:r w:rsidRPr="00DD0DC9">
        <w:rPr>
          <w:rFonts w:ascii="Times New Roman" w:eastAsia="Times New Roman" w:hAnsi="Times New Roman" w:cs="Times New Roman"/>
          <w:noProof/>
          <w:sz w:val="24"/>
          <w:szCs w:val="24"/>
          <w:lang w:val="en-IE"/>
        </w:rPr>
        <w:t xml:space="preserve">estimated </w:t>
      </w:r>
      <w:r w:rsidR="009D3C20" w:rsidRPr="009D3C20">
        <w:rPr>
          <w:rFonts w:ascii="Times New Roman" w:eastAsia="Times New Roman" w:hAnsi="Times New Roman" w:cs="Times New Roman"/>
          <w:noProof/>
          <w:sz w:val="24"/>
          <w:szCs w:val="24"/>
          <w:lang w:val="en-IE"/>
        </w:rPr>
        <w:t xml:space="preserve">to reduce fossil fuel imports </w:t>
      </w:r>
      <w:r w:rsidR="009D3C20">
        <w:rPr>
          <w:rFonts w:ascii="Times New Roman" w:eastAsia="Times New Roman" w:hAnsi="Times New Roman" w:cs="Times New Roman"/>
          <w:noProof/>
          <w:sz w:val="24"/>
          <w:szCs w:val="24"/>
          <w:lang w:val="en-IE"/>
        </w:rPr>
        <w:t>by</w:t>
      </w:r>
      <w:r w:rsidRPr="00DD0DC9">
        <w:rPr>
          <w:rFonts w:ascii="Times New Roman" w:eastAsia="Times New Roman" w:hAnsi="Times New Roman" w:cs="Times New Roman"/>
          <w:noProof/>
          <w:sz w:val="24"/>
          <w:szCs w:val="24"/>
          <w:lang w:val="en-IE"/>
        </w:rPr>
        <w:t xml:space="preserve"> EUR 2.8 trillion between 2031 and 2050, compared with the 2011-2020 average</w:t>
      </w:r>
      <w:r w:rsidRPr="00D579A6">
        <w:rPr>
          <w:rStyle w:val="FootnoteReference"/>
          <w:rFonts w:ascii="Times New Roman" w:eastAsia="Times New Roman" w:hAnsi="Times New Roman" w:cs="Times New Roman"/>
          <w:noProof/>
          <w:sz w:val="24"/>
          <w:szCs w:val="24"/>
          <w:lang w:val="en-IE"/>
        </w:rPr>
        <w:footnoteReference w:id="53"/>
      </w:r>
      <w:r>
        <w:rPr>
          <w:rFonts w:ascii="Times New Roman" w:eastAsia="Times New Roman" w:hAnsi="Times New Roman" w:cs="Times New Roman"/>
          <w:noProof/>
          <w:sz w:val="24"/>
          <w:szCs w:val="24"/>
          <w:lang w:val="en-IE"/>
        </w:rPr>
        <w:t>.</w:t>
      </w:r>
      <w:r w:rsidRPr="00DD0DC9">
        <w:rPr>
          <w:rFonts w:ascii="Times New Roman" w:eastAsia="Times New Roman" w:hAnsi="Times New Roman" w:cs="Times New Roman"/>
          <w:noProof/>
          <w:sz w:val="24"/>
          <w:szCs w:val="24"/>
          <w:lang w:val="en-IE"/>
        </w:rPr>
        <w:t xml:space="preserve"> Renewable energy generation has been </w:t>
      </w:r>
      <w:r w:rsidRPr="00B669CB">
        <w:rPr>
          <w:rFonts w:ascii="Times New Roman" w:eastAsia="Times New Roman" w:hAnsi="Times New Roman" w:cs="Times New Roman"/>
          <w:noProof/>
          <w:sz w:val="24"/>
          <w:szCs w:val="24"/>
          <w:lang w:val="en-IE"/>
        </w:rPr>
        <w:t>growing remarkably: in 2024 it accounted for 25.2% of total energy consumption (KPI 2</w:t>
      </w:r>
      <w:r>
        <w:rPr>
          <w:rFonts w:ascii="Times New Roman" w:eastAsia="Times New Roman" w:hAnsi="Times New Roman" w:cs="Times New Roman"/>
          <w:noProof/>
          <w:sz w:val="24"/>
          <w:szCs w:val="24"/>
          <w:lang w:val="en-IE"/>
        </w:rPr>
        <w:t>4</w:t>
      </w:r>
      <w:r w:rsidRPr="00B669CB">
        <w:rPr>
          <w:rFonts w:ascii="Times New Roman" w:eastAsia="Times New Roman" w:hAnsi="Times New Roman" w:cs="Times New Roman"/>
          <w:noProof/>
          <w:sz w:val="24"/>
          <w:szCs w:val="24"/>
          <w:lang w:val="en-IE"/>
        </w:rPr>
        <w:t xml:space="preserve">). </w:t>
      </w:r>
      <w:r w:rsidR="00941E61" w:rsidRPr="00B669CB">
        <w:rPr>
          <w:rFonts w:ascii="Times New Roman" w:eastAsia="Times New Roman" w:hAnsi="Times New Roman" w:cs="Times New Roman"/>
          <w:noProof/>
          <w:sz w:val="24"/>
          <w:szCs w:val="24"/>
          <w:lang w:val="en-IE"/>
        </w:rPr>
        <w:t xml:space="preserve">The annual increase </w:t>
      </w:r>
      <w:r w:rsidR="00F812E5" w:rsidRPr="00B669CB">
        <w:rPr>
          <w:rFonts w:ascii="Times New Roman" w:eastAsia="Times New Roman" w:hAnsi="Times New Roman" w:cs="Times New Roman"/>
          <w:noProof/>
          <w:sz w:val="24"/>
          <w:szCs w:val="24"/>
          <w:lang w:val="en-IE"/>
        </w:rPr>
        <w:t>in the c</w:t>
      </w:r>
      <w:r w:rsidRPr="00B669CB">
        <w:rPr>
          <w:rFonts w:ascii="Times New Roman" w:eastAsia="Times New Roman" w:hAnsi="Times New Roman" w:cs="Times New Roman"/>
          <w:noProof/>
          <w:sz w:val="24"/>
          <w:szCs w:val="24"/>
          <w:lang w:val="en-IE"/>
        </w:rPr>
        <w:t>apacity to generate renewable electricity has been accelerating. In 2024</w:t>
      </w:r>
      <w:r w:rsidR="003566E3" w:rsidRPr="00B669CB">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 xml:space="preserve">68 </w:t>
      </w:r>
      <w:r w:rsidRPr="00B669CB">
        <w:rPr>
          <w:rFonts w:ascii="Times New Roman" w:eastAsia="Times New Roman" w:hAnsi="Times New Roman" w:cs="Times New Roman"/>
          <w:noProof/>
          <w:sz w:val="24"/>
          <w:szCs w:val="24"/>
          <w:lang w:val="en-IE"/>
        </w:rPr>
        <w:t>GW</w:t>
      </w:r>
      <w:r w:rsidR="00CB49DF" w:rsidRPr="00B669CB">
        <w:rPr>
          <w:rFonts w:ascii="Times New Roman" w:eastAsia="Times New Roman" w:hAnsi="Times New Roman" w:cs="Times New Roman"/>
          <w:noProof/>
          <w:sz w:val="24"/>
          <w:szCs w:val="24"/>
          <w:lang w:val="en-IE"/>
        </w:rPr>
        <w:t xml:space="preserve"> </w:t>
      </w:r>
      <w:r w:rsidR="00BC24B7" w:rsidRPr="00B669CB">
        <w:rPr>
          <w:rFonts w:ascii="Times New Roman" w:eastAsia="Times New Roman" w:hAnsi="Times New Roman" w:cs="Times New Roman"/>
          <w:noProof/>
          <w:sz w:val="24"/>
          <w:szCs w:val="24"/>
          <w:lang w:val="en-IE"/>
        </w:rPr>
        <w:t>o</w:t>
      </w:r>
      <w:r w:rsidR="00657BD1" w:rsidRPr="00B669CB">
        <w:rPr>
          <w:rFonts w:ascii="Times New Roman" w:eastAsia="Times New Roman" w:hAnsi="Times New Roman" w:cs="Times New Roman"/>
          <w:noProof/>
          <w:sz w:val="24"/>
          <w:szCs w:val="24"/>
          <w:lang w:val="en-IE"/>
        </w:rPr>
        <w:t>f</w:t>
      </w:r>
      <w:r w:rsidR="0052608B" w:rsidRPr="00B669CB">
        <w:rPr>
          <w:rFonts w:ascii="Times New Roman" w:eastAsia="Times New Roman" w:hAnsi="Times New Roman" w:cs="Times New Roman"/>
          <w:noProof/>
          <w:sz w:val="24"/>
          <w:szCs w:val="24"/>
          <w:lang w:val="en-IE"/>
        </w:rPr>
        <w:t xml:space="preserve"> renewable capacity</w:t>
      </w:r>
      <w:r w:rsidR="00B05B2C" w:rsidRPr="00B669CB">
        <w:rPr>
          <w:rFonts w:ascii="Times New Roman" w:eastAsia="Times New Roman" w:hAnsi="Times New Roman" w:cs="Times New Roman"/>
          <w:noProof/>
          <w:sz w:val="24"/>
          <w:szCs w:val="24"/>
          <w:lang w:val="en-IE"/>
        </w:rPr>
        <w:t xml:space="preserve"> was added</w:t>
      </w:r>
      <w:r w:rsidRPr="00B669CB">
        <w:rPr>
          <w:rFonts w:ascii="Times New Roman" w:eastAsia="Times New Roman" w:hAnsi="Times New Roman" w:cs="Times New Roman"/>
          <w:noProof/>
          <w:sz w:val="24"/>
          <w:szCs w:val="24"/>
          <w:lang w:val="en-IE"/>
        </w:rPr>
        <w:t xml:space="preserve">, more than double the </w:t>
      </w:r>
      <w:r w:rsidR="00390CEE" w:rsidRPr="00B669CB">
        <w:rPr>
          <w:rFonts w:ascii="Times New Roman" w:eastAsia="Times New Roman" w:hAnsi="Times New Roman" w:cs="Times New Roman"/>
          <w:noProof/>
          <w:sz w:val="24"/>
          <w:szCs w:val="24"/>
          <w:lang w:val="en-IE"/>
        </w:rPr>
        <w:t>amounted</w:t>
      </w:r>
      <w:r w:rsidR="00171C0C" w:rsidRPr="00B669CB">
        <w:rPr>
          <w:rFonts w:ascii="Times New Roman" w:eastAsia="Times New Roman" w:hAnsi="Times New Roman" w:cs="Times New Roman"/>
          <w:noProof/>
          <w:sz w:val="24"/>
          <w:szCs w:val="24"/>
          <w:lang w:val="en-IE"/>
        </w:rPr>
        <w:t xml:space="preserve"> a</w:t>
      </w:r>
      <w:r w:rsidR="00A76E59" w:rsidRPr="00B669CB">
        <w:rPr>
          <w:rFonts w:ascii="Times New Roman" w:eastAsia="Times New Roman" w:hAnsi="Times New Roman" w:cs="Times New Roman"/>
          <w:noProof/>
          <w:sz w:val="24"/>
          <w:szCs w:val="24"/>
          <w:lang w:val="en-IE"/>
        </w:rPr>
        <w:t>dd</w:t>
      </w:r>
      <w:r w:rsidR="00171C0C" w:rsidRPr="00B669CB">
        <w:rPr>
          <w:rFonts w:ascii="Times New Roman" w:eastAsia="Times New Roman" w:hAnsi="Times New Roman" w:cs="Times New Roman"/>
          <w:noProof/>
          <w:sz w:val="24"/>
          <w:szCs w:val="24"/>
          <w:lang w:val="en-IE"/>
        </w:rPr>
        <w:t xml:space="preserve">ed in </w:t>
      </w:r>
      <w:r w:rsidRPr="00B669CB">
        <w:rPr>
          <w:rFonts w:ascii="Times New Roman" w:eastAsia="Times New Roman" w:hAnsi="Times New Roman" w:cs="Times New Roman"/>
          <w:noProof/>
          <w:sz w:val="24"/>
          <w:szCs w:val="24"/>
          <w:lang w:val="en-IE"/>
        </w:rPr>
        <w:t>2020 (KPI 2</w:t>
      </w:r>
      <w:r>
        <w:rPr>
          <w:rFonts w:ascii="Times New Roman" w:eastAsia="Times New Roman" w:hAnsi="Times New Roman" w:cs="Times New Roman"/>
          <w:noProof/>
          <w:sz w:val="24"/>
          <w:szCs w:val="24"/>
          <w:lang w:val="en-IE"/>
        </w:rPr>
        <w:t>5</w:t>
      </w:r>
      <w:r w:rsidRPr="00B669CB">
        <w:rPr>
          <w:rFonts w:ascii="Times New Roman" w:eastAsia="Times New Roman" w:hAnsi="Times New Roman" w:cs="Times New Roman"/>
          <w:noProof/>
          <w:sz w:val="24"/>
          <w:szCs w:val="24"/>
          <w:lang w:val="en-IE"/>
        </w:rPr>
        <w:t xml:space="preserve">) but still below the annual </w:t>
      </w:r>
      <w:r>
        <w:rPr>
          <w:rFonts w:ascii="Times New Roman" w:eastAsia="Times New Roman" w:hAnsi="Times New Roman" w:cs="Times New Roman"/>
          <w:noProof/>
          <w:sz w:val="24"/>
          <w:szCs w:val="24"/>
          <w:lang w:val="en-IE"/>
        </w:rPr>
        <w:t>objective</w:t>
      </w:r>
      <w:r w:rsidRPr="00D579A6">
        <w:rPr>
          <w:rStyle w:val="FootnoteReference"/>
          <w:rFonts w:ascii="Times New Roman" w:eastAsia="Times New Roman" w:hAnsi="Times New Roman" w:cs="Times New Roman"/>
          <w:noProof/>
          <w:sz w:val="24"/>
          <w:szCs w:val="24"/>
          <w:lang w:val="en-IE"/>
        </w:rPr>
        <w:footnoteReference w:id="54"/>
      </w:r>
      <w:r w:rsidRPr="00B669CB">
        <w:rPr>
          <w:rFonts w:ascii="Times New Roman" w:eastAsia="Times New Roman" w:hAnsi="Times New Roman" w:cs="Times New Roman"/>
          <w:noProof/>
          <w:sz w:val="24"/>
          <w:szCs w:val="24"/>
          <w:lang w:val="en-IE"/>
        </w:rPr>
        <w:t>.</w:t>
      </w:r>
      <w:r w:rsidRPr="00DD0DC9">
        <w:rPr>
          <w:rFonts w:ascii="Times New Roman" w:eastAsia="Times New Roman" w:hAnsi="Times New Roman" w:cs="Times New Roman"/>
          <w:noProof/>
          <w:sz w:val="24"/>
          <w:szCs w:val="24"/>
          <w:lang w:val="en-IE"/>
        </w:rPr>
        <w:t xml:space="preserve"> </w:t>
      </w:r>
    </w:p>
    <w:p w14:paraId="3BFFE8F7" w14:textId="3AE6EBC5" w:rsidR="00DD0DC9" w:rsidRPr="00DD0DC9" w:rsidRDefault="00DD0DC9" w:rsidP="005B4F13">
      <w:pPr>
        <w:pStyle w:val="Text1"/>
        <w:widowControl w:val="0"/>
        <w:tabs>
          <w:tab w:val="left" w:pos="2127"/>
        </w:tabs>
        <w:spacing w:after="160"/>
        <w:ind w:left="0"/>
        <w:rPr>
          <w:rFonts w:eastAsia="Aptos"/>
          <w:noProof/>
          <w:lang w:val="en-IE"/>
        </w:rPr>
      </w:pPr>
      <w:r w:rsidRPr="00DD0DC9">
        <w:rPr>
          <w:b/>
          <w:noProof/>
          <w:lang w:val="en-IE"/>
        </w:rPr>
        <w:t>Circularity</w:t>
      </w:r>
      <w:r w:rsidR="00BA1E52">
        <w:rPr>
          <w:b/>
          <w:noProof/>
          <w:lang w:val="en-IE"/>
        </w:rPr>
        <w:t xml:space="preserve"> </w:t>
      </w:r>
      <w:r w:rsidR="009310F5">
        <w:rPr>
          <w:rStyle w:val="CommentReference"/>
          <w:rFonts w:eastAsiaTheme="minorHAnsi"/>
          <w:b/>
          <w:noProof/>
          <w:sz w:val="24"/>
          <w:szCs w:val="24"/>
          <w:lang w:val="en-IE"/>
        </w:rPr>
        <w:t xml:space="preserve">is </w:t>
      </w:r>
      <w:r w:rsidR="00ED2CF7">
        <w:rPr>
          <w:rStyle w:val="CommentReference"/>
          <w:rFonts w:eastAsiaTheme="minorHAnsi"/>
          <w:b/>
          <w:noProof/>
          <w:sz w:val="24"/>
          <w:szCs w:val="24"/>
          <w:lang w:val="en-IE"/>
        </w:rPr>
        <w:t>p</w:t>
      </w:r>
      <w:r w:rsidRPr="00DD0DC9">
        <w:rPr>
          <w:b/>
          <w:noProof/>
          <w:lang w:val="en-IE"/>
        </w:rPr>
        <w:t>rogress</w:t>
      </w:r>
      <w:r w:rsidR="009310F5">
        <w:rPr>
          <w:b/>
          <w:noProof/>
          <w:lang w:val="en-IE"/>
        </w:rPr>
        <w:t>ing</w:t>
      </w:r>
      <w:r w:rsidRPr="00DD0DC9">
        <w:rPr>
          <w:b/>
          <w:noProof/>
          <w:lang w:val="en-IE"/>
        </w:rPr>
        <w:t xml:space="preserve"> slowly due to diverging rules in the Single Market.</w:t>
      </w:r>
      <w:r w:rsidRPr="00DD0DC9">
        <w:rPr>
          <w:noProof/>
          <w:lang w:val="en-IE"/>
        </w:rPr>
        <w:t xml:space="preserve"> </w:t>
      </w:r>
      <w:r w:rsidR="0019062B">
        <w:rPr>
          <w:noProof/>
          <w:lang w:val="en-IE"/>
        </w:rPr>
        <w:t xml:space="preserve">As </w:t>
      </w:r>
      <w:r w:rsidR="001D4834">
        <w:rPr>
          <w:noProof/>
          <w:lang w:val="en-IE"/>
        </w:rPr>
        <w:t>mentioned in section 1, t</w:t>
      </w:r>
      <w:r w:rsidRPr="00DD0DC9">
        <w:rPr>
          <w:rFonts w:eastAsiaTheme="minorHAnsi"/>
          <w:noProof/>
          <w:lang w:val="en-IE"/>
        </w:rPr>
        <w:t xml:space="preserve">he </w:t>
      </w:r>
      <w:r w:rsidRPr="00DD0DC9">
        <w:rPr>
          <w:noProof/>
          <w:lang w:val="en-IE"/>
        </w:rPr>
        <w:t xml:space="preserve">share of </w:t>
      </w:r>
      <w:r w:rsidR="004F6109" w:rsidRPr="00C21E0A">
        <w:rPr>
          <w:noProof/>
          <w:lang w:val="en-IE"/>
        </w:rPr>
        <w:t xml:space="preserve">recycled </w:t>
      </w:r>
      <w:r w:rsidRPr="00DD0DC9">
        <w:rPr>
          <w:noProof/>
          <w:lang w:val="en-IE"/>
        </w:rPr>
        <w:t xml:space="preserve">material </w:t>
      </w:r>
      <w:r w:rsidR="00B74705" w:rsidRPr="00C21E0A">
        <w:rPr>
          <w:noProof/>
          <w:lang w:val="en-IE"/>
        </w:rPr>
        <w:t>injected</w:t>
      </w:r>
      <w:r w:rsidR="00B74705" w:rsidRPr="5EBAF387">
        <w:rPr>
          <w:noProof/>
          <w:lang w:val="en-IE"/>
        </w:rPr>
        <w:t xml:space="preserve"> </w:t>
      </w:r>
      <w:r w:rsidRPr="00DD0DC9">
        <w:rPr>
          <w:noProof/>
          <w:lang w:val="en-IE"/>
        </w:rPr>
        <w:t xml:space="preserve">back into the economy </w:t>
      </w:r>
      <w:r w:rsidR="00B74705" w:rsidRPr="00C21E0A">
        <w:rPr>
          <w:noProof/>
          <w:lang w:val="en-IE"/>
        </w:rPr>
        <w:t xml:space="preserve">as a proportion </w:t>
      </w:r>
      <w:r w:rsidRPr="00DD0DC9">
        <w:rPr>
          <w:noProof/>
          <w:lang w:val="en-IE"/>
        </w:rPr>
        <w:t xml:space="preserve">of the overall use of materials </w:t>
      </w:r>
      <w:r w:rsidR="001C0CD0">
        <w:rPr>
          <w:noProof/>
          <w:lang w:val="en-IE"/>
        </w:rPr>
        <w:t>increased</w:t>
      </w:r>
      <w:r w:rsidR="00236C73">
        <w:rPr>
          <w:noProof/>
          <w:lang w:val="en-IE"/>
        </w:rPr>
        <w:t xml:space="preserve"> very</w:t>
      </w:r>
      <w:r w:rsidRPr="00DD0DC9">
        <w:rPr>
          <w:noProof/>
          <w:lang w:val="en-IE"/>
        </w:rPr>
        <w:t xml:space="preserve"> slowly, </w:t>
      </w:r>
      <w:r w:rsidRPr="00DD0DC9" w:rsidDel="005A76BC">
        <w:rPr>
          <w:noProof/>
          <w:lang w:val="en-IE"/>
        </w:rPr>
        <w:t>from 11.</w:t>
      </w:r>
      <w:r w:rsidRPr="00DD0DC9">
        <w:rPr>
          <w:noProof/>
          <w:lang w:val="en-IE"/>
        </w:rPr>
        <w:t>8% in 2023 to 1</w:t>
      </w:r>
      <w:r w:rsidRPr="00DD0DC9">
        <w:rPr>
          <w:rFonts w:eastAsiaTheme="minorHAnsi"/>
          <w:noProof/>
          <w:lang w:val="en-IE"/>
        </w:rPr>
        <w:t xml:space="preserve">2.2% in 2024 (KPI 8). This is well below the </w:t>
      </w:r>
      <w:r w:rsidR="002761FE">
        <w:rPr>
          <w:rFonts w:eastAsiaTheme="minorHAnsi"/>
          <w:noProof/>
          <w:lang w:val="en-IE"/>
        </w:rPr>
        <w:t>EU</w:t>
      </w:r>
      <w:r w:rsidRPr="00DD0DC9">
        <w:rPr>
          <w:rFonts w:eastAsiaTheme="minorHAnsi"/>
          <w:noProof/>
          <w:lang w:val="en-IE"/>
        </w:rPr>
        <w:t xml:space="preserve"> target of 24% in 2030</w:t>
      </w:r>
      <w:r w:rsidRPr="00DD0DC9">
        <w:rPr>
          <w:noProof/>
          <w:lang w:val="en-IE"/>
        </w:rPr>
        <w:t xml:space="preserve"> </w:t>
      </w:r>
      <w:r w:rsidRPr="00DD0DC9">
        <w:rPr>
          <w:rFonts w:eastAsiaTheme="minorHAnsi"/>
          <w:noProof/>
          <w:lang w:val="en-IE"/>
        </w:rPr>
        <w:t xml:space="preserve">and </w:t>
      </w:r>
      <w:r w:rsidRPr="00DD0DC9">
        <w:rPr>
          <w:noProof/>
          <w:lang w:val="en-IE"/>
        </w:rPr>
        <w:t xml:space="preserve">not sufficient </w:t>
      </w:r>
      <w:r w:rsidRPr="00DD0DC9">
        <w:rPr>
          <w:rFonts w:eastAsiaTheme="minorHAnsi"/>
          <w:noProof/>
          <w:lang w:val="en-IE"/>
        </w:rPr>
        <w:t xml:space="preserve">to reduce the demand of primary materials and related dependencies </w:t>
      </w:r>
      <w:r w:rsidR="005A5D9E">
        <w:rPr>
          <w:rFonts w:eastAsiaTheme="minorHAnsi"/>
          <w:noProof/>
          <w:lang w:val="en-IE"/>
        </w:rPr>
        <w:t>on</w:t>
      </w:r>
      <w:r w:rsidR="005A5D9E" w:rsidRPr="00DD0DC9">
        <w:rPr>
          <w:rFonts w:eastAsiaTheme="minorHAnsi"/>
          <w:noProof/>
          <w:lang w:val="en-IE"/>
        </w:rPr>
        <w:t xml:space="preserve"> </w:t>
      </w:r>
      <w:r w:rsidRPr="00DD0DC9">
        <w:rPr>
          <w:rFonts w:eastAsiaTheme="minorHAnsi"/>
          <w:noProof/>
          <w:lang w:val="en-IE"/>
        </w:rPr>
        <w:t>third countries</w:t>
      </w:r>
      <w:r w:rsidRPr="00DD0DC9">
        <w:rPr>
          <w:noProof/>
          <w:lang w:val="en-IE"/>
        </w:rPr>
        <w:t>.</w:t>
      </w:r>
      <w:r w:rsidRPr="00DD0DC9">
        <w:rPr>
          <w:rFonts w:eastAsiaTheme="minorHAnsi"/>
          <w:noProof/>
          <w:lang w:val="en-IE"/>
        </w:rPr>
        <w:t xml:space="preserve"> </w:t>
      </w:r>
      <w:r w:rsidR="00F604C6">
        <w:rPr>
          <w:rFonts w:eastAsiaTheme="minorHAnsi"/>
          <w:noProof/>
          <w:lang w:val="en-IE"/>
        </w:rPr>
        <w:t>For instance, t</w:t>
      </w:r>
      <w:r w:rsidRPr="00DD0DC9">
        <w:rPr>
          <w:noProof/>
          <w:lang w:val="en-IE"/>
        </w:rPr>
        <w:t>oday</w:t>
      </w:r>
      <w:r w:rsidR="00AC549E">
        <w:rPr>
          <w:noProof/>
          <w:lang w:val="en-IE"/>
        </w:rPr>
        <w:t>,</w:t>
      </w:r>
      <w:r w:rsidRPr="00DD0DC9">
        <w:rPr>
          <w:noProof/>
          <w:lang w:val="en-IE"/>
        </w:rPr>
        <w:t xml:space="preserve"> </w:t>
      </w:r>
      <w:r w:rsidR="00CD2F25">
        <w:rPr>
          <w:noProof/>
          <w:lang w:val="en-IE"/>
        </w:rPr>
        <w:t>although</w:t>
      </w:r>
      <w:r w:rsidRPr="00DD0DC9">
        <w:rPr>
          <w:noProof/>
          <w:lang w:val="en-IE"/>
        </w:rPr>
        <w:t xml:space="preserve"> </w:t>
      </w:r>
      <w:r w:rsidR="00B90542">
        <w:rPr>
          <w:noProof/>
          <w:lang w:val="en-IE"/>
        </w:rPr>
        <w:t xml:space="preserve">almost </w:t>
      </w:r>
      <w:r w:rsidR="007605AE">
        <w:rPr>
          <w:noProof/>
          <w:lang w:val="en-IE"/>
        </w:rPr>
        <w:t>38</w:t>
      </w:r>
      <w:r w:rsidRPr="00DD0DC9">
        <w:rPr>
          <w:noProof/>
          <w:lang w:val="en-IE"/>
        </w:rPr>
        <w:t>% of electrical and electronic waste is collected in the EU, less than 1% of rare earth elements are recycled</w:t>
      </w:r>
      <w:r w:rsidR="00195B7C">
        <w:rPr>
          <w:rStyle w:val="FootnoteReference"/>
          <w:noProof/>
          <w:lang w:val="en-IE"/>
        </w:rPr>
        <w:footnoteReference w:id="55"/>
      </w:r>
      <w:r w:rsidRPr="00DD0DC9">
        <w:rPr>
          <w:noProof/>
          <w:lang w:val="en-IE"/>
        </w:rPr>
        <w:t>.</w:t>
      </w:r>
      <w:r w:rsidRPr="00DD0DC9">
        <w:rPr>
          <w:b/>
          <w:bCs/>
          <w:noProof/>
          <w:lang w:val="en-IE"/>
        </w:rPr>
        <w:t xml:space="preserve"> </w:t>
      </w:r>
      <w:r w:rsidRPr="00DD0DC9">
        <w:rPr>
          <w:noProof/>
          <w:lang w:val="en-IE"/>
        </w:rPr>
        <w:t>Diverging national rules or schemes on waste and recycled materials</w:t>
      </w:r>
      <w:r w:rsidR="0020302F">
        <w:rPr>
          <w:rStyle w:val="FootnoteReference"/>
          <w:noProof/>
          <w:lang w:val="en-IE"/>
        </w:rPr>
        <w:footnoteReference w:id="56"/>
      </w:r>
      <w:r w:rsidR="00830650">
        <w:rPr>
          <w:noProof/>
          <w:lang w:val="en-IE"/>
        </w:rPr>
        <w:t>,</w:t>
      </w:r>
      <w:r w:rsidRPr="00DD0DC9">
        <w:rPr>
          <w:noProof/>
          <w:lang w:val="en-IE"/>
        </w:rPr>
        <w:t xml:space="preserve"> </w:t>
      </w:r>
      <w:r w:rsidR="00F409CF" w:rsidRPr="102F2F29">
        <w:rPr>
          <w:noProof/>
          <w:lang w:val="en-IE"/>
        </w:rPr>
        <w:t>combined with low</w:t>
      </w:r>
      <w:r w:rsidR="00846E04">
        <w:rPr>
          <w:noProof/>
          <w:lang w:val="en-IE"/>
        </w:rPr>
        <w:t>er</w:t>
      </w:r>
      <w:r w:rsidR="00F409CF" w:rsidRPr="102F2F29">
        <w:rPr>
          <w:noProof/>
          <w:lang w:val="en-IE"/>
        </w:rPr>
        <w:t xml:space="preserve"> prices for virgin feedstock</w:t>
      </w:r>
      <w:r w:rsidR="00830650">
        <w:rPr>
          <w:noProof/>
          <w:lang w:val="en-IE"/>
        </w:rPr>
        <w:t>,</w:t>
      </w:r>
      <w:r w:rsidRPr="00DD0DC9">
        <w:rPr>
          <w:noProof/>
          <w:lang w:val="en-IE"/>
        </w:rPr>
        <w:t xml:space="preserve"> </w:t>
      </w:r>
      <w:r w:rsidR="004600C6">
        <w:rPr>
          <w:noProof/>
          <w:lang w:val="en-IE"/>
        </w:rPr>
        <w:t>hinder</w:t>
      </w:r>
      <w:r w:rsidR="00890EB9">
        <w:rPr>
          <w:noProof/>
          <w:lang w:val="en-IE"/>
        </w:rPr>
        <w:t xml:space="preserve"> </w:t>
      </w:r>
      <w:r w:rsidR="00941161" w:rsidRPr="00DD0DC9">
        <w:rPr>
          <w:noProof/>
          <w:lang w:val="en-IE"/>
        </w:rPr>
        <w:t>the</w:t>
      </w:r>
      <w:r w:rsidRPr="00DD0DC9">
        <w:rPr>
          <w:noProof/>
          <w:lang w:val="en-IE"/>
        </w:rPr>
        <w:t xml:space="preserve"> </w:t>
      </w:r>
      <w:r w:rsidR="00D12F49">
        <w:rPr>
          <w:noProof/>
          <w:lang w:val="en-IE"/>
        </w:rPr>
        <w:t xml:space="preserve">development </w:t>
      </w:r>
      <w:r w:rsidRPr="00DD0DC9">
        <w:rPr>
          <w:noProof/>
          <w:lang w:val="en-IE"/>
        </w:rPr>
        <w:t>of markets for secondary materials.</w:t>
      </w:r>
      <w:r w:rsidRPr="00DD0DC9">
        <w:rPr>
          <w:noProof/>
          <w:color w:val="000000" w:themeColor="text1"/>
          <w:lang w:val="en-IE"/>
        </w:rPr>
        <w:t xml:space="preserve"> </w:t>
      </w:r>
      <w:r w:rsidRPr="00DD0DC9">
        <w:rPr>
          <w:noProof/>
          <w:lang w:val="en-IE"/>
        </w:rPr>
        <w:t xml:space="preserve">Furthermore, strategic raw materials like metal scrap or black mass remain unused. </w:t>
      </w:r>
      <w:r w:rsidR="00AC27C1">
        <w:rPr>
          <w:noProof/>
          <w:lang w:val="en-IE"/>
        </w:rPr>
        <w:t>For</w:t>
      </w:r>
      <w:r w:rsidRPr="00DD0DC9">
        <w:rPr>
          <w:noProof/>
          <w:lang w:val="en-IE"/>
        </w:rPr>
        <w:t xml:space="preserve"> some </w:t>
      </w:r>
      <w:r w:rsidR="00AC27C1">
        <w:rPr>
          <w:noProof/>
          <w:lang w:val="en-IE"/>
        </w:rPr>
        <w:t>mater</w:t>
      </w:r>
      <w:r w:rsidR="00C97A00">
        <w:rPr>
          <w:noProof/>
          <w:lang w:val="en-IE"/>
        </w:rPr>
        <w:t>ials</w:t>
      </w:r>
      <w:r w:rsidRPr="00DD0DC9">
        <w:rPr>
          <w:noProof/>
          <w:lang w:val="en-IE"/>
        </w:rPr>
        <w:t>, such as aluminium and copper, high-grade wrought scrap is exported to foreign markets</w:t>
      </w:r>
      <w:r w:rsidR="00775C1C">
        <w:rPr>
          <w:rStyle w:val="FootnoteReference"/>
          <w:noProof/>
          <w:lang w:val="en-IE"/>
        </w:rPr>
        <w:footnoteReference w:id="57"/>
      </w:r>
      <w:r w:rsidRPr="00DD0DC9">
        <w:rPr>
          <w:noProof/>
          <w:lang w:val="en-IE"/>
        </w:rPr>
        <w:t>, which may undermine investment in domestic refining capacity.</w:t>
      </w:r>
    </w:p>
    <w:p w14:paraId="0C8C6419" w14:textId="199B74CE" w:rsidR="00182431" w:rsidRDefault="00134CB2" w:rsidP="005B4F13">
      <w:pPr>
        <w:widowControl w:val="0"/>
        <w:spacing w:before="240"/>
        <w:contextualSpacing/>
        <w:mirrorIndents/>
        <w:rPr>
          <w:rFonts w:ascii="Times New Roman" w:hAnsi="Times New Roman" w:cs="Times New Roman"/>
          <w:b/>
          <w:noProof/>
          <w:sz w:val="28"/>
          <w:szCs w:val="28"/>
          <w:shd w:val="clear" w:color="auto" w:fill="FFFFFF"/>
          <w:lang w:val="en-IE"/>
        </w:rPr>
      </w:pPr>
      <w:r w:rsidRPr="00DD0DC9">
        <w:rPr>
          <w:rFonts w:ascii="Times New Roman" w:hAnsi="Times New Roman" w:cs="Times New Roman"/>
          <w:b/>
          <w:noProof/>
          <w:sz w:val="28"/>
          <w:szCs w:val="28"/>
          <w:shd w:val="clear" w:color="auto" w:fill="FFFFFF"/>
          <w:lang w:val="en-IE"/>
        </w:rPr>
        <w:t xml:space="preserve">SECTION </w:t>
      </w:r>
      <w:r w:rsidRPr="00DD0DC9" w:rsidDel="007B2AFA">
        <w:rPr>
          <w:rFonts w:ascii="Times New Roman" w:hAnsi="Times New Roman" w:cs="Times New Roman"/>
          <w:b/>
          <w:noProof/>
          <w:sz w:val="28"/>
          <w:szCs w:val="28"/>
          <w:shd w:val="clear" w:color="auto" w:fill="FFFFFF"/>
          <w:lang w:val="en-IE"/>
        </w:rPr>
        <w:t xml:space="preserve">4 </w:t>
      </w:r>
      <w:r w:rsidRPr="00DD0DC9">
        <w:rPr>
          <w:rFonts w:ascii="Times New Roman" w:hAnsi="Times New Roman" w:cs="Times New Roman"/>
          <w:b/>
          <w:noProof/>
          <w:sz w:val="28"/>
          <w:szCs w:val="28"/>
          <w:shd w:val="clear" w:color="auto" w:fill="FFFFFF"/>
          <w:lang w:val="en-IE"/>
        </w:rPr>
        <w:t>– Increasing security and reducing dependencies</w:t>
      </w:r>
    </w:p>
    <w:p w14:paraId="052F049F" w14:textId="1BFD8B9D" w:rsidR="00DD0DC9" w:rsidRPr="00DD0DC9" w:rsidRDefault="00DD0DC9" w:rsidP="00D579A6">
      <w:pPr>
        <w:pStyle w:val="Text1"/>
        <w:spacing w:before="120" w:after="160"/>
        <w:ind w:left="0"/>
        <w:rPr>
          <w:noProof/>
          <w:color w:val="000000" w:themeColor="text1"/>
          <w:lang w:val="en-IE"/>
        </w:rPr>
      </w:pPr>
      <w:r w:rsidRPr="00DD0DC9">
        <w:rPr>
          <w:b/>
          <w:bCs/>
          <w:noProof/>
          <w:color w:val="000000" w:themeColor="text1"/>
          <w:lang w:val="en-IE"/>
        </w:rPr>
        <w:t xml:space="preserve">Sweeping changes in the global trade landscape expose the vulnerabilities and strategic dependencies in Europe’s supply chains. </w:t>
      </w:r>
      <w:r w:rsidRPr="00DD0DC9">
        <w:rPr>
          <w:noProof/>
          <w:color w:val="000000" w:themeColor="text1"/>
          <w:lang w:val="en-IE"/>
        </w:rPr>
        <w:t>The EU has a strong position in international trade, but is increasingly coming under pressure, in particular in manufacturing. This is fuelled by third country overcapacities, weak domestic demand</w:t>
      </w:r>
      <w:r w:rsidR="00C66798">
        <w:rPr>
          <w:noProof/>
          <w:color w:val="000000" w:themeColor="text1"/>
          <w:lang w:val="en-IE"/>
        </w:rPr>
        <w:t xml:space="preserve"> in certain third countries</w:t>
      </w:r>
      <w:r w:rsidRPr="00DD0DC9">
        <w:rPr>
          <w:noProof/>
          <w:color w:val="000000" w:themeColor="text1"/>
          <w:lang w:val="en-IE"/>
        </w:rPr>
        <w:t xml:space="preserve"> and the depreciation of important international currencies. The strengthening of </w:t>
      </w:r>
      <w:r w:rsidR="005654B8">
        <w:rPr>
          <w:noProof/>
          <w:color w:val="000000" w:themeColor="text1"/>
          <w:lang w:val="en-IE"/>
        </w:rPr>
        <w:t xml:space="preserve">EU </w:t>
      </w:r>
      <w:r w:rsidRPr="00DD0DC9">
        <w:rPr>
          <w:noProof/>
          <w:color w:val="000000" w:themeColor="text1"/>
          <w:lang w:val="en-IE"/>
        </w:rPr>
        <w:t xml:space="preserve">supply chains is progressing, but strategic dependencies remain stubbornly elevated </w:t>
      </w:r>
      <w:r w:rsidR="00684ECC">
        <w:rPr>
          <w:noProof/>
          <w:color w:val="000000" w:themeColor="text1"/>
          <w:lang w:val="en-IE"/>
        </w:rPr>
        <w:t xml:space="preserve">and </w:t>
      </w:r>
      <w:r w:rsidRPr="00DD0DC9">
        <w:rPr>
          <w:noProof/>
          <w:color w:val="000000" w:themeColor="text1"/>
          <w:lang w:val="en-IE"/>
        </w:rPr>
        <w:t xml:space="preserve">at increasing risk of being weaponised.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7"/>
        <w:gridCol w:w="3847"/>
        <w:gridCol w:w="2673"/>
      </w:tblGrid>
      <w:tr w:rsidR="00DD0DC9" w:rsidRPr="00DD0DC9" w14:paraId="2A7A9AD5" w14:textId="77777777">
        <w:trPr>
          <w:trHeight w:val="300"/>
        </w:trPr>
        <w:tc>
          <w:tcPr>
            <w:tcW w:w="2547" w:type="dxa"/>
            <w:shd w:val="clear" w:color="auto" w:fill="F6FA84"/>
          </w:tcPr>
          <w:p w14:paraId="77D0F145" w14:textId="2E6ADFFF"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6</w:t>
            </w:r>
            <w:r w:rsidRPr="00DD0DC9">
              <w:rPr>
                <w:rFonts w:ascii="Times New Roman" w:eastAsia="Times New Roman" w:hAnsi="Times New Roman" w:cs="Times New Roman"/>
                <w:noProof/>
                <w:color w:val="000000"/>
                <w:kern w:val="3"/>
                <w:sz w:val="20"/>
                <w:szCs w:val="20"/>
                <w:lang w:val="en-IE" w:eastAsia="en-IE"/>
              </w:rPr>
              <w:t>: Trade with the rest of the world</w:t>
            </w:r>
            <w:r w:rsidRPr="00DD0DC9">
              <w:rPr>
                <w:rFonts w:ascii="Times New Roman" w:eastAsia="Times New Roman" w:hAnsi="Times New Roman" w:cs="Times New Roman"/>
                <w:noProof/>
                <w:kern w:val="3"/>
                <w:sz w:val="20"/>
                <w:szCs w:val="20"/>
                <w:lang w:val="en-IE" w:eastAsia="en-IE"/>
              </w:rPr>
              <w:t xml:space="preserve"> as </w:t>
            </w:r>
            <w:r w:rsidR="00FD1ED4">
              <w:rPr>
                <w:rFonts w:ascii="Times New Roman" w:eastAsia="Times New Roman" w:hAnsi="Times New Roman" w:cs="Times New Roman"/>
                <w:noProof/>
                <w:kern w:val="3"/>
                <w:sz w:val="20"/>
                <w:szCs w:val="20"/>
                <w:lang w:val="en-IE" w:eastAsia="en-IE"/>
              </w:rPr>
              <w:t xml:space="preserve">a </w:t>
            </w:r>
            <w:r w:rsidRPr="00DD0DC9">
              <w:rPr>
                <w:rFonts w:ascii="Times New Roman" w:eastAsia="Times New Roman" w:hAnsi="Times New Roman" w:cs="Times New Roman"/>
                <w:noProof/>
                <w:kern w:val="3"/>
                <w:sz w:val="20"/>
                <w:szCs w:val="20"/>
                <w:lang w:val="en-IE" w:eastAsia="en-IE"/>
              </w:rPr>
              <w:t>share of GDP  </w:t>
            </w:r>
          </w:p>
          <w:p w14:paraId="25C4D609"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kern w:val="3"/>
                <w:sz w:val="20"/>
                <w:szCs w:val="20"/>
                <w:lang w:val="en-IE" w:eastAsia="en-IE"/>
              </w:rPr>
              <w:t>  </w:t>
            </w:r>
          </w:p>
        </w:tc>
        <w:tc>
          <w:tcPr>
            <w:tcW w:w="3847" w:type="dxa"/>
            <w:shd w:val="clear" w:color="auto" w:fill="F6FA84"/>
          </w:tcPr>
          <w:p w14:paraId="0B53D563"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The EU’s degree of economic integration with the rest of the world.  </w:t>
            </w:r>
          </w:p>
        </w:tc>
        <w:tc>
          <w:tcPr>
            <w:tcW w:w="2673" w:type="dxa"/>
            <w:shd w:val="clear" w:color="auto" w:fill="F6FA84"/>
          </w:tcPr>
          <w:p w14:paraId="2A2E00B2" w14:textId="6CFD84A7" w:rsidR="00DD0DC9" w:rsidRPr="00DD0DC9" w:rsidRDefault="00DD0DC9">
            <w:pPr>
              <w:widowControl w:val="0"/>
              <w:suppressAutoHyphens/>
              <w:autoSpaceDN w:val="0"/>
              <w:spacing w:after="0" w:line="240" w:lineRule="auto"/>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13.9 % for goods (2024) </w:t>
            </w:r>
          </w:p>
          <w:p w14:paraId="41DD7C50" w14:textId="7535978B" w:rsidR="00DD0DC9" w:rsidRPr="00DD0DC9" w:rsidRDefault="00DD0DC9">
            <w:pPr>
              <w:widowControl w:val="0"/>
              <w:suppressAutoHyphens/>
              <w:autoSpaceDN w:val="0"/>
              <w:spacing w:after="0" w:line="240" w:lineRule="auto"/>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14.7% for goods (2023) </w:t>
            </w:r>
          </w:p>
          <w:p w14:paraId="68F6E61F" w14:textId="77777777" w:rsidR="00DD0DC9" w:rsidRPr="00DD0DC9" w:rsidRDefault="00DD0DC9">
            <w:pPr>
              <w:widowControl w:val="0"/>
              <w:suppressAutoHyphens/>
              <w:autoSpaceDN w:val="0"/>
              <w:spacing w:after="0" w:line="240" w:lineRule="auto"/>
              <w:rPr>
                <w:rFonts w:ascii="Times New Roman" w:eastAsia="Times New Roman" w:hAnsi="Times New Roman" w:cs="Times New Roman"/>
                <w:noProof/>
                <w:color w:val="000000"/>
                <w:kern w:val="3"/>
                <w:sz w:val="8"/>
                <w:szCs w:val="8"/>
                <w:lang w:val="en-IE" w:eastAsia="en-IE"/>
              </w:rPr>
            </w:pPr>
          </w:p>
          <w:p w14:paraId="62E72407" w14:textId="77777777" w:rsidR="00DD0DC9" w:rsidRPr="00DD0DC9" w:rsidRDefault="00DD0DC9">
            <w:pPr>
              <w:widowControl w:val="0"/>
              <w:suppressAutoHyphens/>
              <w:autoSpaceDN w:val="0"/>
              <w:spacing w:after="0" w:line="240" w:lineRule="auto"/>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8.1% for services (2024)</w:t>
            </w:r>
          </w:p>
          <w:p w14:paraId="585E088B" w14:textId="77777777" w:rsidR="00DD0DC9" w:rsidRPr="00DD0DC9" w:rsidRDefault="00DD0DC9">
            <w:pPr>
              <w:widowControl w:val="0"/>
              <w:suppressAutoHyphens/>
              <w:autoSpaceDN w:val="0"/>
              <w:spacing w:after="0" w:line="240" w:lineRule="auto"/>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color w:val="000000"/>
                <w:kern w:val="3"/>
                <w:sz w:val="20"/>
                <w:szCs w:val="20"/>
                <w:lang w:val="en-IE" w:eastAsia="en-IE"/>
              </w:rPr>
              <w:t>7.8% for services (2023) </w:t>
            </w:r>
          </w:p>
        </w:tc>
      </w:tr>
      <w:tr w:rsidR="00DD0DC9" w:rsidRPr="00DD0DC9" w14:paraId="77A7BC60" w14:textId="77777777">
        <w:trPr>
          <w:trHeight w:val="300"/>
        </w:trPr>
        <w:tc>
          <w:tcPr>
            <w:tcW w:w="2547" w:type="dxa"/>
            <w:shd w:val="clear" w:color="auto" w:fill="F6FA84"/>
          </w:tcPr>
          <w:p w14:paraId="3C92AB28" w14:textId="509AB54C"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7</w:t>
            </w:r>
            <w:r w:rsidRPr="00DD0DC9">
              <w:rPr>
                <w:rFonts w:ascii="Times New Roman" w:eastAsia="Times New Roman" w:hAnsi="Times New Roman" w:cs="Times New Roman"/>
                <w:noProof/>
                <w:color w:val="000000"/>
                <w:kern w:val="3"/>
                <w:sz w:val="20"/>
                <w:szCs w:val="20"/>
                <w:lang w:val="en-IE" w:eastAsia="en-IE"/>
              </w:rPr>
              <w:t>: Exports of goods and services as a share of worldwide imports   </w:t>
            </w:r>
          </w:p>
        </w:tc>
        <w:tc>
          <w:tcPr>
            <w:tcW w:w="3847" w:type="dxa"/>
            <w:shd w:val="clear" w:color="auto" w:fill="F6FA84"/>
          </w:tcPr>
          <w:p w14:paraId="61BCE5D6"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kern w:val="3"/>
                <w:sz w:val="20"/>
                <w:szCs w:val="20"/>
                <w:lang w:val="en-IE" w:eastAsia="en-IE"/>
              </w:rPr>
              <w:t>The EU economy’s market share.  </w:t>
            </w:r>
          </w:p>
        </w:tc>
        <w:tc>
          <w:tcPr>
            <w:tcW w:w="2673" w:type="dxa"/>
            <w:shd w:val="clear" w:color="auto" w:fill="F6FA84"/>
          </w:tcPr>
          <w:p w14:paraId="26CA2773"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12.6% for goods (2024) </w:t>
            </w:r>
          </w:p>
          <w:p w14:paraId="34581F0D"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11.9% for goods (2023) </w:t>
            </w:r>
          </w:p>
          <w:p w14:paraId="33ABF902"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8"/>
                <w:szCs w:val="8"/>
                <w:lang w:val="en-IE" w:eastAsia="en-IE"/>
              </w:rPr>
            </w:pPr>
          </w:p>
          <w:p w14:paraId="677C9FE9"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25.0% for services (2024) </w:t>
            </w:r>
          </w:p>
          <w:p w14:paraId="330F93D9"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lang w:val="en-IE" w:eastAsia="en-IE"/>
              </w:rPr>
            </w:pPr>
            <w:r w:rsidRPr="00DD0DC9">
              <w:rPr>
                <w:rFonts w:ascii="Times New Roman" w:eastAsia="Times New Roman" w:hAnsi="Times New Roman" w:cs="Times New Roman"/>
                <w:noProof/>
                <w:color w:val="000000"/>
                <w:kern w:val="3"/>
                <w:sz w:val="20"/>
                <w:szCs w:val="20"/>
                <w:lang w:val="en-IE" w:eastAsia="en-IE"/>
              </w:rPr>
              <w:t>25.4% for services (2023)  </w:t>
            </w:r>
          </w:p>
        </w:tc>
      </w:tr>
      <w:tr w:rsidR="00DD0DC9" w:rsidRPr="009E1879" w14:paraId="4316E723" w14:textId="77777777">
        <w:trPr>
          <w:trHeight w:val="300"/>
        </w:trPr>
        <w:tc>
          <w:tcPr>
            <w:tcW w:w="2547" w:type="dxa"/>
            <w:shd w:val="clear" w:color="auto" w:fill="F6FA84"/>
          </w:tcPr>
          <w:p w14:paraId="78F2B931" w14:textId="2338CFB9"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lang w:val="en-IE" w:eastAsia="fr-FR"/>
              </w:rPr>
            </w:pPr>
            <w:r w:rsidRPr="00DD0DC9">
              <w:rPr>
                <w:rFonts w:ascii="Times New Roman" w:eastAsia="Times New Roman" w:hAnsi="Times New Roman" w:cs="Times New Roman"/>
                <w:noProof/>
                <w:color w:val="000000"/>
                <w:kern w:val="3"/>
                <w:sz w:val="20"/>
                <w:szCs w:val="20"/>
                <w:lang w:val="en-IE" w:eastAsia="en-IE"/>
              </w:rPr>
              <w:t>KPI 2</w:t>
            </w:r>
            <w:r>
              <w:rPr>
                <w:rFonts w:ascii="Times New Roman" w:eastAsia="Times New Roman" w:hAnsi="Times New Roman" w:cs="Times New Roman"/>
                <w:noProof/>
                <w:color w:val="000000"/>
                <w:kern w:val="3"/>
                <w:sz w:val="20"/>
                <w:szCs w:val="20"/>
                <w:lang w:val="en-IE" w:eastAsia="en-IE"/>
              </w:rPr>
              <w:t>8</w:t>
            </w:r>
            <w:r w:rsidRPr="00DD0DC9">
              <w:rPr>
                <w:rFonts w:ascii="Times New Roman" w:eastAsia="Times New Roman" w:hAnsi="Times New Roman" w:cs="Times New Roman"/>
                <w:noProof/>
                <w:color w:val="000000"/>
                <w:kern w:val="3"/>
                <w:sz w:val="20"/>
                <w:szCs w:val="20"/>
                <w:lang w:val="en-IE" w:eastAsia="en-IE"/>
              </w:rPr>
              <w:t xml:space="preserve">: </w:t>
            </w:r>
            <w:r w:rsidRPr="00DD0DC9">
              <w:rPr>
                <w:rFonts w:ascii="Times New Roman" w:eastAsia="Times New Roman" w:hAnsi="Times New Roman" w:cs="Times New Roman"/>
                <w:noProof/>
                <w:color w:val="000000"/>
                <w:kern w:val="3"/>
                <w:sz w:val="20"/>
                <w:szCs w:val="20"/>
                <w:lang w:val="en-IE" w:eastAsia="fr-FR"/>
              </w:rPr>
              <w:t>Domestic clean tech manufacturing capacity</w:t>
            </w:r>
          </w:p>
          <w:p w14:paraId="12B772A2"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p>
        </w:tc>
        <w:tc>
          <w:tcPr>
            <w:tcW w:w="3847" w:type="dxa"/>
            <w:shd w:val="clear" w:color="auto" w:fill="F6FA84"/>
          </w:tcPr>
          <w:p w14:paraId="22B55EA3"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color w:val="000000"/>
                <w:kern w:val="3"/>
                <w:sz w:val="20"/>
                <w:szCs w:val="20"/>
                <w:lang w:val="en-IE" w:eastAsia="en-IE"/>
              </w:rPr>
              <w:t xml:space="preserve">Share of clean tech components tracked in the Net-Zero Industry Act that meet the domestic manufacturing benchmark. </w:t>
            </w:r>
            <w:r w:rsidRPr="00DD0DC9">
              <w:rPr>
                <w:rFonts w:ascii="Times New Roman" w:eastAsia="Times New Roman" w:hAnsi="Times New Roman" w:cs="Times New Roman"/>
                <w:b/>
                <w:bCs/>
                <w:noProof/>
                <w:color w:val="000000"/>
                <w:kern w:val="3"/>
                <w:sz w:val="20"/>
                <w:szCs w:val="20"/>
                <w:lang w:val="en-IE" w:eastAsia="en-IE"/>
              </w:rPr>
              <w:t>Target = 100%.</w:t>
            </w:r>
          </w:p>
        </w:tc>
        <w:tc>
          <w:tcPr>
            <w:tcW w:w="2673" w:type="dxa"/>
            <w:shd w:val="clear" w:color="auto" w:fill="F6FA84"/>
          </w:tcPr>
          <w:p w14:paraId="22FC4605" w14:textId="77777777"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lang w:val="en-IE" w:eastAsia="fr-FR"/>
              </w:rPr>
            </w:pPr>
            <w:r w:rsidRPr="00DD0DC9">
              <w:rPr>
                <w:rFonts w:ascii="Times New Roman" w:eastAsia="Times New Roman" w:hAnsi="Times New Roman" w:cs="Times New Roman"/>
                <w:noProof/>
                <w:color w:val="000000"/>
                <w:kern w:val="3"/>
                <w:sz w:val="20"/>
                <w:szCs w:val="20"/>
                <w:lang w:val="en-IE" w:eastAsia="en-IE"/>
              </w:rPr>
              <w:t>6 out of 27 (22%) technology components exceed the benchmark rate (2024)</w:t>
            </w:r>
          </w:p>
        </w:tc>
      </w:tr>
      <w:tr w:rsidR="00DD0DC9" w:rsidRPr="00DD0DC9" w14:paraId="021FFE25" w14:textId="77777777">
        <w:trPr>
          <w:trHeight w:val="300"/>
        </w:trPr>
        <w:tc>
          <w:tcPr>
            <w:tcW w:w="2547" w:type="dxa"/>
            <w:shd w:val="clear" w:color="auto" w:fill="F6FA84"/>
          </w:tcPr>
          <w:p w14:paraId="60AE01D4" w14:textId="36809D7D"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eastAsia="en-IE"/>
              </w:rPr>
            </w:pPr>
            <w:r w:rsidRPr="00DD0DC9">
              <w:rPr>
                <w:rFonts w:ascii="Times New Roman" w:eastAsia="Times New Roman" w:hAnsi="Times New Roman" w:cs="Times New Roman"/>
                <w:noProof/>
                <w:color w:val="000000"/>
                <w:kern w:val="3"/>
                <w:sz w:val="20"/>
                <w:szCs w:val="20"/>
                <w:lang w:val="en-IE" w:eastAsia="en-IE"/>
              </w:rPr>
              <w:t xml:space="preserve">KPI </w:t>
            </w:r>
            <w:r>
              <w:rPr>
                <w:rFonts w:ascii="Times New Roman" w:eastAsia="Times New Roman" w:hAnsi="Times New Roman" w:cs="Times New Roman"/>
                <w:noProof/>
                <w:color w:val="000000"/>
                <w:kern w:val="3"/>
                <w:sz w:val="20"/>
                <w:szCs w:val="20"/>
                <w:lang w:val="en-IE" w:eastAsia="en-IE"/>
              </w:rPr>
              <w:t>29</w:t>
            </w:r>
            <w:r w:rsidRPr="00DD0DC9">
              <w:rPr>
                <w:rFonts w:ascii="Times New Roman" w:eastAsia="Times New Roman" w:hAnsi="Times New Roman" w:cs="Times New Roman"/>
                <w:noProof/>
                <w:color w:val="000000"/>
                <w:kern w:val="3"/>
                <w:sz w:val="20"/>
                <w:szCs w:val="20"/>
                <w:lang w:val="en-IE" w:eastAsia="en-IE"/>
              </w:rPr>
              <w:t>: EXVI External Vulnerability Index</w:t>
            </w:r>
          </w:p>
        </w:tc>
        <w:tc>
          <w:tcPr>
            <w:tcW w:w="3847" w:type="dxa"/>
            <w:shd w:val="clear" w:color="auto" w:fill="F6FA84"/>
          </w:tcPr>
          <w:p w14:paraId="0E89133C" w14:textId="410D17BE" w:rsidR="00DD0DC9" w:rsidRPr="00DD0DC9"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val="en-IE"/>
              </w:rPr>
            </w:pPr>
            <w:r w:rsidRPr="00DD0DC9">
              <w:rPr>
                <w:rFonts w:ascii="Times New Roman" w:eastAsia="Times New Roman" w:hAnsi="Times New Roman" w:cs="Times New Roman"/>
                <w:noProof/>
                <w:color w:val="000000"/>
                <w:kern w:val="3"/>
                <w:sz w:val="20"/>
                <w:szCs w:val="20"/>
                <w:lang w:val="en-IE" w:eastAsia="fr-FR"/>
              </w:rPr>
              <w:t>External vulnerabilities for strategically important industrial products</w:t>
            </w:r>
            <w:r w:rsidRPr="00DD0DC9">
              <w:rPr>
                <w:rFonts w:ascii="Times New Roman" w:eastAsia="Times New Roman" w:hAnsi="Times New Roman" w:cs="Times New Roman"/>
                <w:noProof/>
                <w:color w:val="000000"/>
                <w:kern w:val="3"/>
                <w:sz w:val="20"/>
                <w:szCs w:val="20"/>
                <w:vertAlign w:val="superscript"/>
                <w:lang w:val="en-IE" w:eastAsia="fr-FR"/>
              </w:rPr>
              <w:footnoteReference w:id="58"/>
            </w:r>
            <w:r w:rsidRPr="00DD0DC9">
              <w:rPr>
                <w:rFonts w:ascii="Times New Roman" w:eastAsia="Times New Roman" w:hAnsi="Times New Roman" w:cs="Times New Roman"/>
                <w:noProof/>
                <w:color w:val="000000"/>
                <w:kern w:val="3"/>
                <w:sz w:val="20"/>
                <w:szCs w:val="20"/>
                <w:lang w:val="en-IE" w:eastAsia="fr-FR"/>
              </w:rPr>
              <w:t xml:space="preserve">. On a scale from 0 to 1, </w:t>
            </w:r>
            <w:r w:rsidRPr="00DD0DC9">
              <w:rPr>
                <w:rFonts w:ascii="Times New Roman" w:eastAsia="Calibri" w:hAnsi="Times New Roman" w:cs="Times New Roman"/>
                <w:noProof/>
                <w:color w:val="000000"/>
                <w:kern w:val="3"/>
                <w:sz w:val="20"/>
                <w:szCs w:val="20"/>
                <w:lang w:val="en-IE"/>
              </w:rPr>
              <w:t xml:space="preserve">higher value: </w:t>
            </w:r>
            <w:r w:rsidR="00684ECC">
              <w:rPr>
                <w:rFonts w:ascii="Times New Roman" w:eastAsia="Calibri" w:hAnsi="Times New Roman" w:cs="Times New Roman"/>
                <w:noProof/>
                <w:color w:val="000000"/>
                <w:kern w:val="3"/>
                <w:sz w:val="20"/>
                <w:szCs w:val="20"/>
                <w:lang w:val="en-IE"/>
              </w:rPr>
              <w:t>greater</w:t>
            </w:r>
            <w:r w:rsidR="00684ECC" w:rsidRPr="00DD0DC9">
              <w:rPr>
                <w:rFonts w:ascii="Times New Roman" w:eastAsia="Calibri" w:hAnsi="Times New Roman" w:cs="Times New Roman"/>
                <w:noProof/>
                <w:color w:val="000000"/>
                <w:kern w:val="3"/>
                <w:sz w:val="20"/>
                <w:szCs w:val="20"/>
                <w:lang w:val="en-IE"/>
              </w:rPr>
              <w:t xml:space="preserve"> </w:t>
            </w:r>
            <w:r w:rsidRPr="00DD0DC9">
              <w:rPr>
                <w:rFonts w:ascii="Times New Roman" w:eastAsia="Calibri" w:hAnsi="Times New Roman" w:cs="Times New Roman"/>
                <w:noProof/>
                <w:color w:val="000000"/>
                <w:kern w:val="3"/>
                <w:sz w:val="20"/>
                <w:szCs w:val="20"/>
                <w:lang w:val="en-IE"/>
              </w:rPr>
              <w:t>vulnerability.</w:t>
            </w:r>
          </w:p>
        </w:tc>
        <w:tc>
          <w:tcPr>
            <w:tcW w:w="2673" w:type="dxa"/>
            <w:shd w:val="clear" w:color="auto" w:fill="F6FA84"/>
          </w:tcPr>
          <w:p w14:paraId="3BB3A9E2" w14:textId="77777777" w:rsidR="00DD0DC9" w:rsidRPr="00DD0DC9" w:rsidRDefault="00DD0DC9">
            <w:pPr>
              <w:widowControl w:val="0"/>
              <w:suppressAutoHyphens/>
              <w:autoSpaceDN w:val="0"/>
              <w:spacing w:after="0" w:line="240" w:lineRule="auto"/>
              <w:textAlignment w:val="baseline"/>
              <w:rPr>
                <w:rFonts w:ascii="Times New Roman" w:eastAsia="Calibri" w:hAnsi="Times New Roman" w:cs="Times New Roman"/>
                <w:noProof/>
                <w:color w:val="000000"/>
                <w:kern w:val="3"/>
                <w:sz w:val="20"/>
                <w:lang w:val="en-IE"/>
              </w:rPr>
            </w:pPr>
            <w:r w:rsidRPr="00DD0DC9">
              <w:rPr>
                <w:rFonts w:ascii="Times New Roman" w:eastAsia="Calibri" w:hAnsi="Times New Roman" w:cs="Times New Roman"/>
                <w:noProof/>
                <w:color w:val="000000"/>
                <w:kern w:val="3"/>
                <w:sz w:val="20"/>
                <w:lang w:val="en-IE"/>
              </w:rPr>
              <w:t>0.20 (2023)</w:t>
            </w:r>
          </w:p>
          <w:p w14:paraId="768908B5" w14:textId="77777777" w:rsidR="00DD0DC9" w:rsidRPr="00DD0DC9" w:rsidRDefault="00DD0DC9">
            <w:pPr>
              <w:widowControl w:val="0"/>
              <w:suppressAutoHyphens/>
              <w:autoSpaceDN w:val="0"/>
              <w:spacing w:after="0" w:line="240" w:lineRule="auto"/>
              <w:textAlignment w:val="baseline"/>
              <w:rPr>
                <w:rFonts w:ascii="Times New Roman" w:eastAsia="Calibri" w:hAnsi="Times New Roman" w:cs="Times New Roman"/>
                <w:noProof/>
                <w:color w:val="000000"/>
                <w:kern w:val="3"/>
                <w:sz w:val="20"/>
                <w:lang w:val="en-IE"/>
              </w:rPr>
            </w:pPr>
            <w:r w:rsidRPr="00DD0DC9">
              <w:rPr>
                <w:rFonts w:ascii="Times New Roman" w:eastAsia="Calibri" w:hAnsi="Times New Roman" w:cs="Times New Roman"/>
                <w:noProof/>
                <w:color w:val="000000"/>
                <w:kern w:val="3"/>
                <w:sz w:val="20"/>
                <w:lang w:val="en-IE"/>
              </w:rPr>
              <w:t xml:space="preserve">0.19 (2022) </w:t>
            </w:r>
          </w:p>
        </w:tc>
      </w:tr>
    </w:tbl>
    <w:p w14:paraId="2065849F" w14:textId="6B64A140" w:rsidR="00DD0DC9" w:rsidRPr="00DD0DC9" w:rsidRDefault="00DD0DC9" w:rsidP="00DD0DC9">
      <w:pPr>
        <w:pStyle w:val="Text1"/>
        <w:widowControl w:val="0"/>
        <w:spacing w:before="120" w:after="160"/>
        <w:ind w:left="0"/>
        <w:rPr>
          <w:noProof/>
          <w:color w:val="000000" w:themeColor="text1"/>
          <w:lang w:val="en-IE"/>
        </w:rPr>
      </w:pPr>
      <w:bookmarkStart w:id="8" w:name="_Hlk217041348"/>
      <w:r w:rsidRPr="00DD0DC9">
        <w:rPr>
          <w:b/>
          <w:bCs/>
          <w:noProof/>
          <w:color w:val="000000" w:themeColor="text1"/>
          <w:lang w:val="en-IE"/>
        </w:rPr>
        <w:t xml:space="preserve">A reconfiguration </w:t>
      </w:r>
      <w:r w:rsidRPr="00B669CB">
        <w:rPr>
          <w:b/>
          <w:bCs/>
          <w:noProof/>
          <w:color w:val="000000" w:themeColor="text1"/>
          <w:lang w:val="en-IE"/>
        </w:rPr>
        <w:t xml:space="preserve">of global trade flows is underway. </w:t>
      </w:r>
      <w:bookmarkEnd w:id="8"/>
      <w:r w:rsidRPr="00B669CB" w:rsidDel="001A4E8A">
        <w:rPr>
          <w:noProof/>
          <w:color w:val="000000" w:themeColor="text1"/>
          <w:lang w:val="en-IE"/>
        </w:rPr>
        <w:t xml:space="preserve">In 2021-2024, </w:t>
      </w:r>
      <w:r w:rsidR="003C656F" w:rsidRPr="00B669CB">
        <w:rPr>
          <w:noProof/>
          <w:color w:val="000000" w:themeColor="text1"/>
          <w:lang w:val="en-IE"/>
        </w:rPr>
        <w:t xml:space="preserve">EU </w:t>
      </w:r>
      <w:r w:rsidRPr="00B669CB" w:rsidDel="001A4E8A">
        <w:rPr>
          <w:noProof/>
          <w:color w:val="000000" w:themeColor="text1"/>
          <w:lang w:val="en-IE"/>
        </w:rPr>
        <w:t>t</w:t>
      </w:r>
      <w:r w:rsidRPr="00B669CB">
        <w:rPr>
          <w:noProof/>
          <w:color w:val="000000" w:themeColor="text1"/>
          <w:lang w:val="en-IE"/>
        </w:rPr>
        <w:t xml:space="preserve">rade with </w:t>
      </w:r>
      <w:r w:rsidR="00467F05" w:rsidRPr="00B669CB">
        <w:rPr>
          <w:noProof/>
          <w:color w:val="000000" w:themeColor="text1"/>
          <w:lang w:val="en-IE"/>
        </w:rPr>
        <w:t xml:space="preserve">countries </w:t>
      </w:r>
      <w:r w:rsidR="005D7B89" w:rsidRPr="005B4F13">
        <w:rPr>
          <w:noProof/>
          <w:color w:val="000000" w:themeColor="text1"/>
          <w:lang w:val="en-IE"/>
        </w:rPr>
        <w:t xml:space="preserve">outside </w:t>
      </w:r>
      <w:r w:rsidR="00467F05" w:rsidRPr="00B669CB">
        <w:rPr>
          <w:noProof/>
          <w:color w:val="000000" w:themeColor="text1"/>
          <w:lang w:val="en-IE"/>
        </w:rPr>
        <w:t xml:space="preserve">EU </w:t>
      </w:r>
      <w:r w:rsidRPr="00B669CB">
        <w:rPr>
          <w:noProof/>
          <w:color w:val="000000" w:themeColor="text1"/>
          <w:lang w:val="en-IE"/>
        </w:rPr>
        <w:t>free</w:t>
      </w:r>
      <w:r w:rsidR="009C692C" w:rsidRPr="00B669CB">
        <w:rPr>
          <w:noProof/>
          <w:color w:val="000000" w:themeColor="text1"/>
          <w:lang w:val="en-IE"/>
        </w:rPr>
        <w:t xml:space="preserve"> </w:t>
      </w:r>
      <w:r w:rsidRPr="00B669CB">
        <w:rPr>
          <w:noProof/>
          <w:color w:val="000000" w:themeColor="text1"/>
          <w:lang w:val="en-IE"/>
        </w:rPr>
        <w:t>trade</w:t>
      </w:r>
      <w:r w:rsidR="009C692C" w:rsidRPr="00B669CB">
        <w:rPr>
          <w:noProof/>
          <w:color w:val="000000" w:themeColor="text1"/>
          <w:lang w:val="en-IE"/>
        </w:rPr>
        <w:t xml:space="preserve"> </w:t>
      </w:r>
      <w:r w:rsidRPr="00B669CB">
        <w:rPr>
          <w:noProof/>
          <w:color w:val="000000" w:themeColor="text1"/>
          <w:lang w:val="en-IE"/>
        </w:rPr>
        <w:t>agreement</w:t>
      </w:r>
      <w:r w:rsidR="00467F05" w:rsidRPr="00B669CB">
        <w:rPr>
          <w:noProof/>
          <w:color w:val="000000" w:themeColor="text1"/>
          <w:lang w:val="en-IE"/>
        </w:rPr>
        <w:t>s</w:t>
      </w:r>
      <w:r w:rsidRPr="00B669CB">
        <w:rPr>
          <w:noProof/>
          <w:color w:val="000000" w:themeColor="text1"/>
          <w:lang w:val="en-IE"/>
        </w:rPr>
        <w:t xml:space="preserve"> dropped by 2.3 percentage points, compensated </w:t>
      </w:r>
      <w:r w:rsidR="008230A4" w:rsidRPr="00B669CB">
        <w:rPr>
          <w:noProof/>
          <w:color w:val="000000" w:themeColor="text1"/>
          <w:lang w:val="en-IE"/>
        </w:rPr>
        <w:t xml:space="preserve">for </w:t>
      </w:r>
      <w:r w:rsidRPr="00B669CB">
        <w:rPr>
          <w:noProof/>
          <w:color w:val="000000" w:themeColor="text1"/>
          <w:lang w:val="en-IE"/>
        </w:rPr>
        <w:t xml:space="preserve">by sourcing </w:t>
      </w:r>
      <w:r w:rsidR="00AC727D" w:rsidRPr="00B669CB">
        <w:rPr>
          <w:noProof/>
          <w:color w:val="000000" w:themeColor="text1"/>
          <w:lang w:val="en-IE"/>
        </w:rPr>
        <w:t>with</w:t>
      </w:r>
      <w:r w:rsidRPr="00B669CB">
        <w:rPr>
          <w:noProof/>
          <w:color w:val="000000" w:themeColor="text1"/>
          <w:lang w:val="en-IE"/>
        </w:rPr>
        <w:t xml:space="preserve">in the EU increasing by 1.3 percentage points and trade with </w:t>
      </w:r>
      <w:r w:rsidR="00B61DC6" w:rsidRPr="00B669CB">
        <w:rPr>
          <w:noProof/>
          <w:color w:val="000000" w:themeColor="text1"/>
          <w:lang w:val="en-IE"/>
        </w:rPr>
        <w:t>EU fr</w:t>
      </w:r>
      <w:r w:rsidR="0098050B" w:rsidRPr="00B669CB">
        <w:rPr>
          <w:noProof/>
          <w:color w:val="000000" w:themeColor="text1"/>
          <w:lang w:val="en-IE"/>
        </w:rPr>
        <w:t>ee-trade-</w:t>
      </w:r>
      <w:r w:rsidR="00772A23" w:rsidRPr="00B669CB">
        <w:rPr>
          <w:noProof/>
          <w:color w:val="000000" w:themeColor="text1"/>
          <w:lang w:val="en-IE"/>
        </w:rPr>
        <w:t>agreement</w:t>
      </w:r>
      <w:r w:rsidRPr="00B669CB">
        <w:rPr>
          <w:noProof/>
          <w:color w:val="000000" w:themeColor="text1"/>
          <w:lang w:val="en-IE"/>
        </w:rPr>
        <w:t xml:space="preserve"> partners, both near and far, increasing by 1 percentage point</w:t>
      </w:r>
      <w:r w:rsidRPr="00B669CB">
        <w:rPr>
          <w:rStyle w:val="FootnoteReference"/>
          <w:noProof/>
          <w:color w:val="000000" w:themeColor="text1"/>
          <w:lang w:val="en-IE"/>
        </w:rPr>
        <w:footnoteReference w:id="59"/>
      </w:r>
      <w:r w:rsidRPr="00B669CB">
        <w:rPr>
          <w:noProof/>
          <w:color w:val="000000" w:themeColor="text1"/>
          <w:lang w:val="en-IE"/>
        </w:rPr>
        <w:t xml:space="preserve">. </w:t>
      </w:r>
      <w:r w:rsidR="00B90946" w:rsidRPr="00B669CB">
        <w:rPr>
          <w:noProof/>
          <w:color w:val="000000" w:themeColor="text1"/>
          <w:lang w:val="en-IE"/>
        </w:rPr>
        <w:t>Global trade flows show</w:t>
      </w:r>
      <w:r w:rsidR="00BA5B46" w:rsidRPr="00B669CB">
        <w:rPr>
          <w:noProof/>
          <w:color w:val="000000" w:themeColor="text1"/>
          <w:lang w:val="en-IE"/>
        </w:rPr>
        <w:t xml:space="preserve"> similar</w:t>
      </w:r>
      <w:r w:rsidR="00771603" w:rsidRPr="00B669CB">
        <w:rPr>
          <w:noProof/>
          <w:color w:val="000000" w:themeColor="text1"/>
          <w:lang w:val="en-IE"/>
        </w:rPr>
        <w:t xml:space="preserve"> </w:t>
      </w:r>
      <w:r w:rsidR="00F06C39" w:rsidRPr="00B669CB">
        <w:rPr>
          <w:noProof/>
          <w:color w:val="000000" w:themeColor="text1"/>
          <w:lang w:val="en-IE"/>
        </w:rPr>
        <w:t xml:space="preserve">patterns with </w:t>
      </w:r>
      <w:r w:rsidR="005B74EA" w:rsidRPr="00B669CB">
        <w:rPr>
          <w:noProof/>
          <w:color w:val="000000" w:themeColor="text1"/>
          <w:lang w:val="en-IE"/>
        </w:rPr>
        <w:t>re-allocation according to geopolitical blocks</w:t>
      </w:r>
      <w:r w:rsidR="004F4DE4" w:rsidRPr="00B669CB">
        <w:rPr>
          <w:rStyle w:val="FootnoteReference"/>
          <w:rFonts w:eastAsia="Aptos"/>
          <w:noProof/>
          <w:lang w:val="en-IE"/>
        </w:rPr>
        <w:footnoteReference w:id="60"/>
      </w:r>
      <w:r w:rsidR="004F4DE4" w:rsidRPr="00B669CB">
        <w:rPr>
          <w:noProof/>
          <w:color w:val="000000" w:themeColor="text1"/>
          <w:lang w:val="en-IE"/>
        </w:rPr>
        <w:t>.</w:t>
      </w:r>
      <w:r w:rsidR="004F4DE4">
        <w:rPr>
          <w:noProof/>
          <w:color w:val="000000" w:themeColor="text1"/>
          <w:lang w:val="en-IE"/>
        </w:rPr>
        <w:t xml:space="preserve"> </w:t>
      </w:r>
    </w:p>
    <w:p w14:paraId="719D7D8F" w14:textId="0A0E74EA" w:rsidR="00DD0DC9" w:rsidRPr="00DD0DC9" w:rsidRDefault="00DD0DC9" w:rsidP="00DD0DC9">
      <w:pPr>
        <w:pStyle w:val="Text1"/>
        <w:widowControl w:val="0"/>
        <w:spacing w:after="160"/>
        <w:ind w:left="0"/>
        <w:rPr>
          <w:noProof/>
          <w:color w:val="000000" w:themeColor="text1"/>
          <w:lang w:val="en-IE"/>
        </w:rPr>
      </w:pPr>
      <w:r w:rsidRPr="006C3FA6">
        <w:rPr>
          <w:b/>
          <w:noProof/>
          <w:color w:val="000000" w:themeColor="text1"/>
          <w:lang w:val="en-IE"/>
        </w:rPr>
        <w:t xml:space="preserve">After a long period of growing trade integration with the rest of the world there are </w:t>
      </w:r>
      <w:r w:rsidR="00AC727D" w:rsidRPr="006C3FA6">
        <w:rPr>
          <w:b/>
          <w:noProof/>
          <w:color w:val="000000" w:themeColor="text1"/>
          <w:lang w:val="en-IE"/>
        </w:rPr>
        <w:t xml:space="preserve">now </w:t>
      </w:r>
      <w:r w:rsidRPr="006C3FA6">
        <w:rPr>
          <w:b/>
          <w:noProof/>
          <w:color w:val="000000" w:themeColor="text1"/>
          <w:lang w:val="en-IE"/>
        </w:rPr>
        <w:t xml:space="preserve">signals pointing to a slow-down or even a reversal of this </w:t>
      </w:r>
      <w:r w:rsidRPr="00B669CB">
        <w:rPr>
          <w:b/>
          <w:noProof/>
          <w:color w:val="000000" w:themeColor="text1"/>
          <w:lang w:val="en-IE"/>
        </w:rPr>
        <w:t xml:space="preserve">trend. </w:t>
      </w:r>
      <w:r w:rsidRPr="00B669CB">
        <w:rPr>
          <w:noProof/>
          <w:color w:val="000000" w:themeColor="text1"/>
          <w:lang w:val="en-IE"/>
        </w:rPr>
        <w:t xml:space="preserve">EU trade in goods with the rest of the world </w:t>
      </w:r>
      <w:r w:rsidR="00EB5ADA" w:rsidRPr="00B669CB">
        <w:rPr>
          <w:noProof/>
          <w:color w:val="000000" w:themeColor="text1"/>
          <w:lang w:val="en-IE"/>
        </w:rPr>
        <w:t>(average of imports and exports</w:t>
      </w:r>
      <w:r w:rsidR="006E2BB2" w:rsidRPr="00B669CB">
        <w:rPr>
          <w:noProof/>
          <w:color w:val="000000" w:themeColor="text1"/>
          <w:lang w:val="en-IE"/>
        </w:rPr>
        <w:t xml:space="preserve"> as a share of GDP</w:t>
      </w:r>
      <w:r w:rsidR="00EB5ADA" w:rsidRPr="00B669CB">
        <w:rPr>
          <w:noProof/>
          <w:color w:val="000000" w:themeColor="text1"/>
          <w:lang w:val="en-IE"/>
        </w:rPr>
        <w:t xml:space="preserve">) </w:t>
      </w:r>
      <w:r w:rsidRPr="00B669CB">
        <w:rPr>
          <w:noProof/>
          <w:color w:val="000000" w:themeColor="text1"/>
          <w:lang w:val="en-IE"/>
        </w:rPr>
        <w:t>continues</w:t>
      </w:r>
      <w:r w:rsidRPr="006C3FA6">
        <w:rPr>
          <w:noProof/>
          <w:color w:val="000000" w:themeColor="text1"/>
          <w:lang w:val="en-IE"/>
        </w:rPr>
        <w:t xml:space="preserve"> to </w:t>
      </w:r>
      <w:r w:rsidR="00BE1C0A" w:rsidRPr="006C3FA6">
        <w:rPr>
          <w:noProof/>
          <w:color w:val="000000" w:themeColor="text1"/>
          <w:lang w:val="en-IE"/>
        </w:rPr>
        <w:t>decline</w:t>
      </w:r>
      <w:r w:rsidRPr="006C3FA6">
        <w:rPr>
          <w:noProof/>
          <w:color w:val="000000" w:themeColor="text1"/>
          <w:lang w:val="en-IE"/>
        </w:rPr>
        <w:t xml:space="preserve"> for the second year in </w:t>
      </w:r>
      <w:r w:rsidR="00DC243B" w:rsidRPr="006C3FA6">
        <w:rPr>
          <w:noProof/>
          <w:color w:val="000000" w:themeColor="text1"/>
          <w:lang w:val="en-IE"/>
        </w:rPr>
        <w:t>a</w:t>
      </w:r>
      <w:r w:rsidRPr="006C3FA6">
        <w:rPr>
          <w:noProof/>
          <w:color w:val="000000" w:themeColor="text1"/>
          <w:lang w:val="en-IE"/>
        </w:rPr>
        <w:t xml:space="preserve"> row, corresponding to 13.9% of GDP</w:t>
      </w:r>
      <w:r w:rsidRPr="006C3FA6">
        <w:rPr>
          <w:rStyle w:val="FootnoteReference"/>
          <w:noProof/>
          <w:color w:val="000000" w:themeColor="text1"/>
          <w:lang w:val="en-IE"/>
        </w:rPr>
        <w:footnoteReference w:id="61"/>
      </w:r>
      <w:r w:rsidRPr="006C3FA6">
        <w:rPr>
          <w:noProof/>
          <w:color w:val="000000" w:themeColor="text1"/>
          <w:lang w:val="en-IE"/>
        </w:rPr>
        <w:t xml:space="preserve"> in 2024. While it can to some degree be attributed to energy price fluctuations, it </w:t>
      </w:r>
      <w:r w:rsidR="0073641B" w:rsidRPr="006C3FA6">
        <w:rPr>
          <w:noProof/>
          <w:color w:val="000000" w:themeColor="text1"/>
          <w:lang w:val="en-IE"/>
        </w:rPr>
        <w:t xml:space="preserve">also </w:t>
      </w:r>
      <w:r w:rsidRPr="006C3FA6">
        <w:rPr>
          <w:noProof/>
          <w:color w:val="000000" w:themeColor="text1"/>
          <w:lang w:val="en-IE"/>
        </w:rPr>
        <w:t>shows the trend of a deteriorating global trading climate. EU trade integration in services with the rest of the world has also slowed but remains on an increasing trajectory, reaching 8.1% of GDP in 2024</w:t>
      </w:r>
      <w:r w:rsidRPr="006C3FA6">
        <w:rPr>
          <w:rStyle w:val="FootnoteReference"/>
          <w:noProof/>
          <w:color w:val="000000" w:themeColor="text1"/>
          <w:lang w:val="en-IE"/>
        </w:rPr>
        <w:footnoteReference w:id="62"/>
      </w:r>
      <w:r w:rsidRPr="006C3FA6">
        <w:rPr>
          <w:noProof/>
          <w:color w:val="000000" w:themeColor="text1"/>
          <w:lang w:val="en-IE"/>
        </w:rPr>
        <w:t xml:space="preserve"> (KPI 2</w:t>
      </w:r>
      <w:r>
        <w:rPr>
          <w:noProof/>
          <w:color w:val="000000" w:themeColor="text1"/>
          <w:lang w:val="en-IE"/>
        </w:rPr>
        <w:t>6</w:t>
      </w:r>
      <w:r w:rsidRPr="006C3FA6">
        <w:rPr>
          <w:noProof/>
          <w:color w:val="000000" w:themeColor="text1"/>
          <w:lang w:val="en-IE"/>
        </w:rPr>
        <w:t>).</w:t>
      </w:r>
      <w:r w:rsidRPr="00DD0DC9">
        <w:rPr>
          <w:noProof/>
          <w:color w:val="000000" w:themeColor="text1"/>
          <w:lang w:val="en-IE"/>
        </w:rPr>
        <w:t xml:space="preserve"> </w:t>
      </w:r>
    </w:p>
    <w:p w14:paraId="41E6D7D3" w14:textId="44C96EB4" w:rsidR="00182431" w:rsidRDefault="00DD0DC9" w:rsidP="00DD0DC9">
      <w:pPr>
        <w:pStyle w:val="Text1"/>
        <w:widowControl w:val="0"/>
        <w:spacing w:after="160"/>
        <w:ind w:left="0"/>
        <w:rPr>
          <w:rFonts w:eastAsia="Aptos"/>
          <w:noProof/>
          <w:lang w:val="en-IE"/>
        </w:rPr>
      </w:pPr>
      <w:r w:rsidRPr="00DD0DC9">
        <w:rPr>
          <w:b/>
          <w:bCs/>
          <w:noProof/>
          <w:lang w:val="en-IE"/>
        </w:rPr>
        <w:t xml:space="preserve">The EU’s share </w:t>
      </w:r>
      <w:r w:rsidR="00AD7813">
        <w:rPr>
          <w:b/>
          <w:bCs/>
          <w:noProof/>
          <w:lang w:val="en-IE"/>
        </w:rPr>
        <w:t>of</w:t>
      </w:r>
      <w:r w:rsidRPr="00DD0DC9">
        <w:rPr>
          <w:b/>
          <w:bCs/>
          <w:noProof/>
          <w:lang w:val="en-IE"/>
        </w:rPr>
        <w:t xml:space="preserve"> global trade remains stable, but</w:t>
      </w:r>
      <w:r w:rsidRPr="00DD0DC9">
        <w:rPr>
          <w:b/>
          <w:noProof/>
          <w:lang w:val="en-IE"/>
        </w:rPr>
        <w:t xml:space="preserve"> </w:t>
      </w:r>
      <w:r w:rsidRPr="00DD0DC9">
        <w:rPr>
          <w:b/>
          <w:bCs/>
          <w:noProof/>
          <w:lang w:val="en-IE"/>
        </w:rPr>
        <w:t>pressure on manufacturing industry is building u</w:t>
      </w:r>
      <w:r w:rsidRPr="00B669CB">
        <w:rPr>
          <w:b/>
          <w:bCs/>
          <w:noProof/>
          <w:lang w:val="en-IE"/>
        </w:rPr>
        <w:t xml:space="preserve">p. </w:t>
      </w:r>
      <w:r w:rsidR="00D933AA" w:rsidRPr="00B669CB">
        <w:rPr>
          <w:noProof/>
          <w:lang w:val="en-IE"/>
        </w:rPr>
        <w:t xml:space="preserve">The most striking shift in trade dynamics over the past 25 years is that the previously EU-US centric landscape has shifted to a tri-polar one (see Figure 1 and 2). </w:t>
      </w:r>
      <w:r w:rsidRPr="00B669CB">
        <w:rPr>
          <w:noProof/>
          <w:lang w:val="en-IE"/>
        </w:rPr>
        <w:t xml:space="preserve">EU exports of goods </w:t>
      </w:r>
      <w:r w:rsidR="00D72991" w:rsidRPr="00B669CB">
        <w:rPr>
          <w:noProof/>
          <w:lang w:val="en-IE"/>
        </w:rPr>
        <w:t>account for 12.6%</w:t>
      </w:r>
      <w:r w:rsidRPr="00B669CB">
        <w:rPr>
          <w:noProof/>
          <w:lang w:val="en-IE"/>
        </w:rPr>
        <w:t xml:space="preserve"> of global imports, slightly above the levels of </w:t>
      </w:r>
      <w:r w:rsidR="00A041F3" w:rsidRPr="00B669CB">
        <w:rPr>
          <w:noProof/>
          <w:lang w:val="en-IE"/>
        </w:rPr>
        <w:t xml:space="preserve">10 </w:t>
      </w:r>
      <w:r w:rsidRPr="00B669CB">
        <w:rPr>
          <w:noProof/>
          <w:lang w:val="en-IE"/>
        </w:rPr>
        <w:t xml:space="preserve">years ago, showing remarkable resilience. </w:t>
      </w:r>
      <w:r w:rsidR="0005228F" w:rsidRPr="00B669CB">
        <w:rPr>
          <w:noProof/>
          <w:lang w:val="en-IE"/>
        </w:rPr>
        <w:t>Th</w:t>
      </w:r>
      <w:r w:rsidR="00C128AD" w:rsidRPr="00B669CB">
        <w:rPr>
          <w:noProof/>
          <w:lang w:val="en-IE"/>
        </w:rPr>
        <w:t xml:space="preserve">e </w:t>
      </w:r>
      <w:r w:rsidRPr="00B669CB">
        <w:rPr>
          <w:noProof/>
          <w:lang w:val="en-IE"/>
        </w:rPr>
        <w:t>EU</w:t>
      </w:r>
      <w:r w:rsidR="00C128AD" w:rsidRPr="00B669CB">
        <w:rPr>
          <w:noProof/>
          <w:lang w:val="en-IE"/>
        </w:rPr>
        <w:t>’s</w:t>
      </w:r>
      <w:r w:rsidRPr="00B669CB">
        <w:rPr>
          <w:noProof/>
          <w:lang w:val="en-IE"/>
        </w:rPr>
        <w:t xml:space="preserve"> trade balance in goods has swung back into surplus territory, after a drop related to energy price volatility. However, EU industry is coming under mounting pressure </w:t>
      </w:r>
      <w:r w:rsidR="00A21A48" w:rsidRPr="00B669CB">
        <w:rPr>
          <w:noProof/>
          <w:lang w:val="en-IE"/>
        </w:rPr>
        <w:t>from</w:t>
      </w:r>
      <w:r w:rsidR="00EF61A9" w:rsidRPr="00B669CB">
        <w:rPr>
          <w:noProof/>
          <w:lang w:val="en-IE"/>
        </w:rPr>
        <w:t xml:space="preserve"> </w:t>
      </w:r>
      <w:r w:rsidR="000A39CA" w:rsidRPr="00B669CB">
        <w:rPr>
          <w:noProof/>
          <w:lang w:val="en-IE"/>
        </w:rPr>
        <w:t>global</w:t>
      </w:r>
      <w:r w:rsidRPr="00B669CB">
        <w:rPr>
          <w:noProof/>
          <w:lang w:val="en-IE"/>
        </w:rPr>
        <w:t xml:space="preserve"> competition fuelled by overcapacities in </w:t>
      </w:r>
      <w:r w:rsidR="00F84778" w:rsidRPr="005B4F13">
        <w:rPr>
          <w:noProof/>
          <w:lang w:val="en-IE"/>
        </w:rPr>
        <w:t>certain third countries</w:t>
      </w:r>
      <w:r w:rsidRPr="00B669CB">
        <w:rPr>
          <w:noProof/>
          <w:lang w:val="en-IE"/>
        </w:rPr>
        <w:t>, in many cases supported by state subsidies</w:t>
      </w:r>
      <w:r w:rsidR="009374FF" w:rsidRPr="00B669CB">
        <w:rPr>
          <w:rStyle w:val="FootnoteReference"/>
          <w:noProof/>
          <w:lang w:val="en-IE"/>
        </w:rPr>
        <w:footnoteReference w:id="63"/>
      </w:r>
      <w:r w:rsidR="00EB5775" w:rsidRPr="00B669CB">
        <w:rPr>
          <w:noProof/>
          <w:lang w:val="en-IE"/>
        </w:rPr>
        <w:t>,</w:t>
      </w:r>
      <w:r w:rsidR="00193301" w:rsidRPr="005B4F13">
        <w:rPr>
          <w:noProof/>
          <w:lang w:val="en-IE"/>
        </w:rPr>
        <w:t xml:space="preserve"> as well as from third country tariffs</w:t>
      </w:r>
      <w:r w:rsidRPr="00B669CB">
        <w:rPr>
          <w:noProof/>
          <w:lang w:val="en-IE"/>
        </w:rPr>
        <w:t>. This is particularly the case for energy intensive industries, where the EU trade balance has steadily declined</w:t>
      </w:r>
      <w:r w:rsidRPr="00B669CB">
        <w:rPr>
          <w:rStyle w:val="FootnoteReference"/>
          <w:noProof/>
          <w:lang w:val="en-IE"/>
        </w:rPr>
        <w:footnoteReference w:id="64"/>
      </w:r>
      <w:r w:rsidRPr="00B669CB">
        <w:rPr>
          <w:noProof/>
          <w:lang w:val="en-IE"/>
        </w:rPr>
        <w:t xml:space="preserve">. The depreciation of important international currencies over the past year adds further competitive pressure. For exports of services, the outlook is more encouraging, </w:t>
      </w:r>
      <w:r w:rsidR="00590A27" w:rsidRPr="00B669CB">
        <w:rPr>
          <w:noProof/>
          <w:lang w:val="en-IE"/>
        </w:rPr>
        <w:t xml:space="preserve">despite a small decline </w:t>
      </w:r>
      <w:r w:rsidR="00FE6C81" w:rsidRPr="00B669CB">
        <w:rPr>
          <w:noProof/>
          <w:lang w:val="en-IE"/>
        </w:rPr>
        <w:t>over the last year, with</w:t>
      </w:r>
      <w:r w:rsidR="00293C47" w:rsidRPr="00B669CB">
        <w:rPr>
          <w:noProof/>
          <w:lang w:val="en-IE"/>
        </w:rPr>
        <w:t xml:space="preserve"> </w:t>
      </w:r>
      <w:r w:rsidRPr="00B669CB">
        <w:rPr>
          <w:noProof/>
          <w:lang w:val="en-IE"/>
        </w:rPr>
        <w:t xml:space="preserve">the past </w:t>
      </w:r>
      <w:r w:rsidR="00046D23" w:rsidRPr="00B669CB">
        <w:rPr>
          <w:noProof/>
          <w:lang w:val="en-IE"/>
        </w:rPr>
        <w:t>five</w:t>
      </w:r>
      <w:r w:rsidR="004F61BF" w:rsidRPr="00B669CB">
        <w:rPr>
          <w:noProof/>
          <w:lang w:val="en-IE"/>
        </w:rPr>
        <w:t xml:space="preserve"> </w:t>
      </w:r>
      <w:r w:rsidRPr="00B669CB">
        <w:rPr>
          <w:noProof/>
          <w:lang w:val="en-IE"/>
        </w:rPr>
        <w:t>years having seen the EU’s market share grow to reach 25% of global trade in services (KPI 2</w:t>
      </w:r>
      <w:r>
        <w:rPr>
          <w:noProof/>
          <w:lang w:val="en-IE"/>
        </w:rPr>
        <w:t>7</w:t>
      </w:r>
      <w:r w:rsidRPr="00B669CB">
        <w:rPr>
          <w:noProof/>
          <w:lang w:val="en-IE"/>
        </w:rPr>
        <w:t xml:space="preserve">). </w:t>
      </w:r>
      <w:r w:rsidR="00DB2017">
        <w:rPr>
          <w:noProof/>
          <w:lang w:val="en-IE"/>
        </w:rPr>
        <w:t xml:space="preserve">The </w:t>
      </w:r>
      <w:r w:rsidR="00263E43">
        <w:rPr>
          <w:noProof/>
          <w:lang w:val="en-IE"/>
        </w:rPr>
        <w:t>I</w:t>
      </w:r>
      <w:r w:rsidR="00DB2017">
        <w:rPr>
          <w:noProof/>
          <w:lang w:val="en-IE"/>
        </w:rPr>
        <w:t xml:space="preserve">ndustrial </w:t>
      </w:r>
      <w:r w:rsidR="00263E43">
        <w:rPr>
          <w:noProof/>
          <w:lang w:val="en-IE"/>
        </w:rPr>
        <w:t>A</w:t>
      </w:r>
      <w:r w:rsidR="00DB2017">
        <w:rPr>
          <w:noProof/>
          <w:lang w:val="en-IE"/>
        </w:rPr>
        <w:t xml:space="preserve">ccelerator </w:t>
      </w:r>
      <w:r w:rsidR="00263E43">
        <w:rPr>
          <w:noProof/>
          <w:lang w:val="en-IE"/>
        </w:rPr>
        <w:t>A</w:t>
      </w:r>
      <w:r w:rsidR="00DB2017">
        <w:rPr>
          <w:noProof/>
          <w:lang w:val="en-IE"/>
        </w:rPr>
        <w:t>ct will create lead markets for manufacturing in Europe to foster the EU resilience and safeguard quality jobs.</w:t>
      </w:r>
    </w:p>
    <w:tbl>
      <w:tblPr>
        <w:tblStyle w:val="TableGrid"/>
        <w:tblW w:w="0" w:type="auto"/>
        <w:tblLook w:val="04A0" w:firstRow="1" w:lastRow="0" w:firstColumn="1" w:lastColumn="0" w:noHBand="0" w:noVBand="1"/>
      </w:tblPr>
      <w:tblGrid>
        <w:gridCol w:w="4531"/>
        <w:gridCol w:w="4531"/>
      </w:tblGrid>
      <w:tr w:rsidR="006E440B" w:rsidRPr="00DD0DC9" w14:paraId="19BF448D" w14:textId="77777777">
        <w:trPr>
          <w:cantSplit/>
        </w:trPr>
        <w:tc>
          <w:tcPr>
            <w:tcW w:w="4531" w:type="dxa"/>
          </w:tcPr>
          <w:p w14:paraId="355AD38E" w14:textId="77777777" w:rsidR="006E440B" w:rsidRPr="00DD0DC9" w:rsidRDefault="006E440B">
            <w:pPr>
              <w:pStyle w:val="Text1"/>
              <w:keepLines/>
              <w:spacing w:after="160"/>
              <w:ind w:left="0"/>
              <w:rPr>
                <w:noProof/>
                <w:lang w:val="en-IE"/>
              </w:rPr>
            </w:pPr>
            <w:r w:rsidRPr="00DD0DC9">
              <w:rPr>
                <w:b/>
                <w:noProof/>
                <w:lang w:val="en-IE"/>
              </w:rPr>
              <w:t>Figure 1:</w:t>
            </w:r>
            <w:r w:rsidRPr="00DD0DC9">
              <w:rPr>
                <w:noProof/>
                <w:lang w:val="en-IE"/>
              </w:rPr>
              <w:t xml:space="preserve"> Top 30 trading countries in 2000 and the weight of trade flows </w:t>
            </w:r>
            <w:r>
              <w:rPr>
                <w:noProof/>
                <w:lang w:val="en-IE"/>
              </w:rPr>
              <w:t xml:space="preserve">in goods </w:t>
            </w:r>
            <w:r w:rsidRPr="00DD0DC9">
              <w:rPr>
                <w:noProof/>
                <w:lang w:val="en-IE"/>
              </w:rPr>
              <w:t>between them.</w:t>
            </w:r>
          </w:p>
          <w:p w14:paraId="7872C520" w14:textId="77777777" w:rsidR="006E440B" w:rsidRPr="00DD0DC9" w:rsidRDefault="006E440B">
            <w:pPr>
              <w:pStyle w:val="Text1"/>
              <w:keepLines/>
              <w:spacing w:after="160"/>
              <w:ind w:left="0"/>
              <w:jc w:val="center"/>
              <w:rPr>
                <w:rFonts w:eastAsia="Aptos"/>
                <w:noProof/>
                <w:lang w:val="en-IE"/>
              </w:rPr>
            </w:pPr>
            <w:r w:rsidRPr="00DD0DC9">
              <w:rPr>
                <w:noProof/>
                <w:lang w:eastAsia="en-GB"/>
              </w:rPr>
              <w:drawing>
                <wp:inline distT="0" distB="0" distL="0" distR="0" wp14:anchorId="1432D2D6" wp14:editId="53AC8A4D">
                  <wp:extent cx="2437196" cy="2480235"/>
                  <wp:effectExtent l="0" t="0" r="1270" b="0"/>
                  <wp:docPr id="857291200" name="Picture 1" descr="A network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1200" name="Picture 1" descr="A network diagram of a network&#10;&#10;AI-generated content may be incorrect."/>
                          <pic:cNvPicPr>
                            <a:picLocks noChangeAspect="1" noChangeArrowheads="1"/>
                          </pic:cNvPicPr>
                        </pic:nvPicPr>
                        <pic:blipFill rotWithShape="1">
                          <a:blip r:embed="rId18" r:link="rId19" cstate="print">
                            <a:extLst>
                              <a:ext uri="{28A0092B-C50C-407E-A947-70E740481C1C}">
                                <a14:useLocalDpi xmlns:a14="http://schemas.microsoft.com/office/drawing/2010/main" val="0"/>
                              </a:ext>
                            </a:extLst>
                          </a:blip>
                          <a:srcRect/>
                          <a:stretch/>
                        </pic:blipFill>
                        <pic:spPr bwMode="auto">
                          <a:xfrm>
                            <a:off x="0" y="0"/>
                            <a:ext cx="2456816" cy="25002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660154F5" w14:textId="77777777" w:rsidR="006E440B" w:rsidRPr="00DD0DC9" w:rsidRDefault="006E440B">
            <w:pPr>
              <w:pStyle w:val="Text1"/>
              <w:keepLines/>
              <w:spacing w:after="160"/>
              <w:ind w:left="0"/>
              <w:rPr>
                <w:noProof/>
                <w:lang w:val="en-IE"/>
              </w:rPr>
            </w:pPr>
            <w:r w:rsidRPr="00DD0DC9">
              <w:rPr>
                <w:b/>
                <w:noProof/>
                <w:lang w:val="en-IE"/>
              </w:rPr>
              <w:t>Figure 2:</w:t>
            </w:r>
            <w:r w:rsidRPr="00DD0DC9">
              <w:rPr>
                <w:noProof/>
                <w:lang w:val="en-IE"/>
              </w:rPr>
              <w:t xml:space="preserve"> Top 30 trading countries </w:t>
            </w:r>
            <w:r>
              <w:rPr>
                <w:noProof/>
                <w:lang w:val="en-IE"/>
              </w:rPr>
              <w:t xml:space="preserve">in </w:t>
            </w:r>
            <w:r w:rsidRPr="00DD0DC9">
              <w:rPr>
                <w:noProof/>
                <w:lang w:val="en-IE"/>
              </w:rPr>
              <w:t xml:space="preserve">2023 and the weight of trade flows </w:t>
            </w:r>
            <w:r>
              <w:rPr>
                <w:noProof/>
                <w:lang w:val="en-IE"/>
              </w:rPr>
              <w:t xml:space="preserve">in goods </w:t>
            </w:r>
            <w:r w:rsidRPr="00DD0DC9">
              <w:rPr>
                <w:noProof/>
                <w:lang w:val="en-IE"/>
              </w:rPr>
              <w:t>between them.</w:t>
            </w:r>
          </w:p>
          <w:p w14:paraId="5C25306A" w14:textId="77777777" w:rsidR="006E440B" w:rsidRPr="00DD0DC9" w:rsidRDefault="006E440B">
            <w:pPr>
              <w:pStyle w:val="Text1"/>
              <w:keepLines/>
              <w:spacing w:after="160"/>
              <w:ind w:left="0"/>
              <w:jc w:val="center"/>
              <w:rPr>
                <w:rFonts w:eastAsia="Aptos"/>
                <w:noProof/>
                <w:lang w:val="en-IE"/>
              </w:rPr>
            </w:pPr>
            <w:r>
              <w:rPr>
                <w:noProof/>
                <w:lang w:eastAsia="en-GB"/>
              </w:rPr>
              <w:drawing>
                <wp:inline distT="0" distB="0" distL="0" distR="0" wp14:anchorId="2E6DCA2E" wp14:editId="3FDDE328">
                  <wp:extent cx="2665505" cy="2485134"/>
                  <wp:effectExtent l="0" t="0" r="1905" b="0"/>
                  <wp:docPr id="133398075" name="Picture 1" descr="A network of blue dots and blue circles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8075" name="Picture 1" descr="A network of blue dots and blue circles with blue dots&#10;&#10;AI-generated content may be incorrect."/>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686370" cy="2504587"/>
                          </a:xfrm>
                          <a:prstGeom prst="rect">
                            <a:avLst/>
                          </a:prstGeom>
                          <a:noFill/>
                          <a:ln>
                            <a:noFill/>
                          </a:ln>
                        </pic:spPr>
                      </pic:pic>
                    </a:graphicData>
                  </a:graphic>
                </wp:inline>
              </w:drawing>
            </w:r>
          </w:p>
        </w:tc>
      </w:tr>
      <w:tr w:rsidR="006E440B" w:rsidRPr="009E1879" w14:paraId="26EAAE70" w14:textId="77777777">
        <w:trPr>
          <w:cantSplit/>
        </w:trPr>
        <w:tc>
          <w:tcPr>
            <w:tcW w:w="9062" w:type="dxa"/>
            <w:gridSpan w:val="2"/>
          </w:tcPr>
          <w:p w14:paraId="59B59A3B" w14:textId="77777777" w:rsidR="006E440B" w:rsidRPr="00DD0DC9" w:rsidRDefault="006E440B">
            <w:pPr>
              <w:pStyle w:val="Text1"/>
              <w:keepLines/>
              <w:ind w:left="0"/>
              <w:rPr>
                <w:noProof/>
                <w:lang w:val="en-IE"/>
              </w:rPr>
            </w:pPr>
            <w:r w:rsidRPr="00DD0DC9">
              <w:rPr>
                <w:noProof/>
                <w:sz w:val="18"/>
                <w:szCs w:val="18"/>
                <w:lang w:val="en-IE"/>
              </w:rPr>
              <w:t>Source: European Commission services (DG GROW Chief Economist Team) calculations based on the CEPII-BACI database (2023)</w:t>
            </w:r>
          </w:p>
        </w:tc>
      </w:tr>
    </w:tbl>
    <w:p w14:paraId="2AEF8B68" w14:textId="77777777" w:rsidR="00C17DE5" w:rsidRDefault="00C17DE5" w:rsidP="00DD0DC9">
      <w:pPr>
        <w:widowControl w:val="0"/>
        <w:jc w:val="both"/>
        <w:rPr>
          <w:rFonts w:ascii="Times New Roman" w:eastAsia="Aptos" w:hAnsi="Times New Roman" w:cs="Times New Roman"/>
          <w:noProof/>
          <w:sz w:val="24"/>
          <w:szCs w:val="24"/>
          <w:lang w:val="en-IE"/>
        </w:rPr>
      </w:pPr>
      <w:r>
        <w:rPr>
          <w:rFonts w:ascii="Times New Roman" w:eastAsia="Aptos" w:hAnsi="Times New Roman" w:cs="Times New Roman"/>
          <w:b/>
          <w:noProof/>
          <w:sz w:val="24"/>
          <w:szCs w:val="24"/>
          <w:lang w:val="en-IE"/>
        </w:rPr>
        <w:t>Europe’s share of global incoming foreign direct investment (FDI) has dropped sharply</w:t>
      </w:r>
      <w:r>
        <w:rPr>
          <w:rFonts w:ascii="Times New Roman" w:eastAsia="Aptos" w:hAnsi="Times New Roman" w:cs="Times New Roman"/>
          <w:b/>
          <w:bCs/>
          <w:noProof/>
          <w:sz w:val="24"/>
          <w:szCs w:val="24"/>
          <w:lang w:val="en-IE"/>
        </w:rPr>
        <w:t>.</w:t>
      </w:r>
      <w:r>
        <w:rPr>
          <w:rFonts w:ascii="Times New Roman" w:eastAsia="Aptos" w:hAnsi="Times New Roman" w:cs="Times New Roman"/>
          <w:b/>
          <w:noProof/>
          <w:sz w:val="24"/>
          <w:szCs w:val="24"/>
          <w:lang w:val="en-IE"/>
        </w:rPr>
        <w:t xml:space="preserve"> </w:t>
      </w:r>
      <w:r>
        <w:rPr>
          <w:rFonts w:ascii="Times New Roman" w:hAnsi="Times New Roman" w:cs="Times New Roman"/>
          <w:noProof/>
          <w:sz w:val="24"/>
          <w:szCs w:val="24"/>
          <w:lang w:val="en-IE"/>
        </w:rPr>
        <w:t>The EU is a welcoming and predictable location for foreign investment and a traditional haven for FDI with the world’s second largest stocks. Nevertheless, the EU’s share of world FDI inflows has receded sharply to 14%, from its peak at 27% seven years ago, against a backdrop of a weaker economic outlook and heightened economic uncertainty in past years</w:t>
      </w:r>
      <w:r>
        <w:rPr>
          <w:rStyle w:val="FootnoteReference"/>
          <w:rFonts w:ascii="Times New Roman" w:hAnsi="Times New Roman" w:cs="Times New Roman"/>
          <w:noProof/>
          <w:sz w:val="24"/>
          <w:szCs w:val="24"/>
          <w:lang w:val="en-IE"/>
        </w:rPr>
        <w:footnoteReference w:id="65"/>
      </w:r>
      <w:r>
        <w:rPr>
          <w:rFonts w:ascii="Times New Roman" w:eastAsia="Aptos" w:hAnsi="Times New Roman" w:cs="Times New Roman"/>
          <w:noProof/>
          <w:sz w:val="24"/>
          <w:szCs w:val="24"/>
          <w:lang w:val="en-IE"/>
        </w:rPr>
        <w:t xml:space="preserve">. FDI generally enables improved competitiveness, technology transfer and the creation of local value. At the same time, there have been noticeable examples of FDI failing to generate these benefits and posing risks to the EU’s economic security. </w:t>
      </w:r>
    </w:p>
    <w:p w14:paraId="2A7DFE83" w14:textId="3613A6B7" w:rsidR="00DD0DC9" w:rsidRPr="00DD0DC9" w:rsidRDefault="00DD0DC9" w:rsidP="00A046B8">
      <w:pPr>
        <w:jc w:val="both"/>
        <w:rPr>
          <w:rFonts w:ascii="Times New Roman" w:eastAsia="Aptos" w:hAnsi="Times New Roman" w:cs="Times New Roman"/>
          <w:noProof/>
          <w:sz w:val="24"/>
          <w:szCs w:val="24"/>
          <w:lang w:val="en-IE"/>
        </w:rPr>
      </w:pPr>
      <w:r w:rsidRPr="00DD0DC9" w:rsidDel="00A066E5">
        <w:rPr>
          <w:rFonts w:ascii="Times New Roman" w:eastAsia="Aptos" w:hAnsi="Times New Roman" w:cs="Times New Roman"/>
          <w:b/>
          <w:bCs/>
          <w:noProof/>
          <w:sz w:val="24"/>
          <w:szCs w:val="24"/>
          <w:lang w:val="en-IE"/>
        </w:rPr>
        <w:t xml:space="preserve">The EU is </w:t>
      </w:r>
      <w:r w:rsidRPr="00DD0DC9" w:rsidDel="00AB3055">
        <w:rPr>
          <w:rFonts w:ascii="Times New Roman" w:eastAsia="Aptos" w:hAnsi="Times New Roman" w:cs="Times New Roman"/>
          <w:b/>
          <w:bCs/>
          <w:noProof/>
          <w:sz w:val="24"/>
          <w:szCs w:val="24"/>
          <w:lang w:val="en-IE"/>
        </w:rPr>
        <w:t xml:space="preserve">deepening partnerships across the globe </w:t>
      </w:r>
      <w:r w:rsidRPr="00DD0DC9" w:rsidDel="0030206C">
        <w:rPr>
          <w:rFonts w:ascii="Times New Roman" w:eastAsia="Aptos" w:hAnsi="Times New Roman" w:cs="Times New Roman"/>
          <w:b/>
          <w:bCs/>
          <w:noProof/>
          <w:sz w:val="24"/>
          <w:szCs w:val="24"/>
          <w:lang w:val="en-IE"/>
        </w:rPr>
        <w:t xml:space="preserve">to </w:t>
      </w:r>
      <w:r w:rsidR="00DB2017">
        <w:rPr>
          <w:rFonts w:ascii="Times New Roman" w:eastAsia="Aptos" w:hAnsi="Times New Roman" w:cs="Times New Roman"/>
          <w:b/>
          <w:bCs/>
          <w:noProof/>
          <w:sz w:val="24"/>
          <w:szCs w:val="24"/>
          <w:lang w:val="en-IE"/>
        </w:rPr>
        <w:t xml:space="preserve">diversify and reduce dependencies, both in imports and exports. This will also </w:t>
      </w:r>
      <w:r w:rsidR="005D07BE">
        <w:rPr>
          <w:rFonts w:ascii="Times New Roman" w:eastAsia="Aptos" w:hAnsi="Times New Roman" w:cs="Times New Roman"/>
          <w:b/>
          <w:bCs/>
          <w:noProof/>
          <w:sz w:val="24"/>
          <w:szCs w:val="24"/>
          <w:lang w:val="en-IE"/>
        </w:rPr>
        <w:t>increase</w:t>
      </w:r>
      <w:r w:rsidRPr="00DD0DC9" w:rsidDel="0030206C">
        <w:rPr>
          <w:rFonts w:ascii="Times New Roman" w:eastAsia="Aptos" w:hAnsi="Times New Roman" w:cs="Times New Roman"/>
          <w:b/>
          <w:bCs/>
          <w:noProof/>
          <w:sz w:val="24"/>
          <w:szCs w:val="24"/>
          <w:lang w:val="en-IE"/>
        </w:rPr>
        <w:t xml:space="preserve"> prosperity and supply chain resilience.</w:t>
      </w:r>
      <w:r w:rsidRPr="00DD0DC9">
        <w:rPr>
          <w:rFonts w:ascii="Times New Roman" w:eastAsia="Aptos" w:hAnsi="Times New Roman" w:cs="Times New Roman"/>
          <w:noProof/>
          <w:sz w:val="24"/>
          <w:szCs w:val="24"/>
          <w:lang w:val="en-IE"/>
        </w:rPr>
        <w:t xml:space="preserve"> Work is ongoing to</w:t>
      </w:r>
      <w:r w:rsidRPr="00DD0DC9" w:rsidDel="00FC4D46">
        <w:rPr>
          <w:rFonts w:ascii="Times New Roman" w:eastAsia="Aptos" w:hAnsi="Times New Roman" w:cs="Times New Roman"/>
          <w:noProof/>
          <w:sz w:val="24"/>
          <w:szCs w:val="24"/>
          <w:lang w:val="en-IE"/>
        </w:rPr>
        <w:t xml:space="preserve"> </w:t>
      </w:r>
      <w:r w:rsidRPr="00DD0DC9">
        <w:rPr>
          <w:rFonts w:ascii="Times New Roman" w:eastAsia="Aptos" w:hAnsi="Times New Roman" w:cs="Times New Roman"/>
          <w:noProof/>
          <w:sz w:val="24"/>
          <w:szCs w:val="24"/>
          <w:lang w:val="en-IE"/>
        </w:rPr>
        <w:t>conclude</w:t>
      </w:r>
      <w:r w:rsidRPr="00DD0DC9" w:rsidDel="0035375E">
        <w:rPr>
          <w:rFonts w:ascii="Times New Roman" w:eastAsia="Aptos" w:hAnsi="Times New Roman" w:cs="Times New Roman"/>
          <w:noProof/>
          <w:sz w:val="24"/>
          <w:szCs w:val="24"/>
          <w:lang w:val="en-IE"/>
        </w:rPr>
        <w:t xml:space="preserve"> </w:t>
      </w:r>
      <w:r w:rsidRPr="00DD0DC9">
        <w:rPr>
          <w:rFonts w:ascii="Times New Roman" w:eastAsia="Aptos" w:hAnsi="Times New Roman" w:cs="Times New Roman"/>
          <w:noProof/>
          <w:sz w:val="24"/>
          <w:szCs w:val="24"/>
          <w:lang w:val="en-IE"/>
        </w:rPr>
        <w:t>broad</w:t>
      </w:r>
      <w:r w:rsidRPr="00DD0DC9" w:rsidDel="0035375E">
        <w:rPr>
          <w:rFonts w:ascii="Times New Roman" w:eastAsia="Aptos" w:hAnsi="Times New Roman" w:cs="Times New Roman"/>
          <w:noProof/>
          <w:sz w:val="24"/>
          <w:szCs w:val="24"/>
          <w:lang w:val="en-IE"/>
        </w:rPr>
        <w:t xml:space="preserve"> free</w:t>
      </w:r>
      <w:r w:rsidR="00D41144" w:rsidRPr="0084376E">
        <w:rPr>
          <w:rFonts w:ascii="Times New Roman" w:eastAsia="Aptos" w:hAnsi="Times New Roman" w:cs="Times New Roman"/>
          <w:noProof/>
          <w:sz w:val="24"/>
          <w:szCs w:val="24"/>
          <w:lang w:val="en-IE"/>
        </w:rPr>
        <w:t xml:space="preserve"> </w:t>
      </w:r>
      <w:r w:rsidRPr="00DD0DC9" w:rsidDel="0035375E">
        <w:rPr>
          <w:rFonts w:ascii="Times New Roman" w:eastAsia="Aptos" w:hAnsi="Times New Roman" w:cs="Times New Roman"/>
          <w:noProof/>
          <w:sz w:val="24"/>
          <w:szCs w:val="24"/>
          <w:lang w:val="en-IE"/>
        </w:rPr>
        <w:t>trade agreement</w:t>
      </w:r>
      <w:r w:rsidRPr="00DD0DC9" w:rsidDel="009A26B8">
        <w:rPr>
          <w:rFonts w:ascii="Times New Roman" w:eastAsia="Aptos" w:hAnsi="Times New Roman" w:cs="Times New Roman"/>
          <w:noProof/>
          <w:sz w:val="24"/>
          <w:szCs w:val="24"/>
          <w:lang w:val="en-IE"/>
        </w:rPr>
        <w:t>s</w:t>
      </w:r>
      <w:r w:rsidRPr="00DD0DC9" w:rsidDel="0035375E">
        <w:rPr>
          <w:rFonts w:ascii="Times New Roman" w:eastAsia="Aptos" w:hAnsi="Times New Roman" w:cs="Times New Roman"/>
          <w:noProof/>
          <w:sz w:val="24"/>
          <w:szCs w:val="24"/>
          <w:lang w:val="en-IE"/>
        </w:rPr>
        <w:t xml:space="preserve"> </w:t>
      </w:r>
      <w:r w:rsidR="00FE6007">
        <w:rPr>
          <w:rFonts w:ascii="Times New Roman" w:eastAsia="Aptos" w:hAnsi="Times New Roman" w:cs="Times New Roman"/>
          <w:noProof/>
          <w:sz w:val="24"/>
          <w:szCs w:val="24"/>
          <w:lang w:val="en-IE"/>
        </w:rPr>
        <w:t>and</w:t>
      </w:r>
      <w:r w:rsidRPr="00DD0DC9">
        <w:rPr>
          <w:rFonts w:ascii="Times New Roman" w:eastAsia="Aptos" w:hAnsi="Times New Roman" w:cs="Times New Roman"/>
          <w:noProof/>
          <w:sz w:val="24"/>
          <w:szCs w:val="24"/>
          <w:lang w:val="en-IE"/>
        </w:rPr>
        <w:t xml:space="preserve"> </w:t>
      </w:r>
      <w:r w:rsidRPr="00DD0DC9" w:rsidDel="0035375E">
        <w:rPr>
          <w:rFonts w:ascii="Times New Roman" w:eastAsia="Aptos" w:hAnsi="Times New Roman" w:cs="Times New Roman"/>
          <w:noProof/>
          <w:sz w:val="24"/>
          <w:szCs w:val="24"/>
          <w:lang w:val="en-IE"/>
        </w:rPr>
        <w:t>targeted partnerships</w:t>
      </w:r>
      <w:r w:rsidRPr="00DD0DC9">
        <w:rPr>
          <w:rFonts w:ascii="Times New Roman" w:eastAsia="Aptos" w:hAnsi="Times New Roman" w:cs="Times New Roman"/>
          <w:noProof/>
          <w:sz w:val="24"/>
          <w:szCs w:val="24"/>
          <w:lang w:val="en-IE"/>
        </w:rPr>
        <w:t xml:space="preserve"> in areas such as raw materials, to the benefit of both </w:t>
      </w:r>
      <w:r w:rsidR="00EB37FF">
        <w:rPr>
          <w:rFonts w:ascii="Times New Roman" w:eastAsia="Aptos" w:hAnsi="Times New Roman" w:cs="Times New Roman"/>
          <w:noProof/>
          <w:sz w:val="24"/>
          <w:szCs w:val="24"/>
          <w:lang w:val="en-IE"/>
        </w:rPr>
        <w:t xml:space="preserve">the EU and its </w:t>
      </w:r>
      <w:r w:rsidRPr="00DD0DC9">
        <w:rPr>
          <w:rFonts w:ascii="Times New Roman" w:eastAsia="Aptos" w:hAnsi="Times New Roman" w:cs="Times New Roman"/>
          <w:noProof/>
          <w:sz w:val="24"/>
          <w:szCs w:val="24"/>
          <w:lang w:val="en-IE"/>
        </w:rPr>
        <w:t>partners</w:t>
      </w:r>
      <w:r w:rsidRPr="00DD0DC9" w:rsidDel="00303D5C">
        <w:rPr>
          <w:rFonts w:ascii="Times New Roman" w:eastAsia="Aptos" w:hAnsi="Times New Roman" w:cs="Times New Roman"/>
          <w:noProof/>
          <w:sz w:val="24"/>
          <w:szCs w:val="24"/>
          <w:lang w:val="en-IE"/>
        </w:rPr>
        <w:t xml:space="preserve">. </w:t>
      </w:r>
      <w:r w:rsidRPr="00DD0DC9" w:rsidDel="00D16EE8">
        <w:rPr>
          <w:rFonts w:ascii="Times New Roman" w:eastAsia="Aptos" w:hAnsi="Times New Roman" w:cs="Times New Roman"/>
          <w:noProof/>
          <w:sz w:val="24"/>
          <w:szCs w:val="24"/>
          <w:lang w:val="en-IE"/>
        </w:rPr>
        <w:t xml:space="preserve">Similarly, </w:t>
      </w:r>
      <w:r w:rsidR="00EB37FF">
        <w:rPr>
          <w:rFonts w:ascii="Times New Roman" w:eastAsia="Aptos" w:hAnsi="Times New Roman" w:cs="Times New Roman"/>
          <w:noProof/>
          <w:sz w:val="24"/>
          <w:szCs w:val="24"/>
          <w:lang w:val="en-IE"/>
        </w:rPr>
        <w:t>m</w:t>
      </w:r>
      <w:r w:rsidRPr="00DD0DC9" w:rsidDel="00D16EE8">
        <w:rPr>
          <w:rFonts w:ascii="Times New Roman" w:eastAsia="Aptos" w:hAnsi="Times New Roman" w:cs="Times New Roman"/>
          <w:noProof/>
          <w:sz w:val="24"/>
          <w:szCs w:val="24"/>
          <w:lang w:val="en-IE"/>
        </w:rPr>
        <w:t xml:space="preserve">utual </w:t>
      </w:r>
      <w:r w:rsidR="00EB37FF">
        <w:rPr>
          <w:rFonts w:ascii="Times New Roman" w:eastAsia="Aptos" w:hAnsi="Times New Roman" w:cs="Times New Roman"/>
          <w:noProof/>
          <w:sz w:val="24"/>
          <w:szCs w:val="24"/>
          <w:lang w:val="en-IE"/>
        </w:rPr>
        <w:t>r</w:t>
      </w:r>
      <w:r w:rsidRPr="00DD0DC9" w:rsidDel="00D16EE8">
        <w:rPr>
          <w:rFonts w:ascii="Times New Roman" w:eastAsia="Aptos" w:hAnsi="Times New Roman" w:cs="Times New Roman"/>
          <w:noProof/>
          <w:sz w:val="24"/>
          <w:szCs w:val="24"/>
          <w:lang w:val="en-IE"/>
        </w:rPr>
        <w:t xml:space="preserve">ecognition </w:t>
      </w:r>
      <w:r w:rsidR="00EB37FF">
        <w:rPr>
          <w:rFonts w:ascii="Times New Roman" w:eastAsia="Aptos" w:hAnsi="Times New Roman" w:cs="Times New Roman"/>
          <w:noProof/>
          <w:sz w:val="24"/>
          <w:szCs w:val="24"/>
          <w:lang w:val="en-IE"/>
        </w:rPr>
        <w:t>a</w:t>
      </w:r>
      <w:r w:rsidRPr="00DD0DC9" w:rsidDel="00D16EE8">
        <w:rPr>
          <w:rFonts w:ascii="Times New Roman" w:eastAsia="Aptos" w:hAnsi="Times New Roman" w:cs="Times New Roman"/>
          <w:noProof/>
          <w:sz w:val="24"/>
          <w:szCs w:val="24"/>
          <w:lang w:val="en-IE"/>
        </w:rPr>
        <w:t xml:space="preserve">greements </w:t>
      </w:r>
      <w:r w:rsidRPr="00DD0DC9">
        <w:rPr>
          <w:rFonts w:ascii="Times New Roman" w:eastAsia="Aptos" w:hAnsi="Times New Roman" w:cs="Times New Roman"/>
          <w:noProof/>
          <w:sz w:val="24"/>
          <w:szCs w:val="24"/>
          <w:lang w:val="en-IE"/>
        </w:rPr>
        <w:t>should</w:t>
      </w:r>
      <w:r w:rsidRPr="00DD0DC9" w:rsidDel="00D16EE8">
        <w:rPr>
          <w:rFonts w:ascii="Times New Roman" w:eastAsia="Aptos" w:hAnsi="Times New Roman" w:cs="Times New Roman"/>
          <w:noProof/>
          <w:sz w:val="24"/>
          <w:szCs w:val="24"/>
          <w:lang w:val="en-IE"/>
        </w:rPr>
        <w:t xml:space="preserve"> be concluded with EU competitiveness in mind, in ways that improve market access and reduce paperwork for European industry </w:t>
      </w:r>
      <w:r w:rsidRPr="00DD0DC9" w:rsidDel="00F77355">
        <w:rPr>
          <w:rFonts w:ascii="Times New Roman" w:eastAsia="Aptos" w:hAnsi="Times New Roman" w:cs="Times New Roman"/>
          <w:noProof/>
          <w:sz w:val="24"/>
          <w:szCs w:val="24"/>
          <w:lang w:val="en-IE"/>
        </w:rPr>
        <w:t xml:space="preserve">while </w:t>
      </w:r>
      <w:r w:rsidRPr="00DD0DC9" w:rsidDel="00D16EE8">
        <w:rPr>
          <w:rFonts w:ascii="Times New Roman" w:eastAsia="Aptos" w:hAnsi="Times New Roman" w:cs="Times New Roman"/>
          <w:noProof/>
          <w:sz w:val="24"/>
          <w:szCs w:val="24"/>
          <w:lang w:val="en-IE"/>
        </w:rPr>
        <w:t>prevent</w:t>
      </w:r>
      <w:r w:rsidRPr="00DD0DC9" w:rsidDel="00F77355">
        <w:rPr>
          <w:rFonts w:ascii="Times New Roman" w:eastAsia="Aptos" w:hAnsi="Times New Roman" w:cs="Times New Roman"/>
          <w:noProof/>
          <w:sz w:val="24"/>
          <w:szCs w:val="24"/>
          <w:lang w:val="en-IE"/>
        </w:rPr>
        <w:t>ing</w:t>
      </w:r>
      <w:r w:rsidRPr="00DD0DC9" w:rsidDel="00D16EE8">
        <w:rPr>
          <w:rFonts w:ascii="Times New Roman" w:eastAsia="Aptos" w:hAnsi="Times New Roman" w:cs="Times New Roman"/>
          <w:noProof/>
          <w:sz w:val="24"/>
          <w:szCs w:val="24"/>
          <w:lang w:val="en-IE"/>
        </w:rPr>
        <w:t xml:space="preserve"> the </w:t>
      </w:r>
      <w:r w:rsidRPr="00B669CB" w:rsidDel="00D16EE8">
        <w:rPr>
          <w:rFonts w:ascii="Times New Roman" w:eastAsia="Aptos" w:hAnsi="Times New Roman" w:cs="Times New Roman"/>
          <w:noProof/>
          <w:sz w:val="24"/>
          <w:szCs w:val="24"/>
          <w:lang w:val="en-IE"/>
        </w:rPr>
        <w:t xml:space="preserve">emergence of loopholes that fuel unfair </w:t>
      </w:r>
      <w:r w:rsidR="00B53324" w:rsidRPr="00B669CB">
        <w:rPr>
          <w:rFonts w:ascii="Times New Roman" w:eastAsia="Aptos" w:hAnsi="Times New Roman" w:cs="Times New Roman"/>
          <w:noProof/>
          <w:sz w:val="24"/>
          <w:szCs w:val="24"/>
          <w:lang w:val="en-IE"/>
        </w:rPr>
        <w:t xml:space="preserve">global </w:t>
      </w:r>
      <w:r w:rsidRPr="00B669CB" w:rsidDel="00D16EE8">
        <w:rPr>
          <w:rFonts w:ascii="Times New Roman" w:eastAsia="Aptos" w:hAnsi="Times New Roman" w:cs="Times New Roman"/>
          <w:noProof/>
          <w:sz w:val="24"/>
          <w:szCs w:val="24"/>
          <w:lang w:val="en-IE"/>
        </w:rPr>
        <w:t>competition</w:t>
      </w:r>
      <w:r w:rsidRPr="005B4F13">
        <w:rPr>
          <w:rStyle w:val="FootnoteReference"/>
          <w:rFonts w:ascii="Times New Roman" w:eastAsia="Aptos" w:hAnsi="Times New Roman" w:cs="Times New Roman"/>
          <w:noProof/>
          <w:sz w:val="24"/>
          <w:szCs w:val="24"/>
          <w:lang w:val="en-IE"/>
        </w:rPr>
        <w:footnoteReference w:id="66"/>
      </w:r>
      <w:r w:rsidRPr="00B669CB">
        <w:rPr>
          <w:rFonts w:ascii="Times New Roman" w:eastAsia="Aptos" w:hAnsi="Times New Roman" w:cs="Times New Roman"/>
          <w:noProof/>
          <w:sz w:val="24"/>
          <w:szCs w:val="24"/>
          <w:lang w:val="en-IE"/>
        </w:rPr>
        <w:t xml:space="preserve">. The EU is </w:t>
      </w:r>
      <w:r w:rsidR="00034923" w:rsidRPr="00B669CB">
        <w:rPr>
          <w:rFonts w:ascii="Times New Roman" w:eastAsia="Aptos" w:hAnsi="Times New Roman" w:cs="Times New Roman"/>
          <w:noProof/>
          <w:sz w:val="24"/>
          <w:szCs w:val="24"/>
          <w:lang w:val="en-IE"/>
        </w:rPr>
        <w:t>also</w:t>
      </w:r>
      <w:r w:rsidRPr="00B669CB">
        <w:rPr>
          <w:rFonts w:ascii="Times New Roman" w:eastAsia="Aptos" w:hAnsi="Times New Roman" w:cs="Times New Roman"/>
          <w:noProof/>
          <w:sz w:val="24"/>
          <w:szCs w:val="24"/>
          <w:lang w:val="en-IE"/>
        </w:rPr>
        <w:t xml:space="preserve"> accelerating the economic integration of enlargement countries</w:t>
      </w:r>
      <w:r w:rsidR="008A5803" w:rsidRPr="00B669CB">
        <w:rPr>
          <w:rFonts w:ascii="Times New Roman" w:eastAsia="Aptos" w:hAnsi="Times New Roman" w:cs="Times New Roman"/>
          <w:noProof/>
          <w:sz w:val="24"/>
          <w:szCs w:val="24"/>
          <w:lang w:val="en-IE"/>
        </w:rPr>
        <w:t xml:space="preserve"> prior to their accession</w:t>
      </w:r>
      <w:r w:rsidRPr="00B669CB">
        <w:rPr>
          <w:rFonts w:ascii="Times New Roman" w:eastAsia="Aptos" w:hAnsi="Times New Roman" w:cs="Times New Roman"/>
          <w:noProof/>
          <w:sz w:val="24"/>
          <w:szCs w:val="24"/>
          <w:lang w:val="en-IE"/>
        </w:rPr>
        <w:t>, including through “Single Market Highways”</w:t>
      </w:r>
      <w:r w:rsidR="00932DFA" w:rsidRPr="00B669CB">
        <w:rPr>
          <w:rStyle w:val="FootnoteReference"/>
          <w:rFonts w:ascii="Times New Roman" w:eastAsia="Aptos" w:hAnsi="Times New Roman" w:cs="Times New Roman"/>
          <w:noProof/>
          <w:sz w:val="24"/>
          <w:szCs w:val="24"/>
          <w:lang w:val="en-IE"/>
        </w:rPr>
        <w:footnoteReference w:id="67"/>
      </w:r>
      <w:r w:rsidRPr="00B669CB">
        <w:rPr>
          <w:rFonts w:ascii="Times New Roman" w:eastAsia="Aptos" w:hAnsi="Times New Roman" w:cs="Times New Roman"/>
          <w:noProof/>
          <w:sz w:val="24"/>
          <w:szCs w:val="24"/>
          <w:lang w:val="en-IE"/>
        </w:rPr>
        <w:t>.</w:t>
      </w:r>
      <w:r w:rsidRPr="00DD0DC9">
        <w:rPr>
          <w:rFonts w:ascii="Times New Roman" w:eastAsia="Aptos" w:hAnsi="Times New Roman" w:cs="Times New Roman"/>
          <w:noProof/>
          <w:sz w:val="24"/>
          <w:szCs w:val="24"/>
          <w:lang w:val="en-IE"/>
        </w:rPr>
        <w:t xml:space="preserve"> </w:t>
      </w:r>
    </w:p>
    <w:p w14:paraId="0381AFE4" w14:textId="66684314" w:rsidR="00DD0DC9" w:rsidRPr="00B669CB" w:rsidRDefault="00DD0DC9" w:rsidP="00DD0DC9">
      <w:pPr>
        <w:pStyle w:val="Text1"/>
        <w:widowControl w:val="0"/>
        <w:spacing w:after="160"/>
        <w:ind w:left="0"/>
        <w:rPr>
          <w:rFonts w:eastAsia="Calibri"/>
          <w:noProof/>
          <w:lang w:val="en-IE"/>
        </w:rPr>
      </w:pPr>
      <w:r w:rsidRPr="00DD0DC9">
        <w:rPr>
          <w:rFonts w:eastAsia="Aptos"/>
          <w:b/>
          <w:noProof/>
          <w:kern w:val="2"/>
          <w:lang w:val="en-IE"/>
          <w14:ligatures w14:val="standardContextual"/>
        </w:rPr>
        <w:t xml:space="preserve">Europe’s supply chains continue to show significant external dependencies, </w:t>
      </w:r>
      <w:r w:rsidRPr="00DD0DC9">
        <w:rPr>
          <w:rFonts w:eastAsia="Calibri"/>
          <w:b/>
          <w:noProof/>
          <w:lang w:val="en-IE"/>
        </w:rPr>
        <w:t>with increasing risk and evidence of these being weaponised</w:t>
      </w:r>
      <w:r w:rsidRPr="00DD0DC9">
        <w:rPr>
          <w:rFonts w:eastAsia="Aptos"/>
          <w:b/>
          <w:noProof/>
          <w:kern w:val="2"/>
          <w:lang w:val="en-IE"/>
          <w14:ligatures w14:val="standardContextual"/>
        </w:rPr>
        <w:t>.</w:t>
      </w:r>
      <w:r w:rsidRPr="00DD0DC9">
        <w:rPr>
          <w:rFonts w:eastAsia="Aptos"/>
          <w:noProof/>
          <w:kern w:val="2"/>
          <w:lang w:val="en-IE"/>
          <w14:ligatures w14:val="standardContextual"/>
        </w:rPr>
        <w:t xml:space="preserve"> </w:t>
      </w:r>
      <w:r w:rsidRPr="00DD0DC9">
        <w:rPr>
          <w:noProof/>
          <w:lang w:val="en-IE"/>
        </w:rPr>
        <w:t>Among products</w:t>
      </w:r>
      <w:r w:rsidRPr="00DD0DC9">
        <w:rPr>
          <w:rFonts w:eastAsia="Calibri"/>
          <w:noProof/>
          <w:lang w:val="en-IE"/>
        </w:rPr>
        <w:t xml:space="preserve"> in sensitive ecosystems where the EU is heavily dependent on a single supplier country</w:t>
      </w:r>
      <w:r w:rsidRPr="00DD0DC9">
        <w:rPr>
          <w:noProof/>
          <w:lang w:val="en-IE"/>
        </w:rPr>
        <w:t xml:space="preserve">, more than </w:t>
      </w:r>
      <w:r w:rsidRPr="00DD0DC9">
        <w:rPr>
          <w:rFonts w:eastAsia="Calibri"/>
          <w:noProof/>
          <w:lang w:val="en-IE"/>
        </w:rPr>
        <w:t>half of the EU’s dependencies originate from China</w:t>
      </w:r>
      <w:r w:rsidRPr="00DD0DC9">
        <w:rPr>
          <w:rStyle w:val="FootnoteReference"/>
          <w:rFonts w:eastAsia="Calibri"/>
          <w:noProof/>
          <w:lang w:val="en-IE"/>
        </w:rPr>
        <w:footnoteReference w:id="68"/>
      </w:r>
      <w:r w:rsidRPr="00DD0DC9">
        <w:rPr>
          <w:rFonts w:eastAsia="Calibri"/>
          <w:noProof/>
          <w:lang w:val="en-IE"/>
        </w:rPr>
        <w:t>.</w:t>
      </w:r>
      <w:r w:rsidRPr="00DD0DC9">
        <w:rPr>
          <w:rFonts w:eastAsia="Calibri"/>
          <w:i/>
          <w:noProof/>
          <w:lang w:val="en-IE"/>
        </w:rPr>
        <w:t xml:space="preserve"> </w:t>
      </w:r>
      <w:r w:rsidRPr="00DD0DC9">
        <w:rPr>
          <w:rFonts w:eastAsia="Calibri"/>
          <w:noProof/>
          <w:lang w:val="en-IE"/>
        </w:rPr>
        <w:t>T</w:t>
      </w:r>
      <w:r w:rsidRPr="00DD0DC9">
        <w:rPr>
          <w:noProof/>
          <w:lang w:val="en-IE"/>
        </w:rPr>
        <w:t>he EU’s overall dependence on imports of strategically important raw materials, components and industrial products remains largely unchanged, as measured by the EXVI indicator</w:t>
      </w:r>
      <w:r w:rsidRPr="00DD0DC9">
        <w:rPr>
          <w:rStyle w:val="FootnoteReference"/>
          <w:noProof/>
          <w:lang w:val="en-IE"/>
        </w:rPr>
        <w:footnoteReference w:id="69"/>
      </w:r>
      <w:r w:rsidRPr="00DD0DC9">
        <w:rPr>
          <w:noProof/>
          <w:lang w:val="en-IE"/>
        </w:rPr>
        <w:t xml:space="preserve"> (KPI </w:t>
      </w:r>
      <w:r>
        <w:rPr>
          <w:noProof/>
          <w:lang w:val="en-IE"/>
        </w:rPr>
        <w:t>29</w:t>
      </w:r>
      <w:r w:rsidRPr="00DD0DC9">
        <w:rPr>
          <w:noProof/>
          <w:lang w:val="en-IE"/>
        </w:rPr>
        <w:t xml:space="preserve">), with the EU being significantly more exposed to external vulnerabilities than China, although less exposed than </w:t>
      </w:r>
      <w:r w:rsidRPr="00B669CB">
        <w:rPr>
          <w:noProof/>
          <w:lang w:val="en-IE"/>
        </w:rPr>
        <w:t>the US</w:t>
      </w:r>
      <w:r w:rsidRPr="00B669CB">
        <w:rPr>
          <w:rStyle w:val="FootnoteReference"/>
          <w:noProof/>
          <w:lang w:val="en-IE"/>
        </w:rPr>
        <w:footnoteReference w:id="70"/>
      </w:r>
      <w:r w:rsidRPr="00B669CB">
        <w:rPr>
          <w:noProof/>
          <w:lang w:val="en-IE"/>
        </w:rPr>
        <w:t xml:space="preserve">. </w:t>
      </w:r>
      <w:r w:rsidR="00277597" w:rsidRPr="00B669CB">
        <w:rPr>
          <w:rFonts w:eastAsia="Calibri"/>
          <w:noProof/>
          <w:lang w:val="en-IE"/>
        </w:rPr>
        <w:t>E</w:t>
      </w:r>
      <w:r w:rsidRPr="00B669CB">
        <w:rPr>
          <w:rFonts w:eastAsia="Calibri"/>
          <w:noProof/>
          <w:lang w:val="en-IE"/>
        </w:rPr>
        <w:t xml:space="preserve">xport restrictions imposed by China </w:t>
      </w:r>
      <w:r w:rsidRPr="00582FDD">
        <w:rPr>
          <w:rFonts w:eastAsia="Calibri"/>
          <w:noProof/>
          <w:lang w:val="en-IE"/>
        </w:rPr>
        <w:t>have put these dependencies in the spotlight</w:t>
      </w:r>
      <w:r w:rsidR="006D2CAC" w:rsidRPr="00582FDD">
        <w:rPr>
          <w:rFonts w:eastAsia="Calibri"/>
          <w:noProof/>
          <w:lang w:val="en-IE"/>
        </w:rPr>
        <w:t xml:space="preserve">, in particular for </w:t>
      </w:r>
      <w:r w:rsidR="004E6845" w:rsidRPr="00582FDD">
        <w:rPr>
          <w:rFonts w:eastAsia="Calibri"/>
          <w:noProof/>
          <w:lang w:val="en-IE"/>
        </w:rPr>
        <w:t xml:space="preserve">critical </w:t>
      </w:r>
      <w:r w:rsidR="006D2CAC" w:rsidRPr="00582FDD">
        <w:rPr>
          <w:rFonts w:eastAsia="Calibri"/>
          <w:noProof/>
          <w:lang w:val="en-IE"/>
        </w:rPr>
        <w:t>raw materials</w:t>
      </w:r>
      <w:r w:rsidRPr="00582FDD">
        <w:rPr>
          <w:rFonts w:eastAsia="Calibri"/>
          <w:noProof/>
          <w:lang w:val="en-IE"/>
        </w:rPr>
        <w:t>.</w:t>
      </w:r>
      <w:r w:rsidR="00411A27" w:rsidRPr="00582FDD">
        <w:rPr>
          <w:rFonts w:eastAsia="Calibri"/>
          <w:noProof/>
          <w:lang w:val="en-IE"/>
        </w:rPr>
        <w:t xml:space="preserve"> </w:t>
      </w:r>
      <w:r>
        <w:rPr>
          <w:rFonts w:eastAsia="Calibri"/>
          <w:noProof/>
          <w:lang w:val="en-IE"/>
        </w:rPr>
        <w:t>Dependencies in the space and defence sector as well as for critical medicines deserve particular attention</w:t>
      </w:r>
      <w:r>
        <w:rPr>
          <w:rStyle w:val="FootnoteReference"/>
          <w:rFonts w:eastAsia="Calibri"/>
          <w:noProof/>
          <w:lang w:val="en-IE"/>
        </w:rPr>
        <w:footnoteReference w:id="71"/>
      </w:r>
      <w:r>
        <w:rPr>
          <w:rFonts w:eastAsia="Calibri"/>
          <w:noProof/>
          <w:lang w:val="en-IE"/>
        </w:rPr>
        <w:t xml:space="preserve">. </w:t>
      </w:r>
    </w:p>
    <w:p w14:paraId="21457CFF" w14:textId="72F7E3C2" w:rsidR="00DD0DC9" w:rsidRPr="00DD0DC9" w:rsidRDefault="00DD0DC9" w:rsidP="00DD0DC9">
      <w:pPr>
        <w:pStyle w:val="Text1"/>
        <w:widowControl w:val="0"/>
        <w:spacing w:after="160"/>
        <w:ind w:left="0"/>
        <w:rPr>
          <w:rFonts w:eastAsia="Calibri"/>
          <w:b/>
          <w:noProof/>
          <w:lang w:val="en-IE"/>
        </w:rPr>
      </w:pPr>
      <w:r w:rsidRPr="00B669CB">
        <w:rPr>
          <w:rFonts w:eastAsia="Calibri"/>
          <w:b/>
          <w:bCs/>
          <w:noProof/>
          <w:lang w:val="en-IE"/>
        </w:rPr>
        <w:t xml:space="preserve">Europe’s main trading partners </w:t>
      </w:r>
      <w:r w:rsidR="00057388" w:rsidRPr="00B669CB">
        <w:rPr>
          <w:rFonts w:eastAsia="Calibri"/>
          <w:b/>
          <w:bCs/>
          <w:noProof/>
          <w:lang w:val="en-IE"/>
        </w:rPr>
        <w:t xml:space="preserve">are </w:t>
      </w:r>
      <w:r w:rsidRPr="00B669CB">
        <w:rPr>
          <w:rFonts w:eastAsia="Calibri"/>
          <w:b/>
          <w:bCs/>
          <w:noProof/>
          <w:lang w:val="en-IE"/>
        </w:rPr>
        <w:t>increasingly pursu</w:t>
      </w:r>
      <w:r w:rsidR="00057388" w:rsidRPr="00B669CB">
        <w:rPr>
          <w:rFonts w:eastAsia="Calibri"/>
          <w:b/>
          <w:bCs/>
          <w:noProof/>
          <w:lang w:val="en-IE"/>
        </w:rPr>
        <w:t>ing</w:t>
      </w:r>
      <w:r w:rsidRPr="00B669CB">
        <w:rPr>
          <w:rFonts w:eastAsia="Calibri"/>
          <w:b/>
          <w:bCs/>
          <w:noProof/>
          <w:lang w:val="en-IE"/>
        </w:rPr>
        <w:t xml:space="preserve"> measures to foster the resilience of their supply chains. </w:t>
      </w:r>
      <w:r w:rsidRPr="00B669CB">
        <w:rPr>
          <w:rFonts w:eastAsia="Calibri"/>
          <w:noProof/>
          <w:lang w:val="en-IE"/>
        </w:rPr>
        <w:t>Annex 3 to this Report provides an overview of resilience measures by selected global players. It shows a global trend to make more active use of industrial and trade policies to strengthen the resilience of supply chains. The</w:t>
      </w:r>
      <w:r w:rsidR="007C7E2B" w:rsidRPr="00B669CB">
        <w:rPr>
          <w:rFonts w:eastAsia="Calibri"/>
          <w:noProof/>
          <w:lang w:val="en-IE"/>
        </w:rPr>
        <w:t xml:space="preserve"> actions</w:t>
      </w:r>
      <w:r w:rsidRPr="00B669CB">
        <w:rPr>
          <w:rFonts w:eastAsia="Calibri"/>
          <w:noProof/>
          <w:lang w:val="en-IE"/>
        </w:rPr>
        <w:t xml:space="preserve"> inc</w:t>
      </w:r>
      <w:r w:rsidRPr="00DD0DC9">
        <w:rPr>
          <w:rFonts w:eastAsia="Calibri"/>
          <w:noProof/>
          <w:lang w:val="en-IE"/>
        </w:rPr>
        <w:t>lude public procurement policies and FDI conditionalities,</w:t>
      </w:r>
      <w:r w:rsidRPr="00DD0DC9">
        <w:rPr>
          <w:noProof/>
          <w:lang w:val="en-IE"/>
        </w:rPr>
        <w:t xml:space="preserve"> with focus on key strategic sectors and preferential</w:t>
      </w:r>
      <w:r w:rsidR="00870CF7">
        <w:rPr>
          <w:noProof/>
          <w:lang w:val="en-IE"/>
        </w:rPr>
        <w:t xml:space="preserve"> </w:t>
      </w:r>
      <w:r w:rsidR="00AB675A">
        <w:rPr>
          <w:noProof/>
          <w:lang w:val="en-IE"/>
        </w:rPr>
        <w:t xml:space="preserve">domestic </w:t>
      </w:r>
      <w:r w:rsidRPr="00DD0DC9">
        <w:rPr>
          <w:noProof/>
          <w:lang w:val="en-IE"/>
        </w:rPr>
        <w:t>access</w:t>
      </w:r>
      <w:r w:rsidRPr="00DD0DC9">
        <w:rPr>
          <w:rFonts w:eastAsia="Calibri"/>
          <w:noProof/>
          <w:lang w:val="en-IE"/>
        </w:rPr>
        <w:t>.</w:t>
      </w:r>
    </w:p>
    <w:p w14:paraId="01D8FAD6" w14:textId="7E2A9BE3" w:rsidR="00DD0DC9" w:rsidRPr="00DD0DC9" w:rsidRDefault="00DD0DC9" w:rsidP="00DD0DC9">
      <w:pPr>
        <w:pStyle w:val="Text1"/>
        <w:widowControl w:val="0"/>
        <w:spacing w:after="160"/>
        <w:ind w:left="0"/>
        <w:rPr>
          <w:rFonts w:eastAsia="Aptos"/>
          <w:noProof/>
          <w:lang w:val="en-IE"/>
        </w:rPr>
      </w:pPr>
      <w:r w:rsidRPr="00DD0DC9">
        <w:rPr>
          <w:b/>
          <w:bCs/>
          <w:noProof/>
          <w:lang w:val="en-IE"/>
        </w:rPr>
        <w:t xml:space="preserve">The EU’s efforts to strengthen its manufacturing capacity </w:t>
      </w:r>
      <w:r w:rsidR="00AB675A">
        <w:rPr>
          <w:b/>
          <w:bCs/>
          <w:noProof/>
          <w:lang w:val="en-IE"/>
        </w:rPr>
        <w:t>in</w:t>
      </w:r>
      <w:r w:rsidR="00AB675A" w:rsidRPr="00DD0DC9">
        <w:rPr>
          <w:b/>
          <w:bCs/>
          <w:noProof/>
          <w:lang w:val="en-IE"/>
        </w:rPr>
        <w:t xml:space="preserve"> </w:t>
      </w:r>
      <w:r w:rsidRPr="00DD0DC9">
        <w:rPr>
          <w:b/>
          <w:bCs/>
          <w:noProof/>
          <w:lang w:val="en-IE"/>
        </w:rPr>
        <w:t>key industrial products are starting to bear fruit.</w:t>
      </w:r>
      <w:r w:rsidRPr="00DD0DC9">
        <w:rPr>
          <w:noProof/>
          <w:lang w:val="en-IE"/>
        </w:rPr>
        <w:t xml:space="preserve"> The first sets of strategic projects under the Net-Zero Industry Act</w:t>
      </w:r>
      <w:r w:rsidRPr="00DD0DC9">
        <w:rPr>
          <w:rStyle w:val="FootnoteReference"/>
          <w:noProof/>
          <w:lang w:val="en-IE"/>
        </w:rPr>
        <w:footnoteReference w:id="72"/>
      </w:r>
      <w:r w:rsidRPr="00DD0DC9">
        <w:rPr>
          <w:noProof/>
          <w:lang w:val="en-IE"/>
        </w:rPr>
        <w:t xml:space="preserve"> and the Critical Raw Materials Act</w:t>
      </w:r>
      <w:r w:rsidRPr="00DD0DC9">
        <w:rPr>
          <w:rStyle w:val="FootnoteReference"/>
          <w:noProof/>
          <w:lang w:val="en-IE"/>
        </w:rPr>
        <w:footnoteReference w:id="73"/>
      </w:r>
      <w:r w:rsidRPr="00DD0DC9">
        <w:rPr>
          <w:noProof/>
          <w:lang w:val="en-IE"/>
        </w:rPr>
        <w:t xml:space="preserve"> have been selected. Looking at products within </w:t>
      </w:r>
      <w:r w:rsidR="003E1900">
        <w:rPr>
          <w:noProof/>
          <w:lang w:val="en-IE"/>
        </w:rPr>
        <w:t xml:space="preserve">the </w:t>
      </w:r>
      <w:r w:rsidRPr="00DD0DC9">
        <w:rPr>
          <w:noProof/>
          <w:lang w:val="en-IE"/>
        </w:rPr>
        <w:t xml:space="preserve">scope of the Net-Zero Industry Act, EU manufacturing currently surpasses the benchmark of meeting 40% of EU consumption by domestic manufacturing in </w:t>
      </w:r>
      <w:r w:rsidR="00A17D21">
        <w:rPr>
          <w:noProof/>
          <w:lang w:val="en-IE"/>
        </w:rPr>
        <w:t>six</w:t>
      </w:r>
      <w:r w:rsidRPr="00DD0DC9">
        <w:rPr>
          <w:noProof/>
          <w:lang w:val="en-IE"/>
        </w:rPr>
        <w:t xml:space="preserve"> of 27 technology areas. However, for the vast majority of monitored key components in battery technologies, electrolysers, hydrogen and solar, EU manufacturing capacity still significantly trails the benchmark</w:t>
      </w:r>
      <w:r w:rsidRPr="00DD0DC9">
        <w:rPr>
          <w:rStyle w:val="FootnoteReference"/>
          <w:noProof/>
          <w:lang w:val="en-IE"/>
        </w:rPr>
        <w:footnoteReference w:id="74"/>
      </w:r>
      <w:r w:rsidRPr="00DD0DC9">
        <w:rPr>
          <w:noProof/>
          <w:lang w:val="en-IE"/>
        </w:rPr>
        <w:t xml:space="preserve"> (KPI 2</w:t>
      </w:r>
      <w:r>
        <w:rPr>
          <w:noProof/>
          <w:lang w:val="en-IE"/>
        </w:rPr>
        <w:t>8</w:t>
      </w:r>
      <w:r w:rsidRPr="00DD0DC9">
        <w:rPr>
          <w:noProof/>
          <w:lang w:val="en-IE"/>
        </w:rPr>
        <w:t>).</w:t>
      </w:r>
      <w:r w:rsidR="00DB2017">
        <w:rPr>
          <w:noProof/>
          <w:lang w:val="en-IE"/>
        </w:rPr>
        <w:t xml:space="preserve"> Completing these measures an</w:t>
      </w:r>
      <w:r w:rsidR="00263E43">
        <w:rPr>
          <w:noProof/>
          <w:lang w:val="en-IE"/>
        </w:rPr>
        <w:t>d</w:t>
      </w:r>
      <w:r w:rsidR="00DB2017">
        <w:rPr>
          <w:noProof/>
          <w:lang w:val="en-IE"/>
        </w:rPr>
        <w:t xml:space="preserve"> re-creating a level-playing field for our businesses is the aim of the Industrial Accelerator Act. </w:t>
      </w:r>
    </w:p>
    <w:p w14:paraId="4A7F402D" w14:textId="77777777" w:rsidR="00134CB2" w:rsidRDefault="00134CB2" w:rsidP="00DD0DC9">
      <w:pPr>
        <w:widowControl w:val="0"/>
        <w:spacing w:before="240"/>
        <w:contextualSpacing/>
        <w:mirrorIndents/>
        <w:rPr>
          <w:rFonts w:ascii="Times New Roman" w:hAnsi="Times New Roman" w:cs="Times New Roman"/>
          <w:b/>
          <w:noProof/>
          <w:sz w:val="28"/>
          <w:szCs w:val="28"/>
          <w:shd w:val="clear" w:color="auto" w:fill="FFFFFF"/>
          <w:lang w:val="en-IE"/>
        </w:rPr>
      </w:pPr>
    </w:p>
    <w:p w14:paraId="7C1BA00E" w14:textId="1328161D" w:rsidR="00DD0DC9" w:rsidRPr="00DD0DC9" w:rsidRDefault="00DD0DC9" w:rsidP="00DD0DC9">
      <w:pPr>
        <w:widowControl w:val="0"/>
        <w:spacing w:before="240"/>
        <w:contextualSpacing/>
        <w:mirrorIndents/>
        <w:rPr>
          <w:rFonts w:ascii="Times New Roman" w:eastAsia="Aptos" w:hAnsi="Times New Roman" w:cs="Times New Roman"/>
          <w:b/>
          <w:bCs/>
          <w:noProof/>
          <w:sz w:val="24"/>
          <w:szCs w:val="24"/>
          <w:lang w:val="en-IE"/>
        </w:rPr>
      </w:pPr>
      <w:r w:rsidRPr="00DD0DC9">
        <w:rPr>
          <w:rFonts w:ascii="Times New Roman" w:hAnsi="Times New Roman" w:cs="Times New Roman"/>
          <w:b/>
          <w:noProof/>
          <w:sz w:val="28"/>
          <w:szCs w:val="28"/>
          <w:shd w:val="clear" w:color="auto" w:fill="FFFFFF"/>
          <w:lang w:val="en-IE"/>
        </w:rPr>
        <w:t>Conclusion and way forward</w:t>
      </w:r>
    </w:p>
    <w:p w14:paraId="4AD841C2" w14:textId="20C634CA" w:rsidR="00DD0DC9" w:rsidRPr="00761753" w:rsidRDefault="00DD0DC9" w:rsidP="00DD0DC9">
      <w:pPr>
        <w:widowControl w:val="0"/>
        <w:spacing w:before="240"/>
        <w:jc w:val="both"/>
        <w:rPr>
          <w:rFonts w:ascii="Times New Roman" w:eastAsia="Aptos" w:hAnsi="Times New Roman" w:cs="Times New Roman"/>
          <w:noProof/>
          <w:sz w:val="24"/>
          <w:szCs w:val="24"/>
          <w:lang w:val="en-IE"/>
        </w:rPr>
      </w:pPr>
      <w:r w:rsidRPr="00DD0DC9">
        <w:rPr>
          <w:rFonts w:ascii="Times New Roman" w:eastAsia="Aptos" w:hAnsi="Times New Roman" w:cs="Times New Roman"/>
          <w:b/>
          <w:bCs/>
          <w:noProof/>
          <w:sz w:val="24"/>
          <w:szCs w:val="24"/>
          <w:lang w:val="en-IE"/>
        </w:rPr>
        <w:t xml:space="preserve">The Single Market is the shock absorber and resilience driver needed in uncertain times. </w:t>
      </w:r>
      <w:r w:rsidRPr="00DD0DC9">
        <w:rPr>
          <w:rFonts w:ascii="Times New Roman" w:eastAsia="Aptos" w:hAnsi="Times New Roman" w:cs="Times New Roman"/>
          <w:noProof/>
          <w:sz w:val="24"/>
          <w:szCs w:val="24"/>
          <w:lang w:val="en-IE"/>
        </w:rPr>
        <w:t xml:space="preserve">It is the foundation of Europe’s prosperity, competitiveness, and industry. </w:t>
      </w:r>
      <w:r w:rsidRPr="00761753">
        <w:rPr>
          <w:rFonts w:ascii="Times New Roman" w:eastAsia="Aptos" w:hAnsi="Times New Roman" w:cs="Times New Roman"/>
          <w:noProof/>
          <w:sz w:val="24"/>
          <w:szCs w:val="24"/>
          <w:lang w:val="en-IE"/>
        </w:rPr>
        <w:t xml:space="preserve">Removing remaining barriers </w:t>
      </w:r>
      <w:r w:rsidR="0020056E" w:rsidRPr="00761753">
        <w:rPr>
          <w:rFonts w:ascii="Times New Roman" w:eastAsia="Aptos" w:hAnsi="Times New Roman" w:cs="Times New Roman"/>
          <w:noProof/>
          <w:sz w:val="24"/>
          <w:szCs w:val="24"/>
          <w:lang w:val="en-IE"/>
        </w:rPr>
        <w:t xml:space="preserve">within the </w:t>
      </w:r>
      <w:r w:rsidR="00C620D7" w:rsidRPr="00761753">
        <w:rPr>
          <w:rFonts w:ascii="Times New Roman" w:eastAsia="Aptos" w:hAnsi="Times New Roman" w:cs="Times New Roman"/>
          <w:noProof/>
          <w:sz w:val="24"/>
          <w:szCs w:val="24"/>
          <w:lang w:val="en-IE"/>
        </w:rPr>
        <w:t>S</w:t>
      </w:r>
      <w:r w:rsidR="0020056E" w:rsidRPr="00761753">
        <w:rPr>
          <w:rFonts w:ascii="Times New Roman" w:eastAsia="Aptos" w:hAnsi="Times New Roman" w:cs="Times New Roman"/>
          <w:noProof/>
          <w:sz w:val="24"/>
          <w:szCs w:val="24"/>
          <w:lang w:val="en-IE"/>
        </w:rPr>
        <w:t xml:space="preserve">ingle </w:t>
      </w:r>
      <w:r w:rsidR="00C620D7" w:rsidRPr="00761753">
        <w:rPr>
          <w:rFonts w:ascii="Times New Roman" w:eastAsia="Aptos" w:hAnsi="Times New Roman" w:cs="Times New Roman"/>
          <w:noProof/>
          <w:sz w:val="24"/>
          <w:szCs w:val="24"/>
          <w:lang w:val="en-IE"/>
        </w:rPr>
        <w:t>M</w:t>
      </w:r>
      <w:r w:rsidR="0020056E" w:rsidRPr="00761753">
        <w:rPr>
          <w:rFonts w:ascii="Times New Roman" w:eastAsia="Aptos" w:hAnsi="Times New Roman" w:cs="Times New Roman"/>
          <w:noProof/>
          <w:sz w:val="24"/>
          <w:szCs w:val="24"/>
          <w:lang w:val="en-IE"/>
        </w:rPr>
        <w:t xml:space="preserve">arket could </w:t>
      </w:r>
      <w:r w:rsidRPr="00761753">
        <w:rPr>
          <w:rFonts w:ascii="Times New Roman" w:hAnsi="Times New Roman" w:cs="Times New Roman"/>
          <w:noProof/>
          <w:color w:val="000000" w:themeColor="text1"/>
          <w:sz w:val="24"/>
          <w:szCs w:val="24"/>
          <w:lang w:val="en-IE"/>
        </w:rPr>
        <w:t>lift Europe’s GDP by several percentage.</w:t>
      </w:r>
    </w:p>
    <w:p w14:paraId="655F8604" w14:textId="007B3C16" w:rsidR="00DD0DC9" w:rsidRPr="00DD0DC9" w:rsidRDefault="002B3A30" w:rsidP="00DD0DC9">
      <w:pPr>
        <w:widowControl w:val="0"/>
        <w:jc w:val="both"/>
        <w:rPr>
          <w:rFonts w:ascii="Times New Roman" w:eastAsia="Aptos" w:hAnsi="Times New Roman" w:cs="Times New Roman"/>
          <w:noProof/>
          <w:sz w:val="24"/>
          <w:szCs w:val="24"/>
          <w:lang w:val="en-IE"/>
        </w:rPr>
      </w:pPr>
      <w:r w:rsidRPr="00761753">
        <w:rPr>
          <w:rFonts w:ascii="Times New Roman" w:eastAsia="Aptos" w:hAnsi="Times New Roman" w:cs="Times New Roman"/>
          <w:b/>
          <w:bCs/>
          <w:noProof/>
          <w:sz w:val="24"/>
          <w:szCs w:val="24"/>
          <w:lang w:val="en-IE"/>
        </w:rPr>
        <w:t>Nevertheless</w:t>
      </w:r>
      <w:r w:rsidR="00DD0DC9" w:rsidRPr="00761753">
        <w:rPr>
          <w:rFonts w:ascii="Times New Roman" w:eastAsia="Aptos" w:hAnsi="Times New Roman" w:cs="Times New Roman"/>
          <w:b/>
          <w:bCs/>
          <w:noProof/>
          <w:sz w:val="24"/>
          <w:szCs w:val="24"/>
          <w:lang w:val="en-IE"/>
        </w:rPr>
        <w:t>, persistent challenges remain, and new ones arise amid geopolitical tensions, putting increasing pressure on Europe’s competitiveness.</w:t>
      </w:r>
      <w:r w:rsidR="00DD0DC9" w:rsidRPr="00761753">
        <w:rPr>
          <w:rFonts w:ascii="Times New Roman" w:eastAsia="Aptos" w:hAnsi="Times New Roman" w:cs="Times New Roman"/>
          <w:noProof/>
          <w:sz w:val="24"/>
          <w:szCs w:val="24"/>
          <w:lang w:val="en-IE"/>
        </w:rPr>
        <w:t xml:space="preserve"> Barriers and fragmentation</w:t>
      </w:r>
      <w:r w:rsidR="00DD0DC9" w:rsidRPr="00DD0DC9">
        <w:rPr>
          <w:rFonts w:ascii="Times New Roman" w:eastAsia="Aptos" w:hAnsi="Times New Roman" w:cs="Times New Roman"/>
          <w:noProof/>
          <w:sz w:val="24"/>
          <w:szCs w:val="24"/>
          <w:lang w:val="en-IE"/>
        </w:rPr>
        <w:t xml:space="preserve"> in the Single Market persist. Administrative burdens are too high. Energy prices remain persistently high and weigh on industry. Innovative entrepreneurs continue to lack access to finance at scale. Foreign overcapacities and</w:t>
      </w:r>
      <w:r w:rsidR="005C744F">
        <w:rPr>
          <w:rFonts w:ascii="Times New Roman" w:eastAsia="Aptos" w:hAnsi="Times New Roman" w:cs="Times New Roman"/>
          <w:noProof/>
          <w:sz w:val="24"/>
          <w:szCs w:val="24"/>
          <w:lang w:val="en-IE"/>
        </w:rPr>
        <w:t xml:space="preserve"> third-country</w:t>
      </w:r>
      <w:r w:rsidR="00DD0DC9" w:rsidRPr="00DD0DC9">
        <w:rPr>
          <w:rFonts w:ascii="Times New Roman" w:eastAsia="Aptos" w:hAnsi="Times New Roman" w:cs="Times New Roman"/>
          <w:noProof/>
          <w:sz w:val="24"/>
          <w:szCs w:val="24"/>
          <w:lang w:val="en-IE"/>
        </w:rPr>
        <w:t xml:space="preserve"> state subsidies are increasing and tilt the </w:t>
      </w:r>
      <w:r w:rsidR="005C744F">
        <w:rPr>
          <w:rFonts w:ascii="Times New Roman" w:eastAsia="Aptos" w:hAnsi="Times New Roman" w:cs="Times New Roman"/>
          <w:noProof/>
          <w:sz w:val="24"/>
          <w:szCs w:val="24"/>
          <w:lang w:val="en-IE"/>
        </w:rPr>
        <w:t xml:space="preserve">global </w:t>
      </w:r>
      <w:r w:rsidR="00DD0DC9" w:rsidRPr="00DD0DC9">
        <w:rPr>
          <w:rFonts w:ascii="Times New Roman" w:eastAsia="Aptos" w:hAnsi="Times New Roman" w:cs="Times New Roman"/>
          <w:noProof/>
          <w:sz w:val="24"/>
          <w:szCs w:val="24"/>
          <w:lang w:val="en-IE"/>
        </w:rPr>
        <w:t>playing field</w:t>
      </w:r>
      <w:r w:rsidR="00337CB9">
        <w:rPr>
          <w:rFonts w:ascii="Times New Roman" w:eastAsia="Aptos" w:hAnsi="Times New Roman" w:cs="Times New Roman"/>
          <w:noProof/>
          <w:sz w:val="24"/>
          <w:szCs w:val="24"/>
          <w:lang w:val="en-IE"/>
        </w:rPr>
        <w:t xml:space="preserve"> against Europe</w:t>
      </w:r>
      <w:r w:rsidR="00DD0DC9" w:rsidRPr="00DD0DC9">
        <w:rPr>
          <w:rFonts w:ascii="Times New Roman" w:eastAsia="Aptos" w:hAnsi="Times New Roman" w:cs="Times New Roman"/>
          <w:noProof/>
          <w:sz w:val="24"/>
          <w:szCs w:val="24"/>
          <w:lang w:val="en-IE"/>
        </w:rPr>
        <w:t xml:space="preserve">, while </w:t>
      </w:r>
      <w:r w:rsidR="00B73320">
        <w:rPr>
          <w:rFonts w:ascii="Times New Roman" w:eastAsia="Aptos" w:hAnsi="Times New Roman" w:cs="Times New Roman"/>
          <w:noProof/>
          <w:sz w:val="24"/>
          <w:szCs w:val="24"/>
          <w:lang w:val="en-IE"/>
        </w:rPr>
        <w:t xml:space="preserve">strategic </w:t>
      </w:r>
      <w:r w:rsidR="00DD0DC9" w:rsidRPr="00DD0DC9">
        <w:rPr>
          <w:rFonts w:ascii="Times New Roman" w:eastAsia="Aptos" w:hAnsi="Times New Roman" w:cs="Times New Roman"/>
          <w:noProof/>
          <w:sz w:val="24"/>
          <w:szCs w:val="24"/>
          <w:lang w:val="en-IE"/>
        </w:rPr>
        <w:t>dependencies are being weaponised.</w:t>
      </w:r>
    </w:p>
    <w:p w14:paraId="1CA53FCA" w14:textId="12BCCDA5" w:rsidR="00DD0DC9" w:rsidRPr="00DD0DC9" w:rsidRDefault="00DD0DC9" w:rsidP="00DD0DC9">
      <w:pPr>
        <w:widowControl w:val="0"/>
        <w:jc w:val="both"/>
        <w:rPr>
          <w:noProof/>
          <w:color w:val="000000" w:themeColor="text1"/>
          <w:lang w:val="en-IE"/>
        </w:rPr>
      </w:pPr>
      <w:r w:rsidRPr="00DD0DC9">
        <w:rPr>
          <w:rFonts w:ascii="Times New Roman" w:eastAsia="Aptos" w:hAnsi="Times New Roman" w:cs="Times New Roman"/>
          <w:b/>
          <w:bCs/>
          <w:noProof/>
          <w:sz w:val="24"/>
          <w:szCs w:val="24"/>
          <w:lang w:val="en-IE"/>
        </w:rPr>
        <w:t xml:space="preserve">Against this backdrop, it is urgent to mark a turning point and fully exploit the potential of the Single Market. </w:t>
      </w:r>
      <w:r w:rsidRPr="00DD0DC9">
        <w:rPr>
          <w:rFonts w:ascii="Times New Roman" w:eastAsia="Aptos" w:hAnsi="Times New Roman" w:cs="Times New Roman"/>
          <w:noProof/>
          <w:sz w:val="24"/>
          <w:szCs w:val="24"/>
          <w:lang w:val="en-IE"/>
        </w:rPr>
        <w:t>If we want a strong, independent and prosperous Europe, we need to take a decisive commitment to complete the Single Market and</w:t>
      </w:r>
      <w:r w:rsidRPr="00DD0DC9">
        <w:rPr>
          <w:rFonts w:ascii="Times New Roman" w:hAnsi="Times New Roman" w:cs="Times New Roman"/>
          <w:noProof/>
          <w:color w:val="000000" w:themeColor="text1"/>
          <w:sz w:val="24"/>
          <w:szCs w:val="24"/>
          <w:lang w:val="en-IE"/>
        </w:rPr>
        <w:t xml:space="preserve"> implement the policy actions adopted by the Commission. Annex 2 </w:t>
      </w:r>
      <w:r w:rsidRPr="00B669CB">
        <w:rPr>
          <w:rFonts w:ascii="Times New Roman" w:hAnsi="Times New Roman" w:cs="Times New Roman"/>
          <w:noProof/>
          <w:color w:val="000000" w:themeColor="text1"/>
          <w:sz w:val="24"/>
          <w:szCs w:val="24"/>
          <w:lang w:val="en-IE"/>
        </w:rPr>
        <w:t xml:space="preserve">provides a detailed overview tracking the implementation of the Competitiveness Compass, the Clean Industrial Deal and the Single Market Strategy. Bold action at national and European level </w:t>
      </w:r>
      <w:r w:rsidR="00144506" w:rsidRPr="00B669CB">
        <w:rPr>
          <w:rFonts w:ascii="Times New Roman" w:hAnsi="Times New Roman" w:cs="Times New Roman"/>
          <w:noProof/>
          <w:color w:val="000000" w:themeColor="text1"/>
          <w:sz w:val="24"/>
          <w:szCs w:val="24"/>
          <w:lang w:val="en-IE"/>
        </w:rPr>
        <w:t xml:space="preserve">is </w:t>
      </w:r>
      <w:r w:rsidRPr="00B669CB">
        <w:rPr>
          <w:rFonts w:ascii="Times New Roman" w:hAnsi="Times New Roman" w:cs="Times New Roman"/>
          <w:noProof/>
          <w:color w:val="000000" w:themeColor="text1"/>
          <w:sz w:val="24"/>
          <w:szCs w:val="24"/>
          <w:lang w:val="en-IE"/>
        </w:rPr>
        <w:t>needed to</w:t>
      </w:r>
      <w:r w:rsidRPr="00DD0DC9">
        <w:rPr>
          <w:rFonts w:ascii="Times New Roman" w:hAnsi="Times New Roman" w:cs="Times New Roman"/>
          <w:noProof/>
          <w:color w:val="000000" w:themeColor="text1"/>
          <w:sz w:val="24"/>
          <w:szCs w:val="24"/>
          <w:lang w:val="en-IE"/>
        </w:rPr>
        <w:t xml:space="preserve"> complete the Single Market, close the innovation gap, foster investments and decarbonisation and strengthen the resilience of supply chains. </w:t>
      </w:r>
    </w:p>
    <w:p w14:paraId="0C037346" w14:textId="526D2606" w:rsidR="00A72A99" w:rsidRPr="00761753" w:rsidRDefault="00DD0DC9" w:rsidP="00A72A99">
      <w:pPr>
        <w:pStyle w:val="Text1"/>
        <w:widowControl w:val="0"/>
        <w:spacing w:after="160"/>
        <w:ind w:left="0"/>
        <w:rPr>
          <w:noProof/>
        </w:rPr>
      </w:pPr>
      <w:r w:rsidRPr="00DD0DC9">
        <w:rPr>
          <w:rFonts w:eastAsia="Aptos"/>
          <w:b/>
          <w:bCs/>
          <w:noProof/>
          <w:lang w:val="en-IE"/>
        </w:rPr>
        <w:t xml:space="preserve">A new impetus is underway to remove barriers in the Single Market at both national and European level and to reduce administrative burdens. </w:t>
      </w:r>
      <w:r w:rsidRPr="00DD0DC9">
        <w:rPr>
          <w:rFonts w:eastAsia="Aptos"/>
          <w:noProof/>
          <w:lang w:val="en-IE"/>
        </w:rPr>
        <w:t xml:space="preserve">The Single Market Strategy has identified the ‘Terrible Ten’ as the most significant barriers for businesses, workers and citizens in the Single Market, to </w:t>
      </w:r>
      <w:r w:rsidRPr="00761753">
        <w:rPr>
          <w:rFonts w:eastAsia="Aptos"/>
          <w:noProof/>
          <w:lang w:val="en-IE"/>
        </w:rPr>
        <w:t xml:space="preserve">be addressed as a top priority. These barriers originate at </w:t>
      </w:r>
      <w:r w:rsidR="009A16BB" w:rsidRPr="00761753">
        <w:rPr>
          <w:rFonts w:eastAsia="Aptos"/>
          <w:noProof/>
          <w:lang w:val="en-IE"/>
        </w:rPr>
        <w:t xml:space="preserve">both </w:t>
      </w:r>
      <w:r w:rsidRPr="00761753">
        <w:rPr>
          <w:rFonts w:eastAsia="Aptos"/>
          <w:noProof/>
          <w:lang w:val="en-IE"/>
        </w:rPr>
        <w:t xml:space="preserve">the European and national level and therefore require bold action at both levels. The Commission is working with Member States to unpack and address the most pressing barriers at the national level. The first annual </w:t>
      </w:r>
      <w:r w:rsidR="00D3148F" w:rsidRPr="00761753">
        <w:rPr>
          <w:rFonts w:eastAsia="Aptos"/>
          <w:noProof/>
          <w:lang w:val="en-IE"/>
        </w:rPr>
        <w:t xml:space="preserve">Single Market </w:t>
      </w:r>
      <w:r w:rsidRPr="00761753">
        <w:rPr>
          <w:rFonts w:eastAsia="Aptos"/>
          <w:noProof/>
          <w:lang w:val="en-IE"/>
        </w:rPr>
        <w:t>Enforcement</w:t>
      </w:r>
      <w:r w:rsidRPr="00DD0DC9">
        <w:rPr>
          <w:rFonts w:eastAsia="Aptos"/>
          <w:noProof/>
          <w:lang w:val="en-IE"/>
        </w:rPr>
        <w:t xml:space="preserve"> Agenda lines out the enforcement priorities for 2026. At the European level, the upcoming Product Act, Construction Services Act and Delivery Act will enhance the functioning of the Single Market. The Public </w:t>
      </w:r>
      <w:r w:rsidRPr="00B669CB">
        <w:rPr>
          <w:rFonts w:eastAsia="Aptos"/>
          <w:noProof/>
          <w:lang w:val="en-IE"/>
        </w:rPr>
        <w:t xml:space="preserve">Procurement Act will simplify and accelerate </w:t>
      </w:r>
      <w:r w:rsidRPr="00761753">
        <w:rPr>
          <w:rFonts w:eastAsia="Aptos"/>
          <w:noProof/>
          <w:lang w:val="en-IE"/>
        </w:rPr>
        <w:t>procedures, ensuring best use of the 15% of GDP spen</w:t>
      </w:r>
      <w:r w:rsidR="00442CD1" w:rsidRPr="00761753">
        <w:rPr>
          <w:rFonts w:eastAsia="Aptos"/>
          <w:noProof/>
          <w:lang w:val="en-IE"/>
        </w:rPr>
        <w:t>t</w:t>
      </w:r>
      <w:r w:rsidR="008D333E" w:rsidRPr="00761753">
        <w:rPr>
          <w:rFonts w:eastAsia="Aptos"/>
          <w:noProof/>
          <w:lang w:val="en-IE"/>
        </w:rPr>
        <w:t xml:space="preserve"> via public procurement</w:t>
      </w:r>
      <w:r w:rsidRPr="00761753">
        <w:rPr>
          <w:rFonts w:eastAsia="Aptos"/>
          <w:noProof/>
          <w:lang w:val="en-IE"/>
        </w:rPr>
        <w:t>. The Commission has already brought forward simplification propos</w:t>
      </w:r>
      <w:r w:rsidR="000C52A1">
        <w:rPr>
          <w:rFonts w:eastAsia="Aptos"/>
          <w:noProof/>
          <w:lang w:val="en-IE"/>
        </w:rPr>
        <w:t>als</w:t>
      </w:r>
      <w:r>
        <w:rPr>
          <w:rFonts w:eastAsia="Aptos"/>
          <w:noProof/>
          <w:lang w:val="en-IE"/>
        </w:rPr>
        <w:t>, ten omnibus packages</w:t>
      </w:r>
      <w:r>
        <w:rPr>
          <w:noProof/>
        </w:rPr>
        <w:t xml:space="preserve"> </w:t>
      </w:r>
      <w:r>
        <w:rPr>
          <w:rFonts w:eastAsia="Aptos"/>
          <w:noProof/>
          <w:lang w:val="en-IE"/>
        </w:rPr>
        <w:t>and additional initiatives expected to cut annual administrative burdens by EUR 15 bn;</w:t>
      </w:r>
      <w:r w:rsidR="007144FF" w:rsidRPr="007144FF">
        <w:rPr>
          <w:rFonts w:eastAsia="Aptos"/>
          <w:noProof/>
          <w:lang w:val="en-IE"/>
        </w:rPr>
        <w:t xml:space="preserve"> </w:t>
      </w:r>
      <w:r w:rsidRPr="00761753">
        <w:rPr>
          <w:rFonts w:eastAsia="Aptos"/>
          <w:noProof/>
          <w:lang w:val="en-IE"/>
        </w:rPr>
        <w:t>more will come in 2026</w:t>
      </w:r>
      <w:r w:rsidR="00A72A99" w:rsidRPr="00761753">
        <w:rPr>
          <w:noProof/>
          <w:lang w:val="en-IE"/>
        </w:rPr>
        <w:t>. Under the next Multiannual Financial Framework, the National and Regional Partnership Plans will include relevant reforms to further remove barriers, notably by improving the efficiency and digitalisation of public procedures.</w:t>
      </w:r>
    </w:p>
    <w:p w14:paraId="4339AB17" w14:textId="37D043CB" w:rsidR="00FE3548" w:rsidRPr="00DD0DC9" w:rsidRDefault="00FE3548" w:rsidP="00DD0DC9">
      <w:pPr>
        <w:pStyle w:val="Text1"/>
        <w:widowControl w:val="0"/>
        <w:spacing w:after="160"/>
        <w:ind w:left="0"/>
        <w:rPr>
          <w:rFonts w:eastAsia="Aptos"/>
          <w:b/>
          <w:noProof/>
          <w:lang w:val="en-IE"/>
        </w:rPr>
      </w:pPr>
      <w:r w:rsidRPr="00761753">
        <w:rPr>
          <w:b/>
          <w:bCs/>
          <w:noProof/>
        </w:rPr>
        <w:t>This work on barriers, fragmentation and</w:t>
      </w:r>
      <w:r w:rsidRPr="00752EBF">
        <w:rPr>
          <w:b/>
          <w:bCs/>
          <w:noProof/>
        </w:rPr>
        <w:t xml:space="preserve"> administrative burden needs to be accompanied by </w:t>
      </w:r>
      <w:r w:rsidR="00752EBF">
        <w:rPr>
          <w:b/>
          <w:bCs/>
          <w:noProof/>
        </w:rPr>
        <w:t>ren</w:t>
      </w:r>
      <w:r w:rsidRPr="00752EBF">
        <w:rPr>
          <w:b/>
          <w:bCs/>
          <w:noProof/>
        </w:rPr>
        <w:t>ew</w:t>
      </w:r>
      <w:r w:rsidR="00752EBF">
        <w:rPr>
          <w:b/>
          <w:bCs/>
          <w:noProof/>
        </w:rPr>
        <w:t>ed</w:t>
      </w:r>
      <w:r w:rsidRPr="00752EBF">
        <w:rPr>
          <w:b/>
          <w:bCs/>
          <w:noProof/>
        </w:rPr>
        <w:t xml:space="preserve"> ambition</w:t>
      </w:r>
      <w:r w:rsidR="00752EBF">
        <w:rPr>
          <w:noProof/>
        </w:rPr>
        <w:t xml:space="preserve">. We need </w:t>
      </w:r>
      <w:r>
        <w:rPr>
          <w:noProof/>
        </w:rPr>
        <w:t xml:space="preserve">to complete the Single Market in those sectors that were left aside by Jacques Delors 35 years ago and still operate along national lines. Key </w:t>
      </w:r>
      <w:r w:rsidR="00752EBF">
        <w:rPr>
          <w:noProof/>
        </w:rPr>
        <w:t>measures</w:t>
      </w:r>
      <w:r>
        <w:rPr>
          <w:noProof/>
        </w:rPr>
        <w:t xml:space="preserve"> are needed to set uniform rules for a predictable environment with scale for citizens and businesses alike in </w:t>
      </w:r>
      <w:r w:rsidRPr="00191161">
        <w:rPr>
          <w:noProof/>
          <w:lang w:val="en-IE"/>
        </w:rPr>
        <w:t>telecoms, energy, services, capital, company law, research and innovation</w:t>
      </w:r>
      <w:r>
        <w:rPr>
          <w:noProof/>
          <w:lang w:val="en-IE"/>
        </w:rPr>
        <w:t xml:space="preserve">. Creating political ownership and commitment to this endeavour will </w:t>
      </w:r>
      <w:r>
        <w:rPr>
          <w:noProof/>
        </w:rPr>
        <w:t>be the purpose of the Single Market Roadmap.</w:t>
      </w:r>
    </w:p>
    <w:p w14:paraId="5CF76942" w14:textId="12E1F831" w:rsidR="00DD0DC9" w:rsidRPr="00DD0DC9" w:rsidRDefault="00DD0DC9" w:rsidP="00DD0DC9">
      <w:pPr>
        <w:pStyle w:val="Text1"/>
        <w:widowControl w:val="0"/>
        <w:spacing w:after="160"/>
        <w:ind w:left="0"/>
        <w:rPr>
          <w:noProof/>
          <w:lang w:val="en-IE"/>
        </w:rPr>
      </w:pPr>
      <w:r w:rsidRPr="00DD0DC9">
        <w:rPr>
          <w:b/>
          <w:bCs/>
          <w:noProof/>
          <w:lang w:val="en-IE"/>
        </w:rPr>
        <w:t xml:space="preserve">The Commission is putting forward measures to close the innovation gap. </w:t>
      </w:r>
      <w:r w:rsidRPr="00DD0DC9">
        <w:rPr>
          <w:noProof/>
          <w:lang w:val="en-IE"/>
        </w:rPr>
        <w:t>The 28</w:t>
      </w:r>
      <w:r w:rsidRPr="00DD0DC9">
        <w:rPr>
          <w:noProof/>
          <w:vertAlign w:val="superscript"/>
          <w:lang w:val="en-IE"/>
        </w:rPr>
        <w:t>th</w:t>
      </w:r>
      <w:r w:rsidRPr="00DD0DC9">
        <w:rPr>
          <w:noProof/>
          <w:lang w:val="en-IE"/>
        </w:rPr>
        <w:t xml:space="preserve"> regime </w:t>
      </w:r>
      <w:r>
        <w:rPr>
          <w:noProof/>
          <w:lang w:val="en-IE"/>
        </w:rPr>
        <w:t xml:space="preserve">(EU Inc.) </w:t>
      </w:r>
      <w:r w:rsidRPr="00DD0DC9">
        <w:rPr>
          <w:noProof/>
          <w:lang w:val="en-IE"/>
        </w:rPr>
        <w:t xml:space="preserve">will provide a single set of rules </w:t>
      </w:r>
      <w:r w:rsidR="00AD3A46">
        <w:rPr>
          <w:noProof/>
          <w:lang w:val="en-IE"/>
        </w:rPr>
        <w:t xml:space="preserve">for </w:t>
      </w:r>
      <w:r w:rsidRPr="00DD0DC9">
        <w:rPr>
          <w:noProof/>
          <w:lang w:val="en-IE"/>
        </w:rPr>
        <w:t>companies</w:t>
      </w:r>
      <w:r w:rsidR="003E7F79">
        <w:rPr>
          <w:noProof/>
          <w:lang w:val="en-IE"/>
        </w:rPr>
        <w:t xml:space="preserve"> </w:t>
      </w:r>
      <w:r w:rsidR="00054ED6">
        <w:rPr>
          <w:noProof/>
          <w:lang w:val="en-IE"/>
        </w:rPr>
        <w:t xml:space="preserve">to </w:t>
      </w:r>
      <w:r w:rsidR="00C41652">
        <w:rPr>
          <w:noProof/>
          <w:lang w:val="en-IE"/>
        </w:rPr>
        <w:t xml:space="preserve">set up, operate and </w:t>
      </w:r>
      <w:r w:rsidR="00054ED6">
        <w:rPr>
          <w:noProof/>
          <w:lang w:val="en-IE"/>
        </w:rPr>
        <w:t>grow</w:t>
      </w:r>
      <w:r w:rsidRPr="00DD0DC9">
        <w:rPr>
          <w:noProof/>
          <w:lang w:val="en-IE"/>
        </w:rPr>
        <w:t xml:space="preserve"> throughout the EU, creating fertile ground for start-ups, scale-ups and European unicorns. </w:t>
      </w:r>
      <w:r>
        <w:rPr>
          <w:noProof/>
          <w:lang w:val="en-IE"/>
        </w:rPr>
        <w:t>The European Innovation Act will expedite the market journey for innovations across sectors, while the multi-billion Scaleup Europe Fund will partner with private investors to aid company growth. The European Research Area Act will seek to remove barriers to knowledge sharing and promote the 5</w:t>
      </w:r>
      <w:r>
        <w:rPr>
          <w:noProof/>
          <w:vertAlign w:val="superscript"/>
          <w:lang w:val="en-IE"/>
        </w:rPr>
        <w:t>th</w:t>
      </w:r>
      <w:r>
        <w:rPr>
          <w:noProof/>
          <w:lang w:val="en-IE"/>
        </w:rPr>
        <w:t xml:space="preserve"> freedom. </w:t>
      </w:r>
      <w:r w:rsidRPr="00DD0DC9">
        <w:rPr>
          <w:noProof/>
          <w:lang w:val="en-IE"/>
        </w:rPr>
        <w:t>The Digital Networks Act will reduce fragmentation in the Single Market. The</w:t>
      </w:r>
      <w:r w:rsidR="00E749E7">
        <w:rPr>
          <w:noProof/>
          <w:lang w:val="en-IE"/>
        </w:rPr>
        <w:t xml:space="preserve"> </w:t>
      </w:r>
      <w:r w:rsidRPr="00DD0DC9">
        <w:rPr>
          <w:noProof/>
          <w:lang w:val="en-IE"/>
        </w:rPr>
        <w:t>Cybersecurity Act</w:t>
      </w:r>
      <w:r w:rsidR="0053103C">
        <w:rPr>
          <w:noProof/>
          <w:lang w:val="en-IE"/>
        </w:rPr>
        <w:t>, the</w:t>
      </w:r>
      <w:r w:rsidRPr="00DD0DC9">
        <w:rPr>
          <w:noProof/>
          <w:lang w:val="en-IE"/>
        </w:rPr>
        <w:t xml:space="preserve"> Quantum Act </w:t>
      </w:r>
      <w:r w:rsidR="009D1247" w:rsidRPr="009D1247">
        <w:rPr>
          <w:noProof/>
          <w:lang w:val="en-IE"/>
        </w:rPr>
        <w:t xml:space="preserve">and the Cloud and AI Development Act </w:t>
      </w:r>
      <w:r w:rsidRPr="00DD0DC9">
        <w:rPr>
          <w:noProof/>
          <w:lang w:val="en-IE"/>
        </w:rPr>
        <w:t>will strengthen the sovereignty and security of European technologies and infrastructures</w:t>
      </w:r>
      <w:r w:rsidRPr="00DD0DC9">
        <w:rPr>
          <w:b/>
          <w:bCs/>
          <w:noProof/>
          <w:lang w:val="en-IE"/>
        </w:rPr>
        <w:t>.</w:t>
      </w:r>
      <w:r w:rsidR="00BB0F30" w:rsidDel="00021F39">
        <w:rPr>
          <w:noProof/>
          <w:lang w:val="en-IE"/>
        </w:rPr>
        <w:t xml:space="preserve"> T</w:t>
      </w:r>
      <w:r w:rsidR="00BB0F30" w:rsidRPr="00226D1E" w:rsidDel="00021F39">
        <w:rPr>
          <w:noProof/>
          <w:lang w:val="en-IE"/>
        </w:rPr>
        <w:t xml:space="preserve">he </w:t>
      </w:r>
      <w:r w:rsidR="00BB0F30" w:rsidRPr="00226D1E">
        <w:rPr>
          <w:noProof/>
          <w:lang w:val="en-IE"/>
        </w:rPr>
        <w:t>implementation of the Union of Skills</w:t>
      </w:r>
      <w:r w:rsidR="00021F39">
        <w:rPr>
          <w:noProof/>
          <w:lang w:val="en-IE"/>
        </w:rPr>
        <w:t xml:space="preserve"> </w:t>
      </w:r>
      <w:r w:rsidR="00BE7E91">
        <w:rPr>
          <w:noProof/>
          <w:lang w:val="en-IE"/>
        </w:rPr>
        <w:t xml:space="preserve">aims </w:t>
      </w:r>
      <w:r w:rsidR="00BE7E91" w:rsidRPr="006771C1">
        <w:rPr>
          <w:noProof/>
          <w:lang w:val="en-IE"/>
        </w:rPr>
        <w:t>to</w:t>
      </w:r>
      <w:r w:rsidR="00021F39" w:rsidRPr="006771C1">
        <w:rPr>
          <w:noProof/>
          <w:lang w:val="en-IE"/>
        </w:rPr>
        <w:t xml:space="preserve"> build</w:t>
      </w:r>
      <w:r w:rsidR="00021F39">
        <w:rPr>
          <w:noProof/>
          <w:lang w:val="en-IE"/>
        </w:rPr>
        <w:t xml:space="preserve"> skills for quality jobs</w:t>
      </w:r>
      <w:r w:rsidR="007C5293">
        <w:rPr>
          <w:noProof/>
          <w:lang w:val="en-IE"/>
        </w:rPr>
        <w:t>.</w:t>
      </w:r>
    </w:p>
    <w:p w14:paraId="1A8DFC98" w14:textId="23F3652E" w:rsidR="00DD0DC9" w:rsidRPr="007920AC" w:rsidRDefault="00DD0DC9" w:rsidP="00404EB6">
      <w:pPr>
        <w:pStyle w:val="Text1"/>
        <w:spacing w:after="160"/>
        <w:ind w:left="0"/>
        <w:rPr>
          <w:noProof/>
          <w:lang w:val="en-IE"/>
        </w:rPr>
      </w:pPr>
      <w:r w:rsidRPr="00DD0DC9">
        <w:rPr>
          <w:b/>
          <w:bCs/>
          <w:noProof/>
          <w:lang w:val="en-IE"/>
        </w:rPr>
        <w:t xml:space="preserve">Targeted industrial policies </w:t>
      </w:r>
      <w:r w:rsidRPr="0008472B">
        <w:rPr>
          <w:b/>
          <w:bCs/>
          <w:noProof/>
          <w:lang w:val="en-IE"/>
        </w:rPr>
        <w:t xml:space="preserve">are setting </w:t>
      </w:r>
      <w:r w:rsidR="00625E0F" w:rsidRPr="0008472B">
        <w:rPr>
          <w:b/>
          <w:bCs/>
          <w:noProof/>
          <w:lang w:val="en-IE"/>
        </w:rPr>
        <w:t xml:space="preserve">the </w:t>
      </w:r>
      <w:r w:rsidRPr="0008472B">
        <w:rPr>
          <w:b/>
          <w:bCs/>
          <w:noProof/>
          <w:lang w:val="en-IE"/>
        </w:rPr>
        <w:t xml:space="preserve">stage for the re-industrialisation of Europe. </w:t>
      </w:r>
      <w:r w:rsidRPr="0008472B">
        <w:rPr>
          <w:noProof/>
          <w:lang w:val="en-IE"/>
        </w:rPr>
        <w:t xml:space="preserve">The Industrial Accelerator Act </w:t>
      </w:r>
      <w:r w:rsidR="007B5677" w:rsidRPr="0008472B">
        <w:rPr>
          <w:noProof/>
          <w:lang w:val="en-IE"/>
        </w:rPr>
        <w:t>will boost economic security and industrial capacities in key strategic sectors.</w:t>
      </w:r>
      <w:r w:rsidRPr="0008472B">
        <w:rPr>
          <w:noProof/>
          <w:lang w:val="en-IE"/>
        </w:rPr>
        <w:t xml:space="preserve"> The Battery Booster mobilises EUR 1.8 bn to strengthen battery manufacturing and the automotive industry in Europe. </w:t>
      </w:r>
      <w:r w:rsidR="0049152A">
        <w:rPr>
          <w:noProof/>
          <w:lang w:val="en-IE"/>
        </w:rPr>
        <w:t>Besides</w:t>
      </w:r>
      <w:r w:rsidR="00AC0CAB">
        <w:rPr>
          <w:noProof/>
          <w:lang w:val="en-IE"/>
        </w:rPr>
        <w:t xml:space="preserve"> these initiatives, t</w:t>
      </w:r>
      <w:r w:rsidRPr="005B4F13">
        <w:rPr>
          <w:noProof/>
          <w:lang w:val="en-IE"/>
        </w:rPr>
        <w:t>he accelerated build-out of clean energy will pave the way for lower energy costs.</w:t>
      </w:r>
      <w:r w:rsidR="00BA0389" w:rsidRPr="00BA0389">
        <w:rPr>
          <w:noProof/>
        </w:rPr>
        <w:t xml:space="preserve"> </w:t>
      </w:r>
      <w:r w:rsidR="00DC5C99">
        <w:rPr>
          <w:noProof/>
          <w:lang w:val="en-IE"/>
        </w:rPr>
        <w:t>E</w:t>
      </w:r>
      <w:r w:rsidR="00DC5C99" w:rsidRPr="00BA0389">
        <w:rPr>
          <w:noProof/>
          <w:lang w:val="en-IE"/>
        </w:rPr>
        <w:t>ffective follow up on the Commission’s recommendations and</w:t>
      </w:r>
      <w:r w:rsidR="00DC5C99">
        <w:rPr>
          <w:noProof/>
          <w:lang w:val="en-IE"/>
        </w:rPr>
        <w:t xml:space="preserve"> </w:t>
      </w:r>
      <w:r w:rsidR="00DC5C99" w:rsidRPr="00BA0389">
        <w:rPr>
          <w:noProof/>
          <w:lang w:val="en-IE"/>
        </w:rPr>
        <w:t xml:space="preserve">legislative proposals </w:t>
      </w:r>
      <w:r w:rsidR="00DC5C99">
        <w:rPr>
          <w:noProof/>
          <w:lang w:val="en-IE"/>
        </w:rPr>
        <w:t>under the Savings and Investments Union will support</w:t>
      </w:r>
      <w:r w:rsidR="00DC5C99" w:rsidRPr="00BA0389">
        <w:rPr>
          <w:noProof/>
          <w:lang w:val="en-IE"/>
        </w:rPr>
        <w:t xml:space="preserve"> EU businesses</w:t>
      </w:r>
      <w:r w:rsidR="00DC5C99">
        <w:rPr>
          <w:noProof/>
          <w:lang w:val="en-IE"/>
        </w:rPr>
        <w:t xml:space="preserve"> in accessing investment </w:t>
      </w:r>
      <w:r w:rsidR="00DC5C99" w:rsidRPr="00BA0389">
        <w:rPr>
          <w:noProof/>
          <w:lang w:val="en-IE"/>
        </w:rPr>
        <w:t>capital</w:t>
      </w:r>
      <w:r w:rsidR="00DC5C99">
        <w:rPr>
          <w:noProof/>
          <w:lang w:val="en-IE"/>
        </w:rPr>
        <w:t>.</w:t>
      </w:r>
    </w:p>
    <w:p w14:paraId="5420111C" w14:textId="4A491CA4" w:rsidR="00DD0DC9" w:rsidRDefault="00DD0DC9" w:rsidP="00404EB6">
      <w:pPr>
        <w:pStyle w:val="Text1"/>
        <w:ind w:left="0"/>
        <w:rPr>
          <w:rFonts w:eastAsia="Aptos"/>
          <w:noProof/>
          <w:lang w:val="en-IE"/>
        </w:rPr>
      </w:pPr>
      <w:r w:rsidRPr="005250B1">
        <w:rPr>
          <w:b/>
          <w:bCs/>
          <w:noProof/>
          <w:lang w:val="en-IE"/>
        </w:rPr>
        <w:t>The Commission is actively addressing vulnerabilities and strengthening the resilience</w:t>
      </w:r>
      <w:r w:rsidRPr="00DD0DC9">
        <w:rPr>
          <w:b/>
          <w:bCs/>
          <w:noProof/>
          <w:lang w:val="en-IE"/>
        </w:rPr>
        <w:t xml:space="preserve"> of supply chain</w:t>
      </w:r>
      <w:r w:rsidRPr="004869AC">
        <w:rPr>
          <w:b/>
          <w:noProof/>
          <w:lang w:val="en-IE"/>
        </w:rPr>
        <w:t>s</w:t>
      </w:r>
      <w:r w:rsidRPr="004869AC">
        <w:rPr>
          <w:noProof/>
          <w:lang w:val="en-IE"/>
        </w:rPr>
        <w:t>.</w:t>
      </w:r>
      <w:r w:rsidRPr="00DD0DC9">
        <w:rPr>
          <w:b/>
          <w:bCs/>
          <w:noProof/>
          <w:lang w:val="en-IE"/>
        </w:rPr>
        <w:t xml:space="preserve"> </w:t>
      </w:r>
      <w:r w:rsidRPr="00DD0DC9">
        <w:rPr>
          <w:noProof/>
          <w:lang w:val="en-IE"/>
        </w:rPr>
        <w:t xml:space="preserve">The RESourceEU Action Plan tackles Europe’s overdependence on third country suppliers of critical raw materials. It </w:t>
      </w:r>
      <w:r w:rsidR="00FE4E0C">
        <w:rPr>
          <w:noProof/>
          <w:lang w:val="en-IE"/>
        </w:rPr>
        <w:t>also</w:t>
      </w:r>
      <w:r w:rsidRPr="00DD0DC9">
        <w:rPr>
          <w:noProof/>
          <w:lang w:val="en-IE"/>
        </w:rPr>
        <w:t xml:space="preserve"> accelerates EU-relevant projects with the </w:t>
      </w:r>
      <w:r w:rsidRPr="00716889">
        <w:rPr>
          <w:noProof/>
          <w:lang w:val="en-IE"/>
        </w:rPr>
        <w:t>potential to reduce dependencies by up to 50% by 2029, mobilising up to EUR 3 bn in 2026 to this end.</w:t>
      </w:r>
      <w:r w:rsidRPr="00716889">
        <w:rPr>
          <w:rFonts w:eastAsia="Aptos"/>
          <w:noProof/>
          <w:lang w:val="en-IE"/>
        </w:rPr>
        <w:t xml:space="preserve"> </w:t>
      </w:r>
      <w:r w:rsidR="003B405E" w:rsidRPr="00191161">
        <w:rPr>
          <w:rFonts w:eastAsia="Aptos"/>
          <w:noProof/>
          <w:lang w:val="en-IE"/>
        </w:rPr>
        <w:t>Furthermore, t</w:t>
      </w:r>
      <w:r w:rsidR="00051E7A" w:rsidRPr="00191161">
        <w:rPr>
          <w:rFonts w:eastAsia="Aptos"/>
          <w:noProof/>
          <w:lang w:val="en-IE"/>
        </w:rPr>
        <w:t xml:space="preserve">he Commission will </w:t>
      </w:r>
      <w:r w:rsidR="00A0307A" w:rsidRPr="00191161">
        <w:rPr>
          <w:rFonts w:eastAsia="Aptos"/>
          <w:noProof/>
          <w:lang w:val="en-IE"/>
        </w:rPr>
        <w:t xml:space="preserve">work to facilitate a steady supply of critical raw materials to EU industries through rapidly deploying the </w:t>
      </w:r>
      <w:r w:rsidR="00A0307A" w:rsidRPr="00761753">
        <w:rPr>
          <w:rFonts w:eastAsia="Aptos"/>
          <w:noProof/>
          <w:lang w:val="en-IE"/>
        </w:rPr>
        <w:t>instruments at its disposal (e.g. the Anti-Coercion Instrument) in cases</w:t>
      </w:r>
      <w:r w:rsidR="00051E7A" w:rsidRPr="00761753">
        <w:rPr>
          <w:rFonts w:eastAsia="Aptos"/>
          <w:noProof/>
          <w:lang w:val="en-IE"/>
        </w:rPr>
        <w:t xml:space="preserve"> when a third country restricts the supplies of critical raw materials to the EU</w:t>
      </w:r>
      <w:r w:rsidR="00BC6104" w:rsidRPr="00761753">
        <w:rPr>
          <w:rFonts w:eastAsia="Aptos"/>
          <w:noProof/>
          <w:lang w:val="en-IE"/>
        </w:rPr>
        <w:t>, conditioning access to the Single Market</w:t>
      </w:r>
      <w:r w:rsidR="006C4003" w:rsidRPr="00761753">
        <w:rPr>
          <w:rFonts w:eastAsia="Aptos"/>
          <w:noProof/>
          <w:lang w:val="en-IE"/>
        </w:rPr>
        <w:t>.</w:t>
      </w:r>
      <w:r w:rsidR="00A01A5C" w:rsidRPr="00761753">
        <w:rPr>
          <w:rFonts w:eastAsia="Aptos"/>
          <w:noProof/>
          <w:lang w:val="en-IE"/>
        </w:rPr>
        <w:t xml:space="preserve"> </w:t>
      </w:r>
      <w:r w:rsidRPr="00761753">
        <w:rPr>
          <w:rFonts w:eastAsia="Aptos"/>
          <w:noProof/>
          <w:kern w:val="2"/>
          <w:lang w:val="en-IE"/>
          <w14:ligatures w14:val="standardContextual"/>
        </w:rPr>
        <w:t>The EU is putting in place frameworks to ensure that FDI creates European value added</w:t>
      </w:r>
      <w:r w:rsidRPr="00761753">
        <w:rPr>
          <w:noProof/>
          <w:lang w:val="en-IE"/>
        </w:rPr>
        <w:t xml:space="preserve">. </w:t>
      </w:r>
      <w:r>
        <w:rPr>
          <w:noProof/>
          <w:lang w:val="en-IE"/>
        </w:rPr>
        <w:t xml:space="preserve">The Commission will propose targeted measures to ensure availability of aluminium scrap and, if necessary, additional measures to ensure availability of other metal scrap and black mass to strengthen strategic capacities. </w:t>
      </w:r>
      <w:r w:rsidRPr="00DD0DC9">
        <w:rPr>
          <w:noProof/>
          <w:lang w:val="en-IE"/>
        </w:rPr>
        <w:t xml:space="preserve">Efforts to advance on further free trade agreements will diversify supply chains and create new opportunities for businesses. </w:t>
      </w:r>
    </w:p>
    <w:p w14:paraId="3341E007" w14:textId="49B3E3B2" w:rsidR="00BB4C6F" w:rsidRPr="00404EB6" w:rsidRDefault="00DE1B14" w:rsidP="007170F2">
      <w:pPr>
        <w:spacing w:after="200" w:line="276" w:lineRule="auto"/>
        <w:jc w:val="both"/>
        <w:rPr>
          <w:rFonts w:ascii="Times New Roman" w:eastAsia="Times New Roman" w:hAnsi="Times New Roman" w:cs="Times New Roman"/>
          <w:noProof/>
          <w:sz w:val="24"/>
          <w:szCs w:val="24"/>
          <w:lang w:val="en-IE" w:eastAsia="en-IE"/>
          <w14:ligatures w14:val="none"/>
        </w:rPr>
      </w:pPr>
      <w:r w:rsidRPr="00404EB6">
        <w:rPr>
          <w:rFonts w:ascii="Times New Roman" w:eastAsia="Times New Roman" w:hAnsi="Times New Roman" w:cs="Times New Roman"/>
          <w:b/>
          <w:bCs/>
          <w:noProof/>
          <w:sz w:val="24"/>
          <w:szCs w:val="24"/>
          <w:lang w:val="en-IE" w:eastAsia="en-IE"/>
          <w14:ligatures w14:val="none"/>
        </w:rPr>
        <w:t>Mastering</w:t>
      </w:r>
      <w:r w:rsidRPr="00404EB6" w:rsidDel="00926222">
        <w:rPr>
          <w:rFonts w:ascii="Times New Roman" w:eastAsia="Times New Roman" w:hAnsi="Times New Roman" w:cs="Times New Roman"/>
          <w:b/>
          <w:bCs/>
          <w:noProof/>
          <w:sz w:val="24"/>
          <w:szCs w:val="24"/>
          <w:lang w:val="en-IE" w:eastAsia="en-IE"/>
          <w14:ligatures w14:val="none"/>
        </w:rPr>
        <w:t xml:space="preserve"> </w:t>
      </w:r>
      <w:r w:rsidRPr="00404EB6">
        <w:rPr>
          <w:rFonts w:ascii="Times New Roman" w:eastAsia="Times New Roman" w:hAnsi="Times New Roman" w:cs="Times New Roman"/>
          <w:b/>
          <w:bCs/>
          <w:noProof/>
          <w:sz w:val="24"/>
          <w:szCs w:val="24"/>
          <w:lang w:val="en-IE" w:eastAsia="en-IE"/>
          <w14:ligatures w14:val="none"/>
        </w:rPr>
        <w:t>today’s challenging environment requires prompt, joint and coordinated action at the European and national level.</w:t>
      </w:r>
      <w:r w:rsidRPr="00404EB6">
        <w:rPr>
          <w:rFonts w:ascii="Times New Roman" w:eastAsia="Times New Roman" w:hAnsi="Times New Roman" w:cs="Times New Roman"/>
          <w:noProof/>
          <w:sz w:val="24"/>
          <w:szCs w:val="24"/>
          <w:lang w:val="en-IE" w:eastAsia="en-IE"/>
          <w14:ligatures w14:val="none"/>
        </w:rPr>
        <w:t xml:space="preserve"> The 2026 Annual Single Market and Competitiveness Report will act as a foundation for policy debates with the Council, the European Parliament, Member States and the business community.</w:t>
      </w:r>
    </w:p>
    <w:sectPr w:rsidR="00BB4C6F" w:rsidRPr="00404EB6" w:rsidSect="00DD0DC9">
      <w:headerReference w:type="even" r:id="rId22"/>
      <w:headerReference w:type="default" r:id="rId23"/>
      <w:footerReference w:type="even" r:id="rId24"/>
      <w:footerReference w:type="default" r:id="rId25"/>
      <w:headerReference w:type="first" r:id="rId26"/>
      <w:footerReference w:type="first" r:id="rId27"/>
      <w:pgSz w:w="11906" w:h="16838"/>
      <w:pgMar w:top="1418" w:right="130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2E95A" w14:textId="77777777" w:rsidR="00425745" w:rsidRDefault="00425745" w:rsidP="006E0E9A">
      <w:pPr>
        <w:spacing w:after="0" w:line="240" w:lineRule="auto"/>
      </w:pPr>
      <w:r>
        <w:separator/>
      </w:r>
    </w:p>
  </w:endnote>
  <w:endnote w:type="continuationSeparator" w:id="0">
    <w:p w14:paraId="2CF47C37" w14:textId="77777777" w:rsidR="00425745" w:rsidRDefault="00425745" w:rsidP="006E0E9A">
      <w:pPr>
        <w:spacing w:after="0" w:line="240" w:lineRule="auto"/>
      </w:pPr>
      <w:r>
        <w:continuationSeparator/>
      </w:r>
    </w:p>
  </w:endnote>
  <w:endnote w:type="continuationNotice" w:id="1">
    <w:p w14:paraId="618D6ECC" w14:textId="77777777" w:rsidR="00425745" w:rsidRDefault="00425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58E49" w14:textId="08B1518B" w:rsidR="00DA4710" w:rsidRPr="00DA4710" w:rsidRDefault="00DA4710" w:rsidP="00DA4710">
    <w:pPr>
      <w:pStyle w:val="FooterCoverPage"/>
      <w:rPr>
        <w:rFonts w:ascii="Arial" w:hAnsi="Arial" w:cs="Arial"/>
        <w:b/>
        <w:sz w:val="48"/>
      </w:rPr>
    </w:pPr>
    <w:r w:rsidRPr="00DA4710">
      <w:rPr>
        <w:rFonts w:ascii="Arial" w:hAnsi="Arial" w:cs="Arial"/>
        <w:b/>
        <w:sz w:val="48"/>
      </w:rPr>
      <w:t>EN</w:t>
    </w:r>
    <w:r w:rsidRPr="00DA4710">
      <w:rPr>
        <w:rFonts w:ascii="Arial" w:hAnsi="Arial" w:cs="Arial"/>
        <w:b/>
        <w:sz w:val="48"/>
      </w:rPr>
      <w:tab/>
    </w:r>
    <w:r w:rsidRPr="00DA4710">
      <w:rPr>
        <w:rFonts w:ascii="Arial" w:hAnsi="Arial" w:cs="Arial"/>
        <w:b/>
        <w:sz w:val="48"/>
      </w:rPr>
      <w:tab/>
    </w:r>
    <w:r w:rsidRPr="00DA4710">
      <w:tab/>
    </w:r>
    <w:r w:rsidRPr="00DA471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BAAAF" w14:textId="279C3D27" w:rsidR="00DA4710" w:rsidRPr="00DA4710" w:rsidRDefault="00DA4710" w:rsidP="00DA4710">
    <w:pPr>
      <w:pStyle w:val="FooterCoverPage"/>
      <w:rPr>
        <w:rFonts w:ascii="Arial" w:hAnsi="Arial" w:cs="Arial"/>
        <w:b/>
        <w:sz w:val="48"/>
      </w:rPr>
    </w:pPr>
    <w:r w:rsidRPr="00DA4710">
      <w:rPr>
        <w:rFonts w:ascii="Arial" w:hAnsi="Arial" w:cs="Arial"/>
        <w:b/>
        <w:sz w:val="48"/>
      </w:rPr>
      <w:t>EN</w:t>
    </w:r>
    <w:r w:rsidRPr="00DA4710">
      <w:rPr>
        <w:rFonts w:ascii="Arial" w:hAnsi="Arial" w:cs="Arial"/>
        <w:b/>
        <w:sz w:val="48"/>
      </w:rPr>
      <w:tab/>
    </w:r>
    <w:r w:rsidRPr="00DA4710">
      <w:rPr>
        <w:rFonts w:ascii="Arial" w:hAnsi="Arial" w:cs="Arial"/>
        <w:b/>
        <w:sz w:val="48"/>
      </w:rPr>
      <w:tab/>
    </w:r>
    <w:r w:rsidRPr="00DA4710">
      <w:tab/>
    </w:r>
    <w:r w:rsidRPr="00DA471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08C9B" w14:textId="77777777" w:rsidR="00DA4710" w:rsidRPr="00DA4710" w:rsidRDefault="00DA4710" w:rsidP="00DA471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54F9" w14:textId="77777777" w:rsidR="00B633E3" w:rsidRDefault="00B633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579178570"/>
      <w:docPartObj>
        <w:docPartGallery w:val="Page Numbers (Bottom of Page)"/>
        <w:docPartUnique/>
      </w:docPartObj>
    </w:sdtPr>
    <w:sdtEndPr/>
    <w:sdtContent>
      <w:p w14:paraId="5F94FA78" w14:textId="6B9BE540" w:rsidR="00B633E3" w:rsidRPr="00C37CBA" w:rsidRDefault="00B633E3">
        <w:pPr>
          <w:pStyle w:val="Footer"/>
          <w:jc w:val="center"/>
          <w:rPr>
            <w:rFonts w:ascii="Times New Roman" w:hAnsi="Times New Roman" w:cs="Times New Roman"/>
            <w:sz w:val="20"/>
            <w:szCs w:val="20"/>
          </w:rPr>
        </w:pPr>
        <w:r w:rsidRPr="00C37106">
          <w:rPr>
            <w:rFonts w:ascii="Times New Roman" w:hAnsi="Times New Roman" w:cs="Times New Roman"/>
            <w:sz w:val="20"/>
            <w:szCs w:val="20"/>
          </w:rPr>
          <w:fldChar w:fldCharType="begin"/>
        </w:r>
        <w:r w:rsidRPr="00C37106">
          <w:rPr>
            <w:rFonts w:ascii="Times New Roman" w:hAnsi="Times New Roman" w:cs="Times New Roman"/>
            <w:sz w:val="20"/>
            <w:szCs w:val="20"/>
          </w:rPr>
          <w:instrText xml:space="preserve"> PAGE   \* MERGEFORMAT </w:instrText>
        </w:r>
        <w:r w:rsidRPr="00C37106">
          <w:rPr>
            <w:rFonts w:ascii="Times New Roman" w:hAnsi="Times New Roman" w:cs="Times New Roman"/>
            <w:sz w:val="20"/>
            <w:szCs w:val="20"/>
          </w:rPr>
          <w:fldChar w:fldCharType="separate"/>
        </w:r>
        <w:r w:rsidR="00DA4710">
          <w:rPr>
            <w:rFonts w:ascii="Times New Roman" w:hAnsi="Times New Roman" w:cs="Times New Roman"/>
            <w:noProof/>
            <w:sz w:val="20"/>
            <w:szCs w:val="20"/>
          </w:rPr>
          <w:t>1</w:t>
        </w:r>
        <w:r w:rsidRPr="00C37106">
          <w:rPr>
            <w:rFonts w:ascii="Times New Roman" w:hAnsi="Times New Roman" w:cs="Times New Roman"/>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A33E" w14:textId="77777777" w:rsidR="00B633E3" w:rsidRDefault="00B63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96E00" w14:textId="77777777" w:rsidR="00425745" w:rsidRDefault="00425745" w:rsidP="006E0E9A">
      <w:pPr>
        <w:spacing w:after="0" w:line="240" w:lineRule="auto"/>
      </w:pPr>
      <w:r>
        <w:separator/>
      </w:r>
    </w:p>
  </w:footnote>
  <w:footnote w:type="continuationSeparator" w:id="0">
    <w:p w14:paraId="43E774B4" w14:textId="77777777" w:rsidR="00425745" w:rsidRDefault="00425745" w:rsidP="006E0E9A">
      <w:pPr>
        <w:spacing w:after="0" w:line="240" w:lineRule="auto"/>
      </w:pPr>
      <w:r>
        <w:continuationSeparator/>
      </w:r>
    </w:p>
  </w:footnote>
  <w:footnote w:type="continuationNotice" w:id="1">
    <w:p w14:paraId="1E714D4A" w14:textId="77777777" w:rsidR="00425745" w:rsidRDefault="00425745">
      <w:pPr>
        <w:spacing w:after="0" w:line="240" w:lineRule="auto"/>
      </w:pPr>
    </w:p>
  </w:footnote>
  <w:footnote w:id="2">
    <w:p w14:paraId="0921A77F" w14:textId="055A4C30" w:rsidR="0072581E" w:rsidRPr="00641D59" w:rsidRDefault="0072581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Draghi report: </w:t>
      </w:r>
      <w:hyperlink r:id="rId1" w:anchor="paragraph_47059" w:history="1">
        <w:r>
          <w:rPr>
            <w:rStyle w:val="Hyperlink"/>
            <w:rFonts w:ascii="Times New Roman" w:hAnsi="Times New Roman" w:cs="Times New Roman"/>
            <w:sz w:val="16"/>
            <w:szCs w:val="16"/>
          </w:rPr>
          <w:t>The Draghi report on EU competitiveness</w:t>
        </w:r>
      </w:hyperlink>
      <w:r>
        <w:rPr>
          <w:rFonts w:ascii="Times New Roman" w:hAnsi="Times New Roman" w:cs="Times New Roman"/>
          <w:sz w:val="16"/>
          <w:szCs w:val="16"/>
        </w:rPr>
        <w:t>.</w:t>
      </w:r>
    </w:p>
  </w:footnote>
  <w:footnote w:id="3">
    <w:p w14:paraId="5FDF0307" w14:textId="70B88434" w:rsidR="008D720C" w:rsidRPr="00CC2881" w:rsidRDefault="008D720C" w:rsidP="00EC7CD0">
      <w:pPr>
        <w:pStyle w:val="FootnoteText"/>
        <w:rPr>
          <w:rFonts w:ascii="Times New Roman" w:hAnsi="Times New Roman" w:cs="Times New Roman"/>
          <w:sz w:val="16"/>
          <w:szCs w:val="16"/>
        </w:rPr>
      </w:pPr>
      <w:r w:rsidRPr="00CC2881">
        <w:rPr>
          <w:rStyle w:val="FootnoteReference"/>
          <w:rFonts w:ascii="Times New Roman" w:hAnsi="Times New Roman" w:cs="Times New Roman"/>
          <w:sz w:val="16"/>
          <w:szCs w:val="16"/>
        </w:rPr>
        <w:footnoteRef/>
      </w:r>
      <w:r w:rsidRPr="00CC2881">
        <w:rPr>
          <w:rFonts w:ascii="Times New Roman" w:hAnsi="Times New Roman" w:cs="Times New Roman"/>
          <w:sz w:val="16"/>
          <w:szCs w:val="16"/>
        </w:rPr>
        <w:t xml:space="preserve"> </w:t>
      </w:r>
      <w:r w:rsidR="0065004A" w:rsidRPr="00CC2881">
        <w:rPr>
          <w:rFonts w:ascii="Times New Roman" w:hAnsi="Times New Roman" w:cs="Times New Roman"/>
          <w:sz w:val="16"/>
          <w:szCs w:val="16"/>
        </w:rPr>
        <w:t>Lionel Fontagné, Yoto V</w:t>
      </w:r>
      <w:r>
        <w:rPr>
          <w:rFonts w:ascii="Times New Roman" w:hAnsi="Times New Roman" w:cs="Times New Roman"/>
          <w:sz w:val="16"/>
          <w:szCs w:val="16"/>
        </w:rPr>
        <w:t>.</w:t>
      </w:r>
      <w:r w:rsidR="0065004A" w:rsidRPr="00CC2881">
        <w:rPr>
          <w:rFonts w:ascii="Times New Roman" w:hAnsi="Times New Roman" w:cs="Times New Roman"/>
          <w:sz w:val="16"/>
          <w:szCs w:val="16"/>
        </w:rPr>
        <w:t xml:space="preserve"> Yotov</w:t>
      </w:r>
      <w:r w:rsidR="00627210">
        <w:rPr>
          <w:rFonts w:ascii="Times New Roman" w:hAnsi="Times New Roman" w:cs="Times New Roman"/>
          <w:sz w:val="16"/>
          <w:szCs w:val="16"/>
        </w:rPr>
        <w:t xml:space="preserve">, </w:t>
      </w:r>
      <w:r w:rsidR="00E25C61" w:rsidRPr="00E25C61">
        <w:rPr>
          <w:rFonts w:ascii="Times New Roman" w:hAnsi="Times New Roman" w:cs="Times New Roman"/>
          <w:sz w:val="16"/>
          <w:szCs w:val="16"/>
        </w:rPr>
        <w:t>Reassessing the Impact of the Single Market and Its Ability to Help Build Strategic Autonomy</w:t>
      </w:r>
      <w:r w:rsidR="00BC0AF2">
        <w:rPr>
          <w:rFonts w:ascii="Times New Roman" w:hAnsi="Times New Roman" w:cs="Times New Roman"/>
          <w:sz w:val="16"/>
          <w:szCs w:val="16"/>
        </w:rPr>
        <w:t xml:space="preserve">, </w:t>
      </w:r>
      <w:r w:rsidR="00E25C61" w:rsidRPr="00E25C61">
        <w:rPr>
          <w:rFonts w:ascii="Times New Roman" w:hAnsi="Times New Roman" w:cs="Times New Roman"/>
          <w:sz w:val="16"/>
          <w:szCs w:val="16"/>
        </w:rPr>
        <w:t>Single Market Economics Papers</w:t>
      </w:r>
      <w:r w:rsidR="00BC0AF2">
        <w:rPr>
          <w:rFonts w:ascii="Times New Roman" w:hAnsi="Times New Roman" w:cs="Times New Roman"/>
          <w:sz w:val="16"/>
          <w:szCs w:val="16"/>
        </w:rPr>
        <w:t xml:space="preserve">, June 2024. Studies like J. in ‘t Veld, </w:t>
      </w:r>
      <w:r w:rsidR="00EC7CD0" w:rsidRPr="00EC7CD0">
        <w:rPr>
          <w:rFonts w:ascii="Times New Roman" w:hAnsi="Times New Roman" w:cs="Times New Roman"/>
          <w:sz w:val="16"/>
          <w:szCs w:val="16"/>
        </w:rPr>
        <w:t>Quantifying</w:t>
      </w:r>
      <w:r w:rsidR="00EC7CD0">
        <w:rPr>
          <w:rFonts w:ascii="Times New Roman" w:hAnsi="Times New Roman" w:cs="Times New Roman"/>
          <w:sz w:val="16"/>
          <w:szCs w:val="16"/>
        </w:rPr>
        <w:t xml:space="preserve"> </w:t>
      </w:r>
      <w:r w:rsidR="00EC7CD0" w:rsidRPr="00EC7CD0">
        <w:rPr>
          <w:rFonts w:ascii="Times New Roman" w:hAnsi="Times New Roman" w:cs="Times New Roman"/>
          <w:sz w:val="16"/>
          <w:szCs w:val="16"/>
        </w:rPr>
        <w:t>the Economic Effects</w:t>
      </w:r>
      <w:r w:rsidR="00EC7CD0">
        <w:rPr>
          <w:rFonts w:ascii="Times New Roman" w:hAnsi="Times New Roman" w:cs="Times New Roman"/>
          <w:sz w:val="16"/>
          <w:szCs w:val="16"/>
        </w:rPr>
        <w:t xml:space="preserve"> </w:t>
      </w:r>
      <w:r w:rsidR="00EC7CD0" w:rsidRPr="00EC7CD0">
        <w:rPr>
          <w:rFonts w:ascii="Times New Roman" w:hAnsi="Times New Roman" w:cs="Times New Roman"/>
          <w:sz w:val="16"/>
          <w:szCs w:val="16"/>
        </w:rPr>
        <w:t>of the Single Market in</w:t>
      </w:r>
      <w:r w:rsidR="00A96E86">
        <w:rPr>
          <w:rFonts w:ascii="Times New Roman" w:hAnsi="Times New Roman" w:cs="Times New Roman"/>
          <w:sz w:val="16"/>
          <w:szCs w:val="16"/>
        </w:rPr>
        <w:t xml:space="preserve"> </w:t>
      </w:r>
      <w:r w:rsidR="00EC7CD0" w:rsidRPr="00EC7CD0">
        <w:rPr>
          <w:rFonts w:ascii="Times New Roman" w:hAnsi="Times New Roman" w:cs="Times New Roman"/>
          <w:sz w:val="16"/>
          <w:szCs w:val="16"/>
        </w:rPr>
        <w:t>a Structural Macromodel</w:t>
      </w:r>
      <w:r w:rsidR="00A96E86">
        <w:rPr>
          <w:rFonts w:ascii="Times New Roman" w:hAnsi="Times New Roman" w:cs="Times New Roman"/>
          <w:sz w:val="16"/>
          <w:szCs w:val="16"/>
        </w:rPr>
        <w:t>,</w:t>
      </w:r>
      <w:r w:rsidR="00C6128F">
        <w:rPr>
          <w:rFonts w:ascii="Times New Roman" w:hAnsi="Times New Roman" w:cs="Times New Roman"/>
          <w:sz w:val="16"/>
          <w:szCs w:val="16"/>
        </w:rPr>
        <w:t xml:space="preserve"> February</w:t>
      </w:r>
      <w:r w:rsidR="00A96E86">
        <w:rPr>
          <w:rFonts w:ascii="Times New Roman" w:hAnsi="Times New Roman" w:cs="Times New Roman"/>
          <w:sz w:val="16"/>
          <w:szCs w:val="16"/>
        </w:rPr>
        <w:t xml:space="preserve"> 2019</w:t>
      </w:r>
      <w:r w:rsidR="00A932B3">
        <w:rPr>
          <w:rFonts w:ascii="Times New Roman" w:hAnsi="Times New Roman" w:cs="Times New Roman"/>
          <w:sz w:val="16"/>
          <w:szCs w:val="16"/>
        </w:rPr>
        <w:t>, estimate much higher effects</w:t>
      </w:r>
      <w:r w:rsidR="00C6128F">
        <w:rPr>
          <w:rFonts w:ascii="Times New Roman" w:hAnsi="Times New Roman" w:cs="Times New Roman"/>
          <w:sz w:val="16"/>
          <w:szCs w:val="16"/>
        </w:rPr>
        <w:t>.</w:t>
      </w:r>
    </w:p>
  </w:footnote>
  <w:footnote w:id="4">
    <w:p w14:paraId="0F22A51A" w14:textId="7B9B3832"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Fluctuations in the past </w:t>
      </w:r>
      <w:r w:rsidRPr="00395784">
        <w:rPr>
          <w:rFonts w:ascii="Times New Roman" w:hAnsi="Times New Roman" w:cs="Times New Roman"/>
          <w:sz w:val="16"/>
          <w:szCs w:val="16"/>
        </w:rPr>
        <w:t>years can</w:t>
      </w:r>
      <w:r w:rsidRPr="00B633E3">
        <w:rPr>
          <w:rFonts w:ascii="Times New Roman" w:hAnsi="Times New Roman" w:cs="Times New Roman"/>
          <w:sz w:val="16"/>
          <w:szCs w:val="16"/>
        </w:rPr>
        <w:t xml:space="preserve"> to a large part be attributed to energy price fluctuations.</w:t>
      </w:r>
    </w:p>
  </w:footnote>
  <w:footnote w:id="5">
    <w:p w14:paraId="7827F044"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Index values from 1 to 7, with higher values indicating greater ease of doing business.</w:t>
      </w:r>
    </w:p>
  </w:footnote>
  <w:footnote w:id="6">
    <w:p w14:paraId="2F394FAC"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Style w:val="FootnoteReference"/>
          <w:rFonts w:ascii="Times New Roman" w:hAnsi="Times New Roman" w:cs="Times New Roman"/>
          <w:sz w:val="16"/>
          <w:szCs w:val="16"/>
        </w:rPr>
        <w:t xml:space="preserve"> </w:t>
      </w:r>
      <w:r w:rsidRPr="00B633E3">
        <w:rPr>
          <w:rFonts w:ascii="Times New Roman" w:hAnsi="Times New Roman" w:cs="Times New Roman"/>
          <w:sz w:val="16"/>
          <w:szCs w:val="16"/>
        </w:rPr>
        <w:t>Measuring product investigations carried out by market surveillance authorities which are notified in ICSMS.</w:t>
      </w:r>
    </w:p>
  </w:footnote>
  <w:footnote w:id="7">
    <w:p w14:paraId="44B253C6"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Style w:val="FootnoteReference"/>
          <w:rFonts w:ascii="Times New Roman" w:hAnsi="Times New Roman" w:cs="Times New Roman"/>
          <w:sz w:val="16"/>
          <w:szCs w:val="16"/>
        </w:rPr>
        <w:t xml:space="preserve"> </w:t>
      </w:r>
      <w:hyperlink r:id="rId2" w:history="1">
        <w:r w:rsidRPr="00B633E3">
          <w:rPr>
            <w:rStyle w:val="Hyperlink"/>
            <w:rFonts w:ascii="Times New Roman" w:hAnsi="Times New Roman" w:cs="Times New Roman"/>
            <w:sz w:val="16"/>
            <w:szCs w:val="16"/>
          </w:rPr>
          <w:t>OECD’s S</w:t>
        </w:r>
        <w:bookmarkStart w:id="3" w:name="_Hlt219902964"/>
        <w:bookmarkStart w:id="4" w:name="_Hlt219902965"/>
        <w:r w:rsidRPr="00B633E3">
          <w:rPr>
            <w:rStyle w:val="Hyperlink"/>
            <w:rFonts w:ascii="Times New Roman" w:hAnsi="Times New Roman" w:cs="Times New Roman"/>
            <w:sz w:val="16"/>
            <w:szCs w:val="16"/>
          </w:rPr>
          <w:t>T</w:t>
        </w:r>
        <w:bookmarkEnd w:id="3"/>
        <w:bookmarkEnd w:id="4"/>
        <w:r w:rsidRPr="00B633E3">
          <w:rPr>
            <w:rStyle w:val="Hyperlink"/>
            <w:rFonts w:ascii="Times New Roman" w:hAnsi="Times New Roman" w:cs="Times New Roman"/>
            <w:sz w:val="16"/>
            <w:szCs w:val="16"/>
          </w:rPr>
          <w:t>RI</w:t>
        </w:r>
      </w:hyperlink>
      <w:r w:rsidRPr="00B633E3">
        <w:rPr>
          <w:rFonts w:ascii="Times New Roman" w:hAnsi="Times New Roman" w:cs="Times New Roman"/>
          <w:sz w:val="16"/>
          <w:szCs w:val="16"/>
        </w:rPr>
        <w:t xml:space="preserve"> showing the share of catalogued restrictions to trade in services being present in selected sectors.</w:t>
      </w:r>
    </w:p>
  </w:footnote>
  <w:footnote w:id="8">
    <w:p w14:paraId="4CEFBB63" w14:textId="2F431F9E"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hyperlink r:id="rId3" w:history="1">
        <w:r w:rsidRPr="00B633E3">
          <w:rPr>
            <w:rStyle w:val="Hyperlink"/>
            <w:rFonts w:ascii="Times New Roman" w:hAnsi="Times New Roman" w:cs="Times New Roman"/>
            <w:sz w:val="16"/>
            <w:szCs w:val="16"/>
          </w:rPr>
          <w:t>IMF ‘Scaling Up the Single Market to Boost Productivity’ (2024)</w:t>
        </w:r>
      </w:hyperlink>
      <w:r w:rsidRPr="00B633E3">
        <w:rPr>
          <w:rFonts w:ascii="Times New Roman" w:hAnsi="Times New Roman" w:cs="Times New Roman"/>
          <w:sz w:val="16"/>
          <w:szCs w:val="16"/>
        </w:rPr>
        <w:t xml:space="preserve">, or </w:t>
      </w:r>
      <w:hyperlink r:id="rId4" w:history="1">
        <w:r w:rsidRPr="00B633E3">
          <w:rPr>
            <w:rStyle w:val="Hyperlink"/>
            <w:rFonts w:ascii="Times New Roman" w:hAnsi="Times New Roman" w:cs="Times New Roman"/>
            <w:sz w:val="16"/>
            <w:szCs w:val="16"/>
          </w:rPr>
          <w:t>Head and Mayer ‘No, the EU does not impose a 45% tariff on itself’ (2025)</w:t>
        </w:r>
      </w:hyperlink>
      <w:r w:rsidR="00CB4F17">
        <w:t>.</w:t>
      </w:r>
    </w:p>
  </w:footnote>
  <w:footnote w:id="9">
    <w:p w14:paraId="23F49571" w14:textId="4F1C09C0" w:rsidR="00DD0DC9" w:rsidRPr="00B633E3" w:rsidDel="0014391B" w:rsidRDefault="00DD0DC9" w:rsidP="00DD0DC9">
      <w:pPr>
        <w:pStyle w:val="FootnoteText"/>
        <w:contextualSpacing/>
        <w:rPr>
          <w:rFonts w:ascii="Times New Roman" w:hAnsi="Times New Roman" w:cs="Times New Roman"/>
          <w:sz w:val="16"/>
          <w:szCs w:val="16"/>
        </w:rPr>
      </w:pPr>
      <w:r w:rsidRPr="00B633E3" w:rsidDel="0014391B">
        <w:rPr>
          <w:rStyle w:val="FootnoteReference"/>
          <w:rFonts w:ascii="Times New Roman" w:hAnsi="Times New Roman" w:cs="Times New Roman"/>
          <w:sz w:val="16"/>
          <w:szCs w:val="16"/>
        </w:rPr>
        <w:footnoteRef/>
      </w:r>
      <w:r w:rsidRPr="00B633E3" w:rsidDel="0014391B">
        <w:rPr>
          <w:rFonts w:ascii="Times New Roman" w:hAnsi="Times New Roman" w:cs="Times New Roman"/>
          <w:sz w:val="16"/>
          <w:szCs w:val="16"/>
        </w:rPr>
        <w:t xml:space="preserve"> Roberto Bernasconi, Naïm Cordemans, Vanessa Gunnella, Giacomo Pongetti, Lucia Quaglietti,</w:t>
      </w:r>
      <w:r>
        <w:rPr>
          <w:sz w:val="22"/>
          <w:szCs w:val="22"/>
          <w14:ligatures w14:val="standardContextual"/>
        </w:rPr>
        <w:t xml:space="preserve"> </w:t>
      </w:r>
      <w:hyperlink r:id="rId5" w:history="1">
        <w:r>
          <w:rPr>
            <w:rStyle w:val="Hyperlink"/>
            <w:rFonts w:ascii="Times New Roman" w:hAnsi="Times New Roman" w:cs="Times New Roman"/>
            <w:sz w:val="16"/>
            <w:szCs w:val="16"/>
          </w:rPr>
          <w:t>What is the untapped potential of the EU Single Market?</w:t>
        </w:r>
      </w:hyperlink>
      <w:r>
        <w:rPr>
          <w:rFonts w:ascii="Times New Roman" w:hAnsi="Times New Roman" w:cs="Times New Roman"/>
          <w:sz w:val="16"/>
          <w:szCs w:val="16"/>
        </w:rPr>
        <w:t>, published as part of the ECB Economic Bulletin, Issue 8/2025.</w:t>
      </w:r>
      <w:r w:rsidRPr="00B633E3" w:rsidDel="0014391B">
        <w:rPr>
          <w:rFonts w:ascii="Times New Roman" w:hAnsi="Times New Roman" w:cs="Times New Roman"/>
          <w:sz w:val="16"/>
          <w:szCs w:val="16"/>
        </w:rPr>
        <w:t xml:space="preserve"> </w:t>
      </w:r>
    </w:p>
  </w:footnote>
  <w:footnote w:id="10">
    <w:p w14:paraId="236AB38E" w14:textId="1A2C2A0B" w:rsidR="00C437D2" w:rsidRPr="005B4F13" w:rsidRDefault="00C437D2">
      <w:pPr>
        <w:pStyle w:val="FootnoteText"/>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COM(2025) 500.</w:t>
      </w:r>
    </w:p>
  </w:footnote>
  <w:footnote w:id="11">
    <w:p w14:paraId="7915C6AC"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These are: complicated business establishment and operations, outdated harmonised product rules and lack of product compliance, territorial supply constraints, long delays in standard-setting that weigh on innovation and competitiveness, fragmented rules on packaging, labelling and waste, restrictive and diverging national services regulation, burdensome procedures for posting of workers, recognition of professional qualifications, lack of Single Market ownership by Member States, and overly complex EU rules.</w:t>
      </w:r>
    </w:p>
  </w:footnote>
  <w:footnote w:id="12">
    <w:p w14:paraId="4ABB7FFC" w14:textId="77777777" w:rsidR="00842CDA" w:rsidRPr="00842CDA" w:rsidRDefault="005C770C" w:rsidP="00842CDA">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DG GROW-DG TAXUD report on Product Compliance, highlighting uneven level of controls at the border</w:t>
      </w:r>
    </w:p>
    <w:p w14:paraId="491339CD" w14:textId="5E41E8F1" w:rsidR="005C770C" w:rsidRDefault="00DA4710" w:rsidP="00842CDA">
      <w:pPr>
        <w:pStyle w:val="FootnoteText"/>
        <w:jc w:val="both"/>
      </w:pPr>
      <w:hyperlink r:id="rId6" w:history="1">
        <w:r w:rsidR="00842CDA">
          <w:rPr>
            <w:rStyle w:val="Hyperlink"/>
            <w:rFonts w:ascii="Times New Roman" w:hAnsi="Times New Roman" w:cs="Times New Roman"/>
            <w:sz w:val="16"/>
            <w:szCs w:val="16"/>
            <w:lang w:val="en-US"/>
          </w:rPr>
          <w:t>Report on controls on products entering the EU market with regard to product compliance in 2024 - Publications Office of the EU</w:t>
        </w:r>
      </w:hyperlink>
      <w:r w:rsidR="00842CDA">
        <w:rPr>
          <w:rFonts w:ascii="Times New Roman" w:hAnsi="Times New Roman" w:cs="Times New Roman"/>
          <w:sz w:val="16"/>
          <w:szCs w:val="16"/>
        </w:rPr>
        <w:t>.</w:t>
      </w:r>
    </w:p>
  </w:footnote>
  <w:footnote w:id="13">
    <w:p w14:paraId="53739E48" w14:textId="779C8B80"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hyperlink r:id="rId7" w:history="1">
        <w:r w:rsidRPr="00B633E3">
          <w:rPr>
            <w:rStyle w:val="Hyperlink"/>
            <w:rFonts w:ascii="Times New Roman" w:hAnsi="Times New Roman" w:cs="Times New Roman"/>
            <w:sz w:val="16"/>
            <w:szCs w:val="16"/>
          </w:rPr>
          <w:t>New legislative framework - Internal Market, Industry, Entrepreneurship and S</w:t>
        </w:r>
        <w:bookmarkStart w:id="5" w:name="_Hlt219903119"/>
        <w:bookmarkStart w:id="6" w:name="_Hlt219903120"/>
        <w:r w:rsidRPr="00B633E3">
          <w:rPr>
            <w:rStyle w:val="Hyperlink"/>
            <w:rFonts w:ascii="Times New Roman" w:hAnsi="Times New Roman" w:cs="Times New Roman"/>
            <w:sz w:val="16"/>
            <w:szCs w:val="16"/>
          </w:rPr>
          <w:t>M</w:t>
        </w:r>
        <w:bookmarkEnd w:id="5"/>
        <w:bookmarkEnd w:id="6"/>
        <w:r w:rsidRPr="00B633E3">
          <w:rPr>
            <w:rStyle w:val="Hyperlink"/>
            <w:rFonts w:ascii="Times New Roman" w:hAnsi="Times New Roman" w:cs="Times New Roman"/>
            <w:sz w:val="16"/>
            <w:szCs w:val="16"/>
          </w:rPr>
          <w:t>Es</w:t>
        </w:r>
      </w:hyperlink>
      <w:r w:rsidR="00CB4F17">
        <w:t>.</w:t>
      </w:r>
    </w:p>
  </w:footnote>
  <w:footnote w:id="14">
    <w:p w14:paraId="0A7153BC" w14:textId="74491E5D" w:rsidR="00380BB5" w:rsidRPr="00641D59" w:rsidRDefault="00380BB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annual report of the Single Market Enforcement Taskforce (SMET) provides a detailed update.</w:t>
      </w:r>
    </w:p>
  </w:footnote>
  <w:footnote w:id="15">
    <w:p w14:paraId="1534A5D1" w14:textId="77777777" w:rsidR="00C90FDE" w:rsidRPr="00593413" w:rsidRDefault="00C90FDE" w:rsidP="00C90FD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Other initiatives (14) are those resulting in administrative cost savings for businesses and public administrations at the time of their adoption by the Commission. They cover targeted revisions of existing EU acquis (e.g SFDR Review or Targeted revision of the EU rules for medical devices and in-vitro diagnostics).</w:t>
      </w:r>
    </w:p>
  </w:footnote>
  <w:footnote w:id="16">
    <w:p w14:paraId="432E0F97" w14:textId="57842509" w:rsidR="005E0CF9" w:rsidRPr="008F69F3" w:rsidRDefault="005E0CF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These savings were estimated using the EU standard cost model. </w:t>
      </w:r>
    </w:p>
  </w:footnote>
  <w:footnote w:id="17">
    <w:p w14:paraId="158C1C48" w14:textId="1EE99EE1" w:rsidR="00DD0DC9" w:rsidRPr="008974B9"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8974B9">
        <w:rPr>
          <w:rFonts w:ascii="Times New Roman" w:hAnsi="Times New Roman" w:cs="Times New Roman"/>
          <w:sz w:val="16"/>
          <w:szCs w:val="16"/>
        </w:rPr>
        <w:t xml:space="preserve"> </w:t>
      </w:r>
      <w:hyperlink r:id="rId8" w:history="1">
        <w:r w:rsidRPr="008974B9">
          <w:rPr>
            <w:rStyle w:val="Hyperlink"/>
            <w:rFonts w:ascii="Times New Roman" w:hAnsi="Times New Roman" w:cs="Times New Roman"/>
            <w:sz w:val="16"/>
            <w:szCs w:val="16"/>
          </w:rPr>
          <w:t>Regulation - 2018/1724 - EN - EUR-Lex</w:t>
        </w:r>
      </w:hyperlink>
      <w:r>
        <w:rPr>
          <w:rFonts w:ascii="Times New Roman" w:hAnsi="Times New Roman" w:cs="Times New Roman"/>
          <w:sz w:val="16"/>
          <w:szCs w:val="16"/>
        </w:rPr>
        <w:t>.</w:t>
      </w:r>
    </w:p>
  </w:footnote>
  <w:footnote w:id="18">
    <w:p w14:paraId="3B25ADC1" w14:textId="7BB41B8A"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Flash Eurobarometer 559 – </w:t>
      </w:r>
      <w:hyperlink r:id="rId9" w:history="1">
        <w:r w:rsidRPr="00B633E3">
          <w:rPr>
            <w:rStyle w:val="Hyperlink"/>
            <w:rFonts w:ascii="Times New Roman" w:hAnsi="Times New Roman" w:cs="Times New Roman"/>
            <w:sz w:val="16"/>
            <w:szCs w:val="16"/>
          </w:rPr>
          <w:t>Startups, scaleups and entrepreneurship</w:t>
        </w:r>
      </w:hyperlink>
      <w:r w:rsidR="00D60A26" w:rsidDel="00333E3C">
        <w:rPr>
          <w:rFonts w:ascii="Times New Roman" w:hAnsi="Times New Roman" w:cs="Times New Roman"/>
          <w:sz w:val="16"/>
          <w:szCs w:val="16"/>
        </w:rPr>
        <w:t>.</w:t>
      </w:r>
    </w:p>
  </w:footnote>
  <w:footnote w:id="19">
    <w:p w14:paraId="7FA2170D"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Patent applications submitted to the European Patent Office.</w:t>
      </w:r>
    </w:p>
  </w:footnote>
  <w:footnote w:id="20">
    <w:p w14:paraId="7CD2A1BF" w14:textId="794FD15A" w:rsidR="002C189D" w:rsidRPr="00901B4E" w:rsidRDefault="002C189D" w:rsidP="002C189D">
      <w:pPr>
        <w:pStyle w:val="FootnoteText"/>
        <w:rPr>
          <w:rFonts w:ascii="Times New Roman" w:hAnsi="Times New Roman" w:cs="Times New Roman"/>
          <w:sz w:val="16"/>
          <w:szCs w:val="16"/>
        </w:rPr>
      </w:pPr>
      <w:r w:rsidRPr="00901B4E">
        <w:rPr>
          <w:rStyle w:val="FootnoteReference"/>
          <w:rFonts w:ascii="Times New Roman" w:hAnsi="Times New Roman" w:cs="Times New Roman"/>
          <w:sz w:val="16"/>
          <w:szCs w:val="16"/>
        </w:rPr>
        <w:footnoteRef/>
      </w:r>
      <w:r w:rsidRPr="00901B4E">
        <w:rPr>
          <w:rFonts w:ascii="Times New Roman" w:hAnsi="Times New Roman" w:cs="Times New Roman"/>
          <w:sz w:val="16"/>
          <w:szCs w:val="16"/>
        </w:rPr>
        <w:t xml:space="preserve"> </w:t>
      </w:r>
      <w:hyperlink r:id="rId10" w:history="1">
        <w:r w:rsidR="00E33CD1" w:rsidRPr="00911E74">
          <w:rPr>
            <w:rStyle w:val="Hyperlink"/>
            <w:rFonts w:ascii="Times New Roman" w:hAnsi="Times New Roman" w:cs="Times New Roman"/>
            <w:sz w:val="16"/>
            <w:szCs w:val="16"/>
          </w:rPr>
          <w:t xml:space="preserve">The </w:t>
        </w:r>
        <w:r w:rsidR="00105366" w:rsidRPr="00911E74">
          <w:rPr>
            <w:rStyle w:val="Hyperlink"/>
            <w:rFonts w:ascii="Times New Roman" w:hAnsi="Times New Roman" w:cs="Times New Roman"/>
            <w:sz w:val="16"/>
            <w:szCs w:val="16"/>
          </w:rPr>
          <w:t>2025</w:t>
        </w:r>
        <w:r w:rsidRPr="00911E74">
          <w:rPr>
            <w:rStyle w:val="Hyperlink"/>
            <w:rFonts w:ascii="Times New Roman" w:hAnsi="Times New Roman" w:cs="Times New Roman"/>
            <w:sz w:val="16"/>
            <w:szCs w:val="16"/>
          </w:rPr>
          <w:t xml:space="preserve"> EU Industrial R&amp;D Investment Scoreboard</w:t>
        </w:r>
      </w:hyperlink>
      <w:r>
        <w:rPr>
          <w:rFonts w:ascii="Times New Roman" w:hAnsi="Times New Roman" w:cs="Times New Roman"/>
          <w:sz w:val="16"/>
          <w:szCs w:val="16"/>
        </w:rPr>
        <w:t>.</w:t>
      </w:r>
    </w:p>
  </w:footnote>
  <w:footnote w:id="21">
    <w:p w14:paraId="540FAA62" w14:textId="154585ED" w:rsidR="003C4443" w:rsidRPr="005B4F13" w:rsidRDefault="003C4443">
      <w:pPr>
        <w:pStyle w:val="FootnoteText"/>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00902336">
        <w:rPr>
          <w:rFonts w:ascii="Times New Roman" w:hAnsi="Times New Roman" w:cs="Times New Roman"/>
          <w:sz w:val="16"/>
          <w:szCs w:val="16"/>
        </w:rPr>
        <w:t>E</w:t>
      </w:r>
      <w:r w:rsidR="00357704">
        <w:rPr>
          <w:rFonts w:ascii="Times New Roman" w:hAnsi="Times New Roman" w:cs="Times New Roman"/>
          <w:sz w:val="16"/>
          <w:szCs w:val="16"/>
        </w:rPr>
        <w:t xml:space="preserve">U companies lead </w:t>
      </w:r>
      <w:r w:rsidR="00EB709D">
        <w:rPr>
          <w:rFonts w:ascii="Times New Roman" w:hAnsi="Times New Roman" w:cs="Times New Roman"/>
          <w:sz w:val="16"/>
          <w:szCs w:val="16"/>
        </w:rPr>
        <w:t xml:space="preserve">globally </w:t>
      </w:r>
      <w:r w:rsidR="00357704">
        <w:rPr>
          <w:rFonts w:ascii="Times New Roman" w:hAnsi="Times New Roman" w:cs="Times New Roman"/>
          <w:sz w:val="16"/>
          <w:szCs w:val="16"/>
        </w:rPr>
        <w:t xml:space="preserve">in </w:t>
      </w:r>
      <w:r w:rsidR="00617793">
        <w:rPr>
          <w:rFonts w:ascii="Times New Roman" w:hAnsi="Times New Roman" w:cs="Times New Roman"/>
          <w:sz w:val="16"/>
          <w:szCs w:val="16"/>
        </w:rPr>
        <w:t>patenting r</w:t>
      </w:r>
      <w:r w:rsidRPr="005B4F13">
        <w:rPr>
          <w:rFonts w:ascii="Times New Roman" w:hAnsi="Times New Roman" w:cs="Times New Roman"/>
          <w:sz w:val="16"/>
          <w:szCs w:val="16"/>
        </w:rPr>
        <w:t>elated to circularity, energy- intensive industries and clean transpo</w:t>
      </w:r>
      <w:r w:rsidR="00617793">
        <w:rPr>
          <w:rFonts w:ascii="Times New Roman" w:hAnsi="Times New Roman" w:cs="Times New Roman"/>
          <w:sz w:val="16"/>
          <w:szCs w:val="16"/>
        </w:rPr>
        <w:t>rt</w:t>
      </w:r>
      <w:r w:rsidR="0034489F">
        <w:rPr>
          <w:rFonts w:ascii="Times New Roman" w:hAnsi="Times New Roman" w:cs="Times New Roman"/>
          <w:sz w:val="16"/>
          <w:szCs w:val="16"/>
        </w:rPr>
        <w:t xml:space="preserve">, but </w:t>
      </w:r>
      <w:r w:rsidR="0061318B">
        <w:rPr>
          <w:rFonts w:ascii="Times New Roman" w:hAnsi="Times New Roman" w:cs="Times New Roman"/>
          <w:sz w:val="16"/>
          <w:szCs w:val="16"/>
        </w:rPr>
        <w:t xml:space="preserve">less so in twin transition patenting. </w:t>
      </w:r>
    </w:p>
  </w:footnote>
  <w:footnote w:id="22">
    <w:p w14:paraId="00E347B4" w14:textId="5A30BC5E" w:rsidR="00E013F4" w:rsidRPr="00E013F4" w:rsidRDefault="00E013F4">
      <w:pPr>
        <w:pStyle w:val="FootnoteText"/>
      </w:pPr>
      <w:r>
        <w:rPr>
          <w:rStyle w:val="FootnoteReference"/>
          <w:rFonts w:ascii="Times New Roman" w:hAnsi="Times New Roman" w:cs="Times New Roman"/>
          <w:sz w:val="16"/>
          <w:szCs w:val="16"/>
        </w:rPr>
        <w:footnoteRef/>
      </w:r>
      <w:r>
        <w:t xml:space="preserve"> </w:t>
      </w:r>
      <w:hyperlink r:id="rId11" w:history="1">
        <w:r>
          <w:rPr>
            <w:rStyle w:val="Hyperlink"/>
            <w:rFonts w:ascii="Times New Roman" w:hAnsi="Times New Roman" w:cs="Times New Roman"/>
            <w:sz w:val="16"/>
            <w:szCs w:val="16"/>
          </w:rPr>
          <w:t>EIB Investment Report 2024/2025: Innovation, integration and simplification in Europe, European Investment Bank 2025</w:t>
        </w:r>
      </w:hyperlink>
      <w:r>
        <w:rPr>
          <w:rFonts w:ascii="Times New Roman" w:hAnsi="Times New Roman" w:cs="Times New Roman"/>
          <w:sz w:val="16"/>
          <w:szCs w:val="16"/>
        </w:rPr>
        <w:t>, and ‘</w:t>
      </w:r>
      <w:hyperlink r:id="rId12" w:history="1">
        <w:r>
          <w:rPr>
            <w:rStyle w:val="Hyperlink"/>
            <w:rFonts w:ascii="Times New Roman" w:hAnsi="Times New Roman" w:cs="Times New Roman"/>
            <w:sz w:val="16"/>
            <w:szCs w:val="16"/>
          </w:rPr>
          <w:t>The 2025 EU Industrial R&amp;D Investment Scoreboard</w:t>
        </w:r>
      </w:hyperlink>
      <w:r>
        <w:rPr>
          <w:rFonts w:ascii="Times New Roman" w:hAnsi="Times New Roman" w:cs="Times New Roman"/>
          <w:sz w:val="16"/>
          <w:szCs w:val="16"/>
        </w:rPr>
        <w:t>’.</w:t>
      </w:r>
    </w:p>
  </w:footnote>
  <w:footnote w:id="23">
    <w:p w14:paraId="085B56EC" w14:textId="0CC7CCDB"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r w:rsidR="00443940">
        <w:rPr>
          <w:rFonts w:ascii="Times New Roman" w:hAnsi="Times New Roman" w:cs="Times New Roman"/>
          <w:sz w:val="16"/>
          <w:szCs w:val="16"/>
        </w:rPr>
        <w:t>W</w:t>
      </w:r>
      <w:r w:rsidR="00443940" w:rsidRPr="00443940">
        <w:rPr>
          <w:rFonts w:ascii="Times New Roman" w:hAnsi="Times New Roman" w:cs="Times New Roman"/>
          <w:sz w:val="16"/>
          <w:szCs w:val="16"/>
        </w:rPr>
        <w:t xml:space="preserve">ith exception of </w:t>
      </w:r>
      <w:r w:rsidR="00DC53EE">
        <w:rPr>
          <w:rFonts w:ascii="Times New Roman" w:hAnsi="Times New Roman" w:cs="Times New Roman"/>
          <w:sz w:val="16"/>
          <w:szCs w:val="16"/>
        </w:rPr>
        <w:t xml:space="preserve">areas such as </w:t>
      </w:r>
      <w:r w:rsidR="00443940" w:rsidRPr="00443940">
        <w:rPr>
          <w:rFonts w:ascii="Times New Roman" w:hAnsi="Times New Roman" w:cs="Times New Roman"/>
          <w:sz w:val="16"/>
          <w:szCs w:val="16"/>
        </w:rPr>
        <w:t>Quantum and Photonics</w:t>
      </w:r>
      <w:r w:rsidR="00443940">
        <w:rPr>
          <w:rFonts w:ascii="Times New Roman" w:hAnsi="Times New Roman" w:cs="Times New Roman"/>
          <w:sz w:val="16"/>
          <w:szCs w:val="16"/>
        </w:rPr>
        <w:t>.</w:t>
      </w:r>
      <w:r w:rsidR="00443940" w:rsidRPr="00443940">
        <w:rPr>
          <w:rFonts w:ascii="Times New Roman" w:hAnsi="Times New Roman" w:cs="Times New Roman"/>
          <w:sz w:val="16"/>
          <w:szCs w:val="16"/>
        </w:rPr>
        <w:t xml:space="preserve"> </w:t>
      </w:r>
    </w:p>
  </w:footnote>
  <w:footnote w:id="24">
    <w:p w14:paraId="694169CA" w14:textId="1BA4BE20" w:rsidR="00C02B40" w:rsidRPr="00B633E3" w:rsidRDefault="00C02B40" w:rsidP="00C02B40">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Style w:val="FootnoteReference"/>
          <w:rFonts w:ascii="Times New Roman" w:hAnsi="Times New Roman" w:cs="Times New Roman"/>
          <w:sz w:val="16"/>
          <w:szCs w:val="16"/>
        </w:rPr>
        <w:t xml:space="preserve"> </w:t>
      </w:r>
      <w:r w:rsidRPr="00B633E3">
        <w:rPr>
          <w:rFonts w:ascii="Times New Roman" w:hAnsi="Times New Roman" w:cs="Times New Roman"/>
          <w:sz w:val="16"/>
          <w:szCs w:val="16"/>
        </w:rPr>
        <w:t>Start-up companies valued at EUR 1 bn</w:t>
      </w:r>
      <w:r w:rsidR="008C7940">
        <w:rPr>
          <w:rFonts w:ascii="Times New Roman" w:hAnsi="Times New Roman" w:cs="Times New Roman"/>
          <w:sz w:val="16"/>
          <w:szCs w:val="16"/>
        </w:rPr>
        <w:t xml:space="preserve">. </w:t>
      </w:r>
      <w:r w:rsidRPr="00B633E3">
        <w:rPr>
          <w:rFonts w:ascii="Times New Roman" w:hAnsi="Times New Roman" w:cs="Times New Roman"/>
          <w:sz w:val="16"/>
          <w:szCs w:val="16"/>
        </w:rPr>
        <w:t xml:space="preserve">European </w:t>
      </w:r>
      <w:r w:rsidRPr="00D65B81">
        <w:rPr>
          <w:rFonts w:ascii="Times New Roman" w:hAnsi="Times New Roman" w:cs="Times New Roman"/>
          <w:sz w:val="16"/>
          <w:szCs w:val="16"/>
        </w:rPr>
        <w:t xml:space="preserve">Commission </w:t>
      </w:r>
      <w:r w:rsidR="00E4581B" w:rsidRPr="00D65B81">
        <w:rPr>
          <w:rFonts w:ascii="Times New Roman" w:hAnsi="Times New Roman" w:cs="Times New Roman"/>
          <w:sz w:val="16"/>
          <w:szCs w:val="16"/>
        </w:rPr>
        <w:t xml:space="preserve">services calculations </w:t>
      </w:r>
      <w:r w:rsidRPr="00D65B81">
        <w:rPr>
          <w:rFonts w:ascii="Times New Roman" w:hAnsi="Times New Roman" w:cs="Times New Roman"/>
          <w:sz w:val="16"/>
          <w:szCs w:val="16"/>
        </w:rPr>
        <w:t>based</w:t>
      </w:r>
      <w:r w:rsidRPr="00B633E3">
        <w:rPr>
          <w:rFonts w:ascii="Times New Roman" w:hAnsi="Times New Roman" w:cs="Times New Roman"/>
          <w:sz w:val="16"/>
          <w:szCs w:val="16"/>
        </w:rPr>
        <w:t xml:space="preserve"> on Dealroom</w:t>
      </w:r>
      <w:r>
        <w:rPr>
          <w:rFonts w:ascii="Times New Roman" w:hAnsi="Times New Roman" w:cs="Times New Roman"/>
          <w:sz w:val="16"/>
          <w:szCs w:val="16"/>
        </w:rPr>
        <w:t>.</w:t>
      </w:r>
    </w:p>
  </w:footnote>
  <w:footnote w:id="25">
    <w:p w14:paraId="1FE997FE" w14:textId="24347EE9" w:rsidR="008610B7" w:rsidRPr="00DE4866" w:rsidRDefault="008610B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3" w:history="1">
        <w:r>
          <w:rPr>
            <w:rStyle w:val="Hyperlink"/>
            <w:rFonts w:ascii="Times New Roman" w:hAnsi="Times New Roman" w:cs="Times New Roman"/>
            <w:sz w:val="16"/>
            <w:szCs w:val="16"/>
          </w:rPr>
          <w:t>Commission proposes new measures to improve health and the healthcare sector - European Commission</w:t>
        </w:r>
      </w:hyperlink>
      <w:r>
        <w:rPr>
          <w:rFonts w:ascii="Times New Roman" w:hAnsi="Times New Roman" w:cs="Times New Roman"/>
          <w:sz w:val="16"/>
          <w:szCs w:val="16"/>
        </w:rPr>
        <w:t>.</w:t>
      </w:r>
    </w:p>
  </w:footnote>
  <w:footnote w:id="26">
    <w:p w14:paraId="36E08776" w14:textId="3DF48256" w:rsidR="005E774C" w:rsidRPr="005B4F13" w:rsidRDefault="00193437">
      <w:pPr>
        <w:pStyle w:val="FootnoteText"/>
        <w:rPr>
          <w:rFonts w:ascii="Times New Roman" w:hAnsi="Times New Roman" w:cs="Times New Roman"/>
          <w:sz w:val="16"/>
          <w:szCs w:val="16"/>
          <w:lang w:val="en-US"/>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00483B62" w:rsidRPr="005B4F13">
        <w:rPr>
          <w:rFonts w:ascii="Times New Roman" w:hAnsi="Times New Roman" w:cs="Times New Roman"/>
          <w:sz w:val="16"/>
          <w:szCs w:val="16"/>
        </w:rPr>
        <w:t>Eurostat</w:t>
      </w:r>
      <w:r>
        <w:rPr>
          <w:rFonts w:ascii="Times New Roman" w:hAnsi="Times New Roman" w:cs="Times New Roman"/>
          <w:sz w:val="16"/>
          <w:szCs w:val="16"/>
        </w:rPr>
        <w:t>.</w:t>
      </w:r>
    </w:p>
  </w:footnote>
  <w:footnote w:id="27">
    <w:p w14:paraId="43E437B5" w14:textId="2DA4DD9F"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EU Digital Intensity Index composition overview 2015-2024</w:t>
      </w:r>
      <w:r w:rsidR="00533B30">
        <w:rPr>
          <w:rFonts w:ascii="Times New Roman" w:hAnsi="Times New Roman" w:cs="Times New Roman"/>
          <w:sz w:val="16"/>
          <w:szCs w:val="16"/>
        </w:rPr>
        <w:t>.</w:t>
      </w:r>
    </w:p>
  </w:footnote>
  <w:footnote w:id="28">
    <w:p w14:paraId="7DC48C53" w14:textId="4DCD112C" w:rsidR="00AC183F" w:rsidRPr="005B4F13" w:rsidRDefault="00AC183F">
      <w:pPr>
        <w:pStyle w:val="FootnoteText"/>
        <w:rPr>
          <w:rFonts w:ascii="Times New Roman" w:hAnsi="Times New Roman" w:cs="Times New Roman"/>
          <w:sz w:val="16"/>
          <w:szCs w:val="16"/>
          <w:lang w:val="en-GB"/>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White Paper – How to master Europe’s digital infrastructure needs?</w:t>
      </w:r>
      <w:r w:rsidR="00012BA6" w:rsidRPr="005B4F13">
        <w:rPr>
          <w:rFonts w:ascii="Times New Roman" w:hAnsi="Times New Roman" w:cs="Times New Roman"/>
          <w:sz w:val="16"/>
          <w:szCs w:val="16"/>
        </w:rPr>
        <w:t xml:space="preserve"> </w:t>
      </w:r>
      <w:r w:rsidR="00012BA6" w:rsidRPr="00012BA6">
        <w:rPr>
          <w:rFonts w:ascii="Times New Roman" w:hAnsi="Times New Roman" w:cs="Times New Roman"/>
          <w:sz w:val="16"/>
          <w:szCs w:val="16"/>
        </w:rPr>
        <w:t>COM(2024) 81 final</w:t>
      </w:r>
      <w:r w:rsidR="00012BA6">
        <w:rPr>
          <w:rFonts w:ascii="Times New Roman" w:hAnsi="Times New Roman" w:cs="Times New Roman"/>
          <w:sz w:val="16"/>
          <w:szCs w:val="16"/>
        </w:rPr>
        <w:t>.</w:t>
      </w:r>
    </w:p>
  </w:footnote>
  <w:footnote w:id="29">
    <w:p w14:paraId="2539EB74"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State of the Digital Decade 2025: Keep building the EU's sovereignty and digital future. COM(2025) 290 final.</w:t>
      </w:r>
    </w:p>
  </w:footnote>
  <w:footnote w:id="30">
    <w:p w14:paraId="3A0A8CAB"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Eurostat.</w:t>
      </w:r>
    </w:p>
  </w:footnote>
  <w:footnote w:id="31">
    <w:p w14:paraId="41C3598F"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OECD, Labour force participation rate.</w:t>
      </w:r>
    </w:p>
  </w:footnote>
  <w:footnote w:id="32">
    <w:p w14:paraId="7E4F89D4" w14:textId="399F1CC9"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r w:rsidR="00797129">
        <w:rPr>
          <w:rFonts w:ascii="Times New Roman" w:hAnsi="Times New Roman" w:cs="Times New Roman"/>
          <w:sz w:val="16"/>
          <w:szCs w:val="16"/>
        </w:rPr>
        <w:t>European Commission</w:t>
      </w:r>
      <w:r w:rsidR="0081042C" w:rsidRPr="005B4F13">
        <w:rPr>
          <w:rFonts w:ascii="Times New Roman" w:hAnsi="Times New Roman" w:cs="Times New Roman"/>
          <w:sz w:val="16"/>
          <w:szCs w:val="16"/>
        </w:rPr>
        <w:t xml:space="preserve"> based on</w:t>
      </w:r>
      <w:r w:rsidRPr="0002606B">
        <w:rPr>
          <w:rFonts w:ascii="Times New Roman" w:hAnsi="Times New Roman" w:cs="Times New Roman"/>
          <w:sz w:val="16"/>
          <w:szCs w:val="16"/>
        </w:rPr>
        <w:t xml:space="preserve"> Eurostat </w:t>
      </w:r>
      <w:r>
        <w:rPr>
          <w:rFonts w:ascii="Times New Roman" w:hAnsi="Times New Roman" w:cs="Times New Roman"/>
          <w:sz w:val="16"/>
          <w:szCs w:val="16"/>
        </w:rPr>
        <w:t xml:space="preserve">annual national accounts and Short-Term Statistics </w:t>
      </w:r>
      <w:r w:rsidR="0081042C" w:rsidRPr="005B4F13">
        <w:rPr>
          <w:rFonts w:ascii="Times New Roman" w:hAnsi="Times New Roman" w:cs="Times New Roman"/>
          <w:sz w:val="16"/>
          <w:szCs w:val="16"/>
        </w:rPr>
        <w:t>data</w:t>
      </w:r>
      <w:r>
        <w:rPr>
          <w:rFonts w:ascii="Times New Roman" w:hAnsi="Times New Roman" w:cs="Times New Roman"/>
          <w:sz w:val="16"/>
          <w:szCs w:val="16"/>
        </w:rPr>
        <w:t xml:space="preserve"> </w:t>
      </w:r>
      <w:r w:rsidR="0081042C" w:rsidRPr="005B4F13">
        <w:rPr>
          <w:rFonts w:ascii="Times New Roman" w:hAnsi="Times New Roman" w:cs="Times New Roman"/>
          <w:sz w:val="16"/>
          <w:szCs w:val="16"/>
        </w:rPr>
        <w:t>and other sources.</w:t>
      </w:r>
    </w:p>
  </w:footnote>
  <w:footnote w:id="33">
    <w:p w14:paraId="4C6783C6" w14:textId="22004A09"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EIB Investment Survey (EIBIS)</w:t>
      </w:r>
      <w:r>
        <w:rPr>
          <w:rFonts w:ascii="Times New Roman" w:hAnsi="Times New Roman" w:cs="Times New Roman"/>
          <w:sz w:val="16"/>
          <w:szCs w:val="16"/>
        </w:rPr>
        <w:t>.</w:t>
      </w:r>
    </w:p>
  </w:footnote>
  <w:footnote w:id="34">
    <w:p w14:paraId="3A372337" w14:textId="680A963E"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Recent analysis identified 24 occupations relevant to the green transition with labour shortages across multiple Member States. Such occupations include plumbers and pipe fitters (20 Member States), insulation workers, civil engineers and air conditioning and refrigeration mechanics (14), civil engineering technicians (12) and roofers (11). They require technical and manual expertise essential to the green transition</w:t>
      </w:r>
      <w:r w:rsidR="002D71E1">
        <w:rPr>
          <w:rFonts w:ascii="Times New Roman" w:hAnsi="Times New Roman" w:cs="Times New Roman"/>
          <w:sz w:val="16"/>
          <w:szCs w:val="16"/>
        </w:rPr>
        <w:t>.</w:t>
      </w:r>
      <w:r w:rsidR="00EC1832" w:rsidRPr="00EC1832">
        <w:rPr>
          <w:rFonts w:ascii="Times New Roman" w:hAnsi="Times New Roman" w:cs="Times New Roman"/>
          <w:sz w:val="16"/>
          <w:szCs w:val="16"/>
        </w:rPr>
        <w:t xml:space="preserve"> </w:t>
      </w:r>
      <w:r w:rsidR="00522058">
        <w:rPr>
          <w:rFonts w:ascii="Times New Roman" w:hAnsi="Times New Roman" w:cs="Times New Roman"/>
          <w:sz w:val="16"/>
          <w:szCs w:val="16"/>
        </w:rPr>
        <w:t>See also</w:t>
      </w:r>
      <w:r w:rsidR="00EC1832">
        <w:rPr>
          <w:rFonts w:ascii="Times New Roman" w:hAnsi="Times New Roman" w:cs="Times New Roman"/>
          <w:sz w:val="16"/>
          <w:szCs w:val="16"/>
        </w:rPr>
        <w:t xml:space="preserve"> </w:t>
      </w:r>
      <w:r w:rsidR="00EC1832" w:rsidRPr="00901B4E">
        <w:rPr>
          <w:rFonts w:ascii="Times New Roman" w:hAnsi="Times New Roman" w:cs="Times New Roman"/>
          <w:sz w:val="16"/>
          <w:szCs w:val="16"/>
        </w:rPr>
        <w:t>EURES</w:t>
      </w:r>
      <w:r w:rsidR="00EC1832">
        <w:rPr>
          <w:rFonts w:ascii="Times New Roman" w:hAnsi="Times New Roman" w:cs="Times New Roman"/>
          <w:sz w:val="16"/>
          <w:szCs w:val="16"/>
        </w:rPr>
        <w:t xml:space="preserve"> </w:t>
      </w:r>
      <w:r w:rsidR="00EC1832" w:rsidRPr="00901B4E">
        <w:rPr>
          <w:rFonts w:ascii="Times New Roman" w:hAnsi="Times New Roman" w:cs="Times New Roman"/>
          <w:sz w:val="16"/>
          <w:szCs w:val="16"/>
        </w:rPr>
        <w:t>Report</w:t>
      </w:r>
      <w:r w:rsidR="00EC1832">
        <w:rPr>
          <w:rFonts w:ascii="Times New Roman" w:hAnsi="Times New Roman" w:cs="Times New Roman"/>
          <w:sz w:val="16"/>
          <w:szCs w:val="16"/>
        </w:rPr>
        <w:t>s</w:t>
      </w:r>
      <w:r w:rsidR="00EC1832" w:rsidRPr="00901B4E">
        <w:rPr>
          <w:rFonts w:ascii="Times New Roman" w:hAnsi="Times New Roman" w:cs="Times New Roman"/>
          <w:sz w:val="16"/>
          <w:szCs w:val="16"/>
        </w:rPr>
        <w:t xml:space="preserve"> on Labour Shortages and Surpluses</w:t>
      </w:r>
      <w:r w:rsidR="00EC1832">
        <w:rPr>
          <w:rFonts w:ascii="Times New Roman" w:hAnsi="Times New Roman" w:cs="Times New Roman"/>
          <w:sz w:val="16"/>
          <w:szCs w:val="16"/>
        </w:rPr>
        <w:t xml:space="preserve"> (2024 and 2025 editions</w:t>
      </w:r>
      <w:r w:rsidR="00522058">
        <w:rPr>
          <w:rFonts w:ascii="Times New Roman" w:hAnsi="Times New Roman" w:cs="Times New Roman"/>
          <w:sz w:val="16"/>
          <w:szCs w:val="16"/>
        </w:rPr>
        <w:t>.</w:t>
      </w:r>
    </w:p>
  </w:footnote>
  <w:footnote w:id="35">
    <w:p w14:paraId="6FB8F7EB" w14:textId="7932BA90" w:rsidR="00DE67D6" w:rsidRPr="005B4F13" w:rsidRDefault="00DE67D6" w:rsidP="00DE67D6">
      <w:pPr>
        <w:pStyle w:val="FootnoteText"/>
        <w:rPr>
          <w:rFonts w:ascii="Times New Roman" w:hAnsi="Times New Roman" w:cs="Times New Roman"/>
          <w:sz w:val="16"/>
          <w:szCs w:val="16"/>
          <w:lang w:val="en-GB"/>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Pr="00901B4E">
        <w:rPr>
          <w:rFonts w:ascii="Times New Roman" w:hAnsi="Times New Roman" w:cs="Times New Roman"/>
          <w:sz w:val="16"/>
          <w:szCs w:val="16"/>
        </w:rPr>
        <w:t>Eurostat</w:t>
      </w:r>
      <w:r>
        <w:rPr>
          <w:rFonts w:ascii="Times New Roman" w:hAnsi="Times New Roman" w:cs="Times New Roman"/>
          <w:sz w:val="16"/>
          <w:szCs w:val="16"/>
        </w:rPr>
        <w:t>,</w:t>
      </w:r>
      <w:r w:rsidRPr="005B4F13">
        <w:rPr>
          <w:rFonts w:ascii="Times New Roman" w:hAnsi="Times New Roman" w:cs="Times New Roman"/>
          <w:sz w:val="16"/>
          <w:szCs w:val="16"/>
        </w:rPr>
        <w:t xml:space="preserve"> </w:t>
      </w:r>
      <w:r w:rsidRPr="000E33AB">
        <w:rPr>
          <w:rFonts w:ascii="Times New Roman" w:hAnsi="Times New Roman" w:cs="Times New Roman"/>
          <w:sz w:val="16"/>
          <w:szCs w:val="16"/>
        </w:rPr>
        <w:t>based on EU survey on the use of ICT in households and by individuals</w:t>
      </w:r>
      <w:r w:rsidRPr="00901B4E">
        <w:rPr>
          <w:rFonts w:ascii="Times New Roman" w:hAnsi="Times New Roman" w:cs="Times New Roman"/>
          <w:sz w:val="16"/>
          <w:szCs w:val="16"/>
        </w:rPr>
        <w:t>.</w:t>
      </w:r>
    </w:p>
  </w:footnote>
  <w:footnote w:id="36">
    <w:p w14:paraId="106ACC9E" w14:textId="458B3105" w:rsidR="00DD0DC9" w:rsidRPr="005B4F13" w:rsidRDefault="00DD0DC9">
      <w:pPr>
        <w:pStyle w:val="FootnoteText"/>
        <w:rPr>
          <w:rFonts w:ascii="Times New Roman" w:hAnsi="Times New Roman" w:cs="Times New Roman"/>
          <w:sz w:val="16"/>
          <w:szCs w:val="16"/>
          <w:lang w:val="en-GB"/>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Pr="00B633E3">
        <w:rPr>
          <w:rFonts w:ascii="Times New Roman" w:hAnsi="Times New Roman" w:cs="Times New Roman"/>
          <w:sz w:val="16"/>
          <w:szCs w:val="16"/>
        </w:rPr>
        <w:t>Eurostat.</w:t>
      </w:r>
    </w:p>
  </w:footnote>
  <w:footnote w:id="37">
    <w:p w14:paraId="2B5C8C98" w14:textId="18511DEB" w:rsidR="00FC5EC9" w:rsidRPr="005B4F13" w:rsidRDefault="00FC5EC9">
      <w:pPr>
        <w:pStyle w:val="FootnoteText"/>
        <w:rPr>
          <w:rFonts w:ascii="Times New Roman" w:hAnsi="Times New Roman" w:cs="Times New Roman"/>
          <w:sz w:val="16"/>
          <w:szCs w:val="16"/>
          <w:lang w:val="en-GB"/>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OECD PISA database</w:t>
      </w:r>
      <w:r w:rsidR="00D5429C">
        <w:rPr>
          <w:rFonts w:ascii="Times New Roman" w:hAnsi="Times New Roman" w:cs="Times New Roman"/>
          <w:sz w:val="16"/>
          <w:szCs w:val="16"/>
        </w:rPr>
        <w:t>.</w:t>
      </w:r>
    </w:p>
  </w:footnote>
  <w:footnote w:id="38">
    <w:p w14:paraId="01114823"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Electricity prices here exclude levies and taxes that companies can recover.</w:t>
      </w:r>
    </w:p>
  </w:footnote>
  <w:footnote w:id="39">
    <w:p w14:paraId="118BB982" w14:textId="41AEE2F2" w:rsidR="00B14808" w:rsidRPr="00A6303C" w:rsidRDefault="00B14808" w:rsidP="00B1480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objective was set by the Commission in its “Clean industrial Deal” Communication. </w:t>
      </w:r>
    </w:p>
  </w:footnote>
  <w:footnote w:id="40">
    <w:p w14:paraId="07652BA4" w14:textId="33CBB79D" w:rsidR="00FB094A" w:rsidRPr="00D579A6" w:rsidRDefault="00FB09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objective was set by the Commission in its “Clean industrial Deal” Communication.</w:t>
      </w:r>
    </w:p>
  </w:footnote>
  <w:footnote w:id="41">
    <w:p w14:paraId="29B9D547" w14:textId="77777777" w:rsidR="00B059A1" w:rsidRPr="00D579A6" w:rsidRDefault="00B059A1" w:rsidP="00B059A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AMECO database.</w:t>
      </w:r>
    </w:p>
  </w:footnote>
  <w:footnote w:id="42">
    <w:p w14:paraId="0F09273B"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See: “2025 – List of indicators to monitor progress towards the capital markets union objectives”, EC, DG FISMA, 5 September 2025.</w:t>
      </w:r>
    </w:p>
  </w:footnote>
  <w:footnote w:id="43">
    <w:p w14:paraId="6D32C4F8"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See: “European Financial Stability and integration Review”, EC, DG FISMA 2025.</w:t>
      </w:r>
    </w:p>
  </w:footnote>
  <w:footnote w:id="44">
    <w:p w14:paraId="4FBB4ED3"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hyperlink r:id="rId14" w:history="1">
        <w:r w:rsidRPr="00B633E3">
          <w:rPr>
            <w:rStyle w:val="Hyperlink"/>
            <w:rFonts w:ascii="Times New Roman" w:hAnsi="Times New Roman" w:cs="Times New Roman"/>
            <w:sz w:val="16"/>
            <w:szCs w:val="16"/>
          </w:rPr>
          <w:t>https://www.ecb.europa.eu/press/key/date/2024/html/ecb.sp241122~fb84170883.en.html</w:t>
        </w:r>
      </w:hyperlink>
    </w:p>
  </w:footnote>
  <w:footnote w:id="45">
    <w:p w14:paraId="4E626407" w14:textId="77777777" w:rsidR="009C14CD" w:rsidRPr="005B71CF" w:rsidRDefault="009C14CD" w:rsidP="009C14CD">
      <w:pPr>
        <w:pStyle w:val="FootnoteText"/>
        <w:rPr>
          <w:rStyle w:val="Hyperlink"/>
          <w:rFonts w:ascii="Times New Roman" w:hAnsi="Times New Roman" w:cs="Times New Roman"/>
          <w:sz w:val="16"/>
          <w:szCs w:val="16"/>
          <w:u w:val="none"/>
        </w:rPr>
      </w:pPr>
      <w:r w:rsidRPr="005B71CF">
        <w:rPr>
          <w:rStyle w:val="FootnoteReference"/>
          <w:rFonts w:ascii="Times New Roman" w:hAnsi="Times New Roman" w:cs="Times New Roman"/>
          <w:sz w:val="16"/>
          <w:szCs w:val="16"/>
        </w:rPr>
        <w:footnoteRef/>
      </w:r>
      <w:r w:rsidRPr="005B71CF">
        <w:rPr>
          <w:rFonts w:ascii="Times New Roman" w:hAnsi="Times New Roman" w:cs="Times New Roman"/>
          <w:sz w:val="16"/>
          <w:szCs w:val="16"/>
        </w:rPr>
        <w:t xml:space="preserve"> </w:t>
      </w:r>
      <w:hyperlink r:id="rId15" w:history="1">
        <w:r w:rsidRPr="005B71CF">
          <w:rPr>
            <w:rStyle w:val="Hyperlink"/>
            <w:rFonts w:ascii="Times New Roman" w:hAnsi="Times New Roman" w:cs="Times New Roman"/>
            <w:sz w:val="16"/>
            <w:szCs w:val="16"/>
          </w:rPr>
          <w:t>Savings and investments union - Finance - European Commission</w:t>
        </w:r>
      </w:hyperlink>
      <w:r w:rsidRPr="005B71CF">
        <w:rPr>
          <w:rStyle w:val="Hyperlink"/>
          <w:rFonts w:ascii="Times New Roman" w:hAnsi="Times New Roman" w:cs="Times New Roman"/>
          <w:sz w:val="16"/>
          <w:szCs w:val="16"/>
        </w:rPr>
        <w:t>.</w:t>
      </w:r>
    </w:p>
  </w:footnote>
  <w:footnote w:id="46">
    <w:p w14:paraId="343A5CDF" w14:textId="7156369C" w:rsidR="00D326BF" w:rsidRPr="005B4F13" w:rsidRDefault="00D326BF" w:rsidP="005B4F13">
      <w:pPr>
        <w:pStyle w:val="FootnoteText"/>
        <w:jc w:val="both"/>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00E372C2" w:rsidRPr="00E372C2">
        <w:rPr>
          <w:rFonts w:ascii="Times New Roman" w:hAnsi="Times New Roman" w:cs="Times New Roman"/>
          <w:sz w:val="16"/>
          <w:szCs w:val="16"/>
          <w:lang w:val="en-US"/>
        </w:rPr>
        <w:t>Based on existing estimates in the literature and simplifying assumptions</w:t>
      </w:r>
      <w:r w:rsidR="00E372C2">
        <w:rPr>
          <w:rFonts w:ascii="Times New Roman" w:hAnsi="Times New Roman" w:cs="Times New Roman"/>
          <w:sz w:val="16"/>
          <w:szCs w:val="16"/>
          <w:lang w:val="en-US"/>
        </w:rPr>
        <w:t>, t</w:t>
      </w:r>
      <w:r w:rsidRPr="005B4F13">
        <w:rPr>
          <w:rFonts w:ascii="Times New Roman" w:hAnsi="Times New Roman" w:cs="Times New Roman"/>
          <w:sz w:val="16"/>
          <w:szCs w:val="16"/>
        </w:rPr>
        <w:t xml:space="preserve">he package on market integration and supervision alone </w:t>
      </w:r>
      <w:r w:rsidR="003D4A85">
        <w:rPr>
          <w:rFonts w:ascii="Times New Roman" w:hAnsi="Times New Roman" w:cs="Times New Roman"/>
          <w:sz w:val="16"/>
          <w:szCs w:val="16"/>
        </w:rPr>
        <w:t>coul</w:t>
      </w:r>
      <w:r w:rsidR="00B53C81">
        <w:rPr>
          <w:rFonts w:ascii="Times New Roman" w:hAnsi="Times New Roman" w:cs="Times New Roman"/>
          <w:sz w:val="16"/>
          <w:szCs w:val="16"/>
        </w:rPr>
        <w:t>d</w:t>
      </w:r>
      <w:r w:rsidRPr="005B4F13">
        <w:rPr>
          <w:rFonts w:ascii="Times New Roman" w:hAnsi="Times New Roman" w:cs="Times New Roman"/>
          <w:sz w:val="16"/>
          <w:szCs w:val="16"/>
        </w:rPr>
        <w:t xml:space="preserve"> add</w:t>
      </w:r>
      <w:r w:rsidRPr="004217DB">
        <w:rPr>
          <w:rFonts w:ascii="Times New Roman" w:hAnsi="Times New Roman" w:cs="Times New Roman"/>
          <w:sz w:val="16"/>
          <w:szCs w:val="16"/>
        </w:rPr>
        <w:t xml:space="preserve"> </w:t>
      </w:r>
      <w:r w:rsidRPr="005B4F13">
        <w:rPr>
          <w:rFonts w:ascii="Times New Roman" w:hAnsi="Times New Roman" w:cs="Times New Roman"/>
          <w:sz w:val="16"/>
          <w:szCs w:val="16"/>
        </w:rPr>
        <w:t>EUR 1.3 to 3.6 trillion to GDP over the next 30 years</w:t>
      </w:r>
      <w:r w:rsidR="00AB6D21">
        <w:rPr>
          <w:rFonts w:ascii="Times New Roman" w:hAnsi="Times New Roman" w:cs="Times New Roman"/>
          <w:sz w:val="16"/>
          <w:szCs w:val="16"/>
        </w:rPr>
        <w:t xml:space="preserve">. </w:t>
      </w:r>
      <w:r w:rsidR="00D539B7">
        <w:rPr>
          <w:rFonts w:ascii="Times New Roman" w:hAnsi="Times New Roman" w:cs="Times New Roman"/>
          <w:sz w:val="16"/>
          <w:szCs w:val="16"/>
        </w:rPr>
        <w:t>T</w:t>
      </w:r>
      <w:r w:rsidR="008D1438" w:rsidRPr="008D1438">
        <w:rPr>
          <w:rFonts w:ascii="Times New Roman" w:hAnsi="Times New Roman" w:cs="Times New Roman"/>
          <w:sz w:val="16"/>
          <w:szCs w:val="16"/>
        </w:rPr>
        <w:t xml:space="preserve">he benefits of having integrated capital markets in the EU </w:t>
      </w:r>
      <w:r w:rsidR="00384766">
        <w:rPr>
          <w:rFonts w:ascii="Times New Roman" w:hAnsi="Times New Roman" w:cs="Times New Roman"/>
          <w:sz w:val="16"/>
          <w:szCs w:val="16"/>
        </w:rPr>
        <w:t xml:space="preserve">are </w:t>
      </w:r>
      <w:r w:rsidR="008D1438" w:rsidRPr="008D1438">
        <w:rPr>
          <w:rFonts w:ascii="Times New Roman" w:hAnsi="Times New Roman" w:cs="Times New Roman"/>
          <w:sz w:val="16"/>
          <w:szCs w:val="16"/>
        </w:rPr>
        <w:t>estimated to be significantly higher</w:t>
      </w:r>
      <w:r w:rsidR="00582E08">
        <w:rPr>
          <w:rFonts w:ascii="Times New Roman" w:hAnsi="Times New Roman" w:cs="Times New Roman"/>
          <w:sz w:val="16"/>
          <w:szCs w:val="16"/>
        </w:rPr>
        <w:t xml:space="preserve">. See the impact assessment of the </w:t>
      </w:r>
      <w:r w:rsidR="00582E08" w:rsidRPr="00582E08">
        <w:rPr>
          <w:rFonts w:ascii="Times New Roman" w:hAnsi="Times New Roman" w:cs="Times New Roman"/>
          <w:sz w:val="16"/>
          <w:szCs w:val="16"/>
        </w:rPr>
        <w:t>Market Infrastructure Package SWD(2025)643</w:t>
      </w:r>
      <w:r w:rsidR="00582E08">
        <w:rPr>
          <w:rFonts w:ascii="Times New Roman" w:hAnsi="Times New Roman" w:cs="Times New Roman"/>
          <w:sz w:val="16"/>
          <w:szCs w:val="16"/>
        </w:rPr>
        <w:t>.</w:t>
      </w:r>
    </w:p>
  </w:footnote>
  <w:footnote w:id="47">
    <w:p w14:paraId="46D66D03" w14:textId="0DB114E6" w:rsidR="005E292D" w:rsidRPr="00D579A6" w:rsidRDefault="005E292D" w:rsidP="005E292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lang w:val="en-US"/>
        </w:rPr>
        <w:t xml:space="preserve">Cohesion policy represents almost 13% of total government investment in the EU as a whole and 51% in less developed Member States, and encourages significant private investments. </w:t>
      </w:r>
      <w:hyperlink r:id="rId16" w:history="1">
        <w:r>
          <w:rPr>
            <w:rStyle w:val="Hyperlink"/>
            <w:rFonts w:ascii="Times New Roman" w:hAnsi="Times New Roman" w:cs="Times New Roman"/>
            <w:sz w:val="16"/>
            <w:szCs w:val="16"/>
            <w:lang w:val="en-US"/>
          </w:rPr>
          <w:t>See Ninth Cohesion Report on economic, social and territorial cohesion</w:t>
        </w:r>
      </w:hyperlink>
      <w:r>
        <w:rPr>
          <w:rFonts w:ascii="Times New Roman" w:hAnsi="Times New Roman" w:cs="Times New Roman"/>
          <w:sz w:val="16"/>
          <w:szCs w:val="16"/>
          <w:lang w:val="en-US"/>
        </w:rPr>
        <w:t>.</w:t>
      </w:r>
    </w:p>
  </w:footnote>
  <w:footnote w:id="48">
    <w:p w14:paraId="5FCBC619" w14:textId="588259C1"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hyperlink r:id="rId17" w:history="1">
        <w:r w:rsidRPr="00B633E3">
          <w:rPr>
            <w:rStyle w:val="Hyperlink"/>
            <w:rFonts w:ascii="Times New Roman" w:hAnsi="Times New Roman" w:cs="Times New Roman"/>
            <w:sz w:val="16"/>
            <w:szCs w:val="16"/>
          </w:rPr>
          <w:t>InvestEU - Performance - European Commission</w:t>
        </w:r>
      </w:hyperlink>
      <w:r w:rsidR="00C24C14">
        <w:rPr>
          <w:rFonts w:ascii="Times New Roman" w:hAnsi="Times New Roman" w:cs="Times New Roman"/>
          <w:sz w:val="16"/>
          <w:szCs w:val="16"/>
        </w:rPr>
        <w:t>.</w:t>
      </w:r>
    </w:p>
  </w:footnote>
  <w:footnote w:id="49">
    <w:p w14:paraId="7C84F67D" w14:textId="63E53E9F" w:rsidR="00C15FFF" w:rsidRPr="00B633E3" w:rsidRDefault="00C15FFF" w:rsidP="00C15FFF">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r w:rsidR="0000191A">
        <w:rPr>
          <w:rFonts w:ascii="Times New Roman" w:hAnsi="Times New Roman" w:cs="Times New Roman"/>
          <w:sz w:val="16"/>
          <w:szCs w:val="16"/>
        </w:rPr>
        <w:t xml:space="preserve">See </w:t>
      </w:r>
      <w:hyperlink r:id="rId18" w:history="1">
        <w:r w:rsidR="0000191A" w:rsidRPr="005B71CF">
          <w:rPr>
            <w:rStyle w:val="Hyperlink"/>
            <w:rFonts w:ascii="Times New Roman" w:hAnsi="Times New Roman" w:cs="Times New Roman"/>
            <w:sz w:val="16"/>
            <w:szCs w:val="16"/>
          </w:rPr>
          <w:t>https://competition-policy.ec.europa.eu/state-aid/ipcei/approved-ipceis_en</w:t>
        </w:r>
      </w:hyperlink>
      <w:r w:rsidR="00DD505D">
        <w:rPr>
          <w:rFonts w:ascii="Times New Roman" w:hAnsi="Times New Roman" w:cs="Times New Roman"/>
          <w:sz w:val="16"/>
          <w:szCs w:val="16"/>
        </w:rPr>
        <w:t xml:space="preserve">. </w:t>
      </w:r>
      <w:r w:rsidRPr="00B633E3">
        <w:rPr>
          <w:rFonts w:ascii="Times New Roman" w:hAnsi="Times New Roman" w:cs="Times New Roman"/>
          <w:sz w:val="16"/>
          <w:szCs w:val="16"/>
        </w:rPr>
        <w:t>They enable a total investment of EUR 104.4 bn based on aid of EUR 37.6 bn.</w:t>
      </w:r>
    </w:p>
  </w:footnote>
  <w:footnote w:id="50">
    <w:p w14:paraId="16F19D5B" w14:textId="7B6F7DE5"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Style w:val="FootnoteReference"/>
          <w:rFonts w:ascii="Times New Roman" w:hAnsi="Times New Roman" w:cs="Times New Roman"/>
          <w:sz w:val="16"/>
          <w:szCs w:val="16"/>
        </w:rPr>
        <w:t xml:space="preserve"> </w:t>
      </w:r>
      <w:r w:rsidRPr="00B633E3">
        <w:rPr>
          <w:rFonts w:ascii="Times New Roman" w:hAnsi="Times New Roman" w:cs="Times New Roman"/>
          <w:sz w:val="16"/>
          <w:szCs w:val="16"/>
        </w:rPr>
        <w:t>Advanced Semiconductor Technologies, Artificial Intelligence, Circular Advanced Materials for Clean Technologies, Compute Infrastructure Continuum, Innovative Nuclear Technologies, Biobased Chemicals, Biobased Materials, Biotechnologies for Food and Feed</w:t>
      </w:r>
      <w:r w:rsidR="00501E6D">
        <w:rPr>
          <w:rFonts w:ascii="Times New Roman" w:hAnsi="Times New Roman" w:cs="Times New Roman"/>
          <w:sz w:val="16"/>
          <w:szCs w:val="16"/>
        </w:rPr>
        <w:t>.</w:t>
      </w:r>
      <w:r w:rsidR="008D02B6">
        <w:rPr>
          <w:rFonts w:ascii="Times New Roman" w:hAnsi="Times New Roman" w:cs="Times New Roman"/>
          <w:sz w:val="16"/>
          <w:szCs w:val="16"/>
        </w:rPr>
        <w:t xml:space="preserve"> </w:t>
      </w:r>
      <w:r w:rsidR="005C1582">
        <w:rPr>
          <w:rFonts w:ascii="Times New Roman" w:hAnsi="Times New Roman" w:cs="Times New Roman"/>
          <w:sz w:val="16"/>
          <w:szCs w:val="16"/>
        </w:rPr>
        <w:t xml:space="preserve">See </w:t>
      </w:r>
      <w:hyperlink r:id="rId19" w:history="1">
        <w:r w:rsidR="00A84169" w:rsidRPr="005B4F13">
          <w:rPr>
            <w:rStyle w:val="Hyperlink"/>
            <w:rFonts w:ascii="Times New Roman" w:hAnsi="Times New Roman" w:cs="Times New Roman"/>
            <w:sz w:val="16"/>
            <w:szCs w:val="16"/>
          </w:rPr>
          <w:t>Joint European Forum for IPCEI - Competition Policy - European Commission</w:t>
        </w:r>
      </w:hyperlink>
      <w:r w:rsidRPr="00B633E3">
        <w:rPr>
          <w:rFonts w:ascii="Times New Roman" w:hAnsi="Times New Roman" w:cs="Times New Roman"/>
          <w:sz w:val="16"/>
          <w:szCs w:val="16"/>
        </w:rPr>
        <w:t>.</w:t>
      </w:r>
    </w:p>
  </w:footnote>
  <w:footnote w:id="51">
    <w:p w14:paraId="4E2E5C3D"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Competitiveness Compass for the EU, COM(2025)30 final.</w:t>
      </w:r>
    </w:p>
  </w:footnote>
  <w:footnote w:id="52">
    <w:p w14:paraId="63956221" w14:textId="38E09E14"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Eurostat</w:t>
      </w:r>
      <w:r w:rsidR="00195B7C">
        <w:rPr>
          <w:rFonts w:ascii="Times New Roman" w:hAnsi="Times New Roman" w:cs="Times New Roman"/>
          <w:sz w:val="16"/>
          <w:szCs w:val="16"/>
        </w:rPr>
        <w:t>.</w:t>
      </w:r>
    </w:p>
  </w:footnote>
  <w:footnote w:id="53">
    <w:p w14:paraId="74E28140" w14:textId="20FE0B9C"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See COM(2025)484 final. Furthermore, energy efficiency can </w:t>
      </w:r>
      <w:r w:rsidR="00684ECC">
        <w:rPr>
          <w:rFonts w:ascii="Times New Roman" w:hAnsi="Times New Roman" w:cs="Times New Roman"/>
          <w:sz w:val="16"/>
          <w:szCs w:val="16"/>
        </w:rPr>
        <w:t>reduce</w:t>
      </w:r>
      <w:r w:rsidR="00684ECC" w:rsidRPr="00B633E3">
        <w:rPr>
          <w:rFonts w:ascii="Times New Roman" w:hAnsi="Times New Roman" w:cs="Times New Roman"/>
          <w:sz w:val="16"/>
          <w:szCs w:val="16"/>
        </w:rPr>
        <w:t xml:space="preserve"> </w:t>
      </w:r>
      <w:r w:rsidRPr="00B633E3">
        <w:rPr>
          <w:rFonts w:ascii="Times New Roman" w:hAnsi="Times New Roman" w:cs="Times New Roman"/>
          <w:sz w:val="16"/>
          <w:szCs w:val="16"/>
        </w:rPr>
        <w:t>fossil fuel import bills by around 25%.</w:t>
      </w:r>
    </w:p>
  </w:footnote>
  <w:footnote w:id="54">
    <w:p w14:paraId="3085585B" w14:textId="77777777"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See also: </w:t>
      </w:r>
      <w:hyperlink r:id="rId20" w:history="1">
        <w:r w:rsidRPr="00B633E3">
          <w:rPr>
            <w:rStyle w:val="Hyperlink"/>
            <w:rFonts w:ascii="Times New Roman" w:hAnsi="Times New Roman" w:cs="Times New Roman"/>
            <w:sz w:val="16"/>
            <w:szCs w:val="16"/>
          </w:rPr>
          <w:t>Assessment of progress towards the Energy Union and Climate Action objectives (SWD) - Energy</w:t>
        </w:r>
      </w:hyperlink>
      <w:r w:rsidRPr="00B633E3">
        <w:rPr>
          <w:rFonts w:ascii="Times New Roman" w:hAnsi="Times New Roman" w:cs="Times New Roman"/>
          <w:sz w:val="16"/>
          <w:szCs w:val="16"/>
        </w:rPr>
        <w:t>.</w:t>
      </w:r>
    </w:p>
  </w:footnote>
  <w:footnote w:id="55">
    <w:p w14:paraId="13478706" w14:textId="73D5E48C" w:rsidR="00195B7C" w:rsidRPr="005B4F13" w:rsidRDefault="00195B7C">
      <w:pPr>
        <w:pStyle w:val="FootnoteText"/>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A91F46">
        <w:rPr>
          <w:rFonts w:ascii="Times New Roman" w:hAnsi="Times New Roman" w:cs="Times New Roman"/>
          <w:sz w:val="16"/>
          <w:szCs w:val="16"/>
        </w:rPr>
        <w:t xml:space="preserve"> </w:t>
      </w:r>
      <w:r w:rsidRPr="005B4F13">
        <w:rPr>
          <w:rFonts w:ascii="Times New Roman" w:hAnsi="Times New Roman" w:cs="Times New Roman"/>
          <w:sz w:val="16"/>
          <w:szCs w:val="16"/>
        </w:rPr>
        <w:t>Eurostat (</w:t>
      </w:r>
      <w:hyperlink r:id="rId21" w:history="1">
        <w:r w:rsidR="005C7F23" w:rsidRPr="005B4F13">
          <w:rPr>
            <w:rStyle w:val="Hyperlink"/>
            <w:rFonts w:ascii="Times New Roman" w:hAnsi="Times New Roman" w:cs="Times New Roman"/>
            <w:sz w:val="16"/>
            <w:szCs w:val="16"/>
          </w:rPr>
          <w:t>Waste statistics - electrical and electronic equipment - Statistics Explained - Eurostat</w:t>
        </w:r>
      </w:hyperlink>
      <w:r w:rsidRPr="005B4F13">
        <w:rPr>
          <w:rFonts w:ascii="Times New Roman" w:hAnsi="Times New Roman" w:cs="Times New Roman"/>
          <w:sz w:val="16"/>
          <w:szCs w:val="16"/>
        </w:rPr>
        <w:t>)</w:t>
      </w:r>
      <w:r w:rsidR="009461A9">
        <w:rPr>
          <w:rFonts w:ascii="Times New Roman" w:hAnsi="Times New Roman" w:cs="Times New Roman"/>
          <w:sz w:val="16"/>
          <w:szCs w:val="16"/>
        </w:rPr>
        <w:t>.</w:t>
      </w:r>
    </w:p>
  </w:footnote>
  <w:footnote w:id="56">
    <w:p w14:paraId="6B7A1E97" w14:textId="1D958781" w:rsidR="0020302F" w:rsidRPr="005B4F13" w:rsidRDefault="0020302F">
      <w:pPr>
        <w:pStyle w:val="FootnoteText"/>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00B5133C" w:rsidRPr="005B4F13">
        <w:rPr>
          <w:rFonts w:ascii="Times New Roman" w:hAnsi="Times New Roman" w:cs="Times New Roman"/>
          <w:sz w:val="16"/>
          <w:szCs w:val="16"/>
        </w:rPr>
        <w:t>COM(2025)</w:t>
      </w:r>
      <w:r w:rsidR="001C14FF">
        <w:rPr>
          <w:rFonts w:ascii="Times New Roman" w:hAnsi="Times New Roman" w:cs="Times New Roman"/>
          <w:sz w:val="16"/>
          <w:szCs w:val="16"/>
        </w:rPr>
        <w:t xml:space="preserve"> </w:t>
      </w:r>
      <w:r w:rsidR="00B5133C" w:rsidRPr="005B4F13">
        <w:rPr>
          <w:rFonts w:ascii="Times New Roman" w:hAnsi="Times New Roman" w:cs="Times New Roman"/>
          <w:sz w:val="16"/>
          <w:szCs w:val="16"/>
        </w:rPr>
        <w:t>500 final.</w:t>
      </w:r>
    </w:p>
  </w:footnote>
  <w:footnote w:id="57">
    <w:p w14:paraId="2691CE99" w14:textId="2BBDC22A" w:rsidR="00775C1C" w:rsidRPr="001B187A" w:rsidRDefault="00775C1C">
      <w:pPr>
        <w:pStyle w:val="FootnoteText"/>
        <w:rPr>
          <w:rFonts w:ascii="Times New Roman" w:hAnsi="Times New Roman" w:cs="Times New Roman"/>
          <w:sz w:val="16"/>
          <w:szCs w:val="16"/>
        </w:rPr>
      </w:pPr>
      <w:r w:rsidRPr="001B187A">
        <w:rPr>
          <w:rStyle w:val="FootnoteReference"/>
          <w:rFonts w:ascii="Times New Roman" w:hAnsi="Times New Roman" w:cs="Times New Roman"/>
          <w:sz w:val="16"/>
          <w:szCs w:val="16"/>
        </w:rPr>
        <w:footnoteRef/>
      </w:r>
      <w:r w:rsidRPr="001B187A">
        <w:rPr>
          <w:rFonts w:ascii="Times New Roman" w:hAnsi="Times New Roman" w:cs="Times New Roman"/>
          <w:sz w:val="16"/>
          <w:szCs w:val="16"/>
        </w:rPr>
        <w:t xml:space="preserve"> </w:t>
      </w:r>
      <w:r w:rsidR="00304B22" w:rsidRPr="001B187A">
        <w:rPr>
          <w:rFonts w:ascii="Times New Roman" w:hAnsi="Times New Roman" w:cs="Times New Roman"/>
          <w:sz w:val="16"/>
          <w:szCs w:val="16"/>
        </w:rPr>
        <w:t>C</w:t>
      </w:r>
      <w:r w:rsidR="00215443" w:rsidRPr="001B187A">
        <w:rPr>
          <w:rFonts w:ascii="Times New Roman" w:hAnsi="Times New Roman" w:cs="Times New Roman"/>
          <w:sz w:val="16"/>
          <w:szCs w:val="16"/>
        </w:rPr>
        <w:t>OM(2025) 125 final.</w:t>
      </w:r>
    </w:p>
  </w:footnote>
  <w:footnote w:id="58">
    <w:p w14:paraId="069B6850" w14:textId="16B67678" w:rsidR="00DD0DC9" w:rsidRPr="001B187A" w:rsidRDefault="00DD0DC9" w:rsidP="00DD0DC9">
      <w:pPr>
        <w:pStyle w:val="FootnoteText"/>
        <w:contextualSpacing/>
        <w:jc w:val="both"/>
        <w:rPr>
          <w:rFonts w:ascii="Times New Roman" w:hAnsi="Times New Roman" w:cs="Times New Roman"/>
          <w:sz w:val="16"/>
          <w:szCs w:val="16"/>
        </w:rPr>
      </w:pPr>
      <w:r w:rsidRPr="001B187A">
        <w:rPr>
          <w:rStyle w:val="FootnoteReference"/>
          <w:rFonts w:ascii="Times New Roman" w:hAnsi="Times New Roman" w:cs="Times New Roman"/>
          <w:sz w:val="16"/>
          <w:szCs w:val="16"/>
        </w:rPr>
        <w:footnoteRef/>
      </w:r>
      <w:r w:rsidRPr="001B187A">
        <w:rPr>
          <w:rFonts w:ascii="Times New Roman" w:hAnsi="Times New Roman" w:cs="Times New Roman"/>
          <w:sz w:val="16"/>
          <w:szCs w:val="16"/>
        </w:rPr>
        <w:t xml:space="preserve"> KPI </w:t>
      </w:r>
      <w:r>
        <w:rPr>
          <w:rFonts w:ascii="Times New Roman" w:hAnsi="Times New Roman" w:cs="Times New Roman"/>
          <w:sz w:val="16"/>
          <w:szCs w:val="16"/>
        </w:rPr>
        <w:t>29</w:t>
      </w:r>
      <w:r w:rsidRPr="001B187A">
        <w:rPr>
          <w:rFonts w:ascii="Times New Roman" w:hAnsi="Times New Roman" w:cs="Times New Roman"/>
          <w:sz w:val="16"/>
          <w:szCs w:val="16"/>
        </w:rPr>
        <w:t xml:space="preserve"> assesses the combined vulnerability to external shocks of the product categories within the scope of the Clean Industrial Deal. These broadly include semiconductors, net-zero technologies, raw materials, basic metals, chemicals, machinery and motor vehicles.</w:t>
      </w:r>
    </w:p>
  </w:footnote>
  <w:footnote w:id="59">
    <w:p w14:paraId="12FD82F5" w14:textId="77777777" w:rsidR="00DD0DC9" w:rsidRPr="001B187A" w:rsidRDefault="00DD0DC9" w:rsidP="00DD0DC9">
      <w:pPr>
        <w:pStyle w:val="FootnoteText"/>
        <w:contextualSpacing/>
        <w:rPr>
          <w:rFonts w:ascii="Times New Roman" w:hAnsi="Times New Roman" w:cs="Times New Roman"/>
          <w:sz w:val="16"/>
          <w:szCs w:val="16"/>
        </w:rPr>
      </w:pPr>
      <w:r w:rsidRPr="001B187A">
        <w:rPr>
          <w:rStyle w:val="FootnoteReference"/>
          <w:rFonts w:ascii="Times New Roman" w:hAnsi="Times New Roman" w:cs="Times New Roman"/>
          <w:sz w:val="16"/>
          <w:szCs w:val="16"/>
        </w:rPr>
        <w:footnoteRef/>
      </w:r>
      <w:r w:rsidRPr="001B187A">
        <w:rPr>
          <w:rFonts w:ascii="Times New Roman" w:hAnsi="Times New Roman" w:cs="Times New Roman"/>
          <w:sz w:val="16"/>
          <w:szCs w:val="16"/>
        </w:rPr>
        <w:t xml:space="preserve"> R. Arjona, W. Connell, C. Herghelegiu (2024): “</w:t>
      </w:r>
      <w:hyperlink r:id="rId22" w:history="1">
        <w:r w:rsidRPr="001B187A">
          <w:rPr>
            <w:rStyle w:val="Hyperlink"/>
            <w:rFonts w:ascii="Times New Roman" w:hAnsi="Times New Roman" w:cs="Times New Roman"/>
            <w:sz w:val="16"/>
            <w:szCs w:val="16"/>
          </w:rPr>
          <w:t>Supply Chain Tectonics: Empirics on how the EU is plotting its path through global trade fragmentation</w:t>
        </w:r>
      </w:hyperlink>
      <w:r w:rsidRPr="001B187A">
        <w:rPr>
          <w:rFonts w:ascii="Times New Roman" w:hAnsi="Times New Roman" w:cs="Times New Roman"/>
          <w:sz w:val="16"/>
          <w:szCs w:val="16"/>
        </w:rPr>
        <w:t>”, European Commission, Single Market Economics Papers.</w:t>
      </w:r>
    </w:p>
  </w:footnote>
  <w:footnote w:id="60">
    <w:p w14:paraId="77059E53" w14:textId="77777777" w:rsidR="004F4DE4" w:rsidRPr="001B187A" w:rsidRDefault="004F4DE4" w:rsidP="004F4DE4">
      <w:pPr>
        <w:pStyle w:val="FootnoteText"/>
        <w:rPr>
          <w:rFonts w:ascii="Times New Roman" w:hAnsi="Times New Roman" w:cs="Times New Roman"/>
          <w:sz w:val="16"/>
          <w:szCs w:val="16"/>
        </w:rPr>
      </w:pPr>
      <w:r w:rsidRPr="001B187A">
        <w:rPr>
          <w:rStyle w:val="FootnoteReference"/>
          <w:rFonts w:ascii="Times New Roman" w:hAnsi="Times New Roman" w:cs="Times New Roman"/>
          <w:sz w:val="16"/>
          <w:szCs w:val="16"/>
        </w:rPr>
        <w:footnoteRef/>
      </w:r>
      <w:r w:rsidRPr="001B187A">
        <w:rPr>
          <w:rFonts w:ascii="Times New Roman" w:hAnsi="Times New Roman" w:cs="Times New Roman"/>
          <w:sz w:val="16"/>
          <w:szCs w:val="16"/>
        </w:rPr>
        <w:t xml:space="preserve"> </w:t>
      </w:r>
      <w:r w:rsidRPr="001B187A">
        <w:rPr>
          <w:rFonts w:ascii="Times New Roman" w:eastAsia="Aptos" w:hAnsi="Times New Roman" w:cs="Times New Roman"/>
          <w:sz w:val="16"/>
          <w:szCs w:val="16"/>
        </w:rPr>
        <w:t>World Trade Organisation, World Trade Report 2023.</w:t>
      </w:r>
    </w:p>
  </w:footnote>
  <w:footnote w:id="61">
    <w:p w14:paraId="2295A5D5" w14:textId="45120F38" w:rsidR="00DD0DC9" w:rsidRPr="001B187A" w:rsidRDefault="00DD0DC9" w:rsidP="00DD0DC9">
      <w:pPr>
        <w:pStyle w:val="FootnoteText"/>
        <w:contextualSpacing/>
        <w:rPr>
          <w:rFonts w:ascii="Times New Roman" w:hAnsi="Times New Roman" w:cs="Times New Roman"/>
          <w:sz w:val="16"/>
          <w:szCs w:val="16"/>
        </w:rPr>
      </w:pPr>
      <w:r w:rsidRPr="001B187A">
        <w:rPr>
          <w:rStyle w:val="FootnoteReference"/>
          <w:rFonts w:ascii="Times New Roman" w:hAnsi="Times New Roman" w:cs="Times New Roman"/>
          <w:sz w:val="16"/>
          <w:szCs w:val="16"/>
        </w:rPr>
        <w:footnoteRef/>
      </w:r>
      <w:r w:rsidRPr="001B187A">
        <w:rPr>
          <w:rFonts w:ascii="Times New Roman" w:hAnsi="Times New Roman" w:cs="Times New Roman"/>
          <w:sz w:val="16"/>
          <w:szCs w:val="16"/>
        </w:rPr>
        <w:t xml:space="preserve"> </w:t>
      </w:r>
      <w:r w:rsidR="002046C7" w:rsidRPr="001B187A">
        <w:rPr>
          <w:rFonts w:ascii="Times New Roman" w:hAnsi="Times New Roman" w:cs="Times New Roman"/>
          <w:color w:val="000000" w:themeColor="text1"/>
          <w:sz w:val="16"/>
          <w:szCs w:val="16"/>
        </w:rPr>
        <w:t>Eurostat</w:t>
      </w:r>
      <w:r w:rsidRPr="001B187A">
        <w:rPr>
          <w:rFonts w:ascii="Times New Roman" w:hAnsi="Times New Roman" w:cs="Times New Roman"/>
          <w:color w:val="000000" w:themeColor="text1"/>
          <w:sz w:val="16"/>
          <w:szCs w:val="16"/>
        </w:rPr>
        <w:t>.</w:t>
      </w:r>
    </w:p>
  </w:footnote>
  <w:footnote w:id="62">
    <w:p w14:paraId="62079207" w14:textId="77777777" w:rsidR="00DD0DC9" w:rsidRPr="00B633E3" w:rsidRDefault="00DD0DC9" w:rsidP="00DD0DC9">
      <w:pPr>
        <w:pStyle w:val="FootnoteText"/>
        <w:contextualSpacing/>
        <w:rPr>
          <w:rFonts w:ascii="Times New Roman" w:hAnsi="Times New Roman" w:cs="Times New Roman"/>
          <w:sz w:val="16"/>
          <w:szCs w:val="16"/>
        </w:rPr>
      </w:pPr>
      <w:r w:rsidRPr="001B187A">
        <w:rPr>
          <w:rStyle w:val="FootnoteReference"/>
          <w:rFonts w:ascii="Times New Roman" w:hAnsi="Times New Roman" w:cs="Times New Roman"/>
          <w:sz w:val="16"/>
          <w:szCs w:val="16"/>
        </w:rPr>
        <w:footnoteRef/>
      </w:r>
      <w:r w:rsidRPr="001B187A">
        <w:rPr>
          <w:rFonts w:ascii="Times New Roman" w:hAnsi="Times New Roman" w:cs="Times New Roman"/>
          <w:sz w:val="16"/>
          <w:szCs w:val="16"/>
        </w:rPr>
        <w:t xml:space="preserve"> Eurostat.</w:t>
      </w:r>
    </w:p>
  </w:footnote>
  <w:footnote w:id="63">
    <w:p w14:paraId="4E229119" w14:textId="011F57EA" w:rsidR="009374FF" w:rsidRPr="005B4F13" w:rsidRDefault="009374FF">
      <w:pPr>
        <w:pStyle w:val="FootnoteText"/>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w:t>
      </w:r>
      <w:r w:rsidR="00AF0A13">
        <w:rPr>
          <w:rFonts w:ascii="Times New Roman" w:hAnsi="Times New Roman" w:cs="Times New Roman"/>
          <w:sz w:val="16"/>
          <w:szCs w:val="16"/>
        </w:rPr>
        <w:t>For example in the area of</w:t>
      </w:r>
      <w:r w:rsidR="008C6EC7">
        <w:rPr>
          <w:rFonts w:ascii="Times New Roman" w:hAnsi="Times New Roman" w:cs="Times New Roman"/>
          <w:sz w:val="16"/>
          <w:szCs w:val="16"/>
        </w:rPr>
        <w:t xml:space="preserve"> </w:t>
      </w:r>
      <w:hyperlink r:id="rId23" w:history="1">
        <w:r w:rsidR="008C6EC7" w:rsidRPr="00F43C0A">
          <w:rPr>
            <w:rStyle w:val="Hyperlink"/>
            <w:rFonts w:ascii="Times New Roman" w:hAnsi="Times New Roman" w:cs="Times New Roman"/>
            <w:sz w:val="16"/>
            <w:szCs w:val="16"/>
          </w:rPr>
          <w:t>steel</w:t>
        </w:r>
      </w:hyperlink>
      <w:r w:rsidR="008C1DC7" w:rsidRPr="005B4F13">
        <w:rPr>
          <w:rFonts w:ascii="Times New Roman" w:hAnsi="Times New Roman" w:cs="Times New Roman"/>
          <w:sz w:val="16"/>
          <w:szCs w:val="16"/>
        </w:rPr>
        <w:t xml:space="preserve"> and </w:t>
      </w:r>
      <w:hyperlink r:id="rId24" w:history="1">
        <w:r w:rsidR="001B43B2" w:rsidRPr="005B4F13">
          <w:rPr>
            <w:rFonts w:ascii="Times New Roman" w:hAnsi="Times New Roman" w:cs="Times New Roman"/>
            <w:sz w:val="16"/>
            <w:szCs w:val="16"/>
          </w:rPr>
          <w:t>battery-electric vehicles</w:t>
        </w:r>
      </w:hyperlink>
      <w:r w:rsidR="008C1DC7" w:rsidRPr="005B4F13">
        <w:rPr>
          <w:rFonts w:ascii="Times New Roman" w:hAnsi="Times New Roman" w:cs="Times New Roman"/>
          <w:sz w:val="16"/>
          <w:szCs w:val="16"/>
        </w:rPr>
        <w:t>.</w:t>
      </w:r>
    </w:p>
  </w:footnote>
  <w:footnote w:id="64">
    <w:p w14:paraId="5779F27B" w14:textId="16EF4679"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OECD Working Papers, </w:t>
      </w:r>
      <w:hyperlink r:id="rId25" w:history="1">
        <w:r w:rsidRPr="00B633E3">
          <w:rPr>
            <w:rStyle w:val="Hyperlink"/>
            <w:rFonts w:ascii="Times New Roman" w:hAnsi="Times New Roman" w:cs="Times New Roman"/>
            <w:sz w:val="16"/>
            <w:szCs w:val="16"/>
          </w:rPr>
          <w:t>A comprehensive overview of the Energy Intensive Industries ecosystem</w:t>
        </w:r>
      </w:hyperlink>
      <w:r w:rsidRPr="00B633E3">
        <w:rPr>
          <w:rFonts w:ascii="Times New Roman" w:hAnsi="Times New Roman" w:cs="Times New Roman"/>
          <w:sz w:val="16"/>
          <w:szCs w:val="16"/>
        </w:rPr>
        <w:t>, 2025/09</w:t>
      </w:r>
      <w:r w:rsidR="00C16704">
        <w:rPr>
          <w:rFonts w:ascii="Times New Roman" w:hAnsi="Times New Roman" w:cs="Times New Roman"/>
          <w:sz w:val="16"/>
          <w:szCs w:val="16"/>
        </w:rPr>
        <w:t>.</w:t>
      </w:r>
    </w:p>
  </w:footnote>
  <w:footnote w:id="65">
    <w:p w14:paraId="23C499E7" w14:textId="77777777" w:rsidR="00C17DE5" w:rsidRPr="00B633E3" w:rsidRDefault="00C17DE5" w:rsidP="00C17DE5">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OECD, </w:t>
      </w:r>
      <w:hyperlink r:id="rId26" w:history="1">
        <w:r>
          <w:rPr>
            <w:rStyle w:val="Hyperlink"/>
            <w:rFonts w:ascii="Times New Roman" w:hAnsi="Times New Roman" w:cs="Times New Roman"/>
            <w:sz w:val="16"/>
            <w:szCs w:val="16"/>
          </w:rPr>
          <w:t>FDI flows</w:t>
        </w:r>
      </w:hyperlink>
      <w:r>
        <w:rPr>
          <w:rFonts w:ascii="Times New Roman" w:hAnsi="Times New Roman" w:cs="Times New Roman"/>
          <w:sz w:val="16"/>
          <w:szCs w:val="16"/>
        </w:rPr>
        <w:t xml:space="preserve"> &amp; </w:t>
      </w:r>
      <w:hyperlink r:id="rId27" w:history="1">
        <w:r>
          <w:rPr>
            <w:rStyle w:val="Hyperlink"/>
            <w:rFonts w:ascii="Times New Roman" w:hAnsi="Times New Roman" w:cs="Times New Roman"/>
            <w:sz w:val="16"/>
            <w:szCs w:val="16"/>
          </w:rPr>
          <w:t>FDI stocks</w:t>
        </w:r>
      </w:hyperlink>
      <w:r>
        <w:rPr>
          <w:rFonts w:ascii="Times New Roman" w:hAnsi="Times New Roman" w:cs="Times New Roman"/>
          <w:sz w:val="16"/>
          <w:szCs w:val="16"/>
        </w:rPr>
        <w:t xml:space="preserve">. See FDI trends over time in the </w:t>
      </w:r>
      <w:hyperlink r:id="rId28" w:history="1">
        <w:r>
          <w:rPr>
            <w:rStyle w:val="Hyperlink"/>
            <w:rFonts w:ascii="Times New Roman" w:hAnsi="Times New Roman" w:cs="Times New Roman"/>
            <w:sz w:val="16"/>
            <w:szCs w:val="16"/>
          </w:rPr>
          <w:t>Single Market and Competitiveness Scoreboard’s FDI indicators</w:t>
        </w:r>
      </w:hyperlink>
      <w:r>
        <w:rPr>
          <w:rFonts w:ascii="Times New Roman" w:hAnsi="Times New Roman" w:cs="Times New Roman"/>
          <w:sz w:val="16"/>
          <w:szCs w:val="16"/>
        </w:rPr>
        <w:t>.</w:t>
      </w:r>
    </w:p>
  </w:footnote>
  <w:footnote w:id="66">
    <w:p w14:paraId="5DDC38C2" w14:textId="1AF620C9" w:rsidR="00DD0DC9" w:rsidRPr="00A16BDF" w:rsidRDefault="00DD0DC9" w:rsidP="00DD0DC9">
      <w:pPr>
        <w:pStyle w:val="FootnoteText"/>
        <w:rPr>
          <w:rFonts w:ascii="Times New Roman" w:hAnsi="Times New Roman" w:cs="Times New Roman"/>
          <w:color w:val="000000" w:themeColor="text1"/>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r w:rsidR="00B0763A">
        <w:rPr>
          <w:rFonts w:ascii="Times New Roman" w:hAnsi="Times New Roman" w:cs="Times New Roman"/>
          <w:sz w:val="16"/>
          <w:szCs w:val="16"/>
        </w:rPr>
        <w:t>Commission Staff Working Paper</w:t>
      </w:r>
      <w:r w:rsidR="004D3782">
        <w:rPr>
          <w:rFonts w:ascii="Times New Roman" w:hAnsi="Times New Roman" w:cs="Times New Roman"/>
          <w:sz w:val="16"/>
          <w:szCs w:val="16"/>
        </w:rPr>
        <w:t>:</w:t>
      </w:r>
      <w:r w:rsidR="00B0763A">
        <w:rPr>
          <w:rFonts w:ascii="Times New Roman" w:hAnsi="Times New Roman" w:cs="Times New Roman"/>
          <w:sz w:val="16"/>
          <w:szCs w:val="16"/>
        </w:rPr>
        <w:t xml:space="preserve"> </w:t>
      </w:r>
      <w:r w:rsidRPr="00B633E3">
        <w:rPr>
          <w:rFonts w:ascii="Times New Roman" w:hAnsi="Times New Roman" w:cs="Times New Roman"/>
          <w:color w:val="000000" w:themeColor="text1"/>
          <w:sz w:val="16"/>
          <w:szCs w:val="16"/>
        </w:rPr>
        <w:t>Priorities for Bilateral/Regional trade related activities in the field of Mutual Recognition Agreements for industrial products and related technical dialogue</w:t>
      </w:r>
      <w:r w:rsidR="005A2D78">
        <w:rPr>
          <w:rFonts w:ascii="Times New Roman" w:hAnsi="Times New Roman" w:cs="Times New Roman"/>
          <w:color w:val="000000" w:themeColor="text1"/>
          <w:sz w:val="16"/>
          <w:szCs w:val="16"/>
        </w:rPr>
        <w:t xml:space="preserve">, </w:t>
      </w:r>
      <w:r w:rsidR="005A2D78" w:rsidRPr="00A16BDF">
        <w:rPr>
          <w:rFonts w:ascii="Times New Roman" w:hAnsi="Times New Roman" w:cs="Times New Roman"/>
          <w:sz w:val="16"/>
          <w:szCs w:val="16"/>
        </w:rPr>
        <w:t>Brussels, 25 August 2004, SEC(2004)1072</w:t>
      </w:r>
      <w:r w:rsidR="008B6D12">
        <w:rPr>
          <w:rFonts w:ascii="Times New Roman" w:hAnsi="Times New Roman" w:cs="Times New Roman"/>
          <w:sz w:val="16"/>
          <w:szCs w:val="16"/>
        </w:rPr>
        <w:t>.</w:t>
      </w:r>
    </w:p>
  </w:footnote>
  <w:footnote w:id="67">
    <w:p w14:paraId="56F2E835" w14:textId="6A6AAF73" w:rsidR="00932DFA" w:rsidRPr="005B4F13" w:rsidRDefault="00932DFA">
      <w:pPr>
        <w:pStyle w:val="FootnoteText"/>
        <w:rPr>
          <w:rFonts w:ascii="Times New Roman" w:hAnsi="Times New Roman" w:cs="Times New Roman"/>
          <w:sz w:val="16"/>
          <w:szCs w:val="16"/>
        </w:rPr>
      </w:pPr>
      <w:r w:rsidRPr="005B4F13">
        <w:rPr>
          <w:rStyle w:val="FootnoteReference"/>
          <w:rFonts w:ascii="Times New Roman" w:hAnsi="Times New Roman" w:cs="Times New Roman"/>
          <w:sz w:val="16"/>
          <w:szCs w:val="16"/>
        </w:rPr>
        <w:footnoteRef/>
      </w:r>
      <w:r w:rsidRPr="005B4F13">
        <w:rPr>
          <w:rFonts w:ascii="Times New Roman" w:hAnsi="Times New Roman" w:cs="Times New Roman"/>
          <w:sz w:val="16"/>
          <w:szCs w:val="16"/>
        </w:rPr>
        <w:t xml:space="preserve"> The Single Market Highways will </w:t>
      </w:r>
      <w:r w:rsidR="00D937CA" w:rsidRPr="005B4F13">
        <w:rPr>
          <w:rFonts w:ascii="Times New Roman" w:eastAsia="Aptos" w:hAnsi="Times New Roman" w:cs="Times New Roman"/>
          <w:sz w:val="16"/>
          <w:szCs w:val="16"/>
        </w:rPr>
        <w:t>integrate</w:t>
      </w:r>
      <w:r w:rsidRPr="005B4F13">
        <w:rPr>
          <w:rFonts w:ascii="Times New Roman" w:eastAsia="Aptos" w:hAnsi="Times New Roman" w:cs="Times New Roman"/>
          <w:sz w:val="16"/>
          <w:szCs w:val="16"/>
        </w:rPr>
        <w:t xml:space="preserve"> </w:t>
      </w:r>
      <w:r w:rsidR="00D937CA" w:rsidRPr="005B4F13">
        <w:rPr>
          <w:rFonts w:ascii="Times New Roman" w:eastAsia="Aptos" w:hAnsi="Times New Roman" w:cs="Times New Roman"/>
          <w:sz w:val="16"/>
          <w:szCs w:val="16"/>
        </w:rPr>
        <w:t xml:space="preserve">the </w:t>
      </w:r>
      <w:r w:rsidRPr="005B4F13">
        <w:rPr>
          <w:rFonts w:ascii="Times New Roman" w:eastAsia="Aptos" w:hAnsi="Times New Roman" w:cs="Times New Roman"/>
          <w:sz w:val="16"/>
          <w:szCs w:val="16"/>
        </w:rPr>
        <w:t xml:space="preserve">business communities </w:t>
      </w:r>
      <w:r w:rsidR="00D937CA" w:rsidRPr="005B4F13">
        <w:rPr>
          <w:rFonts w:ascii="Times New Roman" w:eastAsia="Aptos" w:hAnsi="Times New Roman" w:cs="Times New Roman"/>
          <w:sz w:val="16"/>
          <w:szCs w:val="16"/>
        </w:rPr>
        <w:t>of</w:t>
      </w:r>
      <w:r w:rsidRPr="005B4F13">
        <w:rPr>
          <w:rFonts w:ascii="Times New Roman" w:eastAsia="Aptos" w:hAnsi="Times New Roman" w:cs="Times New Roman"/>
          <w:sz w:val="16"/>
          <w:szCs w:val="16"/>
        </w:rPr>
        <w:t xml:space="preserve"> </w:t>
      </w:r>
      <w:r w:rsidR="00DF1522" w:rsidRPr="005B4F13">
        <w:rPr>
          <w:rFonts w:ascii="Times New Roman" w:eastAsia="Aptos" w:hAnsi="Times New Roman" w:cs="Times New Roman"/>
          <w:sz w:val="16"/>
          <w:szCs w:val="16"/>
        </w:rPr>
        <w:t>the</w:t>
      </w:r>
      <w:r w:rsidR="00DC734C" w:rsidRPr="005B4F13">
        <w:rPr>
          <w:rFonts w:ascii="Times New Roman" w:eastAsia="Aptos" w:hAnsi="Times New Roman" w:cs="Times New Roman"/>
          <w:sz w:val="16"/>
          <w:szCs w:val="16"/>
        </w:rPr>
        <w:t xml:space="preserve"> </w:t>
      </w:r>
      <w:r w:rsidR="00DF1522" w:rsidRPr="005B4F13">
        <w:rPr>
          <w:rFonts w:ascii="Times New Roman" w:eastAsia="Aptos" w:hAnsi="Times New Roman" w:cs="Times New Roman"/>
          <w:sz w:val="16"/>
          <w:szCs w:val="16"/>
        </w:rPr>
        <w:t>Western Balkans, Ukraine and Moldova</w:t>
      </w:r>
      <w:r w:rsidRPr="005B4F13">
        <w:rPr>
          <w:rFonts w:ascii="Times New Roman" w:eastAsia="Aptos" w:hAnsi="Times New Roman" w:cs="Times New Roman"/>
          <w:sz w:val="16"/>
          <w:szCs w:val="16"/>
        </w:rPr>
        <w:t xml:space="preserve"> into the EU Single Market</w:t>
      </w:r>
      <w:r w:rsidR="002D0DE0" w:rsidRPr="005B4F13">
        <w:rPr>
          <w:rFonts w:ascii="Times New Roman" w:eastAsia="Aptos" w:hAnsi="Times New Roman" w:cs="Times New Roman"/>
          <w:sz w:val="16"/>
          <w:szCs w:val="16"/>
        </w:rPr>
        <w:t xml:space="preserve"> by </w:t>
      </w:r>
      <w:r w:rsidR="00D937CA" w:rsidRPr="00B669CB">
        <w:rPr>
          <w:rFonts w:ascii="Times New Roman" w:eastAsia="Aptos" w:hAnsi="Times New Roman" w:cs="Times New Roman"/>
          <w:sz w:val="16"/>
          <w:szCs w:val="16"/>
        </w:rPr>
        <w:t>accelerat</w:t>
      </w:r>
      <w:r w:rsidR="002D0DE0" w:rsidRPr="005B4F13">
        <w:rPr>
          <w:rFonts w:ascii="Times New Roman" w:eastAsia="Aptos" w:hAnsi="Times New Roman" w:cs="Times New Roman"/>
          <w:sz w:val="16"/>
          <w:szCs w:val="16"/>
        </w:rPr>
        <w:t>ing</w:t>
      </w:r>
      <w:r w:rsidRPr="005B4F13">
        <w:rPr>
          <w:rFonts w:ascii="Times New Roman" w:eastAsia="Aptos" w:hAnsi="Times New Roman" w:cs="Times New Roman"/>
          <w:sz w:val="16"/>
          <w:szCs w:val="16"/>
        </w:rPr>
        <w:t xml:space="preserve"> regulatory </w:t>
      </w:r>
      <w:r w:rsidR="0041252A" w:rsidRPr="005B4F13">
        <w:rPr>
          <w:rFonts w:ascii="Times New Roman" w:eastAsia="Aptos" w:hAnsi="Times New Roman" w:cs="Times New Roman"/>
          <w:sz w:val="16"/>
          <w:szCs w:val="16"/>
        </w:rPr>
        <w:t>alignment</w:t>
      </w:r>
      <w:r w:rsidR="000B0411" w:rsidRPr="005B4F13">
        <w:rPr>
          <w:rFonts w:ascii="Times New Roman" w:eastAsia="Aptos" w:hAnsi="Times New Roman" w:cs="Times New Roman"/>
          <w:sz w:val="16"/>
          <w:szCs w:val="16"/>
        </w:rPr>
        <w:t>, build</w:t>
      </w:r>
      <w:r w:rsidR="002D0DE0" w:rsidRPr="005B4F13">
        <w:rPr>
          <w:rFonts w:ascii="Times New Roman" w:eastAsia="Aptos" w:hAnsi="Times New Roman" w:cs="Times New Roman"/>
          <w:sz w:val="16"/>
          <w:szCs w:val="16"/>
        </w:rPr>
        <w:t>ing</w:t>
      </w:r>
      <w:r w:rsidR="000B0411" w:rsidRPr="005B4F13">
        <w:rPr>
          <w:rFonts w:ascii="Times New Roman" w:eastAsia="Aptos" w:hAnsi="Times New Roman" w:cs="Times New Roman"/>
          <w:sz w:val="16"/>
          <w:szCs w:val="16"/>
        </w:rPr>
        <w:t xml:space="preserve"> industrial alliances</w:t>
      </w:r>
      <w:r w:rsidR="002D0DE0" w:rsidRPr="005B4F13">
        <w:rPr>
          <w:rFonts w:ascii="Times New Roman" w:eastAsia="Aptos" w:hAnsi="Times New Roman" w:cs="Times New Roman"/>
          <w:sz w:val="16"/>
          <w:szCs w:val="16"/>
        </w:rPr>
        <w:t xml:space="preserve"> and</w:t>
      </w:r>
      <w:r w:rsidR="000B0411" w:rsidRPr="005B4F13">
        <w:rPr>
          <w:rFonts w:ascii="Times New Roman" w:eastAsia="Aptos" w:hAnsi="Times New Roman" w:cs="Times New Roman"/>
          <w:sz w:val="16"/>
          <w:szCs w:val="16"/>
        </w:rPr>
        <w:t xml:space="preserve"> </w:t>
      </w:r>
      <w:r w:rsidR="002D0DE0" w:rsidRPr="005B4F13">
        <w:rPr>
          <w:rFonts w:ascii="Times New Roman" w:eastAsia="Aptos" w:hAnsi="Times New Roman" w:cs="Times New Roman"/>
          <w:sz w:val="16"/>
          <w:szCs w:val="16"/>
        </w:rPr>
        <w:t>strengthening value chains</w:t>
      </w:r>
      <w:r w:rsidR="002D0DE0" w:rsidRPr="00B669CB">
        <w:rPr>
          <w:rFonts w:ascii="Times New Roman" w:eastAsia="Aptos" w:hAnsi="Times New Roman" w:cs="Times New Roman"/>
          <w:sz w:val="16"/>
          <w:szCs w:val="16"/>
        </w:rPr>
        <w:t>.</w:t>
      </w:r>
    </w:p>
  </w:footnote>
  <w:footnote w:id="68">
    <w:p w14:paraId="647A4344" w14:textId="1BA6F87D"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r w:rsidRPr="00B633E3">
        <w:rPr>
          <w:rFonts w:ascii="Times New Roman" w:hAnsi="Times New Roman" w:cs="Times New Roman"/>
          <w:color w:val="000000" w:themeColor="text1"/>
          <w:sz w:val="16"/>
          <w:szCs w:val="16"/>
        </w:rPr>
        <w:t xml:space="preserve">European Commission Chief Economist, based on </w:t>
      </w:r>
      <w:r w:rsidR="00D74EA1">
        <w:rPr>
          <w:rFonts w:ascii="Times New Roman" w:hAnsi="Times New Roman" w:cs="Times New Roman"/>
          <w:color w:val="000000" w:themeColor="text1"/>
          <w:sz w:val="16"/>
          <w:szCs w:val="16"/>
        </w:rPr>
        <w:t xml:space="preserve">Eurostat </w:t>
      </w:r>
      <w:r w:rsidR="00E3396E">
        <w:rPr>
          <w:rFonts w:ascii="Times New Roman" w:hAnsi="Times New Roman" w:cs="Times New Roman"/>
          <w:color w:val="000000" w:themeColor="text1"/>
          <w:sz w:val="16"/>
          <w:szCs w:val="16"/>
        </w:rPr>
        <w:t xml:space="preserve">data </w:t>
      </w:r>
      <w:r w:rsidR="00D74EA1">
        <w:rPr>
          <w:rFonts w:ascii="Times New Roman" w:hAnsi="Times New Roman" w:cs="Times New Roman"/>
          <w:color w:val="000000" w:themeColor="text1"/>
          <w:sz w:val="16"/>
          <w:szCs w:val="16"/>
        </w:rPr>
        <w:t>and</w:t>
      </w:r>
      <w:r w:rsidRPr="00B633E3">
        <w:rPr>
          <w:rFonts w:ascii="Times New Roman" w:hAnsi="Times New Roman" w:cs="Times New Roman"/>
          <w:color w:val="000000" w:themeColor="text1"/>
          <w:sz w:val="16"/>
          <w:szCs w:val="16"/>
        </w:rPr>
        <w:t xml:space="preserve"> </w:t>
      </w:r>
      <w:r w:rsidR="00DA6DF4">
        <w:rPr>
          <w:rFonts w:ascii="Times New Roman" w:hAnsi="Times New Roman" w:cs="Times New Roman"/>
          <w:color w:val="000000" w:themeColor="text1"/>
          <w:sz w:val="16"/>
          <w:szCs w:val="16"/>
        </w:rPr>
        <w:t>FIGARO</w:t>
      </w:r>
      <w:r w:rsidR="00E3396E">
        <w:rPr>
          <w:rFonts w:ascii="Times New Roman" w:hAnsi="Times New Roman" w:cs="Times New Roman"/>
          <w:color w:val="000000" w:themeColor="text1"/>
          <w:sz w:val="16"/>
          <w:szCs w:val="16"/>
        </w:rPr>
        <w:t xml:space="preserve"> tables </w:t>
      </w:r>
      <w:r w:rsidRPr="00B633E3">
        <w:rPr>
          <w:rFonts w:ascii="Times New Roman" w:hAnsi="Times New Roman" w:cs="Times New Roman"/>
          <w:color w:val="000000" w:themeColor="text1"/>
          <w:sz w:val="16"/>
          <w:szCs w:val="16"/>
        </w:rPr>
        <w:t>(2023).</w:t>
      </w:r>
    </w:p>
  </w:footnote>
  <w:footnote w:id="69">
    <w:p w14:paraId="41736AE9" w14:textId="12BCAC50"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William Connell García, Victor Ho, </w:t>
      </w:r>
      <w:hyperlink r:id="rId29" w:history="1">
        <w:r w:rsidRPr="00B633E3">
          <w:rPr>
            <w:rStyle w:val="Hyperlink"/>
            <w:rFonts w:ascii="Times New Roman" w:hAnsi="Times New Roman" w:cs="Times New Roman"/>
            <w:sz w:val="16"/>
            <w:szCs w:val="16"/>
          </w:rPr>
          <w:t>EXternal Vulnerability Index (EXVI)</w:t>
        </w:r>
      </w:hyperlink>
      <w:r w:rsidRPr="00B633E3">
        <w:rPr>
          <w:rFonts w:ascii="Times New Roman" w:hAnsi="Times New Roman" w:cs="Times New Roman"/>
          <w:sz w:val="16"/>
          <w:szCs w:val="16"/>
        </w:rPr>
        <w:t>, Single Market Economics Briefs.</w:t>
      </w:r>
      <w:r w:rsidRPr="00B633E3" w:rsidDel="00105EE7">
        <w:rPr>
          <w:rFonts w:ascii="Times New Roman" w:hAnsi="Times New Roman" w:cs="Times New Roman"/>
          <w:sz w:val="16"/>
          <w:szCs w:val="16"/>
        </w:rPr>
        <w:t xml:space="preserve"> </w:t>
      </w:r>
    </w:p>
  </w:footnote>
  <w:footnote w:id="70">
    <w:p w14:paraId="03D93302" w14:textId="0FD8A14D"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China finds itself in the least dependent position with a score in the EXternal Vulnerability Index of 0.12, with the EU at 0.20 and the US at 0.28 (see KPI </w:t>
      </w:r>
      <w:r>
        <w:rPr>
          <w:rFonts w:ascii="Times New Roman" w:hAnsi="Times New Roman" w:cs="Times New Roman"/>
          <w:sz w:val="16"/>
          <w:szCs w:val="16"/>
        </w:rPr>
        <w:t>29</w:t>
      </w:r>
      <w:r w:rsidRPr="00B633E3">
        <w:rPr>
          <w:rFonts w:ascii="Times New Roman" w:hAnsi="Times New Roman" w:cs="Times New Roman"/>
          <w:sz w:val="16"/>
          <w:szCs w:val="16"/>
        </w:rPr>
        <w:t>).</w:t>
      </w:r>
    </w:p>
  </w:footnote>
  <w:footnote w:id="71">
    <w:p w14:paraId="48E2568B" w14:textId="6E7B6550" w:rsidR="0045789F" w:rsidRPr="00404EB6" w:rsidRDefault="0045789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30" w:history="1">
        <w:r>
          <w:rPr>
            <w:rStyle w:val="Hyperlink"/>
            <w:rFonts w:ascii="Times New Roman" w:hAnsi="Times New Roman" w:cs="Times New Roman"/>
            <w:sz w:val="16"/>
            <w:szCs w:val="16"/>
          </w:rPr>
          <w:t>Critical Medicines Act - Public Health - European Commission</w:t>
        </w:r>
      </w:hyperlink>
      <w:r>
        <w:rPr>
          <w:rFonts w:ascii="Times New Roman" w:hAnsi="Times New Roman" w:cs="Times New Roman"/>
          <w:sz w:val="16"/>
          <w:szCs w:val="16"/>
        </w:rPr>
        <w:t>.</w:t>
      </w:r>
    </w:p>
  </w:footnote>
  <w:footnote w:id="72">
    <w:p w14:paraId="3E867658"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hyperlink r:id="rId31" w:history="1">
        <w:r w:rsidRPr="00B633E3">
          <w:rPr>
            <w:rStyle w:val="Hyperlink"/>
            <w:rFonts w:ascii="Times New Roman" w:hAnsi="Times New Roman" w:cs="Times New Roman"/>
            <w:sz w:val="16"/>
            <w:szCs w:val="16"/>
          </w:rPr>
          <w:t>Strategic projects under the Net-Zero Industry Act</w:t>
        </w:r>
      </w:hyperlink>
      <w:r w:rsidRPr="00B633E3">
        <w:rPr>
          <w:rFonts w:ascii="Times New Roman" w:hAnsi="Times New Roman" w:cs="Times New Roman"/>
          <w:sz w:val="16"/>
          <w:szCs w:val="16"/>
        </w:rPr>
        <w:t>.</w:t>
      </w:r>
    </w:p>
  </w:footnote>
  <w:footnote w:id="73">
    <w:p w14:paraId="4776E4A9" w14:textId="77777777" w:rsidR="00DD0DC9" w:rsidRPr="00B633E3" w:rsidRDefault="00DD0DC9" w:rsidP="00DD0DC9">
      <w:pPr>
        <w:pStyle w:val="FootnoteText"/>
        <w:contextualSpacing/>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w:t>
      </w:r>
      <w:hyperlink r:id="rId32" w:history="1">
        <w:r w:rsidRPr="00B633E3">
          <w:rPr>
            <w:rStyle w:val="Hyperlink"/>
            <w:rFonts w:ascii="Times New Roman" w:hAnsi="Times New Roman" w:cs="Times New Roman"/>
            <w:sz w:val="16"/>
            <w:szCs w:val="16"/>
          </w:rPr>
          <w:t>Strategic projects under the Critical Raw Materials Act</w:t>
        </w:r>
      </w:hyperlink>
      <w:r w:rsidRPr="00B633E3">
        <w:rPr>
          <w:rFonts w:ascii="Times New Roman" w:hAnsi="Times New Roman" w:cs="Times New Roman"/>
          <w:sz w:val="16"/>
          <w:szCs w:val="16"/>
        </w:rPr>
        <w:t xml:space="preserve">. </w:t>
      </w:r>
    </w:p>
  </w:footnote>
  <w:footnote w:id="74">
    <w:p w14:paraId="372F074E" w14:textId="47AEC63E" w:rsidR="00DD0DC9" w:rsidRPr="00B633E3" w:rsidRDefault="00DD0DC9" w:rsidP="00DD0DC9">
      <w:pPr>
        <w:pStyle w:val="FootnoteText"/>
        <w:contextualSpacing/>
        <w:jc w:val="both"/>
        <w:rPr>
          <w:rFonts w:ascii="Times New Roman" w:hAnsi="Times New Roman" w:cs="Times New Roman"/>
          <w:sz w:val="16"/>
          <w:szCs w:val="16"/>
        </w:rPr>
      </w:pPr>
      <w:r w:rsidRPr="00B633E3">
        <w:rPr>
          <w:rStyle w:val="FootnoteReference"/>
          <w:rFonts w:ascii="Times New Roman" w:hAnsi="Times New Roman" w:cs="Times New Roman"/>
          <w:sz w:val="16"/>
          <w:szCs w:val="16"/>
        </w:rPr>
        <w:footnoteRef/>
      </w:r>
      <w:r w:rsidRPr="00B633E3">
        <w:rPr>
          <w:rFonts w:ascii="Times New Roman" w:hAnsi="Times New Roman" w:cs="Times New Roman"/>
          <w:sz w:val="16"/>
          <w:szCs w:val="16"/>
        </w:rPr>
        <w:t xml:space="preserve"> European Commission, DG GROW. For more information about domestic manufacturing of key net-zero technologies, consult the section on </w:t>
      </w:r>
      <w:hyperlink r:id="rId33" w:history="1">
        <w:r w:rsidRPr="00B633E3">
          <w:rPr>
            <w:rStyle w:val="Hyperlink"/>
            <w:rFonts w:ascii="Times New Roman" w:hAnsi="Times New Roman" w:cs="Times New Roman"/>
            <w:sz w:val="16"/>
            <w:szCs w:val="16"/>
          </w:rPr>
          <w:t>Global trade &amp; economic security</w:t>
        </w:r>
      </w:hyperlink>
      <w:r w:rsidRPr="00B633E3">
        <w:rPr>
          <w:rFonts w:ascii="Times New Roman" w:hAnsi="Times New Roman" w:cs="Times New Roman"/>
          <w:sz w:val="16"/>
          <w:szCs w:val="16"/>
        </w:rPr>
        <w:t xml:space="preserve"> in the Single Market and Competitiveness Scoreboard</w:t>
      </w:r>
      <w:r>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F231" w14:textId="77777777" w:rsidR="00DA4710" w:rsidRPr="00DA4710" w:rsidRDefault="00DA4710" w:rsidP="00DA471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BC341" w14:textId="77777777" w:rsidR="00DA4710" w:rsidRPr="00DA4710" w:rsidRDefault="00DA4710" w:rsidP="00DA471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7B2C8" w14:textId="77777777" w:rsidR="00DA4710" w:rsidRPr="00DA4710" w:rsidRDefault="00DA4710" w:rsidP="00DA471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801FF" w14:textId="77777777" w:rsidR="00B633E3" w:rsidRDefault="00B633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88233" w14:textId="77777777" w:rsidR="00B633E3" w:rsidRDefault="00B633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D9A0" w14:textId="77777777" w:rsidR="00B633E3" w:rsidRDefault="00B63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C38C1"/>
    <w:multiLevelType w:val="hybridMultilevel"/>
    <w:tmpl w:val="EFE83986"/>
    <w:lvl w:ilvl="0" w:tplc="5726B658">
      <w:start w:val="1"/>
      <w:numFmt w:val="bullet"/>
      <w:lvlText w:val=""/>
      <w:lvlJc w:val="left"/>
      <w:pPr>
        <w:ind w:left="720" w:hanging="360"/>
      </w:pPr>
      <w:rPr>
        <w:rFonts w:ascii="Symbol" w:hAnsi="Symbol"/>
      </w:rPr>
    </w:lvl>
    <w:lvl w:ilvl="1" w:tplc="EF7880DE">
      <w:start w:val="1"/>
      <w:numFmt w:val="bullet"/>
      <w:lvlText w:val=""/>
      <w:lvlJc w:val="left"/>
      <w:pPr>
        <w:ind w:left="720" w:hanging="360"/>
      </w:pPr>
      <w:rPr>
        <w:rFonts w:ascii="Symbol" w:hAnsi="Symbol"/>
      </w:rPr>
    </w:lvl>
    <w:lvl w:ilvl="2" w:tplc="4C36318C">
      <w:start w:val="1"/>
      <w:numFmt w:val="bullet"/>
      <w:lvlText w:val=""/>
      <w:lvlJc w:val="left"/>
      <w:pPr>
        <w:ind w:left="720" w:hanging="360"/>
      </w:pPr>
      <w:rPr>
        <w:rFonts w:ascii="Symbol" w:hAnsi="Symbol"/>
      </w:rPr>
    </w:lvl>
    <w:lvl w:ilvl="3" w:tplc="4E0A3C7C">
      <w:start w:val="1"/>
      <w:numFmt w:val="bullet"/>
      <w:lvlText w:val=""/>
      <w:lvlJc w:val="left"/>
      <w:pPr>
        <w:ind w:left="720" w:hanging="360"/>
      </w:pPr>
      <w:rPr>
        <w:rFonts w:ascii="Symbol" w:hAnsi="Symbol"/>
      </w:rPr>
    </w:lvl>
    <w:lvl w:ilvl="4" w:tplc="D59A1450">
      <w:start w:val="1"/>
      <w:numFmt w:val="bullet"/>
      <w:lvlText w:val=""/>
      <w:lvlJc w:val="left"/>
      <w:pPr>
        <w:ind w:left="720" w:hanging="360"/>
      </w:pPr>
      <w:rPr>
        <w:rFonts w:ascii="Symbol" w:hAnsi="Symbol"/>
      </w:rPr>
    </w:lvl>
    <w:lvl w:ilvl="5" w:tplc="81C4E0B2">
      <w:start w:val="1"/>
      <w:numFmt w:val="bullet"/>
      <w:lvlText w:val=""/>
      <w:lvlJc w:val="left"/>
      <w:pPr>
        <w:ind w:left="720" w:hanging="360"/>
      </w:pPr>
      <w:rPr>
        <w:rFonts w:ascii="Symbol" w:hAnsi="Symbol"/>
      </w:rPr>
    </w:lvl>
    <w:lvl w:ilvl="6" w:tplc="8BF00E54">
      <w:start w:val="1"/>
      <w:numFmt w:val="bullet"/>
      <w:lvlText w:val=""/>
      <w:lvlJc w:val="left"/>
      <w:pPr>
        <w:ind w:left="720" w:hanging="360"/>
      </w:pPr>
      <w:rPr>
        <w:rFonts w:ascii="Symbol" w:hAnsi="Symbol"/>
      </w:rPr>
    </w:lvl>
    <w:lvl w:ilvl="7" w:tplc="07DE2CD8">
      <w:start w:val="1"/>
      <w:numFmt w:val="bullet"/>
      <w:lvlText w:val=""/>
      <w:lvlJc w:val="left"/>
      <w:pPr>
        <w:ind w:left="720" w:hanging="360"/>
      </w:pPr>
      <w:rPr>
        <w:rFonts w:ascii="Symbol" w:hAnsi="Symbol"/>
      </w:rPr>
    </w:lvl>
    <w:lvl w:ilvl="8" w:tplc="E2182DBC">
      <w:start w:val="1"/>
      <w:numFmt w:val="bullet"/>
      <w:lvlText w:val=""/>
      <w:lvlJc w:val="left"/>
      <w:pPr>
        <w:ind w:left="720" w:hanging="360"/>
      </w:pPr>
      <w:rPr>
        <w:rFonts w:ascii="Symbol" w:hAnsi="Symbol"/>
      </w:rPr>
    </w:lvl>
  </w:abstractNum>
  <w:abstractNum w:abstractNumId="1" w15:restartNumberingAfterBreak="0">
    <w:nsid w:val="1773475E"/>
    <w:multiLevelType w:val="hybridMultilevel"/>
    <w:tmpl w:val="3A16D6FC"/>
    <w:lvl w:ilvl="0" w:tplc="FFB69D66">
      <w:start w:val="1"/>
      <w:numFmt w:val="bullet"/>
      <w:lvlText w:val=""/>
      <w:lvlJc w:val="left"/>
      <w:pPr>
        <w:ind w:left="1080" w:hanging="360"/>
      </w:pPr>
      <w:rPr>
        <w:rFonts w:ascii="Symbol" w:hAnsi="Symbol"/>
      </w:rPr>
    </w:lvl>
    <w:lvl w:ilvl="1" w:tplc="D08E8EE2">
      <w:start w:val="1"/>
      <w:numFmt w:val="bullet"/>
      <w:lvlText w:val=""/>
      <w:lvlJc w:val="left"/>
      <w:pPr>
        <w:ind w:left="1080" w:hanging="360"/>
      </w:pPr>
      <w:rPr>
        <w:rFonts w:ascii="Symbol" w:hAnsi="Symbol"/>
      </w:rPr>
    </w:lvl>
    <w:lvl w:ilvl="2" w:tplc="DCAC3A84">
      <w:start w:val="1"/>
      <w:numFmt w:val="bullet"/>
      <w:lvlText w:val=""/>
      <w:lvlJc w:val="left"/>
      <w:pPr>
        <w:ind w:left="1080" w:hanging="360"/>
      </w:pPr>
      <w:rPr>
        <w:rFonts w:ascii="Symbol" w:hAnsi="Symbol"/>
      </w:rPr>
    </w:lvl>
    <w:lvl w:ilvl="3" w:tplc="2A240E2E">
      <w:start w:val="1"/>
      <w:numFmt w:val="bullet"/>
      <w:lvlText w:val=""/>
      <w:lvlJc w:val="left"/>
      <w:pPr>
        <w:ind w:left="1080" w:hanging="360"/>
      </w:pPr>
      <w:rPr>
        <w:rFonts w:ascii="Symbol" w:hAnsi="Symbol"/>
      </w:rPr>
    </w:lvl>
    <w:lvl w:ilvl="4" w:tplc="506E1538">
      <w:start w:val="1"/>
      <w:numFmt w:val="bullet"/>
      <w:lvlText w:val=""/>
      <w:lvlJc w:val="left"/>
      <w:pPr>
        <w:ind w:left="1080" w:hanging="360"/>
      </w:pPr>
      <w:rPr>
        <w:rFonts w:ascii="Symbol" w:hAnsi="Symbol"/>
      </w:rPr>
    </w:lvl>
    <w:lvl w:ilvl="5" w:tplc="594C2DC8">
      <w:start w:val="1"/>
      <w:numFmt w:val="bullet"/>
      <w:lvlText w:val=""/>
      <w:lvlJc w:val="left"/>
      <w:pPr>
        <w:ind w:left="1080" w:hanging="360"/>
      </w:pPr>
      <w:rPr>
        <w:rFonts w:ascii="Symbol" w:hAnsi="Symbol"/>
      </w:rPr>
    </w:lvl>
    <w:lvl w:ilvl="6" w:tplc="BAD656C8">
      <w:start w:val="1"/>
      <w:numFmt w:val="bullet"/>
      <w:lvlText w:val=""/>
      <w:lvlJc w:val="left"/>
      <w:pPr>
        <w:ind w:left="1080" w:hanging="360"/>
      </w:pPr>
      <w:rPr>
        <w:rFonts w:ascii="Symbol" w:hAnsi="Symbol"/>
      </w:rPr>
    </w:lvl>
    <w:lvl w:ilvl="7" w:tplc="92B8474E">
      <w:start w:val="1"/>
      <w:numFmt w:val="bullet"/>
      <w:lvlText w:val=""/>
      <w:lvlJc w:val="left"/>
      <w:pPr>
        <w:ind w:left="1080" w:hanging="360"/>
      </w:pPr>
      <w:rPr>
        <w:rFonts w:ascii="Symbol" w:hAnsi="Symbol"/>
      </w:rPr>
    </w:lvl>
    <w:lvl w:ilvl="8" w:tplc="CEE4B1BE">
      <w:start w:val="1"/>
      <w:numFmt w:val="bullet"/>
      <w:lvlText w:val=""/>
      <w:lvlJc w:val="left"/>
      <w:pPr>
        <w:ind w:left="1080" w:hanging="360"/>
      </w:pPr>
      <w:rPr>
        <w:rFonts w:ascii="Symbol" w:hAnsi="Symbol"/>
      </w:rPr>
    </w:lvl>
  </w:abstractNum>
  <w:abstractNum w:abstractNumId="2" w15:restartNumberingAfterBreak="0">
    <w:nsid w:val="17A600D4"/>
    <w:multiLevelType w:val="hybridMultilevel"/>
    <w:tmpl w:val="0A0A6752"/>
    <w:lvl w:ilvl="0" w:tplc="356CC2C0">
      <w:start w:val="1"/>
      <w:numFmt w:val="lowerLetter"/>
      <w:lvlText w:val="%1)"/>
      <w:lvlJc w:val="left"/>
      <w:pPr>
        <w:ind w:left="1020" w:hanging="360"/>
      </w:pPr>
    </w:lvl>
    <w:lvl w:ilvl="1" w:tplc="E7DA128E">
      <w:start w:val="1"/>
      <w:numFmt w:val="lowerLetter"/>
      <w:lvlText w:val="%2)"/>
      <w:lvlJc w:val="left"/>
      <w:pPr>
        <w:ind w:left="1020" w:hanging="360"/>
      </w:pPr>
    </w:lvl>
    <w:lvl w:ilvl="2" w:tplc="5418AA8E">
      <w:start w:val="1"/>
      <w:numFmt w:val="lowerLetter"/>
      <w:lvlText w:val="%3)"/>
      <w:lvlJc w:val="left"/>
      <w:pPr>
        <w:ind w:left="1020" w:hanging="360"/>
      </w:pPr>
    </w:lvl>
    <w:lvl w:ilvl="3" w:tplc="AB7894A6">
      <w:start w:val="1"/>
      <w:numFmt w:val="lowerLetter"/>
      <w:lvlText w:val="%4)"/>
      <w:lvlJc w:val="left"/>
      <w:pPr>
        <w:ind w:left="1020" w:hanging="360"/>
      </w:pPr>
    </w:lvl>
    <w:lvl w:ilvl="4" w:tplc="27566E88">
      <w:start w:val="1"/>
      <w:numFmt w:val="lowerLetter"/>
      <w:lvlText w:val="%5)"/>
      <w:lvlJc w:val="left"/>
      <w:pPr>
        <w:ind w:left="1020" w:hanging="360"/>
      </w:pPr>
    </w:lvl>
    <w:lvl w:ilvl="5" w:tplc="F04E6DF0">
      <w:start w:val="1"/>
      <w:numFmt w:val="lowerLetter"/>
      <w:lvlText w:val="%6)"/>
      <w:lvlJc w:val="left"/>
      <w:pPr>
        <w:ind w:left="1020" w:hanging="360"/>
      </w:pPr>
    </w:lvl>
    <w:lvl w:ilvl="6" w:tplc="0FC2F052">
      <w:start w:val="1"/>
      <w:numFmt w:val="lowerLetter"/>
      <w:lvlText w:val="%7)"/>
      <w:lvlJc w:val="left"/>
      <w:pPr>
        <w:ind w:left="1020" w:hanging="360"/>
      </w:pPr>
    </w:lvl>
    <w:lvl w:ilvl="7" w:tplc="095EE04E">
      <w:start w:val="1"/>
      <w:numFmt w:val="lowerLetter"/>
      <w:lvlText w:val="%8)"/>
      <w:lvlJc w:val="left"/>
      <w:pPr>
        <w:ind w:left="1020" w:hanging="360"/>
      </w:pPr>
    </w:lvl>
    <w:lvl w:ilvl="8" w:tplc="CD7A68D6">
      <w:start w:val="1"/>
      <w:numFmt w:val="lowerLetter"/>
      <w:lvlText w:val="%9)"/>
      <w:lvlJc w:val="left"/>
      <w:pPr>
        <w:ind w:left="1020" w:hanging="360"/>
      </w:pPr>
    </w:lvl>
  </w:abstractNum>
  <w:abstractNum w:abstractNumId="3" w15:restartNumberingAfterBreak="0">
    <w:nsid w:val="1A766037"/>
    <w:multiLevelType w:val="hybridMultilevel"/>
    <w:tmpl w:val="DC30C8AE"/>
    <w:lvl w:ilvl="0" w:tplc="38D6C0DC">
      <w:start w:val="1"/>
      <w:numFmt w:val="decimal"/>
      <w:lvlText w:val="%1)"/>
      <w:lvlJc w:val="left"/>
      <w:pPr>
        <w:ind w:left="1020" w:hanging="360"/>
      </w:pPr>
    </w:lvl>
    <w:lvl w:ilvl="1" w:tplc="31C26E68">
      <w:start w:val="1"/>
      <w:numFmt w:val="decimal"/>
      <w:lvlText w:val="%2)"/>
      <w:lvlJc w:val="left"/>
      <w:pPr>
        <w:ind w:left="1020" w:hanging="360"/>
      </w:pPr>
    </w:lvl>
    <w:lvl w:ilvl="2" w:tplc="E71A59B0">
      <w:start w:val="1"/>
      <w:numFmt w:val="decimal"/>
      <w:lvlText w:val="%3)"/>
      <w:lvlJc w:val="left"/>
      <w:pPr>
        <w:ind w:left="1020" w:hanging="360"/>
      </w:pPr>
    </w:lvl>
    <w:lvl w:ilvl="3" w:tplc="3F7E119E">
      <w:start w:val="1"/>
      <w:numFmt w:val="decimal"/>
      <w:lvlText w:val="%4)"/>
      <w:lvlJc w:val="left"/>
      <w:pPr>
        <w:ind w:left="1020" w:hanging="360"/>
      </w:pPr>
    </w:lvl>
    <w:lvl w:ilvl="4" w:tplc="3DE83DC6">
      <w:start w:val="1"/>
      <w:numFmt w:val="decimal"/>
      <w:lvlText w:val="%5)"/>
      <w:lvlJc w:val="left"/>
      <w:pPr>
        <w:ind w:left="1020" w:hanging="360"/>
      </w:pPr>
    </w:lvl>
    <w:lvl w:ilvl="5" w:tplc="47340362">
      <w:start w:val="1"/>
      <w:numFmt w:val="decimal"/>
      <w:lvlText w:val="%6)"/>
      <w:lvlJc w:val="left"/>
      <w:pPr>
        <w:ind w:left="1020" w:hanging="360"/>
      </w:pPr>
    </w:lvl>
    <w:lvl w:ilvl="6" w:tplc="364EB52A">
      <w:start w:val="1"/>
      <w:numFmt w:val="decimal"/>
      <w:lvlText w:val="%7)"/>
      <w:lvlJc w:val="left"/>
      <w:pPr>
        <w:ind w:left="1020" w:hanging="360"/>
      </w:pPr>
    </w:lvl>
    <w:lvl w:ilvl="7" w:tplc="B5AC2CE4">
      <w:start w:val="1"/>
      <w:numFmt w:val="decimal"/>
      <w:lvlText w:val="%8)"/>
      <w:lvlJc w:val="left"/>
      <w:pPr>
        <w:ind w:left="1020" w:hanging="360"/>
      </w:pPr>
    </w:lvl>
    <w:lvl w:ilvl="8" w:tplc="8698DEBC">
      <w:start w:val="1"/>
      <w:numFmt w:val="decimal"/>
      <w:lvlText w:val="%9)"/>
      <w:lvlJc w:val="left"/>
      <w:pPr>
        <w:ind w:left="1020" w:hanging="360"/>
      </w:pPr>
    </w:lvl>
  </w:abstractNum>
  <w:abstractNum w:abstractNumId="4" w15:restartNumberingAfterBreak="0">
    <w:nsid w:val="31721763"/>
    <w:multiLevelType w:val="hybridMultilevel"/>
    <w:tmpl w:val="CC741280"/>
    <w:lvl w:ilvl="0" w:tplc="FD16D6C2">
      <w:start w:val="1"/>
      <w:numFmt w:val="decimal"/>
      <w:lvlText w:val="%1)"/>
      <w:lvlJc w:val="left"/>
      <w:pPr>
        <w:ind w:left="1020" w:hanging="360"/>
      </w:pPr>
    </w:lvl>
    <w:lvl w:ilvl="1" w:tplc="58B466B8">
      <w:start w:val="1"/>
      <w:numFmt w:val="decimal"/>
      <w:lvlText w:val="%2)"/>
      <w:lvlJc w:val="left"/>
      <w:pPr>
        <w:ind w:left="1020" w:hanging="360"/>
      </w:pPr>
    </w:lvl>
    <w:lvl w:ilvl="2" w:tplc="25D0EE2A">
      <w:start w:val="1"/>
      <w:numFmt w:val="decimal"/>
      <w:lvlText w:val="%3)"/>
      <w:lvlJc w:val="left"/>
      <w:pPr>
        <w:ind w:left="1020" w:hanging="360"/>
      </w:pPr>
    </w:lvl>
    <w:lvl w:ilvl="3" w:tplc="7980A114">
      <w:start w:val="1"/>
      <w:numFmt w:val="decimal"/>
      <w:lvlText w:val="%4)"/>
      <w:lvlJc w:val="left"/>
      <w:pPr>
        <w:ind w:left="1020" w:hanging="360"/>
      </w:pPr>
    </w:lvl>
    <w:lvl w:ilvl="4" w:tplc="EBE44166">
      <w:start w:val="1"/>
      <w:numFmt w:val="decimal"/>
      <w:lvlText w:val="%5)"/>
      <w:lvlJc w:val="left"/>
      <w:pPr>
        <w:ind w:left="1020" w:hanging="360"/>
      </w:pPr>
    </w:lvl>
    <w:lvl w:ilvl="5" w:tplc="34D8CDFA">
      <w:start w:val="1"/>
      <w:numFmt w:val="decimal"/>
      <w:lvlText w:val="%6)"/>
      <w:lvlJc w:val="left"/>
      <w:pPr>
        <w:ind w:left="1020" w:hanging="360"/>
      </w:pPr>
    </w:lvl>
    <w:lvl w:ilvl="6" w:tplc="895E6B00">
      <w:start w:val="1"/>
      <w:numFmt w:val="decimal"/>
      <w:lvlText w:val="%7)"/>
      <w:lvlJc w:val="left"/>
      <w:pPr>
        <w:ind w:left="1020" w:hanging="360"/>
      </w:pPr>
    </w:lvl>
    <w:lvl w:ilvl="7" w:tplc="5A1A168A">
      <w:start w:val="1"/>
      <w:numFmt w:val="decimal"/>
      <w:lvlText w:val="%8)"/>
      <w:lvlJc w:val="left"/>
      <w:pPr>
        <w:ind w:left="1020" w:hanging="360"/>
      </w:pPr>
    </w:lvl>
    <w:lvl w:ilvl="8" w:tplc="F3E4FD90">
      <w:start w:val="1"/>
      <w:numFmt w:val="decimal"/>
      <w:lvlText w:val="%9)"/>
      <w:lvlJc w:val="left"/>
      <w:pPr>
        <w:ind w:left="1020" w:hanging="360"/>
      </w:pPr>
    </w:lvl>
  </w:abstractNum>
  <w:abstractNum w:abstractNumId="5" w15:restartNumberingAfterBreak="0">
    <w:nsid w:val="3A796981"/>
    <w:multiLevelType w:val="hybridMultilevel"/>
    <w:tmpl w:val="708C3E9C"/>
    <w:lvl w:ilvl="0" w:tplc="46B4C6D0">
      <w:start w:val="1"/>
      <w:numFmt w:val="decimal"/>
      <w:lvlText w:val="%1)"/>
      <w:lvlJc w:val="left"/>
      <w:pPr>
        <w:ind w:left="1020" w:hanging="360"/>
      </w:pPr>
    </w:lvl>
    <w:lvl w:ilvl="1" w:tplc="D72C2E26">
      <w:start w:val="1"/>
      <w:numFmt w:val="decimal"/>
      <w:lvlText w:val="%2)"/>
      <w:lvlJc w:val="left"/>
      <w:pPr>
        <w:ind w:left="1020" w:hanging="360"/>
      </w:pPr>
    </w:lvl>
    <w:lvl w:ilvl="2" w:tplc="E4842682">
      <w:start w:val="1"/>
      <w:numFmt w:val="decimal"/>
      <w:lvlText w:val="%3)"/>
      <w:lvlJc w:val="left"/>
      <w:pPr>
        <w:ind w:left="1020" w:hanging="360"/>
      </w:pPr>
    </w:lvl>
    <w:lvl w:ilvl="3" w:tplc="8C2AA57E">
      <w:start w:val="1"/>
      <w:numFmt w:val="decimal"/>
      <w:lvlText w:val="%4)"/>
      <w:lvlJc w:val="left"/>
      <w:pPr>
        <w:ind w:left="1020" w:hanging="360"/>
      </w:pPr>
    </w:lvl>
    <w:lvl w:ilvl="4" w:tplc="3D08B482">
      <w:start w:val="1"/>
      <w:numFmt w:val="decimal"/>
      <w:lvlText w:val="%5)"/>
      <w:lvlJc w:val="left"/>
      <w:pPr>
        <w:ind w:left="1020" w:hanging="360"/>
      </w:pPr>
    </w:lvl>
    <w:lvl w:ilvl="5" w:tplc="7C4619CE">
      <w:start w:val="1"/>
      <w:numFmt w:val="decimal"/>
      <w:lvlText w:val="%6)"/>
      <w:lvlJc w:val="left"/>
      <w:pPr>
        <w:ind w:left="1020" w:hanging="360"/>
      </w:pPr>
    </w:lvl>
    <w:lvl w:ilvl="6" w:tplc="34D09B60">
      <w:start w:val="1"/>
      <w:numFmt w:val="decimal"/>
      <w:lvlText w:val="%7)"/>
      <w:lvlJc w:val="left"/>
      <w:pPr>
        <w:ind w:left="1020" w:hanging="360"/>
      </w:pPr>
    </w:lvl>
    <w:lvl w:ilvl="7" w:tplc="292016E0">
      <w:start w:val="1"/>
      <w:numFmt w:val="decimal"/>
      <w:lvlText w:val="%8)"/>
      <w:lvlJc w:val="left"/>
      <w:pPr>
        <w:ind w:left="1020" w:hanging="360"/>
      </w:pPr>
    </w:lvl>
    <w:lvl w:ilvl="8" w:tplc="0EB81ADE">
      <w:start w:val="1"/>
      <w:numFmt w:val="decimal"/>
      <w:lvlText w:val="%9)"/>
      <w:lvlJc w:val="left"/>
      <w:pPr>
        <w:ind w:left="1020" w:hanging="360"/>
      </w:pPr>
    </w:lvl>
  </w:abstractNum>
  <w:abstractNum w:abstractNumId="6" w15:restartNumberingAfterBreak="0">
    <w:nsid w:val="783855A2"/>
    <w:multiLevelType w:val="hybridMultilevel"/>
    <w:tmpl w:val="D39ED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6DEBE02-FBEA-41AD-B8CE-E65FCEBD5446"/>
    <w:docVar w:name="LW_COVERPAGE_TYPE" w:val="1"/>
    <w:docVar w:name="LW_CROSSREFERENCE" w:val="{SWD(2026) 30 final}"/>
    <w:docVar w:name="LW_DocType" w:val="NORMAL"/>
    <w:docVar w:name="LW_EMISSION" w:val="30.1.2026"/>
    <w:docVar w:name="LW_EMISSION_ISODATE" w:val="2026-01-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2026 Annual Single Market and Competitiveness Report"/>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6E0E9A"/>
    <w:rsid w:val="0000017B"/>
    <w:rsid w:val="000005D2"/>
    <w:rsid w:val="000007DF"/>
    <w:rsid w:val="00000B83"/>
    <w:rsid w:val="00000D16"/>
    <w:rsid w:val="00000EFE"/>
    <w:rsid w:val="00000FA9"/>
    <w:rsid w:val="00000FEB"/>
    <w:rsid w:val="0000191A"/>
    <w:rsid w:val="00001A86"/>
    <w:rsid w:val="000021C5"/>
    <w:rsid w:val="00002254"/>
    <w:rsid w:val="00002267"/>
    <w:rsid w:val="0000226B"/>
    <w:rsid w:val="000028F8"/>
    <w:rsid w:val="0000290C"/>
    <w:rsid w:val="00002C49"/>
    <w:rsid w:val="00002DF1"/>
    <w:rsid w:val="00003F2F"/>
    <w:rsid w:val="0000443E"/>
    <w:rsid w:val="0000470E"/>
    <w:rsid w:val="00004C23"/>
    <w:rsid w:val="00005031"/>
    <w:rsid w:val="00005638"/>
    <w:rsid w:val="00005B79"/>
    <w:rsid w:val="00005EA8"/>
    <w:rsid w:val="00006019"/>
    <w:rsid w:val="0000609C"/>
    <w:rsid w:val="0000655C"/>
    <w:rsid w:val="00006629"/>
    <w:rsid w:val="000067DA"/>
    <w:rsid w:val="00007276"/>
    <w:rsid w:val="00007582"/>
    <w:rsid w:val="00007707"/>
    <w:rsid w:val="0000784C"/>
    <w:rsid w:val="00007A55"/>
    <w:rsid w:val="00010A49"/>
    <w:rsid w:val="00011443"/>
    <w:rsid w:val="000114E0"/>
    <w:rsid w:val="0001150E"/>
    <w:rsid w:val="000118CF"/>
    <w:rsid w:val="00012AED"/>
    <w:rsid w:val="00012BA6"/>
    <w:rsid w:val="00012D34"/>
    <w:rsid w:val="00012E47"/>
    <w:rsid w:val="00012EFE"/>
    <w:rsid w:val="000136BA"/>
    <w:rsid w:val="00013725"/>
    <w:rsid w:val="000141C4"/>
    <w:rsid w:val="000143E5"/>
    <w:rsid w:val="00014839"/>
    <w:rsid w:val="00014CC3"/>
    <w:rsid w:val="00015052"/>
    <w:rsid w:val="00015400"/>
    <w:rsid w:val="00015939"/>
    <w:rsid w:val="000165AF"/>
    <w:rsid w:val="00016798"/>
    <w:rsid w:val="00016B0A"/>
    <w:rsid w:val="0001728C"/>
    <w:rsid w:val="00017788"/>
    <w:rsid w:val="00017910"/>
    <w:rsid w:val="00017A43"/>
    <w:rsid w:val="000201B8"/>
    <w:rsid w:val="0002021D"/>
    <w:rsid w:val="000203B9"/>
    <w:rsid w:val="00020745"/>
    <w:rsid w:val="00020D86"/>
    <w:rsid w:val="00021BF4"/>
    <w:rsid w:val="00021EC6"/>
    <w:rsid w:val="00021F39"/>
    <w:rsid w:val="00022B26"/>
    <w:rsid w:val="00022B38"/>
    <w:rsid w:val="000232A3"/>
    <w:rsid w:val="000234A4"/>
    <w:rsid w:val="00023973"/>
    <w:rsid w:val="000239DC"/>
    <w:rsid w:val="00023EAC"/>
    <w:rsid w:val="000245D5"/>
    <w:rsid w:val="00024623"/>
    <w:rsid w:val="00025334"/>
    <w:rsid w:val="00025527"/>
    <w:rsid w:val="00025726"/>
    <w:rsid w:val="0002606B"/>
    <w:rsid w:val="000271BE"/>
    <w:rsid w:val="00027401"/>
    <w:rsid w:val="00027826"/>
    <w:rsid w:val="00027AD2"/>
    <w:rsid w:val="00027B2A"/>
    <w:rsid w:val="00027F2F"/>
    <w:rsid w:val="00027F63"/>
    <w:rsid w:val="00030107"/>
    <w:rsid w:val="00030314"/>
    <w:rsid w:val="00030481"/>
    <w:rsid w:val="000309F4"/>
    <w:rsid w:val="00030EF3"/>
    <w:rsid w:val="00030F7B"/>
    <w:rsid w:val="000311B9"/>
    <w:rsid w:val="000314A4"/>
    <w:rsid w:val="00031952"/>
    <w:rsid w:val="00031961"/>
    <w:rsid w:val="00031A59"/>
    <w:rsid w:val="00031EBC"/>
    <w:rsid w:val="000325F6"/>
    <w:rsid w:val="0003271C"/>
    <w:rsid w:val="0003337B"/>
    <w:rsid w:val="0003344F"/>
    <w:rsid w:val="00033557"/>
    <w:rsid w:val="00034923"/>
    <w:rsid w:val="00034BF6"/>
    <w:rsid w:val="00035073"/>
    <w:rsid w:val="0003523C"/>
    <w:rsid w:val="00035363"/>
    <w:rsid w:val="0003562B"/>
    <w:rsid w:val="000356A4"/>
    <w:rsid w:val="00035773"/>
    <w:rsid w:val="00035EE7"/>
    <w:rsid w:val="0003678B"/>
    <w:rsid w:val="00036959"/>
    <w:rsid w:val="000369F3"/>
    <w:rsid w:val="00036D3D"/>
    <w:rsid w:val="00036DD7"/>
    <w:rsid w:val="000370DE"/>
    <w:rsid w:val="000374AF"/>
    <w:rsid w:val="000378E6"/>
    <w:rsid w:val="00037C0A"/>
    <w:rsid w:val="00040716"/>
    <w:rsid w:val="00040A96"/>
    <w:rsid w:val="00040BEF"/>
    <w:rsid w:val="00040E5E"/>
    <w:rsid w:val="00040F58"/>
    <w:rsid w:val="000412B0"/>
    <w:rsid w:val="00041E22"/>
    <w:rsid w:val="000420C4"/>
    <w:rsid w:val="00042195"/>
    <w:rsid w:val="00042BB8"/>
    <w:rsid w:val="00042CD9"/>
    <w:rsid w:val="00044803"/>
    <w:rsid w:val="00045CF2"/>
    <w:rsid w:val="000461EA"/>
    <w:rsid w:val="00046641"/>
    <w:rsid w:val="00046CEE"/>
    <w:rsid w:val="00046D23"/>
    <w:rsid w:val="00046E3D"/>
    <w:rsid w:val="00046E81"/>
    <w:rsid w:val="00046F48"/>
    <w:rsid w:val="00046FCA"/>
    <w:rsid w:val="000470B5"/>
    <w:rsid w:val="0004741F"/>
    <w:rsid w:val="000476B7"/>
    <w:rsid w:val="00050A6C"/>
    <w:rsid w:val="00051355"/>
    <w:rsid w:val="000519B1"/>
    <w:rsid w:val="000519C8"/>
    <w:rsid w:val="00051BA9"/>
    <w:rsid w:val="00051D91"/>
    <w:rsid w:val="00051E7A"/>
    <w:rsid w:val="00051F32"/>
    <w:rsid w:val="00052231"/>
    <w:rsid w:val="0005228F"/>
    <w:rsid w:val="00052BE5"/>
    <w:rsid w:val="00052EE4"/>
    <w:rsid w:val="0005352B"/>
    <w:rsid w:val="000535F0"/>
    <w:rsid w:val="00053D8C"/>
    <w:rsid w:val="00053E0E"/>
    <w:rsid w:val="0005400E"/>
    <w:rsid w:val="00054243"/>
    <w:rsid w:val="00054BD2"/>
    <w:rsid w:val="00054DFB"/>
    <w:rsid w:val="00054E4A"/>
    <w:rsid w:val="00054ED6"/>
    <w:rsid w:val="00055CE1"/>
    <w:rsid w:val="00055F06"/>
    <w:rsid w:val="0005647A"/>
    <w:rsid w:val="000565E0"/>
    <w:rsid w:val="00056B4F"/>
    <w:rsid w:val="00056CE8"/>
    <w:rsid w:val="00056F9B"/>
    <w:rsid w:val="00057348"/>
    <w:rsid w:val="00057388"/>
    <w:rsid w:val="000577AA"/>
    <w:rsid w:val="00057FEA"/>
    <w:rsid w:val="00060510"/>
    <w:rsid w:val="0006081A"/>
    <w:rsid w:val="00060A67"/>
    <w:rsid w:val="00060C68"/>
    <w:rsid w:val="00060F9C"/>
    <w:rsid w:val="0006128B"/>
    <w:rsid w:val="00061C58"/>
    <w:rsid w:val="00061DF0"/>
    <w:rsid w:val="00061EA2"/>
    <w:rsid w:val="00062009"/>
    <w:rsid w:val="000623FB"/>
    <w:rsid w:val="00062CA9"/>
    <w:rsid w:val="00062E09"/>
    <w:rsid w:val="00063557"/>
    <w:rsid w:val="00063A4A"/>
    <w:rsid w:val="00063FEB"/>
    <w:rsid w:val="000640B5"/>
    <w:rsid w:val="00065BA8"/>
    <w:rsid w:val="00065D49"/>
    <w:rsid w:val="0006666F"/>
    <w:rsid w:val="00066919"/>
    <w:rsid w:val="00067301"/>
    <w:rsid w:val="00067665"/>
    <w:rsid w:val="00067996"/>
    <w:rsid w:val="0007066E"/>
    <w:rsid w:val="00070B19"/>
    <w:rsid w:val="00070C12"/>
    <w:rsid w:val="00070CB6"/>
    <w:rsid w:val="00070D64"/>
    <w:rsid w:val="0007112C"/>
    <w:rsid w:val="00071C22"/>
    <w:rsid w:val="00072255"/>
    <w:rsid w:val="0007225A"/>
    <w:rsid w:val="00072490"/>
    <w:rsid w:val="00072949"/>
    <w:rsid w:val="00072D83"/>
    <w:rsid w:val="000730B8"/>
    <w:rsid w:val="000731C6"/>
    <w:rsid w:val="00073788"/>
    <w:rsid w:val="000741BF"/>
    <w:rsid w:val="0007422C"/>
    <w:rsid w:val="000742C7"/>
    <w:rsid w:val="00074797"/>
    <w:rsid w:val="00074DE9"/>
    <w:rsid w:val="00074E87"/>
    <w:rsid w:val="00075C8D"/>
    <w:rsid w:val="00075C91"/>
    <w:rsid w:val="00075F4A"/>
    <w:rsid w:val="00076577"/>
    <w:rsid w:val="0007680B"/>
    <w:rsid w:val="00076C85"/>
    <w:rsid w:val="00076DD4"/>
    <w:rsid w:val="000774A9"/>
    <w:rsid w:val="000778A4"/>
    <w:rsid w:val="00077976"/>
    <w:rsid w:val="00077C15"/>
    <w:rsid w:val="00077D81"/>
    <w:rsid w:val="00080151"/>
    <w:rsid w:val="000801CE"/>
    <w:rsid w:val="000802DD"/>
    <w:rsid w:val="00080675"/>
    <w:rsid w:val="000806C4"/>
    <w:rsid w:val="00080959"/>
    <w:rsid w:val="000813B7"/>
    <w:rsid w:val="00081AA3"/>
    <w:rsid w:val="0008243D"/>
    <w:rsid w:val="00082480"/>
    <w:rsid w:val="00083276"/>
    <w:rsid w:val="00083871"/>
    <w:rsid w:val="00084143"/>
    <w:rsid w:val="00084321"/>
    <w:rsid w:val="0008472B"/>
    <w:rsid w:val="000854B8"/>
    <w:rsid w:val="000858A9"/>
    <w:rsid w:val="00085F0F"/>
    <w:rsid w:val="0008608D"/>
    <w:rsid w:val="000860B2"/>
    <w:rsid w:val="00086193"/>
    <w:rsid w:val="0008631B"/>
    <w:rsid w:val="00086534"/>
    <w:rsid w:val="0008669A"/>
    <w:rsid w:val="00086716"/>
    <w:rsid w:val="0008674F"/>
    <w:rsid w:val="00086835"/>
    <w:rsid w:val="00086976"/>
    <w:rsid w:val="00087751"/>
    <w:rsid w:val="00087866"/>
    <w:rsid w:val="0008797D"/>
    <w:rsid w:val="0009076A"/>
    <w:rsid w:val="00090906"/>
    <w:rsid w:val="00090A1B"/>
    <w:rsid w:val="00091070"/>
    <w:rsid w:val="0009125C"/>
    <w:rsid w:val="000917EA"/>
    <w:rsid w:val="0009196D"/>
    <w:rsid w:val="000922F6"/>
    <w:rsid w:val="000924C1"/>
    <w:rsid w:val="0009272F"/>
    <w:rsid w:val="00092952"/>
    <w:rsid w:val="00092F82"/>
    <w:rsid w:val="00093923"/>
    <w:rsid w:val="0009496F"/>
    <w:rsid w:val="00094D24"/>
    <w:rsid w:val="00094DAD"/>
    <w:rsid w:val="0009513D"/>
    <w:rsid w:val="00095675"/>
    <w:rsid w:val="000958D3"/>
    <w:rsid w:val="000966A1"/>
    <w:rsid w:val="0009697B"/>
    <w:rsid w:val="00096ACE"/>
    <w:rsid w:val="00096B82"/>
    <w:rsid w:val="00096F1B"/>
    <w:rsid w:val="000976A0"/>
    <w:rsid w:val="000A01A9"/>
    <w:rsid w:val="000A06AC"/>
    <w:rsid w:val="000A129D"/>
    <w:rsid w:val="000A17E2"/>
    <w:rsid w:val="000A1956"/>
    <w:rsid w:val="000A1D80"/>
    <w:rsid w:val="000A1D9A"/>
    <w:rsid w:val="000A29B3"/>
    <w:rsid w:val="000A2E30"/>
    <w:rsid w:val="000A3281"/>
    <w:rsid w:val="000A36AF"/>
    <w:rsid w:val="000A39CA"/>
    <w:rsid w:val="000A3BDB"/>
    <w:rsid w:val="000A3E51"/>
    <w:rsid w:val="000A404F"/>
    <w:rsid w:val="000A43F1"/>
    <w:rsid w:val="000A4F7C"/>
    <w:rsid w:val="000A504D"/>
    <w:rsid w:val="000A51E0"/>
    <w:rsid w:val="000A5B82"/>
    <w:rsid w:val="000A6D27"/>
    <w:rsid w:val="000A6D70"/>
    <w:rsid w:val="000A7029"/>
    <w:rsid w:val="000A707F"/>
    <w:rsid w:val="000A715A"/>
    <w:rsid w:val="000A7228"/>
    <w:rsid w:val="000A77AC"/>
    <w:rsid w:val="000A7AED"/>
    <w:rsid w:val="000A7B23"/>
    <w:rsid w:val="000A7D22"/>
    <w:rsid w:val="000B00E5"/>
    <w:rsid w:val="000B01E3"/>
    <w:rsid w:val="000B01FC"/>
    <w:rsid w:val="000B0411"/>
    <w:rsid w:val="000B0908"/>
    <w:rsid w:val="000B09B5"/>
    <w:rsid w:val="000B0A84"/>
    <w:rsid w:val="000B0C5E"/>
    <w:rsid w:val="000B0F47"/>
    <w:rsid w:val="000B0F91"/>
    <w:rsid w:val="000B11EB"/>
    <w:rsid w:val="000B147E"/>
    <w:rsid w:val="000B172C"/>
    <w:rsid w:val="000B1CF0"/>
    <w:rsid w:val="000B200F"/>
    <w:rsid w:val="000B215D"/>
    <w:rsid w:val="000B22E7"/>
    <w:rsid w:val="000B2517"/>
    <w:rsid w:val="000B2632"/>
    <w:rsid w:val="000B29DF"/>
    <w:rsid w:val="000B2B87"/>
    <w:rsid w:val="000B3737"/>
    <w:rsid w:val="000B3CB6"/>
    <w:rsid w:val="000B3E61"/>
    <w:rsid w:val="000B442D"/>
    <w:rsid w:val="000B4530"/>
    <w:rsid w:val="000B456E"/>
    <w:rsid w:val="000B48FD"/>
    <w:rsid w:val="000B4997"/>
    <w:rsid w:val="000B4A3B"/>
    <w:rsid w:val="000B4D4F"/>
    <w:rsid w:val="000B5210"/>
    <w:rsid w:val="000B5396"/>
    <w:rsid w:val="000B54E8"/>
    <w:rsid w:val="000B58A3"/>
    <w:rsid w:val="000B59F4"/>
    <w:rsid w:val="000B5B29"/>
    <w:rsid w:val="000B611B"/>
    <w:rsid w:val="000B67DE"/>
    <w:rsid w:val="000B6E26"/>
    <w:rsid w:val="000B733A"/>
    <w:rsid w:val="000B7377"/>
    <w:rsid w:val="000C0267"/>
    <w:rsid w:val="000C09DB"/>
    <w:rsid w:val="000C1095"/>
    <w:rsid w:val="000C129A"/>
    <w:rsid w:val="000C1C95"/>
    <w:rsid w:val="000C1D4B"/>
    <w:rsid w:val="000C1DB4"/>
    <w:rsid w:val="000C1F0C"/>
    <w:rsid w:val="000C209C"/>
    <w:rsid w:val="000C2B02"/>
    <w:rsid w:val="000C48E3"/>
    <w:rsid w:val="000C4AB6"/>
    <w:rsid w:val="000C4C3D"/>
    <w:rsid w:val="000C52A1"/>
    <w:rsid w:val="000C52DE"/>
    <w:rsid w:val="000C53A3"/>
    <w:rsid w:val="000C5679"/>
    <w:rsid w:val="000C5702"/>
    <w:rsid w:val="000C5F4D"/>
    <w:rsid w:val="000C6356"/>
    <w:rsid w:val="000C6704"/>
    <w:rsid w:val="000C6F9D"/>
    <w:rsid w:val="000C71FE"/>
    <w:rsid w:val="000C7449"/>
    <w:rsid w:val="000C7684"/>
    <w:rsid w:val="000C776F"/>
    <w:rsid w:val="000C780E"/>
    <w:rsid w:val="000D00E4"/>
    <w:rsid w:val="000D0188"/>
    <w:rsid w:val="000D0782"/>
    <w:rsid w:val="000D0C26"/>
    <w:rsid w:val="000D121F"/>
    <w:rsid w:val="000D134F"/>
    <w:rsid w:val="000D1BF8"/>
    <w:rsid w:val="000D2736"/>
    <w:rsid w:val="000D2CE0"/>
    <w:rsid w:val="000D2F13"/>
    <w:rsid w:val="000D3707"/>
    <w:rsid w:val="000D3A26"/>
    <w:rsid w:val="000D3ED9"/>
    <w:rsid w:val="000D4112"/>
    <w:rsid w:val="000D415C"/>
    <w:rsid w:val="000D419D"/>
    <w:rsid w:val="000D47CB"/>
    <w:rsid w:val="000D4A46"/>
    <w:rsid w:val="000D5A88"/>
    <w:rsid w:val="000D6196"/>
    <w:rsid w:val="000D6EEF"/>
    <w:rsid w:val="000D6F7C"/>
    <w:rsid w:val="000D74CA"/>
    <w:rsid w:val="000D7ACC"/>
    <w:rsid w:val="000D7CA9"/>
    <w:rsid w:val="000D7D5E"/>
    <w:rsid w:val="000E0225"/>
    <w:rsid w:val="000E03CB"/>
    <w:rsid w:val="000E087D"/>
    <w:rsid w:val="000E087F"/>
    <w:rsid w:val="000E0A6D"/>
    <w:rsid w:val="000E0E6C"/>
    <w:rsid w:val="000E17B0"/>
    <w:rsid w:val="000E21D6"/>
    <w:rsid w:val="000E2BA8"/>
    <w:rsid w:val="000E350A"/>
    <w:rsid w:val="000E387B"/>
    <w:rsid w:val="000E3CEF"/>
    <w:rsid w:val="000E432C"/>
    <w:rsid w:val="000E4677"/>
    <w:rsid w:val="000E4788"/>
    <w:rsid w:val="000E49D6"/>
    <w:rsid w:val="000E512E"/>
    <w:rsid w:val="000E537B"/>
    <w:rsid w:val="000E5466"/>
    <w:rsid w:val="000E595D"/>
    <w:rsid w:val="000E5C42"/>
    <w:rsid w:val="000E627A"/>
    <w:rsid w:val="000E638C"/>
    <w:rsid w:val="000E6687"/>
    <w:rsid w:val="000E67E8"/>
    <w:rsid w:val="000E6C4F"/>
    <w:rsid w:val="000E6C89"/>
    <w:rsid w:val="000E726F"/>
    <w:rsid w:val="000E7348"/>
    <w:rsid w:val="000E73A7"/>
    <w:rsid w:val="000E75FB"/>
    <w:rsid w:val="000E7A09"/>
    <w:rsid w:val="000E7B5A"/>
    <w:rsid w:val="000E7CD4"/>
    <w:rsid w:val="000E7DB6"/>
    <w:rsid w:val="000F00D7"/>
    <w:rsid w:val="000F0218"/>
    <w:rsid w:val="000F0440"/>
    <w:rsid w:val="000F0508"/>
    <w:rsid w:val="000F0A50"/>
    <w:rsid w:val="000F0F10"/>
    <w:rsid w:val="000F1261"/>
    <w:rsid w:val="000F1A45"/>
    <w:rsid w:val="000F1BC0"/>
    <w:rsid w:val="000F2200"/>
    <w:rsid w:val="000F2FC5"/>
    <w:rsid w:val="000F3242"/>
    <w:rsid w:val="000F3944"/>
    <w:rsid w:val="000F3E2C"/>
    <w:rsid w:val="000F40D0"/>
    <w:rsid w:val="000F4A75"/>
    <w:rsid w:val="000F4D4A"/>
    <w:rsid w:val="000F53D7"/>
    <w:rsid w:val="000F554B"/>
    <w:rsid w:val="000F5B93"/>
    <w:rsid w:val="000F5F95"/>
    <w:rsid w:val="000F5FAB"/>
    <w:rsid w:val="000F6218"/>
    <w:rsid w:val="000F6298"/>
    <w:rsid w:val="000F6872"/>
    <w:rsid w:val="000F6C7A"/>
    <w:rsid w:val="000F6DB7"/>
    <w:rsid w:val="000F6E54"/>
    <w:rsid w:val="000F749D"/>
    <w:rsid w:val="000F7643"/>
    <w:rsid w:val="000F7928"/>
    <w:rsid w:val="000F7A75"/>
    <w:rsid w:val="0010002B"/>
    <w:rsid w:val="00100880"/>
    <w:rsid w:val="00100A07"/>
    <w:rsid w:val="00100A9C"/>
    <w:rsid w:val="00100E36"/>
    <w:rsid w:val="00100FFA"/>
    <w:rsid w:val="001012EC"/>
    <w:rsid w:val="00101388"/>
    <w:rsid w:val="001014D6"/>
    <w:rsid w:val="00101B1B"/>
    <w:rsid w:val="00101EB2"/>
    <w:rsid w:val="00102B9D"/>
    <w:rsid w:val="0010329E"/>
    <w:rsid w:val="00103629"/>
    <w:rsid w:val="001037D2"/>
    <w:rsid w:val="0010392C"/>
    <w:rsid w:val="001046EC"/>
    <w:rsid w:val="00104FD0"/>
    <w:rsid w:val="00105301"/>
    <w:rsid w:val="00105366"/>
    <w:rsid w:val="00105BFD"/>
    <w:rsid w:val="00105E56"/>
    <w:rsid w:val="00106382"/>
    <w:rsid w:val="0010641A"/>
    <w:rsid w:val="001064AC"/>
    <w:rsid w:val="001066B5"/>
    <w:rsid w:val="00106711"/>
    <w:rsid w:val="00107371"/>
    <w:rsid w:val="001102F1"/>
    <w:rsid w:val="00110A7E"/>
    <w:rsid w:val="00110B37"/>
    <w:rsid w:val="0011116B"/>
    <w:rsid w:val="00111AB2"/>
    <w:rsid w:val="00111F5A"/>
    <w:rsid w:val="0011255C"/>
    <w:rsid w:val="00112677"/>
    <w:rsid w:val="0011272B"/>
    <w:rsid w:val="00112BC2"/>
    <w:rsid w:val="00113143"/>
    <w:rsid w:val="001134C8"/>
    <w:rsid w:val="001134EF"/>
    <w:rsid w:val="001136AD"/>
    <w:rsid w:val="00113988"/>
    <w:rsid w:val="00113EFB"/>
    <w:rsid w:val="00114503"/>
    <w:rsid w:val="00114667"/>
    <w:rsid w:val="001148AA"/>
    <w:rsid w:val="00115D51"/>
    <w:rsid w:val="00116357"/>
    <w:rsid w:val="00116504"/>
    <w:rsid w:val="00116794"/>
    <w:rsid w:val="0011686A"/>
    <w:rsid w:val="0011686E"/>
    <w:rsid w:val="00116AAB"/>
    <w:rsid w:val="001176C7"/>
    <w:rsid w:val="00117B02"/>
    <w:rsid w:val="00117FEF"/>
    <w:rsid w:val="00120EC2"/>
    <w:rsid w:val="00121263"/>
    <w:rsid w:val="0012244D"/>
    <w:rsid w:val="0012246E"/>
    <w:rsid w:val="0012310D"/>
    <w:rsid w:val="001233D6"/>
    <w:rsid w:val="00123458"/>
    <w:rsid w:val="0012349E"/>
    <w:rsid w:val="001234BC"/>
    <w:rsid w:val="00123519"/>
    <w:rsid w:val="00123650"/>
    <w:rsid w:val="00123C24"/>
    <w:rsid w:val="00123E13"/>
    <w:rsid w:val="00124837"/>
    <w:rsid w:val="001248E0"/>
    <w:rsid w:val="001249BC"/>
    <w:rsid w:val="001258C2"/>
    <w:rsid w:val="00125989"/>
    <w:rsid w:val="00125BC8"/>
    <w:rsid w:val="00125BDF"/>
    <w:rsid w:val="00125EFE"/>
    <w:rsid w:val="0012692A"/>
    <w:rsid w:val="00126D64"/>
    <w:rsid w:val="001272BE"/>
    <w:rsid w:val="00127514"/>
    <w:rsid w:val="001275B2"/>
    <w:rsid w:val="0012786A"/>
    <w:rsid w:val="001303FE"/>
    <w:rsid w:val="001305D5"/>
    <w:rsid w:val="00130648"/>
    <w:rsid w:val="00130788"/>
    <w:rsid w:val="00130BED"/>
    <w:rsid w:val="001310CC"/>
    <w:rsid w:val="001316B7"/>
    <w:rsid w:val="00131775"/>
    <w:rsid w:val="0013190C"/>
    <w:rsid w:val="00131A82"/>
    <w:rsid w:val="00131DF3"/>
    <w:rsid w:val="001322B8"/>
    <w:rsid w:val="001328E0"/>
    <w:rsid w:val="001330D3"/>
    <w:rsid w:val="0013353A"/>
    <w:rsid w:val="00134137"/>
    <w:rsid w:val="00134326"/>
    <w:rsid w:val="001345BA"/>
    <w:rsid w:val="0013485F"/>
    <w:rsid w:val="00134CB2"/>
    <w:rsid w:val="00135167"/>
    <w:rsid w:val="00135644"/>
    <w:rsid w:val="00136DD1"/>
    <w:rsid w:val="001376BD"/>
    <w:rsid w:val="00137D25"/>
    <w:rsid w:val="00137E3D"/>
    <w:rsid w:val="00140100"/>
    <w:rsid w:val="001402AD"/>
    <w:rsid w:val="00140527"/>
    <w:rsid w:val="001405A3"/>
    <w:rsid w:val="00140865"/>
    <w:rsid w:val="00140BF5"/>
    <w:rsid w:val="00140E59"/>
    <w:rsid w:val="001411EE"/>
    <w:rsid w:val="0014193C"/>
    <w:rsid w:val="00141DFC"/>
    <w:rsid w:val="0014278D"/>
    <w:rsid w:val="0014282C"/>
    <w:rsid w:val="00143183"/>
    <w:rsid w:val="001432FE"/>
    <w:rsid w:val="0014337D"/>
    <w:rsid w:val="00143534"/>
    <w:rsid w:val="001438AE"/>
    <w:rsid w:val="0014391B"/>
    <w:rsid w:val="00143A71"/>
    <w:rsid w:val="00144183"/>
    <w:rsid w:val="00144506"/>
    <w:rsid w:val="00144798"/>
    <w:rsid w:val="001448BD"/>
    <w:rsid w:val="001448DD"/>
    <w:rsid w:val="001449DD"/>
    <w:rsid w:val="00144BA2"/>
    <w:rsid w:val="00144E54"/>
    <w:rsid w:val="00144F49"/>
    <w:rsid w:val="00144F50"/>
    <w:rsid w:val="00145206"/>
    <w:rsid w:val="0014558F"/>
    <w:rsid w:val="0014561D"/>
    <w:rsid w:val="00145896"/>
    <w:rsid w:val="00145981"/>
    <w:rsid w:val="001462AF"/>
    <w:rsid w:val="0014687F"/>
    <w:rsid w:val="001475DA"/>
    <w:rsid w:val="001475E7"/>
    <w:rsid w:val="001478AF"/>
    <w:rsid w:val="001478D9"/>
    <w:rsid w:val="001478FA"/>
    <w:rsid w:val="00147A6D"/>
    <w:rsid w:val="00147ABC"/>
    <w:rsid w:val="001500EC"/>
    <w:rsid w:val="00150955"/>
    <w:rsid w:val="00150DD5"/>
    <w:rsid w:val="00150F41"/>
    <w:rsid w:val="00151108"/>
    <w:rsid w:val="0015158D"/>
    <w:rsid w:val="00151699"/>
    <w:rsid w:val="0015175C"/>
    <w:rsid w:val="00151869"/>
    <w:rsid w:val="001519FC"/>
    <w:rsid w:val="00151E54"/>
    <w:rsid w:val="0015204B"/>
    <w:rsid w:val="001526F5"/>
    <w:rsid w:val="00152829"/>
    <w:rsid w:val="00152B26"/>
    <w:rsid w:val="00152DB1"/>
    <w:rsid w:val="001537C4"/>
    <w:rsid w:val="001538A5"/>
    <w:rsid w:val="00153CD9"/>
    <w:rsid w:val="00154A64"/>
    <w:rsid w:val="00154D8B"/>
    <w:rsid w:val="00154E90"/>
    <w:rsid w:val="00154F0A"/>
    <w:rsid w:val="00154F75"/>
    <w:rsid w:val="00154FB4"/>
    <w:rsid w:val="00155090"/>
    <w:rsid w:val="0015521D"/>
    <w:rsid w:val="0015544A"/>
    <w:rsid w:val="00155469"/>
    <w:rsid w:val="001555D3"/>
    <w:rsid w:val="00155D1D"/>
    <w:rsid w:val="00155EB3"/>
    <w:rsid w:val="001560ED"/>
    <w:rsid w:val="00156280"/>
    <w:rsid w:val="00157407"/>
    <w:rsid w:val="0015798E"/>
    <w:rsid w:val="00157C5A"/>
    <w:rsid w:val="00157FED"/>
    <w:rsid w:val="00160495"/>
    <w:rsid w:val="001607E1"/>
    <w:rsid w:val="00160853"/>
    <w:rsid w:val="00160879"/>
    <w:rsid w:val="00160C96"/>
    <w:rsid w:val="00160E56"/>
    <w:rsid w:val="00162165"/>
    <w:rsid w:val="001623F1"/>
    <w:rsid w:val="001625A5"/>
    <w:rsid w:val="0016291C"/>
    <w:rsid w:val="00163144"/>
    <w:rsid w:val="001635EB"/>
    <w:rsid w:val="0016368C"/>
    <w:rsid w:val="00163C88"/>
    <w:rsid w:val="00163D05"/>
    <w:rsid w:val="0016450B"/>
    <w:rsid w:val="00164FB0"/>
    <w:rsid w:val="001651D6"/>
    <w:rsid w:val="001653DA"/>
    <w:rsid w:val="0016589C"/>
    <w:rsid w:val="00165B8F"/>
    <w:rsid w:val="00166209"/>
    <w:rsid w:val="00166338"/>
    <w:rsid w:val="001664F2"/>
    <w:rsid w:val="001668A3"/>
    <w:rsid w:val="0016696E"/>
    <w:rsid w:val="00166DF3"/>
    <w:rsid w:val="00166FF2"/>
    <w:rsid w:val="001670BC"/>
    <w:rsid w:val="001672FB"/>
    <w:rsid w:val="00167344"/>
    <w:rsid w:val="0016777A"/>
    <w:rsid w:val="00167850"/>
    <w:rsid w:val="00167A36"/>
    <w:rsid w:val="00167FFA"/>
    <w:rsid w:val="00170058"/>
    <w:rsid w:val="001701B0"/>
    <w:rsid w:val="0017051C"/>
    <w:rsid w:val="00170976"/>
    <w:rsid w:val="0017147D"/>
    <w:rsid w:val="001714CB"/>
    <w:rsid w:val="00171C0C"/>
    <w:rsid w:val="00171DED"/>
    <w:rsid w:val="00171DF5"/>
    <w:rsid w:val="00172743"/>
    <w:rsid w:val="001728EC"/>
    <w:rsid w:val="00172B15"/>
    <w:rsid w:val="00173804"/>
    <w:rsid w:val="00173DBF"/>
    <w:rsid w:val="00173DD5"/>
    <w:rsid w:val="00174011"/>
    <w:rsid w:val="00174062"/>
    <w:rsid w:val="0017529B"/>
    <w:rsid w:val="00175B6F"/>
    <w:rsid w:val="001760E2"/>
    <w:rsid w:val="001762DF"/>
    <w:rsid w:val="001764C0"/>
    <w:rsid w:val="00176AFD"/>
    <w:rsid w:val="00176B48"/>
    <w:rsid w:val="00176ECE"/>
    <w:rsid w:val="001773B4"/>
    <w:rsid w:val="001779C8"/>
    <w:rsid w:val="00177C65"/>
    <w:rsid w:val="00180490"/>
    <w:rsid w:val="001813FF"/>
    <w:rsid w:val="001816F3"/>
    <w:rsid w:val="00181776"/>
    <w:rsid w:val="00181DFD"/>
    <w:rsid w:val="00182185"/>
    <w:rsid w:val="00182431"/>
    <w:rsid w:val="001825A0"/>
    <w:rsid w:val="001828F7"/>
    <w:rsid w:val="001831E0"/>
    <w:rsid w:val="00183312"/>
    <w:rsid w:val="001834FA"/>
    <w:rsid w:val="00183839"/>
    <w:rsid w:val="00183BAC"/>
    <w:rsid w:val="00183E75"/>
    <w:rsid w:val="001846E3"/>
    <w:rsid w:val="001849AD"/>
    <w:rsid w:val="00185142"/>
    <w:rsid w:val="0018515B"/>
    <w:rsid w:val="001856FF"/>
    <w:rsid w:val="0018619F"/>
    <w:rsid w:val="0018682D"/>
    <w:rsid w:val="0018686C"/>
    <w:rsid w:val="00186A6A"/>
    <w:rsid w:val="00186D1B"/>
    <w:rsid w:val="0018728F"/>
    <w:rsid w:val="00187E96"/>
    <w:rsid w:val="00187F7E"/>
    <w:rsid w:val="00190346"/>
    <w:rsid w:val="001903CC"/>
    <w:rsid w:val="0019062B"/>
    <w:rsid w:val="0019065F"/>
    <w:rsid w:val="0019088B"/>
    <w:rsid w:val="00190F88"/>
    <w:rsid w:val="0019101B"/>
    <w:rsid w:val="00191161"/>
    <w:rsid w:val="001912EC"/>
    <w:rsid w:val="0019143D"/>
    <w:rsid w:val="00191816"/>
    <w:rsid w:val="0019188C"/>
    <w:rsid w:val="00191C42"/>
    <w:rsid w:val="00191C4D"/>
    <w:rsid w:val="00191C81"/>
    <w:rsid w:val="00191ED6"/>
    <w:rsid w:val="001920C3"/>
    <w:rsid w:val="00192163"/>
    <w:rsid w:val="0019219A"/>
    <w:rsid w:val="0019235B"/>
    <w:rsid w:val="0019248E"/>
    <w:rsid w:val="001925AF"/>
    <w:rsid w:val="001927C6"/>
    <w:rsid w:val="00193301"/>
    <w:rsid w:val="00193437"/>
    <w:rsid w:val="00193459"/>
    <w:rsid w:val="00193B79"/>
    <w:rsid w:val="00193CC7"/>
    <w:rsid w:val="00194484"/>
    <w:rsid w:val="001945CE"/>
    <w:rsid w:val="001946CF"/>
    <w:rsid w:val="00194DB9"/>
    <w:rsid w:val="0019525E"/>
    <w:rsid w:val="00195357"/>
    <w:rsid w:val="00195A09"/>
    <w:rsid w:val="00195A1A"/>
    <w:rsid w:val="00195B7C"/>
    <w:rsid w:val="00195C0D"/>
    <w:rsid w:val="00195C86"/>
    <w:rsid w:val="00195DC8"/>
    <w:rsid w:val="00196239"/>
    <w:rsid w:val="00196B87"/>
    <w:rsid w:val="00196F57"/>
    <w:rsid w:val="0019760D"/>
    <w:rsid w:val="00197716"/>
    <w:rsid w:val="001A06F4"/>
    <w:rsid w:val="001A0788"/>
    <w:rsid w:val="001A0E52"/>
    <w:rsid w:val="001A1114"/>
    <w:rsid w:val="001A1496"/>
    <w:rsid w:val="001A1D9B"/>
    <w:rsid w:val="001A20C3"/>
    <w:rsid w:val="001A2420"/>
    <w:rsid w:val="001A2ABA"/>
    <w:rsid w:val="001A2E2E"/>
    <w:rsid w:val="001A3139"/>
    <w:rsid w:val="001A35DC"/>
    <w:rsid w:val="001A392E"/>
    <w:rsid w:val="001A4172"/>
    <w:rsid w:val="001A448F"/>
    <w:rsid w:val="001A45AD"/>
    <w:rsid w:val="001A4AA1"/>
    <w:rsid w:val="001A4E23"/>
    <w:rsid w:val="001A5637"/>
    <w:rsid w:val="001A5A89"/>
    <w:rsid w:val="001A643E"/>
    <w:rsid w:val="001A7008"/>
    <w:rsid w:val="001A73D2"/>
    <w:rsid w:val="001A73D3"/>
    <w:rsid w:val="001A753B"/>
    <w:rsid w:val="001A7E48"/>
    <w:rsid w:val="001B0A7C"/>
    <w:rsid w:val="001B0DAD"/>
    <w:rsid w:val="001B0E56"/>
    <w:rsid w:val="001B11F6"/>
    <w:rsid w:val="001B1707"/>
    <w:rsid w:val="001B187A"/>
    <w:rsid w:val="001B1970"/>
    <w:rsid w:val="001B1F0D"/>
    <w:rsid w:val="001B2959"/>
    <w:rsid w:val="001B2B6E"/>
    <w:rsid w:val="001B30A0"/>
    <w:rsid w:val="001B3BA9"/>
    <w:rsid w:val="001B3E91"/>
    <w:rsid w:val="001B43B2"/>
    <w:rsid w:val="001B44F6"/>
    <w:rsid w:val="001B45CA"/>
    <w:rsid w:val="001B49D1"/>
    <w:rsid w:val="001B52FC"/>
    <w:rsid w:val="001B54AE"/>
    <w:rsid w:val="001B54FE"/>
    <w:rsid w:val="001B5629"/>
    <w:rsid w:val="001B5ABF"/>
    <w:rsid w:val="001B6003"/>
    <w:rsid w:val="001B6159"/>
    <w:rsid w:val="001B61FA"/>
    <w:rsid w:val="001B648C"/>
    <w:rsid w:val="001B7303"/>
    <w:rsid w:val="001B73F1"/>
    <w:rsid w:val="001B757D"/>
    <w:rsid w:val="001B75DB"/>
    <w:rsid w:val="001B79D4"/>
    <w:rsid w:val="001B7B00"/>
    <w:rsid w:val="001B7E7E"/>
    <w:rsid w:val="001C026F"/>
    <w:rsid w:val="001C0BA9"/>
    <w:rsid w:val="001C0CD0"/>
    <w:rsid w:val="001C14FF"/>
    <w:rsid w:val="001C175E"/>
    <w:rsid w:val="001C18C8"/>
    <w:rsid w:val="001C1C26"/>
    <w:rsid w:val="001C1C63"/>
    <w:rsid w:val="001C1D3F"/>
    <w:rsid w:val="001C1DEC"/>
    <w:rsid w:val="001C1FEC"/>
    <w:rsid w:val="001C2017"/>
    <w:rsid w:val="001C2456"/>
    <w:rsid w:val="001C287E"/>
    <w:rsid w:val="001C2A1E"/>
    <w:rsid w:val="001C2A21"/>
    <w:rsid w:val="001C2A2C"/>
    <w:rsid w:val="001C3538"/>
    <w:rsid w:val="001C364F"/>
    <w:rsid w:val="001C3718"/>
    <w:rsid w:val="001C3B07"/>
    <w:rsid w:val="001C3EE7"/>
    <w:rsid w:val="001C4783"/>
    <w:rsid w:val="001C4845"/>
    <w:rsid w:val="001C4B5B"/>
    <w:rsid w:val="001C4E7D"/>
    <w:rsid w:val="001C558E"/>
    <w:rsid w:val="001C562B"/>
    <w:rsid w:val="001C5AF0"/>
    <w:rsid w:val="001C5CDA"/>
    <w:rsid w:val="001C5E78"/>
    <w:rsid w:val="001C67CD"/>
    <w:rsid w:val="001C67FA"/>
    <w:rsid w:val="001C6A11"/>
    <w:rsid w:val="001C72A3"/>
    <w:rsid w:val="001C73DA"/>
    <w:rsid w:val="001C7CAD"/>
    <w:rsid w:val="001C7F0C"/>
    <w:rsid w:val="001D0020"/>
    <w:rsid w:val="001D06F9"/>
    <w:rsid w:val="001D0B06"/>
    <w:rsid w:val="001D127E"/>
    <w:rsid w:val="001D1481"/>
    <w:rsid w:val="001D1718"/>
    <w:rsid w:val="001D1DD1"/>
    <w:rsid w:val="001D2287"/>
    <w:rsid w:val="001D2B90"/>
    <w:rsid w:val="001D2CA3"/>
    <w:rsid w:val="001D2F15"/>
    <w:rsid w:val="001D3337"/>
    <w:rsid w:val="001D338A"/>
    <w:rsid w:val="001D410B"/>
    <w:rsid w:val="001D445C"/>
    <w:rsid w:val="001D4834"/>
    <w:rsid w:val="001D4A8B"/>
    <w:rsid w:val="001D4BFB"/>
    <w:rsid w:val="001D4EB7"/>
    <w:rsid w:val="001D4F61"/>
    <w:rsid w:val="001D56F6"/>
    <w:rsid w:val="001D58E0"/>
    <w:rsid w:val="001D5939"/>
    <w:rsid w:val="001D5A3F"/>
    <w:rsid w:val="001D617F"/>
    <w:rsid w:val="001D6237"/>
    <w:rsid w:val="001D6A20"/>
    <w:rsid w:val="001D6CF6"/>
    <w:rsid w:val="001D6DCF"/>
    <w:rsid w:val="001D70C7"/>
    <w:rsid w:val="001D71F5"/>
    <w:rsid w:val="001D7408"/>
    <w:rsid w:val="001D7AD1"/>
    <w:rsid w:val="001D7C19"/>
    <w:rsid w:val="001D7CE3"/>
    <w:rsid w:val="001D7FA1"/>
    <w:rsid w:val="001E0130"/>
    <w:rsid w:val="001E08A2"/>
    <w:rsid w:val="001E0C35"/>
    <w:rsid w:val="001E0E3B"/>
    <w:rsid w:val="001E1587"/>
    <w:rsid w:val="001E17A2"/>
    <w:rsid w:val="001E1930"/>
    <w:rsid w:val="001E1C7C"/>
    <w:rsid w:val="001E1CF5"/>
    <w:rsid w:val="001E2284"/>
    <w:rsid w:val="001E28B4"/>
    <w:rsid w:val="001E38A4"/>
    <w:rsid w:val="001E3C53"/>
    <w:rsid w:val="001E3E0F"/>
    <w:rsid w:val="001E3FAA"/>
    <w:rsid w:val="001E428A"/>
    <w:rsid w:val="001E43F0"/>
    <w:rsid w:val="001E4624"/>
    <w:rsid w:val="001E4C2D"/>
    <w:rsid w:val="001E4C93"/>
    <w:rsid w:val="001E5305"/>
    <w:rsid w:val="001E540B"/>
    <w:rsid w:val="001E589C"/>
    <w:rsid w:val="001E5961"/>
    <w:rsid w:val="001E5A8F"/>
    <w:rsid w:val="001E5C33"/>
    <w:rsid w:val="001E5E66"/>
    <w:rsid w:val="001E5FF9"/>
    <w:rsid w:val="001E6323"/>
    <w:rsid w:val="001E6361"/>
    <w:rsid w:val="001E6E99"/>
    <w:rsid w:val="001E73E7"/>
    <w:rsid w:val="001E769A"/>
    <w:rsid w:val="001E774A"/>
    <w:rsid w:val="001F03B4"/>
    <w:rsid w:val="001F0F5F"/>
    <w:rsid w:val="001F1A3C"/>
    <w:rsid w:val="001F29AE"/>
    <w:rsid w:val="001F29DD"/>
    <w:rsid w:val="001F32EE"/>
    <w:rsid w:val="001F37ED"/>
    <w:rsid w:val="001F3E1F"/>
    <w:rsid w:val="001F46BD"/>
    <w:rsid w:val="001F4BEB"/>
    <w:rsid w:val="001F4C30"/>
    <w:rsid w:val="001F4D8C"/>
    <w:rsid w:val="001F4F9F"/>
    <w:rsid w:val="001F5472"/>
    <w:rsid w:val="001F549B"/>
    <w:rsid w:val="001F574B"/>
    <w:rsid w:val="001F5997"/>
    <w:rsid w:val="001F5B6D"/>
    <w:rsid w:val="001F635D"/>
    <w:rsid w:val="001F7280"/>
    <w:rsid w:val="001F731C"/>
    <w:rsid w:val="001F76D3"/>
    <w:rsid w:val="001F77F3"/>
    <w:rsid w:val="001F7877"/>
    <w:rsid w:val="001F792C"/>
    <w:rsid w:val="001F7976"/>
    <w:rsid w:val="001F7ADB"/>
    <w:rsid w:val="001F7DB1"/>
    <w:rsid w:val="002004A5"/>
    <w:rsid w:val="0020056E"/>
    <w:rsid w:val="0020070F"/>
    <w:rsid w:val="0020097A"/>
    <w:rsid w:val="00200A3C"/>
    <w:rsid w:val="002016CE"/>
    <w:rsid w:val="00201AF2"/>
    <w:rsid w:val="00201B1F"/>
    <w:rsid w:val="00201C1F"/>
    <w:rsid w:val="00201E4F"/>
    <w:rsid w:val="00202E23"/>
    <w:rsid w:val="00202ED7"/>
    <w:rsid w:val="00202FC1"/>
    <w:rsid w:val="0020302F"/>
    <w:rsid w:val="002031E8"/>
    <w:rsid w:val="0020321D"/>
    <w:rsid w:val="002034BD"/>
    <w:rsid w:val="00203BB2"/>
    <w:rsid w:val="00203F97"/>
    <w:rsid w:val="00204007"/>
    <w:rsid w:val="002046C7"/>
    <w:rsid w:val="00204744"/>
    <w:rsid w:val="002047B8"/>
    <w:rsid w:val="00204900"/>
    <w:rsid w:val="00204AB0"/>
    <w:rsid w:val="00205084"/>
    <w:rsid w:val="00205784"/>
    <w:rsid w:val="00205DDC"/>
    <w:rsid w:val="00205F6E"/>
    <w:rsid w:val="0020660C"/>
    <w:rsid w:val="00206D48"/>
    <w:rsid w:val="002074FD"/>
    <w:rsid w:val="0020752E"/>
    <w:rsid w:val="00207ECD"/>
    <w:rsid w:val="00210621"/>
    <w:rsid w:val="002111E7"/>
    <w:rsid w:val="0021136F"/>
    <w:rsid w:val="00211AA7"/>
    <w:rsid w:val="00211D20"/>
    <w:rsid w:val="00212457"/>
    <w:rsid w:val="00212461"/>
    <w:rsid w:val="002125D5"/>
    <w:rsid w:val="002129C2"/>
    <w:rsid w:val="002129CF"/>
    <w:rsid w:val="00214274"/>
    <w:rsid w:val="00214B2A"/>
    <w:rsid w:val="0021523E"/>
    <w:rsid w:val="00215443"/>
    <w:rsid w:val="002160B6"/>
    <w:rsid w:val="00216330"/>
    <w:rsid w:val="002166E4"/>
    <w:rsid w:val="002167D8"/>
    <w:rsid w:val="002167FB"/>
    <w:rsid w:val="002168A0"/>
    <w:rsid w:val="00216F8D"/>
    <w:rsid w:val="0021710D"/>
    <w:rsid w:val="0021739B"/>
    <w:rsid w:val="0021746B"/>
    <w:rsid w:val="002176BC"/>
    <w:rsid w:val="002203D4"/>
    <w:rsid w:val="00220908"/>
    <w:rsid w:val="00220A38"/>
    <w:rsid w:val="00220FBD"/>
    <w:rsid w:val="0022139E"/>
    <w:rsid w:val="0022140D"/>
    <w:rsid w:val="0022178D"/>
    <w:rsid w:val="00221C27"/>
    <w:rsid w:val="00221DD9"/>
    <w:rsid w:val="00221EBF"/>
    <w:rsid w:val="00221F50"/>
    <w:rsid w:val="00222138"/>
    <w:rsid w:val="00222A39"/>
    <w:rsid w:val="00223706"/>
    <w:rsid w:val="00223895"/>
    <w:rsid w:val="002239CA"/>
    <w:rsid w:val="00223A01"/>
    <w:rsid w:val="00223A77"/>
    <w:rsid w:val="00223E6F"/>
    <w:rsid w:val="002240D1"/>
    <w:rsid w:val="00224352"/>
    <w:rsid w:val="0022466C"/>
    <w:rsid w:val="00224683"/>
    <w:rsid w:val="00224A22"/>
    <w:rsid w:val="00224EA2"/>
    <w:rsid w:val="00224F95"/>
    <w:rsid w:val="00224FF9"/>
    <w:rsid w:val="002256CC"/>
    <w:rsid w:val="00225B7B"/>
    <w:rsid w:val="00225E9E"/>
    <w:rsid w:val="00225F67"/>
    <w:rsid w:val="00226142"/>
    <w:rsid w:val="00226817"/>
    <w:rsid w:val="00226D1E"/>
    <w:rsid w:val="0022733E"/>
    <w:rsid w:val="002278D4"/>
    <w:rsid w:val="00230207"/>
    <w:rsid w:val="0023021A"/>
    <w:rsid w:val="00230387"/>
    <w:rsid w:val="002304F1"/>
    <w:rsid w:val="0023067B"/>
    <w:rsid w:val="00230ADA"/>
    <w:rsid w:val="00230EBD"/>
    <w:rsid w:val="0023134C"/>
    <w:rsid w:val="00231582"/>
    <w:rsid w:val="00231ED0"/>
    <w:rsid w:val="00232909"/>
    <w:rsid w:val="002329CE"/>
    <w:rsid w:val="00232D21"/>
    <w:rsid w:val="002331AD"/>
    <w:rsid w:val="0023387A"/>
    <w:rsid w:val="00233965"/>
    <w:rsid w:val="0023396F"/>
    <w:rsid w:val="00233E11"/>
    <w:rsid w:val="00233FC0"/>
    <w:rsid w:val="0023523F"/>
    <w:rsid w:val="00235400"/>
    <w:rsid w:val="002354A9"/>
    <w:rsid w:val="0023550E"/>
    <w:rsid w:val="002356BF"/>
    <w:rsid w:val="00235BB6"/>
    <w:rsid w:val="00235BEF"/>
    <w:rsid w:val="00235C49"/>
    <w:rsid w:val="002363B5"/>
    <w:rsid w:val="00236457"/>
    <w:rsid w:val="00236C73"/>
    <w:rsid w:val="0023704B"/>
    <w:rsid w:val="00237644"/>
    <w:rsid w:val="002377A7"/>
    <w:rsid w:val="00237946"/>
    <w:rsid w:val="00237E30"/>
    <w:rsid w:val="00240307"/>
    <w:rsid w:val="0024056B"/>
    <w:rsid w:val="002405F2"/>
    <w:rsid w:val="002409B0"/>
    <w:rsid w:val="00240A75"/>
    <w:rsid w:val="00240BF5"/>
    <w:rsid w:val="00240DB0"/>
    <w:rsid w:val="00240EE3"/>
    <w:rsid w:val="00240EFB"/>
    <w:rsid w:val="00241EC0"/>
    <w:rsid w:val="0024204C"/>
    <w:rsid w:val="00242979"/>
    <w:rsid w:val="00242BCA"/>
    <w:rsid w:val="00242CAC"/>
    <w:rsid w:val="00242D6B"/>
    <w:rsid w:val="0024334D"/>
    <w:rsid w:val="00243BB0"/>
    <w:rsid w:val="002440DF"/>
    <w:rsid w:val="002446EF"/>
    <w:rsid w:val="00244CD3"/>
    <w:rsid w:val="00244D30"/>
    <w:rsid w:val="00244F8F"/>
    <w:rsid w:val="002454C7"/>
    <w:rsid w:val="00245777"/>
    <w:rsid w:val="0024613D"/>
    <w:rsid w:val="002462C0"/>
    <w:rsid w:val="002462F9"/>
    <w:rsid w:val="00246655"/>
    <w:rsid w:val="00246997"/>
    <w:rsid w:val="00246A7D"/>
    <w:rsid w:val="00246BD4"/>
    <w:rsid w:val="002471F4"/>
    <w:rsid w:val="002474F9"/>
    <w:rsid w:val="002479A6"/>
    <w:rsid w:val="002479F3"/>
    <w:rsid w:val="002502BE"/>
    <w:rsid w:val="00250339"/>
    <w:rsid w:val="00250674"/>
    <w:rsid w:val="00250DD7"/>
    <w:rsid w:val="00251700"/>
    <w:rsid w:val="002518EF"/>
    <w:rsid w:val="00251FB8"/>
    <w:rsid w:val="002532F4"/>
    <w:rsid w:val="00253720"/>
    <w:rsid w:val="00253FEF"/>
    <w:rsid w:val="002541AF"/>
    <w:rsid w:val="00254889"/>
    <w:rsid w:val="002550E0"/>
    <w:rsid w:val="0025567B"/>
    <w:rsid w:val="00255AF5"/>
    <w:rsid w:val="002568A0"/>
    <w:rsid w:val="002572AC"/>
    <w:rsid w:val="00257372"/>
    <w:rsid w:val="002573CF"/>
    <w:rsid w:val="00257506"/>
    <w:rsid w:val="00257AF1"/>
    <w:rsid w:val="00260412"/>
    <w:rsid w:val="002605DF"/>
    <w:rsid w:val="00260602"/>
    <w:rsid w:val="002606F6"/>
    <w:rsid w:val="00260926"/>
    <w:rsid w:val="00260E45"/>
    <w:rsid w:val="00260F2A"/>
    <w:rsid w:val="00260FF8"/>
    <w:rsid w:val="0026101C"/>
    <w:rsid w:val="0026102B"/>
    <w:rsid w:val="002610AE"/>
    <w:rsid w:val="00261507"/>
    <w:rsid w:val="00261589"/>
    <w:rsid w:val="00262B76"/>
    <w:rsid w:val="002631F4"/>
    <w:rsid w:val="002633A6"/>
    <w:rsid w:val="002638A2"/>
    <w:rsid w:val="00263A48"/>
    <w:rsid w:val="00263C3D"/>
    <w:rsid w:val="00263E43"/>
    <w:rsid w:val="00264170"/>
    <w:rsid w:val="002650C2"/>
    <w:rsid w:val="00265356"/>
    <w:rsid w:val="00265545"/>
    <w:rsid w:val="002655A2"/>
    <w:rsid w:val="002662B0"/>
    <w:rsid w:val="002664D3"/>
    <w:rsid w:val="0026657E"/>
    <w:rsid w:val="00266654"/>
    <w:rsid w:val="00266930"/>
    <w:rsid w:val="00266A82"/>
    <w:rsid w:val="00266E9C"/>
    <w:rsid w:val="0026724D"/>
    <w:rsid w:val="00267757"/>
    <w:rsid w:val="002679A6"/>
    <w:rsid w:val="00267A85"/>
    <w:rsid w:val="00267B84"/>
    <w:rsid w:val="00267F12"/>
    <w:rsid w:val="00270962"/>
    <w:rsid w:val="00270B56"/>
    <w:rsid w:val="002713D0"/>
    <w:rsid w:val="002714BB"/>
    <w:rsid w:val="002719E5"/>
    <w:rsid w:val="00272234"/>
    <w:rsid w:val="002730BF"/>
    <w:rsid w:val="00273837"/>
    <w:rsid w:val="002739F3"/>
    <w:rsid w:val="00273EAD"/>
    <w:rsid w:val="00274047"/>
    <w:rsid w:val="00274309"/>
    <w:rsid w:val="002747AC"/>
    <w:rsid w:val="002750B2"/>
    <w:rsid w:val="002761FE"/>
    <w:rsid w:val="00276290"/>
    <w:rsid w:val="00276563"/>
    <w:rsid w:val="0027678A"/>
    <w:rsid w:val="002767F5"/>
    <w:rsid w:val="00276B4E"/>
    <w:rsid w:val="00276C8C"/>
    <w:rsid w:val="00276D53"/>
    <w:rsid w:val="00277597"/>
    <w:rsid w:val="002775CB"/>
    <w:rsid w:val="00277F6D"/>
    <w:rsid w:val="002800E0"/>
    <w:rsid w:val="002803E6"/>
    <w:rsid w:val="00280708"/>
    <w:rsid w:val="002808C5"/>
    <w:rsid w:val="00280C16"/>
    <w:rsid w:val="00280F87"/>
    <w:rsid w:val="00281AEF"/>
    <w:rsid w:val="00281B67"/>
    <w:rsid w:val="00281D5F"/>
    <w:rsid w:val="002824B1"/>
    <w:rsid w:val="002825CD"/>
    <w:rsid w:val="00282A3D"/>
    <w:rsid w:val="00283228"/>
    <w:rsid w:val="002834C1"/>
    <w:rsid w:val="0028359C"/>
    <w:rsid w:val="002835F8"/>
    <w:rsid w:val="00283634"/>
    <w:rsid w:val="00283C8A"/>
    <w:rsid w:val="00283D39"/>
    <w:rsid w:val="00283F5B"/>
    <w:rsid w:val="00284029"/>
    <w:rsid w:val="002843C2"/>
    <w:rsid w:val="002845B9"/>
    <w:rsid w:val="00284B93"/>
    <w:rsid w:val="00284BFF"/>
    <w:rsid w:val="00284E8D"/>
    <w:rsid w:val="00285B7B"/>
    <w:rsid w:val="00285C1F"/>
    <w:rsid w:val="00285F30"/>
    <w:rsid w:val="002860FD"/>
    <w:rsid w:val="00286479"/>
    <w:rsid w:val="00286B57"/>
    <w:rsid w:val="002911BE"/>
    <w:rsid w:val="002913C2"/>
    <w:rsid w:val="00291599"/>
    <w:rsid w:val="002919EE"/>
    <w:rsid w:val="00291B60"/>
    <w:rsid w:val="00291BA8"/>
    <w:rsid w:val="00292278"/>
    <w:rsid w:val="00292365"/>
    <w:rsid w:val="002924CA"/>
    <w:rsid w:val="00292C7C"/>
    <w:rsid w:val="00292DAC"/>
    <w:rsid w:val="00292F46"/>
    <w:rsid w:val="00293C47"/>
    <w:rsid w:val="00293E08"/>
    <w:rsid w:val="00294025"/>
    <w:rsid w:val="00294B3A"/>
    <w:rsid w:val="00294CD3"/>
    <w:rsid w:val="00295271"/>
    <w:rsid w:val="002958B4"/>
    <w:rsid w:val="00295A9F"/>
    <w:rsid w:val="00295F76"/>
    <w:rsid w:val="002960B9"/>
    <w:rsid w:val="00296297"/>
    <w:rsid w:val="00296725"/>
    <w:rsid w:val="00296727"/>
    <w:rsid w:val="00296741"/>
    <w:rsid w:val="00297060"/>
    <w:rsid w:val="002972EB"/>
    <w:rsid w:val="00297760"/>
    <w:rsid w:val="00297903"/>
    <w:rsid w:val="00297964"/>
    <w:rsid w:val="00297B6B"/>
    <w:rsid w:val="00297E21"/>
    <w:rsid w:val="00297FFC"/>
    <w:rsid w:val="002A01D2"/>
    <w:rsid w:val="002A0331"/>
    <w:rsid w:val="002A0395"/>
    <w:rsid w:val="002A0917"/>
    <w:rsid w:val="002A0D96"/>
    <w:rsid w:val="002A100D"/>
    <w:rsid w:val="002A17A8"/>
    <w:rsid w:val="002A1F99"/>
    <w:rsid w:val="002A2231"/>
    <w:rsid w:val="002A24CF"/>
    <w:rsid w:val="002A260A"/>
    <w:rsid w:val="002A2FE9"/>
    <w:rsid w:val="002A30D5"/>
    <w:rsid w:val="002A3202"/>
    <w:rsid w:val="002A3DA1"/>
    <w:rsid w:val="002A400B"/>
    <w:rsid w:val="002A42C7"/>
    <w:rsid w:val="002A465F"/>
    <w:rsid w:val="002A482A"/>
    <w:rsid w:val="002A5526"/>
    <w:rsid w:val="002A5630"/>
    <w:rsid w:val="002A56A0"/>
    <w:rsid w:val="002A56C5"/>
    <w:rsid w:val="002A6D8C"/>
    <w:rsid w:val="002A7073"/>
    <w:rsid w:val="002A70CE"/>
    <w:rsid w:val="002A7C04"/>
    <w:rsid w:val="002B022C"/>
    <w:rsid w:val="002B0722"/>
    <w:rsid w:val="002B073E"/>
    <w:rsid w:val="002B0C1F"/>
    <w:rsid w:val="002B16FC"/>
    <w:rsid w:val="002B1B61"/>
    <w:rsid w:val="002B21B3"/>
    <w:rsid w:val="002B2758"/>
    <w:rsid w:val="002B2878"/>
    <w:rsid w:val="002B2DB9"/>
    <w:rsid w:val="002B2E6E"/>
    <w:rsid w:val="002B2F5C"/>
    <w:rsid w:val="002B3349"/>
    <w:rsid w:val="002B367E"/>
    <w:rsid w:val="002B3A30"/>
    <w:rsid w:val="002B3BDC"/>
    <w:rsid w:val="002B3C40"/>
    <w:rsid w:val="002B40A9"/>
    <w:rsid w:val="002B444C"/>
    <w:rsid w:val="002B4457"/>
    <w:rsid w:val="002B463A"/>
    <w:rsid w:val="002B4786"/>
    <w:rsid w:val="002B4830"/>
    <w:rsid w:val="002B4892"/>
    <w:rsid w:val="002B4AEA"/>
    <w:rsid w:val="002B4D87"/>
    <w:rsid w:val="002B5D39"/>
    <w:rsid w:val="002B5DB5"/>
    <w:rsid w:val="002B61A0"/>
    <w:rsid w:val="002B642E"/>
    <w:rsid w:val="002B6A6C"/>
    <w:rsid w:val="002B6B13"/>
    <w:rsid w:val="002B731C"/>
    <w:rsid w:val="002B7884"/>
    <w:rsid w:val="002B7C80"/>
    <w:rsid w:val="002C0337"/>
    <w:rsid w:val="002C0B91"/>
    <w:rsid w:val="002C1030"/>
    <w:rsid w:val="002C1351"/>
    <w:rsid w:val="002C183A"/>
    <w:rsid w:val="002C189D"/>
    <w:rsid w:val="002C1935"/>
    <w:rsid w:val="002C1B54"/>
    <w:rsid w:val="002C1DD7"/>
    <w:rsid w:val="002C20C7"/>
    <w:rsid w:val="002C2414"/>
    <w:rsid w:val="002C2846"/>
    <w:rsid w:val="002C2DAC"/>
    <w:rsid w:val="002C3169"/>
    <w:rsid w:val="002C3F10"/>
    <w:rsid w:val="002C402D"/>
    <w:rsid w:val="002C42DA"/>
    <w:rsid w:val="002C45E2"/>
    <w:rsid w:val="002C4D8D"/>
    <w:rsid w:val="002C585E"/>
    <w:rsid w:val="002C58FA"/>
    <w:rsid w:val="002C5E77"/>
    <w:rsid w:val="002C6FC6"/>
    <w:rsid w:val="002C727E"/>
    <w:rsid w:val="002C7A0D"/>
    <w:rsid w:val="002C7D21"/>
    <w:rsid w:val="002C7F47"/>
    <w:rsid w:val="002D0172"/>
    <w:rsid w:val="002D01F2"/>
    <w:rsid w:val="002D0331"/>
    <w:rsid w:val="002D0736"/>
    <w:rsid w:val="002D0DE0"/>
    <w:rsid w:val="002D1780"/>
    <w:rsid w:val="002D23FE"/>
    <w:rsid w:val="002D2B18"/>
    <w:rsid w:val="002D2F1E"/>
    <w:rsid w:val="002D3523"/>
    <w:rsid w:val="002D3797"/>
    <w:rsid w:val="002D3ED4"/>
    <w:rsid w:val="002D3F66"/>
    <w:rsid w:val="002D3FFF"/>
    <w:rsid w:val="002D4946"/>
    <w:rsid w:val="002D5B95"/>
    <w:rsid w:val="002D5DB9"/>
    <w:rsid w:val="002D6418"/>
    <w:rsid w:val="002D6AF0"/>
    <w:rsid w:val="002D71E1"/>
    <w:rsid w:val="002D769C"/>
    <w:rsid w:val="002D7B5A"/>
    <w:rsid w:val="002D7F17"/>
    <w:rsid w:val="002E02DC"/>
    <w:rsid w:val="002E03C7"/>
    <w:rsid w:val="002E04FC"/>
    <w:rsid w:val="002E0858"/>
    <w:rsid w:val="002E0867"/>
    <w:rsid w:val="002E0C9F"/>
    <w:rsid w:val="002E0D89"/>
    <w:rsid w:val="002E147C"/>
    <w:rsid w:val="002E1643"/>
    <w:rsid w:val="002E23F2"/>
    <w:rsid w:val="002E279C"/>
    <w:rsid w:val="002E291E"/>
    <w:rsid w:val="002E29FF"/>
    <w:rsid w:val="002E2BA8"/>
    <w:rsid w:val="002E2C37"/>
    <w:rsid w:val="002E3394"/>
    <w:rsid w:val="002E3493"/>
    <w:rsid w:val="002E35AE"/>
    <w:rsid w:val="002E3677"/>
    <w:rsid w:val="002E36A2"/>
    <w:rsid w:val="002E3D04"/>
    <w:rsid w:val="002E4617"/>
    <w:rsid w:val="002E4955"/>
    <w:rsid w:val="002E4DC5"/>
    <w:rsid w:val="002E4FA6"/>
    <w:rsid w:val="002E5150"/>
    <w:rsid w:val="002E51C0"/>
    <w:rsid w:val="002E51D0"/>
    <w:rsid w:val="002E536E"/>
    <w:rsid w:val="002E5429"/>
    <w:rsid w:val="002E5C95"/>
    <w:rsid w:val="002E5D59"/>
    <w:rsid w:val="002E5EEF"/>
    <w:rsid w:val="002E6368"/>
    <w:rsid w:val="002E6394"/>
    <w:rsid w:val="002E700A"/>
    <w:rsid w:val="002E7151"/>
    <w:rsid w:val="002E71A9"/>
    <w:rsid w:val="002E72AA"/>
    <w:rsid w:val="002E72C4"/>
    <w:rsid w:val="002E7499"/>
    <w:rsid w:val="002E76DA"/>
    <w:rsid w:val="002E7D94"/>
    <w:rsid w:val="002E7FFE"/>
    <w:rsid w:val="002F032F"/>
    <w:rsid w:val="002F0848"/>
    <w:rsid w:val="002F0901"/>
    <w:rsid w:val="002F0DDF"/>
    <w:rsid w:val="002F170E"/>
    <w:rsid w:val="002F1B81"/>
    <w:rsid w:val="002F28C1"/>
    <w:rsid w:val="002F2AD8"/>
    <w:rsid w:val="002F31E7"/>
    <w:rsid w:val="002F381E"/>
    <w:rsid w:val="002F3821"/>
    <w:rsid w:val="002F3877"/>
    <w:rsid w:val="002F3ACB"/>
    <w:rsid w:val="002F3C6E"/>
    <w:rsid w:val="002F3CE3"/>
    <w:rsid w:val="002F3DED"/>
    <w:rsid w:val="002F42B7"/>
    <w:rsid w:val="002F50E9"/>
    <w:rsid w:val="002F5616"/>
    <w:rsid w:val="002F58EA"/>
    <w:rsid w:val="002F5B3F"/>
    <w:rsid w:val="002F6297"/>
    <w:rsid w:val="002F64E4"/>
    <w:rsid w:val="002F67CA"/>
    <w:rsid w:val="002F6EC7"/>
    <w:rsid w:val="002F74B4"/>
    <w:rsid w:val="002F753B"/>
    <w:rsid w:val="002F75B9"/>
    <w:rsid w:val="003002A0"/>
    <w:rsid w:val="00300D33"/>
    <w:rsid w:val="00301EC4"/>
    <w:rsid w:val="003024AB"/>
    <w:rsid w:val="00302513"/>
    <w:rsid w:val="0030278A"/>
    <w:rsid w:val="00302884"/>
    <w:rsid w:val="00302BB6"/>
    <w:rsid w:val="00302FB4"/>
    <w:rsid w:val="003030C3"/>
    <w:rsid w:val="0030389C"/>
    <w:rsid w:val="0030413C"/>
    <w:rsid w:val="0030499A"/>
    <w:rsid w:val="00304B22"/>
    <w:rsid w:val="003057E2"/>
    <w:rsid w:val="003059AD"/>
    <w:rsid w:val="003059C5"/>
    <w:rsid w:val="00305A72"/>
    <w:rsid w:val="00305B0A"/>
    <w:rsid w:val="00305D21"/>
    <w:rsid w:val="00306C28"/>
    <w:rsid w:val="00306DD4"/>
    <w:rsid w:val="00307225"/>
    <w:rsid w:val="00307690"/>
    <w:rsid w:val="00307B7A"/>
    <w:rsid w:val="003103D9"/>
    <w:rsid w:val="003104D4"/>
    <w:rsid w:val="003109C4"/>
    <w:rsid w:val="00310BD9"/>
    <w:rsid w:val="00311591"/>
    <w:rsid w:val="00311976"/>
    <w:rsid w:val="00311AC9"/>
    <w:rsid w:val="00311BCE"/>
    <w:rsid w:val="00311D8D"/>
    <w:rsid w:val="00312860"/>
    <w:rsid w:val="003128FB"/>
    <w:rsid w:val="00312FC1"/>
    <w:rsid w:val="00313336"/>
    <w:rsid w:val="00313633"/>
    <w:rsid w:val="003136C8"/>
    <w:rsid w:val="00313AB6"/>
    <w:rsid w:val="0031429F"/>
    <w:rsid w:val="0031447C"/>
    <w:rsid w:val="003150F0"/>
    <w:rsid w:val="0031583E"/>
    <w:rsid w:val="00315C84"/>
    <w:rsid w:val="00315F1E"/>
    <w:rsid w:val="00316CF1"/>
    <w:rsid w:val="00316CF3"/>
    <w:rsid w:val="00317144"/>
    <w:rsid w:val="003175BC"/>
    <w:rsid w:val="0031766F"/>
    <w:rsid w:val="00317674"/>
    <w:rsid w:val="003178BA"/>
    <w:rsid w:val="00317A18"/>
    <w:rsid w:val="00317A65"/>
    <w:rsid w:val="0032009D"/>
    <w:rsid w:val="00320532"/>
    <w:rsid w:val="003206E6"/>
    <w:rsid w:val="00320705"/>
    <w:rsid w:val="00320826"/>
    <w:rsid w:val="00320C27"/>
    <w:rsid w:val="00320F8E"/>
    <w:rsid w:val="00321D1B"/>
    <w:rsid w:val="00322B37"/>
    <w:rsid w:val="00322C70"/>
    <w:rsid w:val="0032317C"/>
    <w:rsid w:val="00323368"/>
    <w:rsid w:val="00323E5D"/>
    <w:rsid w:val="00323EE7"/>
    <w:rsid w:val="0032412D"/>
    <w:rsid w:val="003246ED"/>
    <w:rsid w:val="00324F9D"/>
    <w:rsid w:val="003250A6"/>
    <w:rsid w:val="00325397"/>
    <w:rsid w:val="003254B1"/>
    <w:rsid w:val="00325608"/>
    <w:rsid w:val="00325A3A"/>
    <w:rsid w:val="00325B00"/>
    <w:rsid w:val="0032674B"/>
    <w:rsid w:val="003267B4"/>
    <w:rsid w:val="00326B45"/>
    <w:rsid w:val="00326C0F"/>
    <w:rsid w:val="003271FC"/>
    <w:rsid w:val="00327595"/>
    <w:rsid w:val="0032771E"/>
    <w:rsid w:val="00327BDA"/>
    <w:rsid w:val="00327BEC"/>
    <w:rsid w:val="0033072F"/>
    <w:rsid w:val="00330914"/>
    <w:rsid w:val="00330976"/>
    <w:rsid w:val="00330E21"/>
    <w:rsid w:val="003311D7"/>
    <w:rsid w:val="00331743"/>
    <w:rsid w:val="003318D5"/>
    <w:rsid w:val="00331AD0"/>
    <w:rsid w:val="00331F43"/>
    <w:rsid w:val="0033245F"/>
    <w:rsid w:val="00332686"/>
    <w:rsid w:val="00332989"/>
    <w:rsid w:val="00332C82"/>
    <w:rsid w:val="00332DAD"/>
    <w:rsid w:val="00333345"/>
    <w:rsid w:val="003333C7"/>
    <w:rsid w:val="0033355C"/>
    <w:rsid w:val="0033387D"/>
    <w:rsid w:val="0033394F"/>
    <w:rsid w:val="00333BD3"/>
    <w:rsid w:val="00333DDD"/>
    <w:rsid w:val="00333E3C"/>
    <w:rsid w:val="00333FA2"/>
    <w:rsid w:val="00334377"/>
    <w:rsid w:val="00335274"/>
    <w:rsid w:val="0033556F"/>
    <w:rsid w:val="00335B0C"/>
    <w:rsid w:val="00336270"/>
    <w:rsid w:val="003363D0"/>
    <w:rsid w:val="003363E0"/>
    <w:rsid w:val="00336C14"/>
    <w:rsid w:val="00336C25"/>
    <w:rsid w:val="00336C31"/>
    <w:rsid w:val="00336E6C"/>
    <w:rsid w:val="00336F63"/>
    <w:rsid w:val="003373F2"/>
    <w:rsid w:val="00337765"/>
    <w:rsid w:val="0033777E"/>
    <w:rsid w:val="0033794F"/>
    <w:rsid w:val="00337CB9"/>
    <w:rsid w:val="003400D7"/>
    <w:rsid w:val="00340293"/>
    <w:rsid w:val="0034047D"/>
    <w:rsid w:val="00340B1C"/>
    <w:rsid w:val="00340D4E"/>
    <w:rsid w:val="00341A99"/>
    <w:rsid w:val="00341E8D"/>
    <w:rsid w:val="0034201C"/>
    <w:rsid w:val="00342264"/>
    <w:rsid w:val="00342405"/>
    <w:rsid w:val="003426EC"/>
    <w:rsid w:val="00342DD6"/>
    <w:rsid w:val="00343574"/>
    <w:rsid w:val="003435A1"/>
    <w:rsid w:val="003437AB"/>
    <w:rsid w:val="0034390F"/>
    <w:rsid w:val="00343A6D"/>
    <w:rsid w:val="00343B6B"/>
    <w:rsid w:val="00343C5E"/>
    <w:rsid w:val="00344588"/>
    <w:rsid w:val="0034489F"/>
    <w:rsid w:val="0034514F"/>
    <w:rsid w:val="0034532A"/>
    <w:rsid w:val="003454B4"/>
    <w:rsid w:val="0034550B"/>
    <w:rsid w:val="003459B2"/>
    <w:rsid w:val="0034610A"/>
    <w:rsid w:val="00346724"/>
    <w:rsid w:val="00346D7A"/>
    <w:rsid w:val="003475BC"/>
    <w:rsid w:val="00350367"/>
    <w:rsid w:val="003503EF"/>
    <w:rsid w:val="003509BA"/>
    <w:rsid w:val="0035117D"/>
    <w:rsid w:val="003511A7"/>
    <w:rsid w:val="003513F1"/>
    <w:rsid w:val="00352880"/>
    <w:rsid w:val="00352A13"/>
    <w:rsid w:val="00352B0C"/>
    <w:rsid w:val="00352B88"/>
    <w:rsid w:val="00353066"/>
    <w:rsid w:val="003531DC"/>
    <w:rsid w:val="003533E6"/>
    <w:rsid w:val="0035389F"/>
    <w:rsid w:val="00353D1A"/>
    <w:rsid w:val="0035403E"/>
    <w:rsid w:val="00354188"/>
    <w:rsid w:val="00354227"/>
    <w:rsid w:val="00354661"/>
    <w:rsid w:val="00354E44"/>
    <w:rsid w:val="00355D57"/>
    <w:rsid w:val="00356233"/>
    <w:rsid w:val="00356262"/>
    <w:rsid w:val="0035633F"/>
    <w:rsid w:val="003566E3"/>
    <w:rsid w:val="0035698C"/>
    <w:rsid w:val="00357368"/>
    <w:rsid w:val="00357704"/>
    <w:rsid w:val="003577EB"/>
    <w:rsid w:val="00357A42"/>
    <w:rsid w:val="00357D3F"/>
    <w:rsid w:val="00357F72"/>
    <w:rsid w:val="00360173"/>
    <w:rsid w:val="00360489"/>
    <w:rsid w:val="00360495"/>
    <w:rsid w:val="0036054F"/>
    <w:rsid w:val="00360777"/>
    <w:rsid w:val="00360DC1"/>
    <w:rsid w:val="00360E9F"/>
    <w:rsid w:val="00360FF0"/>
    <w:rsid w:val="003611AE"/>
    <w:rsid w:val="00361243"/>
    <w:rsid w:val="003612B0"/>
    <w:rsid w:val="003613AD"/>
    <w:rsid w:val="00361850"/>
    <w:rsid w:val="00361D6F"/>
    <w:rsid w:val="00361DF1"/>
    <w:rsid w:val="00362EDB"/>
    <w:rsid w:val="00363585"/>
    <w:rsid w:val="00363DD5"/>
    <w:rsid w:val="00363FAB"/>
    <w:rsid w:val="003646B2"/>
    <w:rsid w:val="0036473B"/>
    <w:rsid w:val="00364A6A"/>
    <w:rsid w:val="00364ADF"/>
    <w:rsid w:val="00364C3D"/>
    <w:rsid w:val="00364E74"/>
    <w:rsid w:val="00364EE7"/>
    <w:rsid w:val="00365183"/>
    <w:rsid w:val="003652EB"/>
    <w:rsid w:val="00365497"/>
    <w:rsid w:val="0036550C"/>
    <w:rsid w:val="00365649"/>
    <w:rsid w:val="003658E0"/>
    <w:rsid w:val="00365DCA"/>
    <w:rsid w:val="00365E3D"/>
    <w:rsid w:val="0036689A"/>
    <w:rsid w:val="00366CB9"/>
    <w:rsid w:val="003674C4"/>
    <w:rsid w:val="003679A5"/>
    <w:rsid w:val="00370221"/>
    <w:rsid w:val="00370320"/>
    <w:rsid w:val="0037095F"/>
    <w:rsid w:val="00370BE2"/>
    <w:rsid w:val="00370F45"/>
    <w:rsid w:val="003721A4"/>
    <w:rsid w:val="00372403"/>
    <w:rsid w:val="00372535"/>
    <w:rsid w:val="003726AF"/>
    <w:rsid w:val="00372AB9"/>
    <w:rsid w:val="0037335B"/>
    <w:rsid w:val="0037340E"/>
    <w:rsid w:val="00373D3C"/>
    <w:rsid w:val="00373F2B"/>
    <w:rsid w:val="003748AA"/>
    <w:rsid w:val="00374B55"/>
    <w:rsid w:val="00374B6E"/>
    <w:rsid w:val="00375906"/>
    <w:rsid w:val="00375C73"/>
    <w:rsid w:val="00375FA8"/>
    <w:rsid w:val="003763FC"/>
    <w:rsid w:val="003765D8"/>
    <w:rsid w:val="0037667B"/>
    <w:rsid w:val="0037676D"/>
    <w:rsid w:val="003769E7"/>
    <w:rsid w:val="00376B97"/>
    <w:rsid w:val="00376DAF"/>
    <w:rsid w:val="00376E46"/>
    <w:rsid w:val="00377269"/>
    <w:rsid w:val="0037751F"/>
    <w:rsid w:val="00377BF4"/>
    <w:rsid w:val="003802D0"/>
    <w:rsid w:val="003805F1"/>
    <w:rsid w:val="00380A73"/>
    <w:rsid w:val="00380BB5"/>
    <w:rsid w:val="00381398"/>
    <w:rsid w:val="00381C8F"/>
    <w:rsid w:val="00381D23"/>
    <w:rsid w:val="003821C0"/>
    <w:rsid w:val="00382807"/>
    <w:rsid w:val="00382BB4"/>
    <w:rsid w:val="003838ED"/>
    <w:rsid w:val="00384766"/>
    <w:rsid w:val="003849C1"/>
    <w:rsid w:val="00384EB6"/>
    <w:rsid w:val="003850E7"/>
    <w:rsid w:val="0038511D"/>
    <w:rsid w:val="003851A2"/>
    <w:rsid w:val="00385589"/>
    <w:rsid w:val="003866CB"/>
    <w:rsid w:val="00386E7A"/>
    <w:rsid w:val="00386F71"/>
    <w:rsid w:val="00386FF7"/>
    <w:rsid w:val="00387511"/>
    <w:rsid w:val="00387C03"/>
    <w:rsid w:val="003900AC"/>
    <w:rsid w:val="00390A61"/>
    <w:rsid w:val="00390CEE"/>
    <w:rsid w:val="00390EEC"/>
    <w:rsid w:val="00391210"/>
    <w:rsid w:val="00391679"/>
    <w:rsid w:val="003917A1"/>
    <w:rsid w:val="00392333"/>
    <w:rsid w:val="0039237D"/>
    <w:rsid w:val="00392550"/>
    <w:rsid w:val="003926BC"/>
    <w:rsid w:val="00392A59"/>
    <w:rsid w:val="003933CD"/>
    <w:rsid w:val="0039355B"/>
    <w:rsid w:val="003936C9"/>
    <w:rsid w:val="003938B6"/>
    <w:rsid w:val="003939A0"/>
    <w:rsid w:val="00394075"/>
    <w:rsid w:val="003941C8"/>
    <w:rsid w:val="00394254"/>
    <w:rsid w:val="0039497F"/>
    <w:rsid w:val="00395784"/>
    <w:rsid w:val="00395989"/>
    <w:rsid w:val="00396052"/>
    <w:rsid w:val="00396857"/>
    <w:rsid w:val="00396ACD"/>
    <w:rsid w:val="003973A8"/>
    <w:rsid w:val="003974EF"/>
    <w:rsid w:val="003A00D7"/>
    <w:rsid w:val="003A03E3"/>
    <w:rsid w:val="003A12C2"/>
    <w:rsid w:val="003A15A2"/>
    <w:rsid w:val="003A175C"/>
    <w:rsid w:val="003A1762"/>
    <w:rsid w:val="003A18CC"/>
    <w:rsid w:val="003A24B2"/>
    <w:rsid w:val="003A308E"/>
    <w:rsid w:val="003A30D0"/>
    <w:rsid w:val="003A3485"/>
    <w:rsid w:val="003A3871"/>
    <w:rsid w:val="003A3B6B"/>
    <w:rsid w:val="003A3B7A"/>
    <w:rsid w:val="003A3EBA"/>
    <w:rsid w:val="003A41C1"/>
    <w:rsid w:val="003A4217"/>
    <w:rsid w:val="003A48CE"/>
    <w:rsid w:val="003A4B4E"/>
    <w:rsid w:val="003A4C07"/>
    <w:rsid w:val="003A5194"/>
    <w:rsid w:val="003A56A6"/>
    <w:rsid w:val="003A5AB8"/>
    <w:rsid w:val="003A5AC3"/>
    <w:rsid w:val="003A6553"/>
    <w:rsid w:val="003A6ABD"/>
    <w:rsid w:val="003A6AC6"/>
    <w:rsid w:val="003A6DA4"/>
    <w:rsid w:val="003A6E8C"/>
    <w:rsid w:val="003A6F02"/>
    <w:rsid w:val="003A6F92"/>
    <w:rsid w:val="003A7394"/>
    <w:rsid w:val="003A7521"/>
    <w:rsid w:val="003A764D"/>
    <w:rsid w:val="003A77EC"/>
    <w:rsid w:val="003A77F3"/>
    <w:rsid w:val="003A7D02"/>
    <w:rsid w:val="003A7E27"/>
    <w:rsid w:val="003B034D"/>
    <w:rsid w:val="003B144D"/>
    <w:rsid w:val="003B1591"/>
    <w:rsid w:val="003B1BDC"/>
    <w:rsid w:val="003B1E51"/>
    <w:rsid w:val="003B23B6"/>
    <w:rsid w:val="003B2440"/>
    <w:rsid w:val="003B25FF"/>
    <w:rsid w:val="003B2C48"/>
    <w:rsid w:val="003B2E3D"/>
    <w:rsid w:val="003B37D8"/>
    <w:rsid w:val="003B3B0C"/>
    <w:rsid w:val="003B3DEE"/>
    <w:rsid w:val="003B3EC5"/>
    <w:rsid w:val="003B405E"/>
    <w:rsid w:val="003B431F"/>
    <w:rsid w:val="003B433C"/>
    <w:rsid w:val="003B47DE"/>
    <w:rsid w:val="003B48FE"/>
    <w:rsid w:val="003B53F3"/>
    <w:rsid w:val="003B57B6"/>
    <w:rsid w:val="003B5D4C"/>
    <w:rsid w:val="003B6A6B"/>
    <w:rsid w:val="003B6E63"/>
    <w:rsid w:val="003B711A"/>
    <w:rsid w:val="003B7579"/>
    <w:rsid w:val="003B7B58"/>
    <w:rsid w:val="003B7FFB"/>
    <w:rsid w:val="003C019C"/>
    <w:rsid w:val="003C08BD"/>
    <w:rsid w:val="003C0A0F"/>
    <w:rsid w:val="003C17A6"/>
    <w:rsid w:val="003C1C50"/>
    <w:rsid w:val="003C1DFC"/>
    <w:rsid w:val="003C2001"/>
    <w:rsid w:val="003C203F"/>
    <w:rsid w:val="003C2147"/>
    <w:rsid w:val="003C2197"/>
    <w:rsid w:val="003C2682"/>
    <w:rsid w:val="003C2A85"/>
    <w:rsid w:val="003C2D83"/>
    <w:rsid w:val="003C2F62"/>
    <w:rsid w:val="003C3423"/>
    <w:rsid w:val="003C3536"/>
    <w:rsid w:val="003C3839"/>
    <w:rsid w:val="003C3CFA"/>
    <w:rsid w:val="003C3FF7"/>
    <w:rsid w:val="003C4064"/>
    <w:rsid w:val="003C4294"/>
    <w:rsid w:val="003C4420"/>
    <w:rsid w:val="003C4443"/>
    <w:rsid w:val="003C47E1"/>
    <w:rsid w:val="003C489E"/>
    <w:rsid w:val="003C4D56"/>
    <w:rsid w:val="003C4F0A"/>
    <w:rsid w:val="003C5653"/>
    <w:rsid w:val="003C59D3"/>
    <w:rsid w:val="003C6283"/>
    <w:rsid w:val="003C656F"/>
    <w:rsid w:val="003C6587"/>
    <w:rsid w:val="003C6696"/>
    <w:rsid w:val="003C6865"/>
    <w:rsid w:val="003C6EC5"/>
    <w:rsid w:val="003C7517"/>
    <w:rsid w:val="003C7611"/>
    <w:rsid w:val="003C790B"/>
    <w:rsid w:val="003C7A37"/>
    <w:rsid w:val="003D0056"/>
    <w:rsid w:val="003D0653"/>
    <w:rsid w:val="003D07EA"/>
    <w:rsid w:val="003D0909"/>
    <w:rsid w:val="003D094A"/>
    <w:rsid w:val="003D0E98"/>
    <w:rsid w:val="003D0EDE"/>
    <w:rsid w:val="003D13B8"/>
    <w:rsid w:val="003D1B24"/>
    <w:rsid w:val="003D1B74"/>
    <w:rsid w:val="003D29B9"/>
    <w:rsid w:val="003D2CCB"/>
    <w:rsid w:val="003D2E99"/>
    <w:rsid w:val="003D30F0"/>
    <w:rsid w:val="003D3202"/>
    <w:rsid w:val="003D32E7"/>
    <w:rsid w:val="003D3C16"/>
    <w:rsid w:val="003D4015"/>
    <w:rsid w:val="003D440E"/>
    <w:rsid w:val="003D46D8"/>
    <w:rsid w:val="003D4A85"/>
    <w:rsid w:val="003D4E17"/>
    <w:rsid w:val="003D4F18"/>
    <w:rsid w:val="003D50B0"/>
    <w:rsid w:val="003D51BD"/>
    <w:rsid w:val="003D53E2"/>
    <w:rsid w:val="003D5ACC"/>
    <w:rsid w:val="003D6B10"/>
    <w:rsid w:val="003D7BDF"/>
    <w:rsid w:val="003E0407"/>
    <w:rsid w:val="003E0487"/>
    <w:rsid w:val="003E07FC"/>
    <w:rsid w:val="003E0B71"/>
    <w:rsid w:val="003E0DB5"/>
    <w:rsid w:val="003E1161"/>
    <w:rsid w:val="003E1233"/>
    <w:rsid w:val="003E1897"/>
    <w:rsid w:val="003E1900"/>
    <w:rsid w:val="003E1D56"/>
    <w:rsid w:val="003E2C79"/>
    <w:rsid w:val="003E2D11"/>
    <w:rsid w:val="003E309B"/>
    <w:rsid w:val="003E30A5"/>
    <w:rsid w:val="003E33AD"/>
    <w:rsid w:val="003E33C6"/>
    <w:rsid w:val="003E3879"/>
    <w:rsid w:val="003E3C74"/>
    <w:rsid w:val="003E493A"/>
    <w:rsid w:val="003E4E3C"/>
    <w:rsid w:val="003E5057"/>
    <w:rsid w:val="003E5A1A"/>
    <w:rsid w:val="003E5A7A"/>
    <w:rsid w:val="003E5C3B"/>
    <w:rsid w:val="003E5CD9"/>
    <w:rsid w:val="003E5E40"/>
    <w:rsid w:val="003E6597"/>
    <w:rsid w:val="003E6636"/>
    <w:rsid w:val="003E68E0"/>
    <w:rsid w:val="003E7F79"/>
    <w:rsid w:val="003F0106"/>
    <w:rsid w:val="003F01CB"/>
    <w:rsid w:val="003F0252"/>
    <w:rsid w:val="003F1965"/>
    <w:rsid w:val="003F1C0C"/>
    <w:rsid w:val="003F2083"/>
    <w:rsid w:val="003F235B"/>
    <w:rsid w:val="003F24B2"/>
    <w:rsid w:val="003F2640"/>
    <w:rsid w:val="003F268D"/>
    <w:rsid w:val="003F2A62"/>
    <w:rsid w:val="003F2BE3"/>
    <w:rsid w:val="003F2C13"/>
    <w:rsid w:val="003F2DA2"/>
    <w:rsid w:val="003F3199"/>
    <w:rsid w:val="003F37ED"/>
    <w:rsid w:val="003F39EB"/>
    <w:rsid w:val="003F3A25"/>
    <w:rsid w:val="003F3D57"/>
    <w:rsid w:val="003F4596"/>
    <w:rsid w:val="003F49EE"/>
    <w:rsid w:val="003F4B27"/>
    <w:rsid w:val="003F4F2E"/>
    <w:rsid w:val="003F534C"/>
    <w:rsid w:val="003F5DAA"/>
    <w:rsid w:val="003F5FCF"/>
    <w:rsid w:val="003F5FF6"/>
    <w:rsid w:val="003F61DE"/>
    <w:rsid w:val="003F63D0"/>
    <w:rsid w:val="003F6673"/>
    <w:rsid w:val="003F66C5"/>
    <w:rsid w:val="003F6750"/>
    <w:rsid w:val="003F6C3D"/>
    <w:rsid w:val="003F6E48"/>
    <w:rsid w:val="003F6F46"/>
    <w:rsid w:val="003F7CA2"/>
    <w:rsid w:val="003F7EE5"/>
    <w:rsid w:val="00400437"/>
    <w:rsid w:val="00400687"/>
    <w:rsid w:val="00400B2A"/>
    <w:rsid w:val="00400E4B"/>
    <w:rsid w:val="00400E56"/>
    <w:rsid w:val="00400E66"/>
    <w:rsid w:val="00401132"/>
    <w:rsid w:val="00401D28"/>
    <w:rsid w:val="0040209D"/>
    <w:rsid w:val="00402550"/>
    <w:rsid w:val="004026B5"/>
    <w:rsid w:val="00402D78"/>
    <w:rsid w:val="00402D8E"/>
    <w:rsid w:val="0040318A"/>
    <w:rsid w:val="004034A6"/>
    <w:rsid w:val="00404827"/>
    <w:rsid w:val="00404A49"/>
    <w:rsid w:val="00404BD6"/>
    <w:rsid w:val="00404EB6"/>
    <w:rsid w:val="0040544A"/>
    <w:rsid w:val="0040544E"/>
    <w:rsid w:val="004057F0"/>
    <w:rsid w:val="004064C1"/>
    <w:rsid w:val="00406A2D"/>
    <w:rsid w:val="00406B40"/>
    <w:rsid w:val="00406D7B"/>
    <w:rsid w:val="0040726E"/>
    <w:rsid w:val="004074D1"/>
    <w:rsid w:val="00407785"/>
    <w:rsid w:val="00407FE1"/>
    <w:rsid w:val="00410921"/>
    <w:rsid w:val="004114F3"/>
    <w:rsid w:val="00411A27"/>
    <w:rsid w:val="00411C41"/>
    <w:rsid w:val="0041252A"/>
    <w:rsid w:val="00412703"/>
    <w:rsid w:val="0041273F"/>
    <w:rsid w:val="0041318F"/>
    <w:rsid w:val="0041335F"/>
    <w:rsid w:val="004135B5"/>
    <w:rsid w:val="0041366A"/>
    <w:rsid w:val="00413CC3"/>
    <w:rsid w:val="00414200"/>
    <w:rsid w:val="00414BD4"/>
    <w:rsid w:val="0041545F"/>
    <w:rsid w:val="004155AA"/>
    <w:rsid w:val="0041582B"/>
    <w:rsid w:val="00416034"/>
    <w:rsid w:val="004163CA"/>
    <w:rsid w:val="004170AA"/>
    <w:rsid w:val="004174FE"/>
    <w:rsid w:val="0041751F"/>
    <w:rsid w:val="00417759"/>
    <w:rsid w:val="00417B98"/>
    <w:rsid w:val="0042002F"/>
    <w:rsid w:val="00420174"/>
    <w:rsid w:val="00420553"/>
    <w:rsid w:val="004208BF"/>
    <w:rsid w:val="0042113C"/>
    <w:rsid w:val="0042169D"/>
    <w:rsid w:val="004217DB"/>
    <w:rsid w:val="00422247"/>
    <w:rsid w:val="00422C7D"/>
    <w:rsid w:val="0042311A"/>
    <w:rsid w:val="00423BF2"/>
    <w:rsid w:val="00423C7D"/>
    <w:rsid w:val="00423DFC"/>
    <w:rsid w:val="00423E6B"/>
    <w:rsid w:val="00424C2E"/>
    <w:rsid w:val="00425245"/>
    <w:rsid w:val="0042527C"/>
    <w:rsid w:val="00425460"/>
    <w:rsid w:val="00425745"/>
    <w:rsid w:val="00425948"/>
    <w:rsid w:val="00425E21"/>
    <w:rsid w:val="00425F26"/>
    <w:rsid w:val="00426D02"/>
    <w:rsid w:val="00427AA8"/>
    <w:rsid w:val="00427BFA"/>
    <w:rsid w:val="00427C98"/>
    <w:rsid w:val="00427F9C"/>
    <w:rsid w:val="00427FB8"/>
    <w:rsid w:val="00430237"/>
    <w:rsid w:val="004307AC"/>
    <w:rsid w:val="00430A12"/>
    <w:rsid w:val="00430A1E"/>
    <w:rsid w:val="00430DB2"/>
    <w:rsid w:val="004311B6"/>
    <w:rsid w:val="00431EC7"/>
    <w:rsid w:val="00431EF4"/>
    <w:rsid w:val="00432100"/>
    <w:rsid w:val="00432355"/>
    <w:rsid w:val="00432439"/>
    <w:rsid w:val="0043247D"/>
    <w:rsid w:val="004325A4"/>
    <w:rsid w:val="00432C4F"/>
    <w:rsid w:val="00433248"/>
    <w:rsid w:val="0043330E"/>
    <w:rsid w:val="0043339A"/>
    <w:rsid w:val="00433743"/>
    <w:rsid w:val="00433934"/>
    <w:rsid w:val="004340B9"/>
    <w:rsid w:val="0043481B"/>
    <w:rsid w:val="00434930"/>
    <w:rsid w:val="00434994"/>
    <w:rsid w:val="00434CE7"/>
    <w:rsid w:val="00434F8C"/>
    <w:rsid w:val="00435159"/>
    <w:rsid w:val="004355DE"/>
    <w:rsid w:val="00436338"/>
    <w:rsid w:val="0043664D"/>
    <w:rsid w:val="0043689B"/>
    <w:rsid w:val="00436B7A"/>
    <w:rsid w:val="00436DA6"/>
    <w:rsid w:val="00437090"/>
    <w:rsid w:val="00440188"/>
    <w:rsid w:val="004421F7"/>
    <w:rsid w:val="00442390"/>
    <w:rsid w:val="00442655"/>
    <w:rsid w:val="0044271A"/>
    <w:rsid w:val="00442945"/>
    <w:rsid w:val="00442CD1"/>
    <w:rsid w:val="00442FD6"/>
    <w:rsid w:val="00443387"/>
    <w:rsid w:val="00443940"/>
    <w:rsid w:val="00443CD6"/>
    <w:rsid w:val="00443E42"/>
    <w:rsid w:val="004443AD"/>
    <w:rsid w:val="004447B0"/>
    <w:rsid w:val="00444DEA"/>
    <w:rsid w:val="00445895"/>
    <w:rsid w:val="00445AE6"/>
    <w:rsid w:val="00445B7B"/>
    <w:rsid w:val="004462E3"/>
    <w:rsid w:val="00446540"/>
    <w:rsid w:val="00446798"/>
    <w:rsid w:val="00446F98"/>
    <w:rsid w:val="00447989"/>
    <w:rsid w:val="00447B7F"/>
    <w:rsid w:val="00447D11"/>
    <w:rsid w:val="00447DE4"/>
    <w:rsid w:val="00450275"/>
    <w:rsid w:val="00451E46"/>
    <w:rsid w:val="00451EED"/>
    <w:rsid w:val="004520AF"/>
    <w:rsid w:val="00452510"/>
    <w:rsid w:val="0045251D"/>
    <w:rsid w:val="00452905"/>
    <w:rsid w:val="00452E08"/>
    <w:rsid w:val="00452F3F"/>
    <w:rsid w:val="004531A0"/>
    <w:rsid w:val="004531DB"/>
    <w:rsid w:val="004531FD"/>
    <w:rsid w:val="0045324F"/>
    <w:rsid w:val="00453412"/>
    <w:rsid w:val="004534C6"/>
    <w:rsid w:val="0045375D"/>
    <w:rsid w:val="0045398E"/>
    <w:rsid w:val="00453CCE"/>
    <w:rsid w:val="00454033"/>
    <w:rsid w:val="00454544"/>
    <w:rsid w:val="00454D43"/>
    <w:rsid w:val="004552A5"/>
    <w:rsid w:val="00455421"/>
    <w:rsid w:val="004559A0"/>
    <w:rsid w:val="00455E05"/>
    <w:rsid w:val="00455F4B"/>
    <w:rsid w:val="00455FCA"/>
    <w:rsid w:val="0045618A"/>
    <w:rsid w:val="00456312"/>
    <w:rsid w:val="0045691F"/>
    <w:rsid w:val="00456A9F"/>
    <w:rsid w:val="00456B0E"/>
    <w:rsid w:val="00457421"/>
    <w:rsid w:val="004575EA"/>
    <w:rsid w:val="0045789F"/>
    <w:rsid w:val="00457C12"/>
    <w:rsid w:val="004600C6"/>
    <w:rsid w:val="004601FB"/>
    <w:rsid w:val="0046094A"/>
    <w:rsid w:val="00460D66"/>
    <w:rsid w:val="00460DBA"/>
    <w:rsid w:val="004613BC"/>
    <w:rsid w:val="00462324"/>
    <w:rsid w:val="00462465"/>
    <w:rsid w:val="00462482"/>
    <w:rsid w:val="00462A23"/>
    <w:rsid w:val="00463094"/>
    <w:rsid w:val="0046354C"/>
    <w:rsid w:val="00463779"/>
    <w:rsid w:val="00463AF4"/>
    <w:rsid w:val="00463F2A"/>
    <w:rsid w:val="004641C3"/>
    <w:rsid w:val="004647EF"/>
    <w:rsid w:val="00464978"/>
    <w:rsid w:val="00464E11"/>
    <w:rsid w:val="00465467"/>
    <w:rsid w:val="00465AA8"/>
    <w:rsid w:val="00465B8A"/>
    <w:rsid w:val="0046604D"/>
    <w:rsid w:val="0046626D"/>
    <w:rsid w:val="00466419"/>
    <w:rsid w:val="004669E7"/>
    <w:rsid w:val="00466E4B"/>
    <w:rsid w:val="00466E4E"/>
    <w:rsid w:val="00466EA1"/>
    <w:rsid w:val="00466F48"/>
    <w:rsid w:val="0046729F"/>
    <w:rsid w:val="00467441"/>
    <w:rsid w:val="00467657"/>
    <w:rsid w:val="00467E6E"/>
    <w:rsid w:val="00467F05"/>
    <w:rsid w:val="00470175"/>
    <w:rsid w:val="00470B83"/>
    <w:rsid w:val="00470FEA"/>
    <w:rsid w:val="0047106D"/>
    <w:rsid w:val="004715A4"/>
    <w:rsid w:val="0047166D"/>
    <w:rsid w:val="0047167E"/>
    <w:rsid w:val="00471B1A"/>
    <w:rsid w:val="00471C36"/>
    <w:rsid w:val="00471D63"/>
    <w:rsid w:val="00471EFE"/>
    <w:rsid w:val="00472AB5"/>
    <w:rsid w:val="00472BB0"/>
    <w:rsid w:val="00472EBC"/>
    <w:rsid w:val="00472F18"/>
    <w:rsid w:val="004732BB"/>
    <w:rsid w:val="0047340F"/>
    <w:rsid w:val="004743EF"/>
    <w:rsid w:val="004744A6"/>
    <w:rsid w:val="00474BE2"/>
    <w:rsid w:val="0047547D"/>
    <w:rsid w:val="0047566B"/>
    <w:rsid w:val="00475A25"/>
    <w:rsid w:val="00475BEA"/>
    <w:rsid w:val="00475EAF"/>
    <w:rsid w:val="00475FE6"/>
    <w:rsid w:val="00476436"/>
    <w:rsid w:val="0047666A"/>
    <w:rsid w:val="004766EE"/>
    <w:rsid w:val="004767CD"/>
    <w:rsid w:val="00476820"/>
    <w:rsid w:val="00476E2A"/>
    <w:rsid w:val="00477431"/>
    <w:rsid w:val="00477516"/>
    <w:rsid w:val="004779AD"/>
    <w:rsid w:val="00480772"/>
    <w:rsid w:val="00480C0F"/>
    <w:rsid w:val="00481560"/>
    <w:rsid w:val="00481701"/>
    <w:rsid w:val="00481CF0"/>
    <w:rsid w:val="004826AF"/>
    <w:rsid w:val="00482D52"/>
    <w:rsid w:val="0048305D"/>
    <w:rsid w:val="00483318"/>
    <w:rsid w:val="00483B62"/>
    <w:rsid w:val="00484A8C"/>
    <w:rsid w:val="00484B76"/>
    <w:rsid w:val="00484E1A"/>
    <w:rsid w:val="00485246"/>
    <w:rsid w:val="004852A3"/>
    <w:rsid w:val="0048608C"/>
    <w:rsid w:val="004864AA"/>
    <w:rsid w:val="004869AC"/>
    <w:rsid w:val="00486A9D"/>
    <w:rsid w:val="00486AC9"/>
    <w:rsid w:val="004872FE"/>
    <w:rsid w:val="00487305"/>
    <w:rsid w:val="00490012"/>
    <w:rsid w:val="004905B7"/>
    <w:rsid w:val="00490A81"/>
    <w:rsid w:val="00490CB3"/>
    <w:rsid w:val="00490DA4"/>
    <w:rsid w:val="00490F3A"/>
    <w:rsid w:val="004913DF"/>
    <w:rsid w:val="0049151F"/>
    <w:rsid w:val="0049152A"/>
    <w:rsid w:val="004919CB"/>
    <w:rsid w:val="004919E4"/>
    <w:rsid w:val="00491AD8"/>
    <w:rsid w:val="00491B03"/>
    <w:rsid w:val="00491ECF"/>
    <w:rsid w:val="004921EA"/>
    <w:rsid w:val="00492653"/>
    <w:rsid w:val="004926A7"/>
    <w:rsid w:val="004926D3"/>
    <w:rsid w:val="00492781"/>
    <w:rsid w:val="00492AB4"/>
    <w:rsid w:val="00492C2E"/>
    <w:rsid w:val="0049339D"/>
    <w:rsid w:val="0049345E"/>
    <w:rsid w:val="00493DBA"/>
    <w:rsid w:val="00493F1B"/>
    <w:rsid w:val="00494455"/>
    <w:rsid w:val="004944CD"/>
    <w:rsid w:val="00494640"/>
    <w:rsid w:val="004949A6"/>
    <w:rsid w:val="004949C3"/>
    <w:rsid w:val="00494C7A"/>
    <w:rsid w:val="00495060"/>
    <w:rsid w:val="0049518E"/>
    <w:rsid w:val="00495635"/>
    <w:rsid w:val="004956E6"/>
    <w:rsid w:val="00495BCE"/>
    <w:rsid w:val="00495F0F"/>
    <w:rsid w:val="004967DC"/>
    <w:rsid w:val="004969A6"/>
    <w:rsid w:val="004969CD"/>
    <w:rsid w:val="0049718E"/>
    <w:rsid w:val="0049734F"/>
    <w:rsid w:val="00497401"/>
    <w:rsid w:val="004A0184"/>
    <w:rsid w:val="004A076C"/>
    <w:rsid w:val="004A07E8"/>
    <w:rsid w:val="004A0912"/>
    <w:rsid w:val="004A0942"/>
    <w:rsid w:val="004A09B2"/>
    <w:rsid w:val="004A0FE9"/>
    <w:rsid w:val="004A167C"/>
    <w:rsid w:val="004A1772"/>
    <w:rsid w:val="004A1A19"/>
    <w:rsid w:val="004A20EB"/>
    <w:rsid w:val="004A2650"/>
    <w:rsid w:val="004A2BDA"/>
    <w:rsid w:val="004A3225"/>
    <w:rsid w:val="004A322A"/>
    <w:rsid w:val="004A3467"/>
    <w:rsid w:val="004A37BD"/>
    <w:rsid w:val="004A3CEB"/>
    <w:rsid w:val="004A3E5F"/>
    <w:rsid w:val="004A3EEF"/>
    <w:rsid w:val="004A43CF"/>
    <w:rsid w:val="004A4970"/>
    <w:rsid w:val="004A4981"/>
    <w:rsid w:val="004A4B87"/>
    <w:rsid w:val="004A4CDD"/>
    <w:rsid w:val="004A4D1F"/>
    <w:rsid w:val="004A5070"/>
    <w:rsid w:val="004A5CCC"/>
    <w:rsid w:val="004A6331"/>
    <w:rsid w:val="004A69E7"/>
    <w:rsid w:val="004A6A49"/>
    <w:rsid w:val="004B05AB"/>
    <w:rsid w:val="004B088A"/>
    <w:rsid w:val="004B1527"/>
    <w:rsid w:val="004B1B9F"/>
    <w:rsid w:val="004B1C80"/>
    <w:rsid w:val="004B22DE"/>
    <w:rsid w:val="004B24CA"/>
    <w:rsid w:val="004B2A87"/>
    <w:rsid w:val="004B2B79"/>
    <w:rsid w:val="004B336D"/>
    <w:rsid w:val="004B3631"/>
    <w:rsid w:val="004B3B0B"/>
    <w:rsid w:val="004B3C29"/>
    <w:rsid w:val="004B3E78"/>
    <w:rsid w:val="004B4735"/>
    <w:rsid w:val="004B4ACD"/>
    <w:rsid w:val="004B5267"/>
    <w:rsid w:val="004B5589"/>
    <w:rsid w:val="004B578B"/>
    <w:rsid w:val="004B5852"/>
    <w:rsid w:val="004B5F86"/>
    <w:rsid w:val="004B60B7"/>
    <w:rsid w:val="004B69F2"/>
    <w:rsid w:val="004B6A3D"/>
    <w:rsid w:val="004B7215"/>
    <w:rsid w:val="004B74B2"/>
    <w:rsid w:val="004B7716"/>
    <w:rsid w:val="004B7764"/>
    <w:rsid w:val="004B7D52"/>
    <w:rsid w:val="004C074C"/>
    <w:rsid w:val="004C11D3"/>
    <w:rsid w:val="004C1EE9"/>
    <w:rsid w:val="004C25D7"/>
    <w:rsid w:val="004C2B24"/>
    <w:rsid w:val="004C2B93"/>
    <w:rsid w:val="004C333D"/>
    <w:rsid w:val="004C33B9"/>
    <w:rsid w:val="004C3A99"/>
    <w:rsid w:val="004C3C0C"/>
    <w:rsid w:val="004C40ED"/>
    <w:rsid w:val="004C4199"/>
    <w:rsid w:val="004C4561"/>
    <w:rsid w:val="004C4833"/>
    <w:rsid w:val="004C4BB9"/>
    <w:rsid w:val="004C4DC5"/>
    <w:rsid w:val="004C57BE"/>
    <w:rsid w:val="004C5983"/>
    <w:rsid w:val="004C5BD1"/>
    <w:rsid w:val="004C5C93"/>
    <w:rsid w:val="004C5E68"/>
    <w:rsid w:val="004C64EA"/>
    <w:rsid w:val="004C673A"/>
    <w:rsid w:val="004C6AB9"/>
    <w:rsid w:val="004C6AC0"/>
    <w:rsid w:val="004C73D1"/>
    <w:rsid w:val="004C7982"/>
    <w:rsid w:val="004C7B6C"/>
    <w:rsid w:val="004C7BAC"/>
    <w:rsid w:val="004C7E72"/>
    <w:rsid w:val="004C7F8F"/>
    <w:rsid w:val="004D02B5"/>
    <w:rsid w:val="004D0967"/>
    <w:rsid w:val="004D0BDA"/>
    <w:rsid w:val="004D0D4D"/>
    <w:rsid w:val="004D1380"/>
    <w:rsid w:val="004D1C77"/>
    <w:rsid w:val="004D1CD6"/>
    <w:rsid w:val="004D202A"/>
    <w:rsid w:val="004D24BC"/>
    <w:rsid w:val="004D26DA"/>
    <w:rsid w:val="004D2793"/>
    <w:rsid w:val="004D27E2"/>
    <w:rsid w:val="004D2843"/>
    <w:rsid w:val="004D2EE5"/>
    <w:rsid w:val="004D2FD7"/>
    <w:rsid w:val="004D3782"/>
    <w:rsid w:val="004D3A7B"/>
    <w:rsid w:val="004D3A9F"/>
    <w:rsid w:val="004D3E13"/>
    <w:rsid w:val="004D41B2"/>
    <w:rsid w:val="004D465E"/>
    <w:rsid w:val="004D4A3C"/>
    <w:rsid w:val="004D519C"/>
    <w:rsid w:val="004D6CDA"/>
    <w:rsid w:val="004D7134"/>
    <w:rsid w:val="004D742A"/>
    <w:rsid w:val="004D755C"/>
    <w:rsid w:val="004D7A18"/>
    <w:rsid w:val="004D7ECB"/>
    <w:rsid w:val="004E039F"/>
    <w:rsid w:val="004E120A"/>
    <w:rsid w:val="004E18B8"/>
    <w:rsid w:val="004E1A3A"/>
    <w:rsid w:val="004E200B"/>
    <w:rsid w:val="004E23BE"/>
    <w:rsid w:val="004E267D"/>
    <w:rsid w:val="004E2974"/>
    <w:rsid w:val="004E2D45"/>
    <w:rsid w:val="004E2E81"/>
    <w:rsid w:val="004E375E"/>
    <w:rsid w:val="004E37E8"/>
    <w:rsid w:val="004E39FE"/>
    <w:rsid w:val="004E3B7D"/>
    <w:rsid w:val="004E40B5"/>
    <w:rsid w:val="004E4101"/>
    <w:rsid w:val="004E45C5"/>
    <w:rsid w:val="004E4765"/>
    <w:rsid w:val="004E4F12"/>
    <w:rsid w:val="004E517F"/>
    <w:rsid w:val="004E59A8"/>
    <w:rsid w:val="004E5A2F"/>
    <w:rsid w:val="004E5B05"/>
    <w:rsid w:val="004E5BF7"/>
    <w:rsid w:val="004E5DC7"/>
    <w:rsid w:val="004E65E1"/>
    <w:rsid w:val="004E6845"/>
    <w:rsid w:val="004E6BD3"/>
    <w:rsid w:val="004E74E5"/>
    <w:rsid w:val="004E7BAD"/>
    <w:rsid w:val="004E7D62"/>
    <w:rsid w:val="004F02CE"/>
    <w:rsid w:val="004F02DC"/>
    <w:rsid w:val="004F05F1"/>
    <w:rsid w:val="004F06EB"/>
    <w:rsid w:val="004F0D32"/>
    <w:rsid w:val="004F1C20"/>
    <w:rsid w:val="004F1E44"/>
    <w:rsid w:val="004F1EC8"/>
    <w:rsid w:val="004F287F"/>
    <w:rsid w:val="004F2D2F"/>
    <w:rsid w:val="004F2EA4"/>
    <w:rsid w:val="004F3A90"/>
    <w:rsid w:val="004F412F"/>
    <w:rsid w:val="004F4541"/>
    <w:rsid w:val="004F463A"/>
    <w:rsid w:val="004F48AE"/>
    <w:rsid w:val="004F497C"/>
    <w:rsid w:val="004F4D75"/>
    <w:rsid w:val="004F4DE4"/>
    <w:rsid w:val="004F4FD0"/>
    <w:rsid w:val="004F5604"/>
    <w:rsid w:val="004F582D"/>
    <w:rsid w:val="004F5971"/>
    <w:rsid w:val="004F5AFA"/>
    <w:rsid w:val="004F5B39"/>
    <w:rsid w:val="004F6109"/>
    <w:rsid w:val="004F61B2"/>
    <w:rsid w:val="004F61BF"/>
    <w:rsid w:val="004F6560"/>
    <w:rsid w:val="004F691F"/>
    <w:rsid w:val="004F6C0C"/>
    <w:rsid w:val="004F6E32"/>
    <w:rsid w:val="004F70CD"/>
    <w:rsid w:val="004F752E"/>
    <w:rsid w:val="004F774E"/>
    <w:rsid w:val="004F7C05"/>
    <w:rsid w:val="004F7E69"/>
    <w:rsid w:val="004F7F7E"/>
    <w:rsid w:val="005005B5"/>
    <w:rsid w:val="005008F5"/>
    <w:rsid w:val="00500E84"/>
    <w:rsid w:val="0050119D"/>
    <w:rsid w:val="005018AA"/>
    <w:rsid w:val="00501D06"/>
    <w:rsid w:val="00501E6D"/>
    <w:rsid w:val="00501F1C"/>
    <w:rsid w:val="00501FB1"/>
    <w:rsid w:val="00502BAE"/>
    <w:rsid w:val="00502BC5"/>
    <w:rsid w:val="00502DD3"/>
    <w:rsid w:val="00502DF6"/>
    <w:rsid w:val="005036DA"/>
    <w:rsid w:val="00503772"/>
    <w:rsid w:val="005037B6"/>
    <w:rsid w:val="0050386A"/>
    <w:rsid w:val="0050395B"/>
    <w:rsid w:val="00503AB7"/>
    <w:rsid w:val="00503E5D"/>
    <w:rsid w:val="0050406E"/>
    <w:rsid w:val="00504212"/>
    <w:rsid w:val="0050476B"/>
    <w:rsid w:val="00504E24"/>
    <w:rsid w:val="005051E0"/>
    <w:rsid w:val="005054E8"/>
    <w:rsid w:val="005056AE"/>
    <w:rsid w:val="00505821"/>
    <w:rsid w:val="00505C73"/>
    <w:rsid w:val="00505FD4"/>
    <w:rsid w:val="005061EC"/>
    <w:rsid w:val="005066FC"/>
    <w:rsid w:val="0050674C"/>
    <w:rsid w:val="00506A3E"/>
    <w:rsid w:val="00506E81"/>
    <w:rsid w:val="00507208"/>
    <w:rsid w:val="00507651"/>
    <w:rsid w:val="00510008"/>
    <w:rsid w:val="00510234"/>
    <w:rsid w:val="005108A9"/>
    <w:rsid w:val="00510BAD"/>
    <w:rsid w:val="00510DEA"/>
    <w:rsid w:val="00510E46"/>
    <w:rsid w:val="00510EB3"/>
    <w:rsid w:val="00511186"/>
    <w:rsid w:val="005115AB"/>
    <w:rsid w:val="00511987"/>
    <w:rsid w:val="00511D3E"/>
    <w:rsid w:val="00511E48"/>
    <w:rsid w:val="0051275C"/>
    <w:rsid w:val="00512F90"/>
    <w:rsid w:val="00513385"/>
    <w:rsid w:val="005133F6"/>
    <w:rsid w:val="00513528"/>
    <w:rsid w:val="005138A0"/>
    <w:rsid w:val="00513D71"/>
    <w:rsid w:val="0051469A"/>
    <w:rsid w:val="00514D32"/>
    <w:rsid w:val="00514D57"/>
    <w:rsid w:val="0051510A"/>
    <w:rsid w:val="00515B4F"/>
    <w:rsid w:val="00515FA6"/>
    <w:rsid w:val="0051673A"/>
    <w:rsid w:val="005168F9"/>
    <w:rsid w:val="005173F3"/>
    <w:rsid w:val="00517C16"/>
    <w:rsid w:val="00520441"/>
    <w:rsid w:val="005204A9"/>
    <w:rsid w:val="00520623"/>
    <w:rsid w:val="005209B9"/>
    <w:rsid w:val="005211CE"/>
    <w:rsid w:val="005211F5"/>
    <w:rsid w:val="0052128F"/>
    <w:rsid w:val="0052141E"/>
    <w:rsid w:val="0052180E"/>
    <w:rsid w:val="005218F4"/>
    <w:rsid w:val="00521ADE"/>
    <w:rsid w:val="00521C93"/>
    <w:rsid w:val="00521D9F"/>
    <w:rsid w:val="00521DB4"/>
    <w:rsid w:val="00521E7C"/>
    <w:rsid w:val="00522058"/>
    <w:rsid w:val="00522B70"/>
    <w:rsid w:val="00522ED9"/>
    <w:rsid w:val="00523009"/>
    <w:rsid w:val="00523810"/>
    <w:rsid w:val="00523913"/>
    <w:rsid w:val="00523FD7"/>
    <w:rsid w:val="00524032"/>
    <w:rsid w:val="00524035"/>
    <w:rsid w:val="005245A1"/>
    <w:rsid w:val="0052484D"/>
    <w:rsid w:val="00524899"/>
    <w:rsid w:val="00524BAE"/>
    <w:rsid w:val="00524E6A"/>
    <w:rsid w:val="0052508B"/>
    <w:rsid w:val="005250B1"/>
    <w:rsid w:val="0052522C"/>
    <w:rsid w:val="005254F9"/>
    <w:rsid w:val="0052604D"/>
    <w:rsid w:val="0052608B"/>
    <w:rsid w:val="00526376"/>
    <w:rsid w:val="00526493"/>
    <w:rsid w:val="0052676F"/>
    <w:rsid w:val="00526A43"/>
    <w:rsid w:val="00526A82"/>
    <w:rsid w:val="0052746D"/>
    <w:rsid w:val="00530710"/>
    <w:rsid w:val="00530A9F"/>
    <w:rsid w:val="0053103C"/>
    <w:rsid w:val="005316D6"/>
    <w:rsid w:val="00531BDF"/>
    <w:rsid w:val="005324B0"/>
    <w:rsid w:val="005325EA"/>
    <w:rsid w:val="00532DAA"/>
    <w:rsid w:val="00532EE0"/>
    <w:rsid w:val="005336DA"/>
    <w:rsid w:val="00533963"/>
    <w:rsid w:val="00533B30"/>
    <w:rsid w:val="00533B59"/>
    <w:rsid w:val="00533DA3"/>
    <w:rsid w:val="00534408"/>
    <w:rsid w:val="00534535"/>
    <w:rsid w:val="00534AF9"/>
    <w:rsid w:val="00534B63"/>
    <w:rsid w:val="00534FFF"/>
    <w:rsid w:val="0053500F"/>
    <w:rsid w:val="0053504C"/>
    <w:rsid w:val="00535567"/>
    <w:rsid w:val="00536AC1"/>
    <w:rsid w:val="005373DD"/>
    <w:rsid w:val="00537618"/>
    <w:rsid w:val="00537652"/>
    <w:rsid w:val="00537691"/>
    <w:rsid w:val="00537965"/>
    <w:rsid w:val="00537B22"/>
    <w:rsid w:val="00537F6B"/>
    <w:rsid w:val="005408D9"/>
    <w:rsid w:val="00540D57"/>
    <w:rsid w:val="00541390"/>
    <w:rsid w:val="005413F4"/>
    <w:rsid w:val="005418AE"/>
    <w:rsid w:val="00541DAB"/>
    <w:rsid w:val="0054259D"/>
    <w:rsid w:val="005429AE"/>
    <w:rsid w:val="00542A98"/>
    <w:rsid w:val="00542EBF"/>
    <w:rsid w:val="00542F07"/>
    <w:rsid w:val="005430B6"/>
    <w:rsid w:val="005436F9"/>
    <w:rsid w:val="00543FFA"/>
    <w:rsid w:val="0054406F"/>
    <w:rsid w:val="005442CE"/>
    <w:rsid w:val="0054487F"/>
    <w:rsid w:val="00544987"/>
    <w:rsid w:val="00544CD1"/>
    <w:rsid w:val="005459C6"/>
    <w:rsid w:val="00545E77"/>
    <w:rsid w:val="00546934"/>
    <w:rsid w:val="005473A4"/>
    <w:rsid w:val="0054768F"/>
    <w:rsid w:val="00550232"/>
    <w:rsid w:val="00550666"/>
    <w:rsid w:val="005506AC"/>
    <w:rsid w:val="00550944"/>
    <w:rsid w:val="005509A4"/>
    <w:rsid w:val="00550A00"/>
    <w:rsid w:val="00550EC9"/>
    <w:rsid w:val="00551513"/>
    <w:rsid w:val="00551E0E"/>
    <w:rsid w:val="005521ED"/>
    <w:rsid w:val="005529C8"/>
    <w:rsid w:val="00552B1A"/>
    <w:rsid w:val="0055307A"/>
    <w:rsid w:val="0055334C"/>
    <w:rsid w:val="00553623"/>
    <w:rsid w:val="00553892"/>
    <w:rsid w:val="00553AF2"/>
    <w:rsid w:val="00553B22"/>
    <w:rsid w:val="00553D1D"/>
    <w:rsid w:val="00554023"/>
    <w:rsid w:val="00554167"/>
    <w:rsid w:val="00554230"/>
    <w:rsid w:val="00554252"/>
    <w:rsid w:val="005547BD"/>
    <w:rsid w:val="00554FF7"/>
    <w:rsid w:val="0055507A"/>
    <w:rsid w:val="00555310"/>
    <w:rsid w:val="005555A7"/>
    <w:rsid w:val="005555D6"/>
    <w:rsid w:val="0055564A"/>
    <w:rsid w:val="00555823"/>
    <w:rsid w:val="0055597E"/>
    <w:rsid w:val="00555ED0"/>
    <w:rsid w:val="005564CB"/>
    <w:rsid w:val="00556662"/>
    <w:rsid w:val="00556D4C"/>
    <w:rsid w:val="00556EEA"/>
    <w:rsid w:val="00557301"/>
    <w:rsid w:val="005577EC"/>
    <w:rsid w:val="00557DB8"/>
    <w:rsid w:val="0056011A"/>
    <w:rsid w:val="005604FE"/>
    <w:rsid w:val="00560520"/>
    <w:rsid w:val="00560582"/>
    <w:rsid w:val="0056092F"/>
    <w:rsid w:val="00560BE7"/>
    <w:rsid w:val="00560E07"/>
    <w:rsid w:val="005612A5"/>
    <w:rsid w:val="00561DB5"/>
    <w:rsid w:val="00561EDD"/>
    <w:rsid w:val="005628F7"/>
    <w:rsid w:val="00562C30"/>
    <w:rsid w:val="00563487"/>
    <w:rsid w:val="005635C9"/>
    <w:rsid w:val="00563A88"/>
    <w:rsid w:val="00563D4B"/>
    <w:rsid w:val="00563DEF"/>
    <w:rsid w:val="00563E7A"/>
    <w:rsid w:val="00564139"/>
    <w:rsid w:val="0056483E"/>
    <w:rsid w:val="005654B8"/>
    <w:rsid w:val="005654D3"/>
    <w:rsid w:val="00565E16"/>
    <w:rsid w:val="005661FE"/>
    <w:rsid w:val="00566717"/>
    <w:rsid w:val="00566A43"/>
    <w:rsid w:val="00566F6D"/>
    <w:rsid w:val="00567306"/>
    <w:rsid w:val="005673CD"/>
    <w:rsid w:val="00567755"/>
    <w:rsid w:val="0056791A"/>
    <w:rsid w:val="00567A6D"/>
    <w:rsid w:val="00567F21"/>
    <w:rsid w:val="0057013D"/>
    <w:rsid w:val="0057028C"/>
    <w:rsid w:val="005703E9"/>
    <w:rsid w:val="00570502"/>
    <w:rsid w:val="005712DE"/>
    <w:rsid w:val="005716B1"/>
    <w:rsid w:val="005718FE"/>
    <w:rsid w:val="00571BB3"/>
    <w:rsid w:val="00572275"/>
    <w:rsid w:val="005724E3"/>
    <w:rsid w:val="0057258B"/>
    <w:rsid w:val="00572657"/>
    <w:rsid w:val="0057303A"/>
    <w:rsid w:val="00573941"/>
    <w:rsid w:val="0057509D"/>
    <w:rsid w:val="005752D0"/>
    <w:rsid w:val="00576575"/>
    <w:rsid w:val="00576731"/>
    <w:rsid w:val="00576A81"/>
    <w:rsid w:val="00576DD5"/>
    <w:rsid w:val="005770F8"/>
    <w:rsid w:val="0057774C"/>
    <w:rsid w:val="005779BA"/>
    <w:rsid w:val="00577F3A"/>
    <w:rsid w:val="00580737"/>
    <w:rsid w:val="00580AE9"/>
    <w:rsid w:val="005810E4"/>
    <w:rsid w:val="00581BDF"/>
    <w:rsid w:val="00581EA9"/>
    <w:rsid w:val="00581F5B"/>
    <w:rsid w:val="0058210C"/>
    <w:rsid w:val="005823D5"/>
    <w:rsid w:val="00582DE2"/>
    <w:rsid w:val="00582E08"/>
    <w:rsid w:val="00582F5A"/>
    <w:rsid w:val="00582FDD"/>
    <w:rsid w:val="0058306F"/>
    <w:rsid w:val="0058314E"/>
    <w:rsid w:val="00583337"/>
    <w:rsid w:val="00583608"/>
    <w:rsid w:val="005838EA"/>
    <w:rsid w:val="00583A89"/>
    <w:rsid w:val="00583C8E"/>
    <w:rsid w:val="00583D03"/>
    <w:rsid w:val="00583D53"/>
    <w:rsid w:val="0058411C"/>
    <w:rsid w:val="00584365"/>
    <w:rsid w:val="0058445F"/>
    <w:rsid w:val="0058470D"/>
    <w:rsid w:val="005852D0"/>
    <w:rsid w:val="005864AF"/>
    <w:rsid w:val="00586978"/>
    <w:rsid w:val="00586AD4"/>
    <w:rsid w:val="00586D49"/>
    <w:rsid w:val="00586D5C"/>
    <w:rsid w:val="00586DAF"/>
    <w:rsid w:val="00586EC9"/>
    <w:rsid w:val="005900F9"/>
    <w:rsid w:val="005907E6"/>
    <w:rsid w:val="00590A27"/>
    <w:rsid w:val="00590AE2"/>
    <w:rsid w:val="00590BD6"/>
    <w:rsid w:val="00590ED8"/>
    <w:rsid w:val="00591704"/>
    <w:rsid w:val="00591B63"/>
    <w:rsid w:val="00591E4A"/>
    <w:rsid w:val="005924C8"/>
    <w:rsid w:val="0059269E"/>
    <w:rsid w:val="005938A0"/>
    <w:rsid w:val="00594079"/>
    <w:rsid w:val="0059418A"/>
    <w:rsid w:val="0059425B"/>
    <w:rsid w:val="0059457E"/>
    <w:rsid w:val="0059478C"/>
    <w:rsid w:val="00594A40"/>
    <w:rsid w:val="00594AC2"/>
    <w:rsid w:val="00594B92"/>
    <w:rsid w:val="0059526C"/>
    <w:rsid w:val="005953C4"/>
    <w:rsid w:val="005957EC"/>
    <w:rsid w:val="00595ADF"/>
    <w:rsid w:val="00595C73"/>
    <w:rsid w:val="00595F1B"/>
    <w:rsid w:val="005960F0"/>
    <w:rsid w:val="005961F8"/>
    <w:rsid w:val="0059637E"/>
    <w:rsid w:val="00596761"/>
    <w:rsid w:val="005968DF"/>
    <w:rsid w:val="00596919"/>
    <w:rsid w:val="00596930"/>
    <w:rsid w:val="00596AF3"/>
    <w:rsid w:val="00597317"/>
    <w:rsid w:val="00597D84"/>
    <w:rsid w:val="005A0618"/>
    <w:rsid w:val="005A0A30"/>
    <w:rsid w:val="005A0BB7"/>
    <w:rsid w:val="005A0F62"/>
    <w:rsid w:val="005A1127"/>
    <w:rsid w:val="005A13E6"/>
    <w:rsid w:val="005A1559"/>
    <w:rsid w:val="005A1F84"/>
    <w:rsid w:val="005A22EC"/>
    <w:rsid w:val="005A24E0"/>
    <w:rsid w:val="005A24F1"/>
    <w:rsid w:val="005A2B76"/>
    <w:rsid w:val="005A2D78"/>
    <w:rsid w:val="005A30FD"/>
    <w:rsid w:val="005A3A03"/>
    <w:rsid w:val="005A3ECA"/>
    <w:rsid w:val="005A48F8"/>
    <w:rsid w:val="005A4947"/>
    <w:rsid w:val="005A4C90"/>
    <w:rsid w:val="005A4F43"/>
    <w:rsid w:val="005A4F7E"/>
    <w:rsid w:val="005A4FCE"/>
    <w:rsid w:val="005A53EB"/>
    <w:rsid w:val="005A5653"/>
    <w:rsid w:val="005A57C2"/>
    <w:rsid w:val="005A5A1D"/>
    <w:rsid w:val="005A5D59"/>
    <w:rsid w:val="005A5D9E"/>
    <w:rsid w:val="005A606F"/>
    <w:rsid w:val="005A69F2"/>
    <w:rsid w:val="005A6A22"/>
    <w:rsid w:val="005A7093"/>
    <w:rsid w:val="005A72B5"/>
    <w:rsid w:val="005A7498"/>
    <w:rsid w:val="005A770D"/>
    <w:rsid w:val="005B07DE"/>
    <w:rsid w:val="005B0ED1"/>
    <w:rsid w:val="005B195D"/>
    <w:rsid w:val="005B1D2C"/>
    <w:rsid w:val="005B2431"/>
    <w:rsid w:val="005B248F"/>
    <w:rsid w:val="005B28D3"/>
    <w:rsid w:val="005B2A75"/>
    <w:rsid w:val="005B2CC4"/>
    <w:rsid w:val="005B35E1"/>
    <w:rsid w:val="005B3A25"/>
    <w:rsid w:val="005B3BA2"/>
    <w:rsid w:val="005B3F14"/>
    <w:rsid w:val="005B43E3"/>
    <w:rsid w:val="005B4971"/>
    <w:rsid w:val="005B4A05"/>
    <w:rsid w:val="005B4F13"/>
    <w:rsid w:val="005B50CD"/>
    <w:rsid w:val="005B5511"/>
    <w:rsid w:val="005B5E32"/>
    <w:rsid w:val="005B5F18"/>
    <w:rsid w:val="005B650A"/>
    <w:rsid w:val="005B663E"/>
    <w:rsid w:val="005B6BC4"/>
    <w:rsid w:val="005B71F1"/>
    <w:rsid w:val="005B74EA"/>
    <w:rsid w:val="005B7BEC"/>
    <w:rsid w:val="005B7C06"/>
    <w:rsid w:val="005B7C0E"/>
    <w:rsid w:val="005C0073"/>
    <w:rsid w:val="005C0A15"/>
    <w:rsid w:val="005C0CA6"/>
    <w:rsid w:val="005C0D3C"/>
    <w:rsid w:val="005C1504"/>
    <w:rsid w:val="005C1582"/>
    <w:rsid w:val="005C15CC"/>
    <w:rsid w:val="005C16AA"/>
    <w:rsid w:val="005C1862"/>
    <w:rsid w:val="005C1DB1"/>
    <w:rsid w:val="005C2127"/>
    <w:rsid w:val="005C224A"/>
    <w:rsid w:val="005C2821"/>
    <w:rsid w:val="005C2A71"/>
    <w:rsid w:val="005C2EF6"/>
    <w:rsid w:val="005C2F44"/>
    <w:rsid w:val="005C2F95"/>
    <w:rsid w:val="005C332D"/>
    <w:rsid w:val="005C3468"/>
    <w:rsid w:val="005C36BD"/>
    <w:rsid w:val="005C3888"/>
    <w:rsid w:val="005C56C1"/>
    <w:rsid w:val="005C5A4D"/>
    <w:rsid w:val="005C65A6"/>
    <w:rsid w:val="005C6ABF"/>
    <w:rsid w:val="005C6C99"/>
    <w:rsid w:val="005C6E93"/>
    <w:rsid w:val="005C72F3"/>
    <w:rsid w:val="005C744F"/>
    <w:rsid w:val="005C748E"/>
    <w:rsid w:val="005C7570"/>
    <w:rsid w:val="005C770C"/>
    <w:rsid w:val="005C771A"/>
    <w:rsid w:val="005C785D"/>
    <w:rsid w:val="005C7C17"/>
    <w:rsid w:val="005C7C9D"/>
    <w:rsid w:val="005C7F23"/>
    <w:rsid w:val="005D04A1"/>
    <w:rsid w:val="005D0621"/>
    <w:rsid w:val="005D06CD"/>
    <w:rsid w:val="005D07BE"/>
    <w:rsid w:val="005D0974"/>
    <w:rsid w:val="005D0A35"/>
    <w:rsid w:val="005D0E1C"/>
    <w:rsid w:val="005D1193"/>
    <w:rsid w:val="005D13F7"/>
    <w:rsid w:val="005D1D9F"/>
    <w:rsid w:val="005D215F"/>
    <w:rsid w:val="005D2458"/>
    <w:rsid w:val="005D2B70"/>
    <w:rsid w:val="005D2B8F"/>
    <w:rsid w:val="005D2D90"/>
    <w:rsid w:val="005D33F5"/>
    <w:rsid w:val="005D3627"/>
    <w:rsid w:val="005D364C"/>
    <w:rsid w:val="005D3AD0"/>
    <w:rsid w:val="005D3F89"/>
    <w:rsid w:val="005D4301"/>
    <w:rsid w:val="005D44F5"/>
    <w:rsid w:val="005D4BEF"/>
    <w:rsid w:val="005D5BD4"/>
    <w:rsid w:val="005D5CE5"/>
    <w:rsid w:val="005D5E48"/>
    <w:rsid w:val="005D6421"/>
    <w:rsid w:val="005D6464"/>
    <w:rsid w:val="005D6F1D"/>
    <w:rsid w:val="005D6FAB"/>
    <w:rsid w:val="005D70D2"/>
    <w:rsid w:val="005D74DC"/>
    <w:rsid w:val="005D7B89"/>
    <w:rsid w:val="005D7C35"/>
    <w:rsid w:val="005E00E8"/>
    <w:rsid w:val="005E07F5"/>
    <w:rsid w:val="005E0B14"/>
    <w:rsid w:val="005E0CF9"/>
    <w:rsid w:val="005E14D9"/>
    <w:rsid w:val="005E14FD"/>
    <w:rsid w:val="005E292D"/>
    <w:rsid w:val="005E3095"/>
    <w:rsid w:val="005E319E"/>
    <w:rsid w:val="005E36DE"/>
    <w:rsid w:val="005E3979"/>
    <w:rsid w:val="005E3A66"/>
    <w:rsid w:val="005E430E"/>
    <w:rsid w:val="005E5129"/>
    <w:rsid w:val="005E5743"/>
    <w:rsid w:val="005E586F"/>
    <w:rsid w:val="005E5970"/>
    <w:rsid w:val="005E59EA"/>
    <w:rsid w:val="005E5A76"/>
    <w:rsid w:val="005E5D99"/>
    <w:rsid w:val="005E5E64"/>
    <w:rsid w:val="005E614E"/>
    <w:rsid w:val="005E6CD9"/>
    <w:rsid w:val="005E6D73"/>
    <w:rsid w:val="005E7016"/>
    <w:rsid w:val="005E726B"/>
    <w:rsid w:val="005E774C"/>
    <w:rsid w:val="005E7B61"/>
    <w:rsid w:val="005E7B93"/>
    <w:rsid w:val="005F00E3"/>
    <w:rsid w:val="005F0494"/>
    <w:rsid w:val="005F0619"/>
    <w:rsid w:val="005F0F74"/>
    <w:rsid w:val="005F1301"/>
    <w:rsid w:val="005F14AF"/>
    <w:rsid w:val="005F1552"/>
    <w:rsid w:val="005F17CD"/>
    <w:rsid w:val="005F1B2B"/>
    <w:rsid w:val="005F1E55"/>
    <w:rsid w:val="005F2AC6"/>
    <w:rsid w:val="005F2BA2"/>
    <w:rsid w:val="005F39BB"/>
    <w:rsid w:val="005F3D5E"/>
    <w:rsid w:val="005F4314"/>
    <w:rsid w:val="005F4716"/>
    <w:rsid w:val="005F48BA"/>
    <w:rsid w:val="005F49FD"/>
    <w:rsid w:val="005F4CAE"/>
    <w:rsid w:val="005F505B"/>
    <w:rsid w:val="005F5211"/>
    <w:rsid w:val="005F5720"/>
    <w:rsid w:val="005F5BAC"/>
    <w:rsid w:val="005F5F95"/>
    <w:rsid w:val="005F6220"/>
    <w:rsid w:val="005F63B9"/>
    <w:rsid w:val="005F6584"/>
    <w:rsid w:val="005F6E49"/>
    <w:rsid w:val="005F75B3"/>
    <w:rsid w:val="005F788D"/>
    <w:rsid w:val="005F78CE"/>
    <w:rsid w:val="005F7A26"/>
    <w:rsid w:val="005F7A72"/>
    <w:rsid w:val="00600280"/>
    <w:rsid w:val="00600649"/>
    <w:rsid w:val="00600BAA"/>
    <w:rsid w:val="00600D7C"/>
    <w:rsid w:val="00600DA5"/>
    <w:rsid w:val="00600ED8"/>
    <w:rsid w:val="0060108C"/>
    <w:rsid w:val="006011CE"/>
    <w:rsid w:val="00601312"/>
    <w:rsid w:val="0060153E"/>
    <w:rsid w:val="006019AB"/>
    <w:rsid w:val="00602361"/>
    <w:rsid w:val="006023A1"/>
    <w:rsid w:val="006025D9"/>
    <w:rsid w:val="0060278B"/>
    <w:rsid w:val="0060290F"/>
    <w:rsid w:val="00603156"/>
    <w:rsid w:val="00603874"/>
    <w:rsid w:val="00603877"/>
    <w:rsid w:val="00603C40"/>
    <w:rsid w:val="006041BB"/>
    <w:rsid w:val="006042DB"/>
    <w:rsid w:val="006046BA"/>
    <w:rsid w:val="00604F86"/>
    <w:rsid w:val="00605172"/>
    <w:rsid w:val="00605524"/>
    <w:rsid w:val="0060553F"/>
    <w:rsid w:val="00605C7C"/>
    <w:rsid w:val="0060620E"/>
    <w:rsid w:val="00606984"/>
    <w:rsid w:val="00606FB7"/>
    <w:rsid w:val="0060714B"/>
    <w:rsid w:val="00607275"/>
    <w:rsid w:val="0060758B"/>
    <w:rsid w:val="00607634"/>
    <w:rsid w:val="006078D1"/>
    <w:rsid w:val="006079BE"/>
    <w:rsid w:val="00607AE8"/>
    <w:rsid w:val="00607B6F"/>
    <w:rsid w:val="00607F78"/>
    <w:rsid w:val="0061013E"/>
    <w:rsid w:val="00610F72"/>
    <w:rsid w:val="00611539"/>
    <w:rsid w:val="0061174D"/>
    <w:rsid w:val="006117ED"/>
    <w:rsid w:val="00611B5E"/>
    <w:rsid w:val="00612207"/>
    <w:rsid w:val="00612209"/>
    <w:rsid w:val="006124D6"/>
    <w:rsid w:val="006126D5"/>
    <w:rsid w:val="0061276A"/>
    <w:rsid w:val="00612912"/>
    <w:rsid w:val="00612C50"/>
    <w:rsid w:val="00612E74"/>
    <w:rsid w:val="00612FE5"/>
    <w:rsid w:val="0061318B"/>
    <w:rsid w:val="006134D2"/>
    <w:rsid w:val="006136CE"/>
    <w:rsid w:val="006137FE"/>
    <w:rsid w:val="00613821"/>
    <w:rsid w:val="00613BC4"/>
    <w:rsid w:val="00613D59"/>
    <w:rsid w:val="00613EDC"/>
    <w:rsid w:val="00613F93"/>
    <w:rsid w:val="00614667"/>
    <w:rsid w:val="00614EB1"/>
    <w:rsid w:val="006150E6"/>
    <w:rsid w:val="006154EA"/>
    <w:rsid w:val="006158A8"/>
    <w:rsid w:val="00615FCF"/>
    <w:rsid w:val="006164BF"/>
    <w:rsid w:val="006171BE"/>
    <w:rsid w:val="00617793"/>
    <w:rsid w:val="006179A8"/>
    <w:rsid w:val="00617BAE"/>
    <w:rsid w:val="00617BD3"/>
    <w:rsid w:val="00617C4C"/>
    <w:rsid w:val="00620922"/>
    <w:rsid w:val="0062093E"/>
    <w:rsid w:val="006211EF"/>
    <w:rsid w:val="0062161B"/>
    <w:rsid w:val="0062177F"/>
    <w:rsid w:val="00621A27"/>
    <w:rsid w:val="00621AD0"/>
    <w:rsid w:val="00621C55"/>
    <w:rsid w:val="00622917"/>
    <w:rsid w:val="00622B34"/>
    <w:rsid w:val="00622DA2"/>
    <w:rsid w:val="006237A5"/>
    <w:rsid w:val="0062385E"/>
    <w:rsid w:val="00623C0A"/>
    <w:rsid w:val="00623F10"/>
    <w:rsid w:val="00624290"/>
    <w:rsid w:val="006248CD"/>
    <w:rsid w:val="00624984"/>
    <w:rsid w:val="00624C5C"/>
    <w:rsid w:val="00624DD0"/>
    <w:rsid w:val="00624FDB"/>
    <w:rsid w:val="00625147"/>
    <w:rsid w:val="00625563"/>
    <w:rsid w:val="00625871"/>
    <w:rsid w:val="00625955"/>
    <w:rsid w:val="00625D92"/>
    <w:rsid w:val="00625E0F"/>
    <w:rsid w:val="00625E9D"/>
    <w:rsid w:val="00626385"/>
    <w:rsid w:val="00626C07"/>
    <w:rsid w:val="00627210"/>
    <w:rsid w:val="006274D0"/>
    <w:rsid w:val="00627E85"/>
    <w:rsid w:val="006300B3"/>
    <w:rsid w:val="0063010D"/>
    <w:rsid w:val="0063032F"/>
    <w:rsid w:val="00630AC1"/>
    <w:rsid w:val="00630E26"/>
    <w:rsid w:val="00630E6F"/>
    <w:rsid w:val="0063107F"/>
    <w:rsid w:val="0063142A"/>
    <w:rsid w:val="006317ED"/>
    <w:rsid w:val="00631A00"/>
    <w:rsid w:val="00632459"/>
    <w:rsid w:val="00632478"/>
    <w:rsid w:val="006326AB"/>
    <w:rsid w:val="00632B03"/>
    <w:rsid w:val="00632CDC"/>
    <w:rsid w:val="00632DF2"/>
    <w:rsid w:val="006332B8"/>
    <w:rsid w:val="0063344F"/>
    <w:rsid w:val="006338ED"/>
    <w:rsid w:val="00634072"/>
    <w:rsid w:val="006343F2"/>
    <w:rsid w:val="006343FB"/>
    <w:rsid w:val="00634833"/>
    <w:rsid w:val="00634AE9"/>
    <w:rsid w:val="00634DB5"/>
    <w:rsid w:val="0063531C"/>
    <w:rsid w:val="006359FE"/>
    <w:rsid w:val="00635E63"/>
    <w:rsid w:val="00636111"/>
    <w:rsid w:val="00636812"/>
    <w:rsid w:val="006368DB"/>
    <w:rsid w:val="00636936"/>
    <w:rsid w:val="0063755C"/>
    <w:rsid w:val="006379AD"/>
    <w:rsid w:val="00637B7B"/>
    <w:rsid w:val="00640349"/>
    <w:rsid w:val="006406F1"/>
    <w:rsid w:val="0064079B"/>
    <w:rsid w:val="0064089C"/>
    <w:rsid w:val="00640BD3"/>
    <w:rsid w:val="00640BD4"/>
    <w:rsid w:val="00641119"/>
    <w:rsid w:val="00641D59"/>
    <w:rsid w:val="00641EE0"/>
    <w:rsid w:val="00642273"/>
    <w:rsid w:val="006424BD"/>
    <w:rsid w:val="006424C7"/>
    <w:rsid w:val="006425CC"/>
    <w:rsid w:val="0064277B"/>
    <w:rsid w:val="00643445"/>
    <w:rsid w:val="00643482"/>
    <w:rsid w:val="006441C6"/>
    <w:rsid w:val="006446BF"/>
    <w:rsid w:val="00644890"/>
    <w:rsid w:val="00644CAF"/>
    <w:rsid w:val="00645578"/>
    <w:rsid w:val="006459A5"/>
    <w:rsid w:val="00645A28"/>
    <w:rsid w:val="00645FC1"/>
    <w:rsid w:val="0064649C"/>
    <w:rsid w:val="00646CCB"/>
    <w:rsid w:val="00647515"/>
    <w:rsid w:val="0064763B"/>
    <w:rsid w:val="00647C8E"/>
    <w:rsid w:val="00647D7E"/>
    <w:rsid w:val="00647E98"/>
    <w:rsid w:val="00647F26"/>
    <w:rsid w:val="00647F75"/>
    <w:rsid w:val="0065004A"/>
    <w:rsid w:val="006504DC"/>
    <w:rsid w:val="006505CD"/>
    <w:rsid w:val="0065077C"/>
    <w:rsid w:val="00650CAC"/>
    <w:rsid w:val="00651176"/>
    <w:rsid w:val="00651950"/>
    <w:rsid w:val="00651D3B"/>
    <w:rsid w:val="00651F9E"/>
    <w:rsid w:val="006520DA"/>
    <w:rsid w:val="00652325"/>
    <w:rsid w:val="006526B1"/>
    <w:rsid w:val="006527C3"/>
    <w:rsid w:val="00653EBA"/>
    <w:rsid w:val="006543DC"/>
    <w:rsid w:val="0065447F"/>
    <w:rsid w:val="00654759"/>
    <w:rsid w:val="00654786"/>
    <w:rsid w:val="00654A46"/>
    <w:rsid w:val="00654A83"/>
    <w:rsid w:val="00654FFE"/>
    <w:rsid w:val="0065610B"/>
    <w:rsid w:val="00656A84"/>
    <w:rsid w:val="006573E5"/>
    <w:rsid w:val="00657841"/>
    <w:rsid w:val="0065795C"/>
    <w:rsid w:val="00657BD1"/>
    <w:rsid w:val="006603C6"/>
    <w:rsid w:val="006605A2"/>
    <w:rsid w:val="0066064D"/>
    <w:rsid w:val="006607C8"/>
    <w:rsid w:val="0066096B"/>
    <w:rsid w:val="00660AF4"/>
    <w:rsid w:val="00660D01"/>
    <w:rsid w:val="00661118"/>
    <w:rsid w:val="006611EE"/>
    <w:rsid w:val="00661368"/>
    <w:rsid w:val="00661B03"/>
    <w:rsid w:val="00661B3A"/>
    <w:rsid w:val="00661E8E"/>
    <w:rsid w:val="00662C89"/>
    <w:rsid w:val="00662D83"/>
    <w:rsid w:val="00662F55"/>
    <w:rsid w:val="0066323E"/>
    <w:rsid w:val="006635A4"/>
    <w:rsid w:val="00663BE7"/>
    <w:rsid w:val="00663D22"/>
    <w:rsid w:val="006642A0"/>
    <w:rsid w:val="00664541"/>
    <w:rsid w:val="00664556"/>
    <w:rsid w:val="00664A9B"/>
    <w:rsid w:val="00664DE1"/>
    <w:rsid w:val="00664DE7"/>
    <w:rsid w:val="00664E42"/>
    <w:rsid w:val="00665123"/>
    <w:rsid w:val="00665BB2"/>
    <w:rsid w:val="00665E86"/>
    <w:rsid w:val="00666922"/>
    <w:rsid w:val="00666A2B"/>
    <w:rsid w:val="00666CB3"/>
    <w:rsid w:val="0066716A"/>
    <w:rsid w:val="006672D9"/>
    <w:rsid w:val="00667404"/>
    <w:rsid w:val="00667D75"/>
    <w:rsid w:val="006708E1"/>
    <w:rsid w:val="00671550"/>
    <w:rsid w:val="00671DF7"/>
    <w:rsid w:val="00672706"/>
    <w:rsid w:val="00672E7A"/>
    <w:rsid w:val="00672ED0"/>
    <w:rsid w:val="00673940"/>
    <w:rsid w:val="00673B93"/>
    <w:rsid w:val="006740C9"/>
    <w:rsid w:val="006746F9"/>
    <w:rsid w:val="006747D6"/>
    <w:rsid w:val="0067486F"/>
    <w:rsid w:val="00675013"/>
    <w:rsid w:val="00675504"/>
    <w:rsid w:val="006758EC"/>
    <w:rsid w:val="00675B4A"/>
    <w:rsid w:val="00675B5C"/>
    <w:rsid w:val="00675D7A"/>
    <w:rsid w:val="00675E02"/>
    <w:rsid w:val="00676A6E"/>
    <w:rsid w:val="00676BB7"/>
    <w:rsid w:val="00676D0B"/>
    <w:rsid w:val="00676E37"/>
    <w:rsid w:val="00676F4F"/>
    <w:rsid w:val="006771C1"/>
    <w:rsid w:val="00677DE7"/>
    <w:rsid w:val="006804A8"/>
    <w:rsid w:val="0068065E"/>
    <w:rsid w:val="00680B70"/>
    <w:rsid w:val="00680EBE"/>
    <w:rsid w:val="006812CE"/>
    <w:rsid w:val="00681A7B"/>
    <w:rsid w:val="006822D7"/>
    <w:rsid w:val="00682E9F"/>
    <w:rsid w:val="00683DA3"/>
    <w:rsid w:val="00684051"/>
    <w:rsid w:val="006840A8"/>
    <w:rsid w:val="006842F5"/>
    <w:rsid w:val="00684465"/>
    <w:rsid w:val="00684D54"/>
    <w:rsid w:val="00684ECC"/>
    <w:rsid w:val="00684EE5"/>
    <w:rsid w:val="0068613B"/>
    <w:rsid w:val="00686360"/>
    <w:rsid w:val="006863C4"/>
    <w:rsid w:val="0068648C"/>
    <w:rsid w:val="00686B04"/>
    <w:rsid w:val="00686C63"/>
    <w:rsid w:val="0068709D"/>
    <w:rsid w:val="006879ED"/>
    <w:rsid w:val="00690174"/>
    <w:rsid w:val="006902EF"/>
    <w:rsid w:val="00690826"/>
    <w:rsid w:val="00690979"/>
    <w:rsid w:val="00690DBF"/>
    <w:rsid w:val="0069124B"/>
    <w:rsid w:val="00691B6C"/>
    <w:rsid w:val="00691D0C"/>
    <w:rsid w:val="00691F5D"/>
    <w:rsid w:val="00692678"/>
    <w:rsid w:val="00692B86"/>
    <w:rsid w:val="00692EC1"/>
    <w:rsid w:val="00693B91"/>
    <w:rsid w:val="00693BEF"/>
    <w:rsid w:val="0069557B"/>
    <w:rsid w:val="00695890"/>
    <w:rsid w:val="00696847"/>
    <w:rsid w:val="00696F13"/>
    <w:rsid w:val="00697451"/>
    <w:rsid w:val="00697AC5"/>
    <w:rsid w:val="00697C9A"/>
    <w:rsid w:val="006A0838"/>
    <w:rsid w:val="006A0BE0"/>
    <w:rsid w:val="006A0D6F"/>
    <w:rsid w:val="006A1C4E"/>
    <w:rsid w:val="006A1CCB"/>
    <w:rsid w:val="006A3045"/>
    <w:rsid w:val="006A3143"/>
    <w:rsid w:val="006A3295"/>
    <w:rsid w:val="006A3343"/>
    <w:rsid w:val="006A3469"/>
    <w:rsid w:val="006A3571"/>
    <w:rsid w:val="006A3808"/>
    <w:rsid w:val="006A39CF"/>
    <w:rsid w:val="006A3CF3"/>
    <w:rsid w:val="006A3DDE"/>
    <w:rsid w:val="006A3FEA"/>
    <w:rsid w:val="006A477E"/>
    <w:rsid w:val="006A4BA3"/>
    <w:rsid w:val="006A5117"/>
    <w:rsid w:val="006A544D"/>
    <w:rsid w:val="006A54E6"/>
    <w:rsid w:val="006A57D4"/>
    <w:rsid w:val="006A59CE"/>
    <w:rsid w:val="006A5F0B"/>
    <w:rsid w:val="006A62D9"/>
    <w:rsid w:val="006A662C"/>
    <w:rsid w:val="006A6DAF"/>
    <w:rsid w:val="006A6F96"/>
    <w:rsid w:val="006A7597"/>
    <w:rsid w:val="006A76D9"/>
    <w:rsid w:val="006A7764"/>
    <w:rsid w:val="006A77F2"/>
    <w:rsid w:val="006A7C4A"/>
    <w:rsid w:val="006B0497"/>
    <w:rsid w:val="006B0DB7"/>
    <w:rsid w:val="006B17B9"/>
    <w:rsid w:val="006B18AC"/>
    <w:rsid w:val="006B1906"/>
    <w:rsid w:val="006B1C6F"/>
    <w:rsid w:val="006B2677"/>
    <w:rsid w:val="006B2747"/>
    <w:rsid w:val="006B2D6F"/>
    <w:rsid w:val="006B3F62"/>
    <w:rsid w:val="006B4348"/>
    <w:rsid w:val="006B44D9"/>
    <w:rsid w:val="006B46B6"/>
    <w:rsid w:val="006B47AE"/>
    <w:rsid w:val="006B4A76"/>
    <w:rsid w:val="006B4C0F"/>
    <w:rsid w:val="006B4FF8"/>
    <w:rsid w:val="006B53DC"/>
    <w:rsid w:val="006B5451"/>
    <w:rsid w:val="006B58E9"/>
    <w:rsid w:val="006B5F67"/>
    <w:rsid w:val="006B6113"/>
    <w:rsid w:val="006B6947"/>
    <w:rsid w:val="006B6C53"/>
    <w:rsid w:val="006B7028"/>
    <w:rsid w:val="006B757F"/>
    <w:rsid w:val="006B7620"/>
    <w:rsid w:val="006B7908"/>
    <w:rsid w:val="006B7AFB"/>
    <w:rsid w:val="006B7F45"/>
    <w:rsid w:val="006C0462"/>
    <w:rsid w:val="006C08FE"/>
    <w:rsid w:val="006C0F40"/>
    <w:rsid w:val="006C110B"/>
    <w:rsid w:val="006C18FF"/>
    <w:rsid w:val="006C3293"/>
    <w:rsid w:val="006C38BF"/>
    <w:rsid w:val="006C3D3D"/>
    <w:rsid w:val="006C3EBB"/>
    <w:rsid w:val="006C3F22"/>
    <w:rsid w:val="006C3FA6"/>
    <w:rsid w:val="006C4003"/>
    <w:rsid w:val="006C42FD"/>
    <w:rsid w:val="006C4CDE"/>
    <w:rsid w:val="006C5408"/>
    <w:rsid w:val="006C583D"/>
    <w:rsid w:val="006C59FA"/>
    <w:rsid w:val="006C6441"/>
    <w:rsid w:val="006C6476"/>
    <w:rsid w:val="006C6496"/>
    <w:rsid w:val="006C6746"/>
    <w:rsid w:val="006C6B4F"/>
    <w:rsid w:val="006C6ED4"/>
    <w:rsid w:val="006C7107"/>
    <w:rsid w:val="006C74D6"/>
    <w:rsid w:val="006C7781"/>
    <w:rsid w:val="006D0331"/>
    <w:rsid w:val="006D0B87"/>
    <w:rsid w:val="006D1208"/>
    <w:rsid w:val="006D15D1"/>
    <w:rsid w:val="006D1635"/>
    <w:rsid w:val="006D178A"/>
    <w:rsid w:val="006D18D1"/>
    <w:rsid w:val="006D21AA"/>
    <w:rsid w:val="006D2415"/>
    <w:rsid w:val="006D2C6C"/>
    <w:rsid w:val="006D2CAC"/>
    <w:rsid w:val="006D3028"/>
    <w:rsid w:val="006D3189"/>
    <w:rsid w:val="006D395D"/>
    <w:rsid w:val="006D3BC6"/>
    <w:rsid w:val="006D3FB5"/>
    <w:rsid w:val="006D4072"/>
    <w:rsid w:val="006D40AC"/>
    <w:rsid w:val="006D44DC"/>
    <w:rsid w:val="006D462C"/>
    <w:rsid w:val="006D496E"/>
    <w:rsid w:val="006D49B7"/>
    <w:rsid w:val="006D4B39"/>
    <w:rsid w:val="006D4C5C"/>
    <w:rsid w:val="006D4C78"/>
    <w:rsid w:val="006D510C"/>
    <w:rsid w:val="006D5317"/>
    <w:rsid w:val="006D5B94"/>
    <w:rsid w:val="006D5C17"/>
    <w:rsid w:val="006D5CDB"/>
    <w:rsid w:val="006D6473"/>
    <w:rsid w:val="006D64C3"/>
    <w:rsid w:val="006D6724"/>
    <w:rsid w:val="006D690F"/>
    <w:rsid w:val="006D6C1E"/>
    <w:rsid w:val="006D6C71"/>
    <w:rsid w:val="006D7601"/>
    <w:rsid w:val="006D79EB"/>
    <w:rsid w:val="006D7ABC"/>
    <w:rsid w:val="006D7FC4"/>
    <w:rsid w:val="006E03DE"/>
    <w:rsid w:val="006E07EF"/>
    <w:rsid w:val="006E0837"/>
    <w:rsid w:val="006E0E9A"/>
    <w:rsid w:val="006E11B2"/>
    <w:rsid w:val="006E1692"/>
    <w:rsid w:val="006E1B88"/>
    <w:rsid w:val="006E2BB2"/>
    <w:rsid w:val="006E32AF"/>
    <w:rsid w:val="006E35CC"/>
    <w:rsid w:val="006E3CF0"/>
    <w:rsid w:val="006E3EF0"/>
    <w:rsid w:val="006E440B"/>
    <w:rsid w:val="006E45B1"/>
    <w:rsid w:val="006E4E69"/>
    <w:rsid w:val="006E4FAC"/>
    <w:rsid w:val="006E4FE9"/>
    <w:rsid w:val="006E5136"/>
    <w:rsid w:val="006E51F3"/>
    <w:rsid w:val="006E5BCC"/>
    <w:rsid w:val="006E5E4F"/>
    <w:rsid w:val="006E6005"/>
    <w:rsid w:val="006E6253"/>
    <w:rsid w:val="006E6414"/>
    <w:rsid w:val="006E6AB4"/>
    <w:rsid w:val="006E6C1A"/>
    <w:rsid w:val="006E7B6B"/>
    <w:rsid w:val="006E7C04"/>
    <w:rsid w:val="006F058E"/>
    <w:rsid w:val="006F07AF"/>
    <w:rsid w:val="006F1020"/>
    <w:rsid w:val="006F1127"/>
    <w:rsid w:val="006F1146"/>
    <w:rsid w:val="006F1768"/>
    <w:rsid w:val="006F17B7"/>
    <w:rsid w:val="006F1A8B"/>
    <w:rsid w:val="006F1C8B"/>
    <w:rsid w:val="006F289C"/>
    <w:rsid w:val="006F2918"/>
    <w:rsid w:val="006F29FE"/>
    <w:rsid w:val="006F3F70"/>
    <w:rsid w:val="006F3F7B"/>
    <w:rsid w:val="006F43C9"/>
    <w:rsid w:val="006F54F8"/>
    <w:rsid w:val="006F5704"/>
    <w:rsid w:val="006F5A9C"/>
    <w:rsid w:val="006F5D1B"/>
    <w:rsid w:val="006F6A3B"/>
    <w:rsid w:val="006F70DB"/>
    <w:rsid w:val="00700086"/>
    <w:rsid w:val="00700EAB"/>
    <w:rsid w:val="00701451"/>
    <w:rsid w:val="00701697"/>
    <w:rsid w:val="007018DB"/>
    <w:rsid w:val="007023FC"/>
    <w:rsid w:val="00702529"/>
    <w:rsid w:val="007025B8"/>
    <w:rsid w:val="00702A97"/>
    <w:rsid w:val="00702D1A"/>
    <w:rsid w:val="00703340"/>
    <w:rsid w:val="00703446"/>
    <w:rsid w:val="0070396C"/>
    <w:rsid w:val="00704243"/>
    <w:rsid w:val="00704C59"/>
    <w:rsid w:val="007053BA"/>
    <w:rsid w:val="0070547D"/>
    <w:rsid w:val="00705ABB"/>
    <w:rsid w:val="00706109"/>
    <w:rsid w:val="007065EA"/>
    <w:rsid w:val="0070666D"/>
    <w:rsid w:val="00706712"/>
    <w:rsid w:val="0070717B"/>
    <w:rsid w:val="00707242"/>
    <w:rsid w:val="00707273"/>
    <w:rsid w:val="00707398"/>
    <w:rsid w:val="00707422"/>
    <w:rsid w:val="0070762A"/>
    <w:rsid w:val="00707D2A"/>
    <w:rsid w:val="00710054"/>
    <w:rsid w:val="00710867"/>
    <w:rsid w:val="00710A19"/>
    <w:rsid w:val="00710A7D"/>
    <w:rsid w:val="00710AB2"/>
    <w:rsid w:val="00710BEA"/>
    <w:rsid w:val="00710DF9"/>
    <w:rsid w:val="00710FFE"/>
    <w:rsid w:val="0071191B"/>
    <w:rsid w:val="00711E1A"/>
    <w:rsid w:val="00711E47"/>
    <w:rsid w:val="00712323"/>
    <w:rsid w:val="00712663"/>
    <w:rsid w:val="00712C16"/>
    <w:rsid w:val="00713058"/>
    <w:rsid w:val="007131E6"/>
    <w:rsid w:val="00713457"/>
    <w:rsid w:val="0071371B"/>
    <w:rsid w:val="00713891"/>
    <w:rsid w:val="007138CD"/>
    <w:rsid w:val="00713F82"/>
    <w:rsid w:val="0071405F"/>
    <w:rsid w:val="0071419C"/>
    <w:rsid w:val="0071428E"/>
    <w:rsid w:val="007144DF"/>
    <w:rsid w:val="007144FF"/>
    <w:rsid w:val="00715405"/>
    <w:rsid w:val="00716807"/>
    <w:rsid w:val="00716889"/>
    <w:rsid w:val="00716C45"/>
    <w:rsid w:val="007170F2"/>
    <w:rsid w:val="0071740A"/>
    <w:rsid w:val="00720067"/>
    <w:rsid w:val="00720611"/>
    <w:rsid w:val="00720717"/>
    <w:rsid w:val="00720A8B"/>
    <w:rsid w:val="007210EE"/>
    <w:rsid w:val="007211A3"/>
    <w:rsid w:val="00721604"/>
    <w:rsid w:val="00721624"/>
    <w:rsid w:val="00721A81"/>
    <w:rsid w:val="00721D35"/>
    <w:rsid w:val="00722126"/>
    <w:rsid w:val="0072316E"/>
    <w:rsid w:val="00723321"/>
    <w:rsid w:val="00723BBB"/>
    <w:rsid w:val="00723CA6"/>
    <w:rsid w:val="0072411E"/>
    <w:rsid w:val="00724430"/>
    <w:rsid w:val="007245CB"/>
    <w:rsid w:val="00724856"/>
    <w:rsid w:val="007250E8"/>
    <w:rsid w:val="0072581E"/>
    <w:rsid w:val="00725CDC"/>
    <w:rsid w:val="00725E15"/>
    <w:rsid w:val="00726170"/>
    <w:rsid w:val="0072690F"/>
    <w:rsid w:val="00726BF2"/>
    <w:rsid w:val="007272D6"/>
    <w:rsid w:val="00727DEA"/>
    <w:rsid w:val="00730153"/>
    <w:rsid w:val="0073019F"/>
    <w:rsid w:val="0073026A"/>
    <w:rsid w:val="007302D7"/>
    <w:rsid w:val="00730878"/>
    <w:rsid w:val="007308D1"/>
    <w:rsid w:val="00730C45"/>
    <w:rsid w:val="0073125F"/>
    <w:rsid w:val="00731283"/>
    <w:rsid w:val="0073192A"/>
    <w:rsid w:val="00731C81"/>
    <w:rsid w:val="00731C84"/>
    <w:rsid w:val="00731E8D"/>
    <w:rsid w:val="00732094"/>
    <w:rsid w:val="007322AA"/>
    <w:rsid w:val="007324EF"/>
    <w:rsid w:val="0073259F"/>
    <w:rsid w:val="00732B46"/>
    <w:rsid w:val="00732C35"/>
    <w:rsid w:val="007332DD"/>
    <w:rsid w:val="007333AD"/>
    <w:rsid w:val="007334C9"/>
    <w:rsid w:val="007336EB"/>
    <w:rsid w:val="007338F6"/>
    <w:rsid w:val="00734627"/>
    <w:rsid w:val="00734A6C"/>
    <w:rsid w:val="00734EDB"/>
    <w:rsid w:val="0073536C"/>
    <w:rsid w:val="007353D2"/>
    <w:rsid w:val="00735883"/>
    <w:rsid w:val="00735B3E"/>
    <w:rsid w:val="0073641B"/>
    <w:rsid w:val="0073684F"/>
    <w:rsid w:val="00736E1C"/>
    <w:rsid w:val="00737366"/>
    <w:rsid w:val="007376F5"/>
    <w:rsid w:val="00737DC2"/>
    <w:rsid w:val="00740D27"/>
    <w:rsid w:val="007411FE"/>
    <w:rsid w:val="00741BDC"/>
    <w:rsid w:val="00741D4E"/>
    <w:rsid w:val="00742613"/>
    <w:rsid w:val="007426EB"/>
    <w:rsid w:val="00742C3B"/>
    <w:rsid w:val="007432D4"/>
    <w:rsid w:val="0074350A"/>
    <w:rsid w:val="0074357B"/>
    <w:rsid w:val="00743598"/>
    <w:rsid w:val="007441E3"/>
    <w:rsid w:val="0074427D"/>
    <w:rsid w:val="007442F0"/>
    <w:rsid w:val="0074488A"/>
    <w:rsid w:val="0074498F"/>
    <w:rsid w:val="00744A8F"/>
    <w:rsid w:val="00744AC1"/>
    <w:rsid w:val="0074564E"/>
    <w:rsid w:val="00745FE6"/>
    <w:rsid w:val="007467A1"/>
    <w:rsid w:val="00746982"/>
    <w:rsid w:val="00746B2B"/>
    <w:rsid w:val="00746F7E"/>
    <w:rsid w:val="00747197"/>
    <w:rsid w:val="007474CA"/>
    <w:rsid w:val="007475BF"/>
    <w:rsid w:val="007476A8"/>
    <w:rsid w:val="00747BEF"/>
    <w:rsid w:val="00750199"/>
    <w:rsid w:val="00750276"/>
    <w:rsid w:val="00750482"/>
    <w:rsid w:val="0075089D"/>
    <w:rsid w:val="00750C4B"/>
    <w:rsid w:val="00750DA7"/>
    <w:rsid w:val="00750E66"/>
    <w:rsid w:val="00751249"/>
    <w:rsid w:val="00752EBF"/>
    <w:rsid w:val="00753586"/>
    <w:rsid w:val="0075358D"/>
    <w:rsid w:val="007538FE"/>
    <w:rsid w:val="00753CDA"/>
    <w:rsid w:val="00754183"/>
    <w:rsid w:val="007541C7"/>
    <w:rsid w:val="00754210"/>
    <w:rsid w:val="00754737"/>
    <w:rsid w:val="00754DFE"/>
    <w:rsid w:val="00755A8C"/>
    <w:rsid w:val="00755B90"/>
    <w:rsid w:val="00755E60"/>
    <w:rsid w:val="00756224"/>
    <w:rsid w:val="00756EF2"/>
    <w:rsid w:val="007577C1"/>
    <w:rsid w:val="00757988"/>
    <w:rsid w:val="00757CEC"/>
    <w:rsid w:val="00757DCC"/>
    <w:rsid w:val="00757F59"/>
    <w:rsid w:val="007603A3"/>
    <w:rsid w:val="007603CD"/>
    <w:rsid w:val="007605AE"/>
    <w:rsid w:val="007606A7"/>
    <w:rsid w:val="00760A20"/>
    <w:rsid w:val="007610E3"/>
    <w:rsid w:val="0076133F"/>
    <w:rsid w:val="00761753"/>
    <w:rsid w:val="00761971"/>
    <w:rsid w:val="00761CDA"/>
    <w:rsid w:val="00761D53"/>
    <w:rsid w:val="007621C7"/>
    <w:rsid w:val="0076268F"/>
    <w:rsid w:val="00763043"/>
    <w:rsid w:val="0076385F"/>
    <w:rsid w:val="00763900"/>
    <w:rsid w:val="00763926"/>
    <w:rsid w:val="00763C00"/>
    <w:rsid w:val="00763C91"/>
    <w:rsid w:val="00763D01"/>
    <w:rsid w:val="0076403D"/>
    <w:rsid w:val="00764973"/>
    <w:rsid w:val="0076525B"/>
    <w:rsid w:val="00765FA3"/>
    <w:rsid w:val="00766143"/>
    <w:rsid w:val="007662A4"/>
    <w:rsid w:val="007667A6"/>
    <w:rsid w:val="00767138"/>
    <w:rsid w:val="00767338"/>
    <w:rsid w:val="00767788"/>
    <w:rsid w:val="007678B8"/>
    <w:rsid w:val="00770B81"/>
    <w:rsid w:val="00770C37"/>
    <w:rsid w:val="00770F28"/>
    <w:rsid w:val="00771603"/>
    <w:rsid w:val="0077172D"/>
    <w:rsid w:val="00771893"/>
    <w:rsid w:val="00771BE8"/>
    <w:rsid w:val="00772035"/>
    <w:rsid w:val="0077206F"/>
    <w:rsid w:val="00772576"/>
    <w:rsid w:val="00772822"/>
    <w:rsid w:val="00772A23"/>
    <w:rsid w:val="00772BFE"/>
    <w:rsid w:val="00772CD0"/>
    <w:rsid w:val="00772DF7"/>
    <w:rsid w:val="0077322B"/>
    <w:rsid w:val="00773B89"/>
    <w:rsid w:val="007741DC"/>
    <w:rsid w:val="00774BBC"/>
    <w:rsid w:val="00775535"/>
    <w:rsid w:val="0077553F"/>
    <w:rsid w:val="00775722"/>
    <w:rsid w:val="00775986"/>
    <w:rsid w:val="00775A7F"/>
    <w:rsid w:val="00775C1C"/>
    <w:rsid w:val="00775E40"/>
    <w:rsid w:val="00775FBC"/>
    <w:rsid w:val="00775FC2"/>
    <w:rsid w:val="00776587"/>
    <w:rsid w:val="00776A27"/>
    <w:rsid w:val="00776B73"/>
    <w:rsid w:val="00776C99"/>
    <w:rsid w:val="0077722E"/>
    <w:rsid w:val="007779A9"/>
    <w:rsid w:val="00777A80"/>
    <w:rsid w:val="0078011A"/>
    <w:rsid w:val="0078050A"/>
    <w:rsid w:val="007806EA"/>
    <w:rsid w:val="00780881"/>
    <w:rsid w:val="007808E6"/>
    <w:rsid w:val="00780CC6"/>
    <w:rsid w:val="00781198"/>
    <w:rsid w:val="007817A2"/>
    <w:rsid w:val="00781936"/>
    <w:rsid w:val="00781A5F"/>
    <w:rsid w:val="00781D78"/>
    <w:rsid w:val="00781DA0"/>
    <w:rsid w:val="00781E89"/>
    <w:rsid w:val="007821D3"/>
    <w:rsid w:val="0078227D"/>
    <w:rsid w:val="00782303"/>
    <w:rsid w:val="007824C7"/>
    <w:rsid w:val="0078250A"/>
    <w:rsid w:val="00782C42"/>
    <w:rsid w:val="00782C5B"/>
    <w:rsid w:val="00782F5E"/>
    <w:rsid w:val="00782FE9"/>
    <w:rsid w:val="00783462"/>
    <w:rsid w:val="0078369C"/>
    <w:rsid w:val="007841EA"/>
    <w:rsid w:val="007848F6"/>
    <w:rsid w:val="00784C5A"/>
    <w:rsid w:val="00784EE6"/>
    <w:rsid w:val="00785099"/>
    <w:rsid w:val="007851EB"/>
    <w:rsid w:val="00785550"/>
    <w:rsid w:val="0078557D"/>
    <w:rsid w:val="00785675"/>
    <w:rsid w:val="00785776"/>
    <w:rsid w:val="00785975"/>
    <w:rsid w:val="00786722"/>
    <w:rsid w:val="00786A01"/>
    <w:rsid w:val="00786B0B"/>
    <w:rsid w:val="00787310"/>
    <w:rsid w:val="007873CF"/>
    <w:rsid w:val="007878C5"/>
    <w:rsid w:val="00790613"/>
    <w:rsid w:val="007907CB"/>
    <w:rsid w:val="00790EA1"/>
    <w:rsid w:val="00791727"/>
    <w:rsid w:val="00791D64"/>
    <w:rsid w:val="007920AC"/>
    <w:rsid w:val="00792AF2"/>
    <w:rsid w:val="00792B29"/>
    <w:rsid w:val="00792E20"/>
    <w:rsid w:val="00792FA0"/>
    <w:rsid w:val="0079308A"/>
    <w:rsid w:val="007930E7"/>
    <w:rsid w:val="007931F6"/>
    <w:rsid w:val="00793271"/>
    <w:rsid w:val="007932D4"/>
    <w:rsid w:val="0079388D"/>
    <w:rsid w:val="00793EE4"/>
    <w:rsid w:val="00793EE6"/>
    <w:rsid w:val="0079474C"/>
    <w:rsid w:val="00794D08"/>
    <w:rsid w:val="00795231"/>
    <w:rsid w:val="00795656"/>
    <w:rsid w:val="00795DE5"/>
    <w:rsid w:val="007960B2"/>
    <w:rsid w:val="007963E9"/>
    <w:rsid w:val="0079693B"/>
    <w:rsid w:val="00796D2B"/>
    <w:rsid w:val="00797129"/>
    <w:rsid w:val="00797E53"/>
    <w:rsid w:val="007A0937"/>
    <w:rsid w:val="007A0A7F"/>
    <w:rsid w:val="007A0A9F"/>
    <w:rsid w:val="007A1198"/>
    <w:rsid w:val="007A1386"/>
    <w:rsid w:val="007A14C2"/>
    <w:rsid w:val="007A1A1B"/>
    <w:rsid w:val="007A1F54"/>
    <w:rsid w:val="007A2A6D"/>
    <w:rsid w:val="007A2F22"/>
    <w:rsid w:val="007A3090"/>
    <w:rsid w:val="007A3477"/>
    <w:rsid w:val="007A35BD"/>
    <w:rsid w:val="007A368A"/>
    <w:rsid w:val="007A39FF"/>
    <w:rsid w:val="007A4255"/>
    <w:rsid w:val="007A4872"/>
    <w:rsid w:val="007A4A90"/>
    <w:rsid w:val="007A4E34"/>
    <w:rsid w:val="007A532A"/>
    <w:rsid w:val="007A59F0"/>
    <w:rsid w:val="007A5D0E"/>
    <w:rsid w:val="007A5D82"/>
    <w:rsid w:val="007A6000"/>
    <w:rsid w:val="007A60ED"/>
    <w:rsid w:val="007A6483"/>
    <w:rsid w:val="007A68F8"/>
    <w:rsid w:val="007A6A5F"/>
    <w:rsid w:val="007A7135"/>
    <w:rsid w:val="007A725F"/>
    <w:rsid w:val="007A7373"/>
    <w:rsid w:val="007A786F"/>
    <w:rsid w:val="007A7A32"/>
    <w:rsid w:val="007A7A7D"/>
    <w:rsid w:val="007A7ADF"/>
    <w:rsid w:val="007B01A4"/>
    <w:rsid w:val="007B066C"/>
    <w:rsid w:val="007B14E4"/>
    <w:rsid w:val="007B1D7F"/>
    <w:rsid w:val="007B270F"/>
    <w:rsid w:val="007B297A"/>
    <w:rsid w:val="007B31FE"/>
    <w:rsid w:val="007B322B"/>
    <w:rsid w:val="007B3238"/>
    <w:rsid w:val="007B339D"/>
    <w:rsid w:val="007B3DC6"/>
    <w:rsid w:val="007B3E0D"/>
    <w:rsid w:val="007B3FD2"/>
    <w:rsid w:val="007B4AFC"/>
    <w:rsid w:val="007B4FEB"/>
    <w:rsid w:val="007B5063"/>
    <w:rsid w:val="007B5677"/>
    <w:rsid w:val="007B5719"/>
    <w:rsid w:val="007B57C9"/>
    <w:rsid w:val="007B6021"/>
    <w:rsid w:val="007B68CE"/>
    <w:rsid w:val="007B7119"/>
    <w:rsid w:val="007B7799"/>
    <w:rsid w:val="007B7A5B"/>
    <w:rsid w:val="007B7B11"/>
    <w:rsid w:val="007B7D8D"/>
    <w:rsid w:val="007B7D94"/>
    <w:rsid w:val="007C000C"/>
    <w:rsid w:val="007C0044"/>
    <w:rsid w:val="007C0148"/>
    <w:rsid w:val="007C0502"/>
    <w:rsid w:val="007C0935"/>
    <w:rsid w:val="007C0EEE"/>
    <w:rsid w:val="007C1633"/>
    <w:rsid w:val="007C1C35"/>
    <w:rsid w:val="007C1C65"/>
    <w:rsid w:val="007C1D60"/>
    <w:rsid w:val="007C2496"/>
    <w:rsid w:val="007C27FF"/>
    <w:rsid w:val="007C2833"/>
    <w:rsid w:val="007C28E9"/>
    <w:rsid w:val="007C2A36"/>
    <w:rsid w:val="007C2CF1"/>
    <w:rsid w:val="007C2E75"/>
    <w:rsid w:val="007C3130"/>
    <w:rsid w:val="007C346D"/>
    <w:rsid w:val="007C38A3"/>
    <w:rsid w:val="007C393E"/>
    <w:rsid w:val="007C3BB7"/>
    <w:rsid w:val="007C4197"/>
    <w:rsid w:val="007C4455"/>
    <w:rsid w:val="007C49E7"/>
    <w:rsid w:val="007C4E28"/>
    <w:rsid w:val="007C510E"/>
    <w:rsid w:val="007C519F"/>
    <w:rsid w:val="007C5214"/>
    <w:rsid w:val="007C5293"/>
    <w:rsid w:val="007C54D6"/>
    <w:rsid w:val="007C553C"/>
    <w:rsid w:val="007C55B7"/>
    <w:rsid w:val="007C57A6"/>
    <w:rsid w:val="007C5B9C"/>
    <w:rsid w:val="007C6297"/>
    <w:rsid w:val="007C6801"/>
    <w:rsid w:val="007C6989"/>
    <w:rsid w:val="007C6A13"/>
    <w:rsid w:val="007C6ED8"/>
    <w:rsid w:val="007C7058"/>
    <w:rsid w:val="007C7E2B"/>
    <w:rsid w:val="007C7E5D"/>
    <w:rsid w:val="007D020A"/>
    <w:rsid w:val="007D10EF"/>
    <w:rsid w:val="007D209E"/>
    <w:rsid w:val="007D2444"/>
    <w:rsid w:val="007D2A0C"/>
    <w:rsid w:val="007D2A3C"/>
    <w:rsid w:val="007D2B3A"/>
    <w:rsid w:val="007D2C5E"/>
    <w:rsid w:val="007D2D39"/>
    <w:rsid w:val="007D2E70"/>
    <w:rsid w:val="007D2EB5"/>
    <w:rsid w:val="007D3C68"/>
    <w:rsid w:val="007D3FCE"/>
    <w:rsid w:val="007D4235"/>
    <w:rsid w:val="007D43A0"/>
    <w:rsid w:val="007D4C43"/>
    <w:rsid w:val="007D4C95"/>
    <w:rsid w:val="007D5074"/>
    <w:rsid w:val="007D6288"/>
    <w:rsid w:val="007D63B2"/>
    <w:rsid w:val="007D64AF"/>
    <w:rsid w:val="007D70CD"/>
    <w:rsid w:val="007D7255"/>
    <w:rsid w:val="007D7C3F"/>
    <w:rsid w:val="007E053A"/>
    <w:rsid w:val="007E07EC"/>
    <w:rsid w:val="007E0D60"/>
    <w:rsid w:val="007E0E00"/>
    <w:rsid w:val="007E1857"/>
    <w:rsid w:val="007E195D"/>
    <w:rsid w:val="007E21BC"/>
    <w:rsid w:val="007E2493"/>
    <w:rsid w:val="007E25E3"/>
    <w:rsid w:val="007E2A2F"/>
    <w:rsid w:val="007E2C86"/>
    <w:rsid w:val="007E33A1"/>
    <w:rsid w:val="007E44E7"/>
    <w:rsid w:val="007E4E07"/>
    <w:rsid w:val="007E5195"/>
    <w:rsid w:val="007E56ED"/>
    <w:rsid w:val="007E58F3"/>
    <w:rsid w:val="007E617C"/>
    <w:rsid w:val="007E62C9"/>
    <w:rsid w:val="007E6C1E"/>
    <w:rsid w:val="007E6F94"/>
    <w:rsid w:val="007E79A5"/>
    <w:rsid w:val="007E79D5"/>
    <w:rsid w:val="007E7C6A"/>
    <w:rsid w:val="007E7D71"/>
    <w:rsid w:val="007F0ABE"/>
    <w:rsid w:val="007F0F5F"/>
    <w:rsid w:val="007F14F7"/>
    <w:rsid w:val="007F1900"/>
    <w:rsid w:val="007F1CA2"/>
    <w:rsid w:val="007F1D94"/>
    <w:rsid w:val="007F21FE"/>
    <w:rsid w:val="007F2365"/>
    <w:rsid w:val="007F29E0"/>
    <w:rsid w:val="007F2C75"/>
    <w:rsid w:val="007F2DFB"/>
    <w:rsid w:val="007F32D1"/>
    <w:rsid w:val="007F33CE"/>
    <w:rsid w:val="007F44B6"/>
    <w:rsid w:val="007F5582"/>
    <w:rsid w:val="007F5D4C"/>
    <w:rsid w:val="007F5D74"/>
    <w:rsid w:val="007F5E20"/>
    <w:rsid w:val="007F6B5E"/>
    <w:rsid w:val="007F74CF"/>
    <w:rsid w:val="007F7542"/>
    <w:rsid w:val="007F75F8"/>
    <w:rsid w:val="007F78F2"/>
    <w:rsid w:val="00800231"/>
    <w:rsid w:val="00800896"/>
    <w:rsid w:val="0080097F"/>
    <w:rsid w:val="008009D7"/>
    <w:rsid w:val="00800B1B"/>
    <w:rsid w:val="00800FFD"/>
    <w:rsid w:val="0080111B"/>
    <w:rsid w:val="00801277"/>
    <w:rsid w:val="0080180B"/>
    <w:rsid w:val="0080189A"/>
    <w:rsid w:val="008019F6"/>
    <w:rsid w:val="00801DBF"/>
    <w:rsid w:val="00802D09"/>
    <w:rsid w:val="00803001"/>
    <w:rsid w:val="008036C8"/>
    <w:rsid w:val="0080372C"/>
    <w:rsid w:val="008037C0"/>
    <w:rsid w:val="008038A8"/>
    <w:rsid w:val="0080416B"/>
    <w:rsid w:val="0080453E"/>
    <w:rsid w:val="008065B3"/>
    <w:rsid w:val="00806771"/>
    <w:rsid w:val="008069FA"/>
    <w:rsid w:val="00806A39"/>
    <w:rsid w:val="00806FF2"/>
    <w:rsid w:val="008073A1"/>
    <w:rsid w:val="008079B5"/>
    <w:rsid w:val="00807D23"/>
    <w:rsid w:val="0081042C"/>
    <w:rsid w:val="00810669"/>
    <w:rsid w:val="00810A5D"/>
    <w:rsid w:val="008110DB"/>
    <w:rsid w:val="008114EF"/>
    <w:rsid w:val="0081182C"/>
    <w:rsid w:val="00811EDB"/>
    <w:rsid w:val="00811F0B"/>
    <w:rsid w:val="00812779"/>
    <w:rsid w:val="00812CA9"/>
    <w:rsid w:val="00812DE2"/>
    <w:rsid w:val="00813250"/>
    <w:rsid w:val="00814150"/>
    <w:rsid w:val="008149ED"/>
    <w:rsid w:val="00814D58"/>
    <w:rsid w:val="0081522F"/>
    <w:rsid w:val="008153CD"/>
    <w:rsid w:val="0081564B"/>
    <w:rsid w:val="0081592E"/>
    <w:rsid w:val="00815D82"/>
    <w:rsid w:val="00815DB1"/>
    <w:rsid w:val="00816263"/>
    <w:rsid w:val="00816CA9"/>
    <w:rsid w:val="00817C95"/>
    <w:rsid w:val="00817CBE"/>
    <w:rsid w:val="008207C9"/>
    <w:rsid w:val="008209FC"/>
    <w:rsid w:val="00820CB1"/>
    <w:rsid w:val="0082121D"/>
    <w:rsid w:val="00821309"/>
    <w:rsid w:val="00821C4F"/>
    <w:rsid w:val="00821C9C"/>
    <w:rsid w:val="00822D22"/>
    <w:rsid w:val="008230A4"/>
    <w:rsid w:val="0082315E"/>
    <w:rsid w:val="008231DE"/>
    <w:rsid w:val="00823247"/>
    <w:rsid w:val="00823D9D"/>
    <w:rsid w:val="00823E2D"/>
    <w:rsid w:val="0082422D"/>
    <w:rsid w:val="00824442"/>
    <w:rsid w:val="0082448D"/>
    <w:rsid w:val="00824517"/>
    <w:rsid w:val="00824A48"/>
    <w:rsid w:val="00824E30"/>
    <w:rsid w:val="00824EBC"/>
    <w:rsid w:val="008259F1"/>
    <w:rsid w:val="00825DF0"/>
    <w:rsid w:val="008261C2"/>
    <w:rsid w:val="0082653E"/>
    <w:rsid w:val="008266F3"/>
    <w:rsid w:val="008267D4"/>
    <w:rsid w:val="00827B4C"/>
    <w:rsid w:val="00827D7F"/>
    <w:rsid w:val="00827E6E"/>
    <w:rsid w:val="00830094"/>
    <w:rsid w:val="00830554"/>
    <w:rsid w:val="00830650"/>
    <w:rsid w:val="00830955"/>
    <w:rsid w:val="00831661"/>
    <w:rsid w:val="00831686"/>
    <w:rsid w:val="00831BAF"/>
    <w:rsid w:val="00831C61"/>
    <w:rsid w:val="00831CCE"/>
    <w:rsid w:val="00832327"/>
    <w:rsid w:val="008333D7"/>
    <w:rsid w:val="00833943"/>
    <w:rsid w:val="0083399A"/>
    <w:rsid w:val="00833ADC"/>
    <w:rsid w:val="00833BDD"/>
    <w:rsid w:val="00833CA8"/>
    <w:rsid w:val="008341ED"/>
    <w:rsid w:val="00834288"/>
    <w:rsid w:val="0083435B"/>
    <w:rsid w:val="0083455D"/>
    <w:rsid w:val="00834563"/>
    <w:rsid w:val="00834855"/>
    <w:rsid w:val="0083497A"/>
    <w:rsid w:val="00834A46"/>
    <w:rsid w:val="00834ED8"/>
    <w:rsid w:val="0083538D"/>
    <w:rsid w:val="00835420"/>
    <w:rsid w:val="00835700"/>
    <w:rsid w:val="008357F2"/>
    <w:rsid w:val="0083586D"/>
    <w:rsid w:val="00835A7B"/>
    <w:rsid w:val="00835CF4"/>
    <w:rsid w:val="008363AC"/>
    <w:rsid w:val="00836591"/>
    <w:rsid w:val="008365C3"/>
    <w:rsid w:val="00836AE0"/>
    <w:rsid w:val="00837139"/>
    <w:rsid w:val="00837284"/>
    <w:rsid w:val="00837D4C"/>
    <w:rsid w:val="008406BF"/>
    <w:rsid w:val="008409AC"/>
    <w:rsid w:val="00840DEC"/>
    <w:rsid w:val="0084202D"/>
    <w:rsid w:val="008422E9"/>
    <w:rsid w:val="008423ED"/>
    <w:rsid w:val="00842499"/>
    <w:rsid w:val="00842AC9"/>
    <w:rsid w:val="00842C56"/>
    <w:rsid w:val="00842CDA"/>
    <w:rsid w:val="0084376E"/>
    <w:rsid w:val="00843AD1"/>
    <w:rsid w:val="00843CC1"/>
    <w:rsid w:val="00844083"/>
    <w:rsid w:val="00844538"/>
    <w:rsid w:val="00844616"/>
    <w:rsid w:val="00844D06"/>
    <w:rsid w:val="00845179"/>
    <w:rsid w:val="0084517B"/>
    <w:rsid w:val="0084521A"/>
    <w:rsid w:val="008453E8"/>
    <w:rsid w:val="00845527"/>
    <w:rsid w:val="00845582"/>
    <w:rsid w:val="0084614B"/>
    <w:rsid w:val="00846406"/>
    <w:rsid w:val="008469BC"/>
    <w:rsid w:val="00846E04"/>
    <w:rsid w:val="0084705B"/>
    <w:rsid w:val="00847099"/>
    <w:rsid w:val="00847144"/>
    <w:rsid w:val="0084745A"/>
    <w:rsid w:val="00847811"/>
    <w:rsid w:val="00847ABF"/>
    <w:rsid w:val="0085092F"/>
    <w:rsid w:val="008511BE"/>
    <w:rsid w:val="00851395"/>
    <w:rsid w:val="00851615"/>
    <w:rsid w:val="00851D08"/>
    <w:rsid w:val="00851DA4"/>
    <w:rsid w:val="00851DDE"/>
    <w:rsid w:val="00851E56"/>
    <w:rsid w:val="00851ED5"/>
    <w:rsid w:val="0085263D"/>
    <w:rsid w:val="00852F3C"/>
    <w:rsid w:val="0085308D"/>
    <w:rsid w:val="00853706"/>
    <w:rsid w:val="00853B67"/>
    <w:rsid w:val="00854706"/>
    <w:rsid w:val="00855060"/>
    <w:rsid w:val="00855113"/>
    <w:rsid w:val="00855834"/>
    <w:rsid w:val="008558FD"/>
    <w:rsid w:val="00855FDE"/>
    <w:rsid w:val="008566EC"/>
    <w:rsid w:val="008567E3"/>
    <w:rsid w:val="00856C80"/>
    <w:rsid w:val="008578E4"/>
    <w:rsid w:val="00857922"/>
    <w:rsid w:val="00857F0D"/>
    <w:rsid w:val="00860557"/>
    <w:rsid w:val="00860681"/>
    <w:rsid w:val="008608C1"/>
    <w:rsid w:val="008608F0"/>
    <w:rsid w:val="00860A2C"/>
    <w:rsid w:val="00860CDB"/>
    <w:rsid w:val="008610B7"/>
    <w:rsid w:val="008614D8"/>
    <w:rsid w:val="008622A1"/>
    <w:rsid w:val="008631C7"/>
    <w:rsid w:val="008632C7"/>
    <w:rsid w:val="008633C9"/>
    <w:rsid w:val="0086372A"/>
    <w:rsid w:val="00863AF4"/>
    <w:rsid w:val="00863D82"/>
    <w:rsid w:val="0086409D"/>
    <w:rsid w:val="008644BD"/>
    <w:rsid w:val="00864529"/>
    <w:rsid w:val="00864670"/>
    <w:rsid w:val="00864D20"/>
    <w:rsid w:val="008654EC"/>
    <w:rsid w:val="00865689"/>
    <w:rsid w:val="008656DB"/>
    <w:rsid w:val="0086572E"/>
    <w:rsid w:val="00865A99"/>
    <w:rsid w:val="00865D4B"/>
    <w:rsid w:val="00865FD4"/>
    <w:rsid w:val="008664BB"/>
    <w:rsid w:val="00866AE4"/>
    <w:rsid w:val="00866D14"/>
    <w:rsid w:val="00866DCA"/>
    <w:rsid w:val="0086707F"/>
    <w:rsid w:val="008675A3"/>
    <w:rsid w:val="00867693"/>
    <w:rsid w:val="00867AEB"/>
    <w:rsid w:val="00870293"/>
    <w:rsid w:val="008702BF"/>
    <w:rsid w:val="00870563"/>
    <w:rsid w:val="008709F4"/>
    <w:rsid w:val="00870A55"/>
    <w:rsid w:val="00870CF7"/>
    <w:rsid w:val="00871109"/>
    <w:rsid w:val="00871602"/>
    <w:rsid w:val="0087175E"/>
    <w:rsid w:val="00871E30"/>
    <w:rsid w:val="008720D6"/>
    <w:rsid w:val="00872371"/>
    <w:rsid w:val="00872655"/>
    <w:rsid w:val="00872899"/>
    <w:rsid w:val="008729C8"/>
    <w:rsid w:val="00872B44"/>
    <w:rsid w:val="008740DE"/>
    <w:rsid w:val="00874395"/>
    <w:rsid w:val="008746C6"/>
    <w:rsid w:val="008750A5"/>
    <w:rsid w:val="008753A7"/>
    <w:rsid w:val="0087583E"/>
    <w:rsid w:val="008758E5"/>
    <w:rsid w:val="00875A01"/>
    <w:rsid w:val="00875C63"/>
    <w:rsid w:val="008763F6"/>
    <w:rsid w:val="00876570"/>
    <w:rsid w:val="00876635"/>
    <w:rsid w:val="008767ED"/>
    <w:rsid w:val="00876BB2"/>
    <w:rsid w:val="00876CFD"/>
    <w:rsid w:val="00877103"/>
    <w:rsid w:val="00877328"/>
    <w:rsid w:val="00877368"/>
    <w:rsid w:val="00877AAA"/>
    <w:rsid w:val="00877B4C"/>
    <w:rsid w:val="008807B5"/>
    <w:rsid w:val="00880F50"/>
    <w:rsid w:val="008812A2"/>
    <w:rsid w:val="008812E4"/>
    <w:rsid w:val="0088130A"/>
    <w:rsid w:val="008817B7"/>
    <w:rsid w:val="008819D6"/>
    <w:rsid w:val="00882196"/>
    <w:rsid w:val="00882ACE"/>
    <w:rsid w:val="00882C49"/>
    <w:rsid w:val="008831CC"/>
    <w:rsid w:val="00884A66"/>
    <w:rsid w:val="00885148"/>
    <w:rsid w:val="00885267"/>
    <w:rsid w:val="0088584A"/>
    <w:rsid w:val="00885A04"/>
    <w:rsid w:val="00885CAC"/>
    <w:rsid w:val="00886254"/>
    <w:rsid w:val="00886543"/>
    <w:rsid w:val="00886E9B"/>
    <w:rsid w:val="00887577"/>
    <w:rsid w:val="008875C5"/>
    <w:rsid w:val="00887661"/>
    <w:rsid w:val="0088785C"/>
    <w:rsid w:val="00887C6A"/>
    <w:rsid w:val="00887D17"/>
    <w:rsid w:val="00887FF3"/>
    <w:rsid w:val="008903C7"/>
    <w:rsid w:val="0089040C"/>
    <w:rsid w:val="0089042D"/>
    <w:rsid w:val="00890BA6"/>
    <w:rsid w:val="00890C70"/>
    <w:rsid w:val="00890D63"/>
    <w:rsid w:val="00890DCC"/>
    <w:rsid w:val="00890EB9"/>
    <w:rsid w:val="00891759"/>
    <w:rsid w:val="008927B4"/>
    <w:rsid w:val="00892E81"/>
    <w:rsid w:val="0089334C"/>
    <w:rsid w:val="0089357F"/>
    <w:rsid w:val="00893881"/>
    <w:rsid w:val="00894811"/>
    <w:rsid w:val="00894B06"/>
    <w:rsid w:val="00895DE6"/>
    <w:rsid w:val="00895F01"/>
    <w:rsid w:val="00895F5C"/>
    <w:rsid w:val="00896019"/>
    <w:rsid w:val="00896CDE"/>
    <w:rsid w:val="00897430"/>
    <w:rsid w:val="008974B9"/>
    <w:rsid w:val="00897B3D"/>
    <w:rsid w:val="008A01D4"/>
    <w:rsid w:val="008A02E7"/>
    <w:rsid w:val="008A04B3"/>
    <w:rsid w:val="008A057C"/>
    <w:rsid w:val="008A05C1"/>
    <w:rsid w:val="008A089C"/>
    <w:rsid w:val="008A0F8F"/>
    <w:rsid w:val="008A1C7B"/>
    <w:rsid w:val="008A1E95"/>
    <w:rsid w:val="008A22AE"/>
    <w:rsid w:val="008A2FB4"/>
    <w:rsid w:val="008A2FCE"/>
    <w:rsid w:val="008A3123"/>
    <w:rsid w:val="008A3259"/>
    <w:rsid w:val="008A37D1"/>
    <w:rsid w:val="008A38CD"/>
    <w:rsid w:val="008A43E3"/>
    <w:rsid w:val="008A43ED"/>
    <w:rsid w:val="008A43F5"/>
    <w:rsid w:val="008A448D"/>
    <w:rsid w:val="008A5803"/>
    <w:rsid w:val="008A58C2"/>
    <w:rsid w:val="008A5D7E"/>
    <w:rsid w:val="008A621C"/>
    <w:rsid w:val="008A62AC"/>
    <w:rsid w:val="008A63CB"/>
    <w:rsid w:val="008A67C0"/>
    <w:rsid w:val="008A6F36"/>
    <w:rsid w:val="008A6FE4"/>
    <w:rsid w:val="008A7A01"/>
    <w:rsid w:val="008B0076"/>
    <w:rsid w:val="008B02A3"/>
    <w:rsid w:val="008B0715"/>
    <w:rsid w:val="008B08DB"/>
    <w:rsid w:val="008B0C7D"/>
    <w:rsid w:val="008B1759"/>
    <w:rsid w:val="008B1CA8"/>
    <w:rsid w:val="008B247D"/>
    <w:rsid w:val="008B2704"/>
    <w:rsid w:val="008B289D"/>
    <w:rsid w:val="008B2CD9"/>
    <w:rsid w:val="008B31CD"/>
    <w:rsid w:val="008B3443"/>
    <w:rsid w:val="008B36C5"/>
    <w:rsid w:val="008B3CB3"/>
    <w:rsid w:val="008B46E7"/>
    <w:rsid w:val="008B4D1B"/>
    <w:rsid w:val="008B4E6F"/>
    <w:rsid w:val="008B58B0"/>
    <w:rsid w:val="008B5945"/>
    <w:rsid w:val="008B630B"/>
    <w:rsid w:val="008B648E"/>
    <w:rsid w:val="008B6D12"/>
    <w:rsid w:val="008B6DA0"/>
    <w:rsid w:val="008B76C0"/>
    <w:rsid w:val="008B7AE0"/>
    <w:rsid w:val="008B7F9E"/>
    <w:rsid w:val="008C05D8"/>
    <w:rsid w:val="008C060A"/>
    <w:rsid w:val="008C0E92"/>
    <w:rsid w:val="008C1766"/>
    <w:rsid w:val="008C1DC7"/>
    <w:rsid w:val="008C225F"/>
    <w:rsid w:val="008C246C"/>
    <w:rsid w:val="008C24A1"/>
    <w:rsid w:val="008C2AFF"/>
    <w:rsid w:val="008C2CE9"/>
    <w:rsid w:val="008C3371"/>
    <w:rsid w:val="008C3447"/>
    <w:rsid w:val="008C3918"/>
    <w:rsid w:val="008C3A65"/>
    <w:rsid w:val="008C3CA4"/>
    <w:rsid w:val="008C446D"/>
    <w:rsid w:val="008C46A9"/>
    <w:rsid w:val="008C4708"/>
    <w:rsid w:val="008C4789"/>
    <w:rsid w:val="008C515B"/>
    <w:rsid w:val="008C5426"/>
    <w:rsid w:val="008C5841"/>
    <w:rsid w:val="008C5A8A"/>
    <w:rsid w:val="008C5FFF"/>
    <w:rsid w:val="008C608B"/>
    <w:rsid w:val="008C6336"/>
    <w:rsid w:val="008C69D9"/>
    <w:rsid w:val="008C6D19"/>
    <w:rsid w:val="008C6D5D"/>
    <w:rsid w:val="008C6E02"/>
    <w:rsid w:val="008C6EC7"/>
    <w:rsid w:val="008C7289"/>
    <w:rsid w:val="008C72B8"/>
    <w:rsid w:val="008C7940"/>
    <w:rsid w:val="008C7C03"/>
    <w:rsid w:val="008D0016"/>
    <w:rsid w:val="008D02B6"/>
    <w:rsid w:val="008D058D"/>
    <w:rsid w:val="008D09C8"/>
    <w:rsid w:val="008D0B72"/>
    <w:rsid w:val="008D109C"/>
    <w:rsid w:val="008D11DE"/>
    <w:rsid w:val="008D1360"/>
    <w:rsid w:val="008D1438"/>
    <w:rsid w:val="008D2EE6"/>
    <w:rsid w:val="008D306E"/>
    <w:rsid w:val="008D333E"/>
    <w:rsid w:val="008D3D06"/>
    <w:rsid w:val="008D44BB"/>
    <w:rsid w:val="008D4D0B"/>
    <w:rsid w:val="008D4D1E"/>
    <w:rsid w:val="008D4EC6"/>
    <w:rsid w:val="008D530F"/>
    <w:rsid w:val="008D5326"/>
    <w:rsid w:val="008D585A"/>
    <w:rsid w:val="008D5F78"/>
    <w:rsid w:val="008D61EE"/>
    <w:rsid w:val="008D6FED"/>
    <w:rsid w:val="008D720C"/>
    <w:rsid w:val="008D7B84"/>
    <w:rsid w:val="008D7C0C"/>
    <w:rsid w:val="008E026B"/>
    <w:rsid w:val="008E0494"/>
    <w:rsid w:val="008E0573"/>
    <w:rsid w:val="008E09AD"/>
    <w:rsid w:val="008E0D03"/>
    <w:rsid w:val="008E0D5C"/>
    <w:rsid w:val="008E0E0F"/>
    <w:rsid w:val="008E1215"/>
    <w:rsid w:val="008E128A"/>
    <w:rsid w:val="008E1326"/>
    <w:rsid w:val="008E13AD"/>
    <w:rsid w:val="008E1789"/>
    <w:rsid w:val="008E1888"/>
    <w:rsid w:val="008E18EF"/>
    <w:rsid w:val="008E1A6E"/>
    <w:rsid w:val="008E1AAD"/>
    <w:rsid w:val="008E1C7C"/>
    <w:rsid w:val="008E203C"/>
    <w:rsid w:val="008E210D"/>
    <w:rsid w:val="008E2631"/>
    <w:rsid w:val="008E328B"/>
    <w:rsid w:val="008E33E2"/>
    <w:rsid w:val="008E36D8"/>
    <w:rsid w:val="008E36D9"/>
    <w:rsid w:val="008E38A1"/>
    <w:rsid w:val="008E3C45"/>
    <w:rsid w:val="008E3FD2"/>
    <w:rsid w:val="008E4160"/>
    <w:rsid w:val="008E4A49"/>
    <w:rsid w:val="008E4F00"/>
    <w:rsid w:val="008E4F57"/>
    <w:rsid w:val="008E5177"/>
    <w:rsid w:val="008E5294"/>
    <w:rsid w:val="008E5B0B"/>
    <w:rsid w:val="008E5B11"/>
    <w:rsid w:val="008E5B37"/>
    <w:rsid w:val="008E6143"/>
    <w:rsid w:val="008E6369"/>
    <w:rsid w:val="008E6542"/>
    <w:rsid w:val="008E6943"/>
    <w:rsid w:val="008E706E"/>
    <w:rsid w:val="008E79B6"/>
    <w:rsid w:val="008F024B"/>
    <w:rsid w:val="008F041C"/>
    <w:rsid w:val="008F04DD"/>
    <w:rsid w:val="008F06AB"/>
    <w:rsid w:val="008F08BC"/>
    <w:rsid w:val="008F14A0"/>
    <w:rsid w:val="008F1B27"/>
    <w:rsid w:val="008F2673"/>
    <w:rsid w:val="008F268B"/>
    <w:rsid w:val="008F27B1"/>
    <w:rsid w:val="008F2863"/>
    <w:rsid w:val="008F3074"/>
    <w:rsid w:val="008F3EDE"/>
    <w:rsid w:val="008F44BC"/>
    <w:rsid w:val="008F458F"/>
    <w:rsid w:val="008F46ED"/>
    <w:rsid w:val="008F490C"/>
    <w:rsid w:val="008F5570"/>
    <w:rsid w:val="008F582E"/>
    <w:rsid w:val="008F58DE"/>
    <w:rsid w:val="008F5C6E"/>
    <w:rsid w:val="008F5CFA"/>
    <w:rsid w:val="008F67C7"/>
    <w:rsid w:val="008F6930"/>
    <w:rsid w:val="008F69F3"/>
    <w:rsid w:val="008F6DEE"/>
    <w:rsid w:val="008F71FF"/>
    <w:rsid w:val="008F745C"/>
    <w:rsid w:val="008F774B"/>
    <w:rsid w:val="008F7D76"/>
    <w:rsid w:val="009005E0"/>
    <w:rsid w:val="00900634"/>
    <w:rsid w:val="009013AD"/>
    <w:rsid w:val="00901B56"/>
    <w:rsid w:val="009022FA"/>
    <w:rsid w:val="00902336"/>
    <w:rsid w:val="00902BA5"/>
    <w:rsid w:val="00902C62"/>
    <w:rsid w:val="00902F53"/>
    <w:rsid w:val="009030D3"/>
    <w:rsid w:val="009030FC"/>
    <w:rsid w:val="0090347B"/>
    <w:rsid w:val="0090348C"/>
    <w:rsid w:val="00903796"/>
    <w:rsid w:val="00903944"/>
    <w:rsid w:val="009053E4"/>
    <w:rsid w:val="009054C6"/>
    <w:rsid w:val="009058B4"/>
    <w:rsid w:val="009060E4"/>
    <w:rsid w:val="009062FC"/>
    <w:rsid w:val="00907091"/>
    <w:rsid w:val="0090764D"/>
    <w:rsid w:val="00907E7C"/>
    <w:rsid w:val="00910626"/>
    <w:rsid w:val="009109F4"/>
    <w:rsid w:val="00910D27"/>
    <w:rsid w:val="00910EC6"/>
    <w:rsid w:val="00910EF5"/>
    <w:rsid w:val="00911A5E"/>
    <w:rsid w:val="00911E74"/>
    <w:rsid w:val="00912033"/>
    <w:rsid w:val="0091282F"/>
    <w:rsid w:val="00912987"/>
    <w:rsid w:val="00912B53"/>
    <w:rsid w:val="00913018"/>
    <w:rsid w:val="0091366E"/>
    <w:rsid w:val="0091381C"/>
    <w:rsid w:val="00913850"/>
    <w:rsid w:val="00913B88"/>
    <w:rsid w:val="00913D1B"/>
    <w:rsid w:val="00913DEC"/>
    <w:rsid w:val="009145B9"/>
    <w:rsid w:val="009147EE"/>
    <w:rsid w:val="0091483D"/>
    <w:rsid w:val="00914A71"/>
    <w:rsid w:val="00914F52"/>
    <w:rsid w:val="0091527D"/>
    <w:rsid w:val="009155FA"/>
    <w:rsid w:val="0091580A"/>
    <w:rsid w:val="00915DC4"/>
    <w:rsid w:val="0091618D"/>
    <w:rsid w:val="0091665A"/>
    <w:rsid w:val="009169C4"/>
    <w:rsid w:val="00916A81"/>
    <w:rsid w:val="00916C9E"/>
    <w:rsid w:val="00917293"/>
    <w:rsid w:val="009172EA"/>
    <w:rsid w:val="009178D3"/>
    <w:rsid w:val="00917BAA"/>
    <w:rsid w:val="00917CC0"/>
    <w:rsid w:val="00917E11"/>
    <w:rsid w:val="009204B8"/>
    <w:rsid w:val="0092069E"/>
    <w:rsid w:val="00920AE1"/>
    <w:rsid w:val="009213E7"/>
    <w:rsid w:val="00921877"/>
    <w:rsid w:val="00921C93"/>
    <w:rsid w:val="00921E8C"/>
    <w:rsid w:val="00921FBB"/>
    <w:rsid w:val="00922654"/>
    <w:rsid w:val="009227B9"/>
    <w:rsid w:val="009229EA"/>
    <w:rsid w:val="00922EE3"/>
    <w:rsid w:val="0092347D"/>
    <w:rsid w:val="0092377C"/>
    <w:rsid w:val="009238C1"/>
    <w:rsid w:val="00923D55"/>
    <w:rsid w:val="00924010"/>
    <w:rsid w:val="00924331"/>
    <w:rsid w:val="00924505"/>
    <w:rsid w:val="00924D10"/>
    <w:rsid w:val="00924DC4"/>
    <w:rsid w:val="00925530"/>
    <w:rsid w:val="00925602"/>
    <w:rsid w:val="00925DA5"/>
    <w:rsid w:val="00925E35"/>
    <w:rsid w:val="0092601F"/>
    <w:rsid w:val="009260FB"/>
    <w:rsid w:val="0092670E"/>
    <w:rsid w:val="009269F2"/>
    <w:rsid w:val="009274E6"/>
    <w:rsid w:val="009278DA"/>
    <w:rsid w:val="00930AD3"/>
    <w:rsid w:val="009310F5"/>
    <w:rsid w:val="009312DC"/>
    <w:rsid w:val="00931746"/>
    <w:rsid w:val="009318AC"/>
    <w:rsid w:val="009318F2"/>
    <w:rsid w:val="00931CF4"/>
    <w:rsid w:val="00931FE9"/>
    <w:rsid w:val="00932037"/>
    <w:rsid w:val="009320CA"/>
    <w:rsid w:val="00932476"/>
    <w:rsid w:val="00932648"/>
    <w:rsid w:val="009327EE"/>
    <w:rsid w:val="00932ABA"/>
    <w:rsid w:val="00932DFA"/>
    <w:rsid w:val="0093326C"/>
    <w:rsid w:val="0093346D"/>
    <w:rsid w:val="009334B7"/>
    <w:rsid w:val="00933AEF"/>
    <w:rsid w:val="00933C7F"/>
    <w:rsid w:val="00934376"/>
    <w:rsid w:val="009344B1"/>
    <w:rsid w:val="00934989"/>
    <w:rsid w:val="00934BD8"/>
    <w:rsid w:val="00934C65"/>
    <w:rsid w:val="00935275"/>
    <w:rsid w:val="00935783"/>
    <w:rsid w:val="009357EE"/>
    <w:rsid w:val="00936BBE"/>
    <w:rsid w:val="00936F07"/>
    <w:rsid w:val="00937368"/>
    <w:rsid w:val="009374FF"/>
    <w:rsid w:val="00937572"/>
    <w:rsid w:val="009378B8"/>
    <w:rsid w:val="009408E7"/>
    <w:rsid w:val="00941161"/>
    <w:rsid w:val="00941B16"/>
    <w:rsid w:val="00941E61"/>
    <w:rsid w:val="009421C9"/>
    <w:rsid w:val="009433CD"/>
    <w:rsid w:val="009434E9"/>
    <w:rsid w:val="00943ED8"/>
    <w:rsid w:val="00943FCF"/>
    <w:rsid w:val="0094441F"/>
    <w:rsid w:val="009448F4"/>
    <w:rsid w:val="00944B9A"/>
    <w:rsid w:val="00944E31"/>
    <w:rsid w:val="00945E93"/>
    <w:rsid w:val="0094603A"/>
    <w:rsid w:val="009461A9"/>
    <w:rsid w:val="009462AA"/>
    <w:rsid w:val="00946DD7"/>
    <w:rsid w:val="00946F5A"/>
    <w:rsid w:val="00946F7D"/>
    <w:rsid w:val="009472C6"/>
    <w:rsid w:val="0094796B"/>
    <w:rsid w:val="00947C50"/>
    <w:rsid w:val="00947C51"/>
    <w:rsid w:val="00947F24"/>
    <w:rsid w:val="00947F4C"/>
    <w:rsid w:val="00950546"/>
    <w:rsid w:val="00950818"/>
    <w:rsid w:val="00950ABC"/>
    <w:rsid w:val="0095163C"/>
    <w:rsid w:val="0095175D"/>
    <w:rsid w:val="0095179E"/>
    <w:rsid w:val="00951C91"/>
    <w:rsid w:val="00952133"/>
    <w:rsid w:val="009521F7"/>
    <w:rsid w:val="00952813"/>
    <w:rsid w:val="0095283D"/>
    <w:rsid w:val="00952AD4"/>
    <w:rsid w:val="00952E3E"/>
    <w:rsid w:val="0095305C"/>
    <w:rsid w:val="009535C2"/>
    <w:rsid w:val="009539D3"/>
    <w:rsid w:val="00953D27"/>
    <w:rsid w:val="00953F3B"/>
    <w:rsid w:val="009541C0"/>
    <w:rsid w:val="00954DE6"/>
    <w:rsid w:val="0095522C"/>
    <w:rsid w:val="009555F8"/>
    <w:rsid w:val="00955844"/>
    <w:rsid w:val="00955B70"/>
    <w:rsid w:val="00955F0F"/>
    <w:rsid w:val="009569BB"/>
    <w:rsid w:val="009569D4"/>
    <w:rsid w:val="009569E3"/>
    <w:rsid w:val="00956B7E"/>
    <w:rsid w:val="00956BA1"/>
    <w:rsid w:val="00956D13"/>
    <w:rsid w:val="00956DC4"/>
    <w:rsid w:val="00956E88"/>
    <w:rsid w:val="0095736A"/>
    <w:rsid w:val="00957EF8"/>
    <w:rsid w:val="00957F8A"/>
    <w:rsid w:val="00960239"/>
    <w:rsid w:val="00960431"/>
    <w:rsid w:val="009607B4"/>
    <w:rsid w:val="009608FF"/>
    <w:rsid w:val="00960992"/>
    <w:rsid w:val="00960BC6"/>
    <w:rsid w:val="00960CB6"/>
    <w:rsid w:val="00961519"/>
    <w:rsid w:val="009618B5"/>
    <w:rsid w:val="00961907"/>
    <w:rsid w:val="00962132"/>
    <w:rsid w:val="0096233C"/>
    <w:rsid w:val="0096250F"/>
    <w:rsid w:val="00962C5D"/>
    <w:rsid w:val="00962D91"/>
    <w:rsid w:val="009631FD"/>
    <w:rsid w:val="009638C5"/>
    <w:rsid w:val="00963DBD"/>
    <w:rsid w:val="00963F44"/>
    <w:rsid w:val="009645CA"/>
    <w:rsid w:val="009645FF"/>
    <w:rsid w:val="00964F5A"/>
    <w:rsid w:val="0096508E"/>
    <w:rsid w:val="00965716"/>
    <w:rsid w:val="00965B52"/>
    <w:rsid w:val="00966432"/>
    <w:rsid w:val="00966462"/>
    <w:rsid w:val="009671E3"/>
    <w:rsid w:val="00967A06"/>
    <w:rsid w:val="00967BD5"/>
    <w:rsid w:val="00970287"/>
    <w:rsid w:val="0097035D"/>
    <w:rsid w:val="0097060E"/>
    <w:rsid w:val="00970EBA"/>
    <w:rsid w:val="009716A2"/>
    <w:rsid w:val="00972455"/>
    <w:rsid w:val="00972593"/>
    <w:rsid w:val="00972EC6"/>
    <w:rsid w:val="009732F9"/>
    <w:rsid w:val="00973730"/>
    <w:rsid w:val="00973924"/>
    <w:rsid w:val="009740B5"/>
    <w:rsid w:val="00974141"/>
    <w:rsid w:val="0097450A"/>
    <w:rsid w:val="00974975"/>
    <w:rsid w:val="00974F37"/>
    <w:rsid w:val="009751B7"/>
    <w:rsid w:val="00975666"/>
    <w:rsid w:val="009757CD"/>
    <w:rsid w:val="00975BC2"/>
    <w:rsid w:val="009760B2"/>
    <w:rsid w:val="00976D55"/>
    <w:rsid w:val="00976F98"/>
    <w:rsid w:val="009777F5"/>
    <w:rsid w:val="00977A15"/>
    <w:rsid w:val="00977FF6"/>
    <w:rsid w:val="0098050B"/>
    <w:rsid w:val="00980EA4"/>
    <w:rsid w:val="00980F98"/>
    <w:rsid w:val="00981AC9"/>
    <w:rsid w:val="009822C3"/>
    <w:rsid w:val="009824F2"/>
    <w:rsid w:val="009825F3"/>
    <w:rsid w:val="00982709"/>
    <w:rsid w:val="009832F1"/>
    <w:rsid w:val="0098364C"/>
    <w:rsid w:val="009845CC"/>
    <w:rsid w:val="009856EC"/>
    <w:rsid w:val="00986B45"/>
    <w:rsid w:val="00986E46"/>
    <w:rsid w:val="0098704E"/>
    <w:rsid w:val="009873CC"/>
    <w:rsid w:val="00987434"/>
    <w:rsid w:val="0098743D"/>
    <w:rsid w:val="00987631"/>
    <w:rsid w:val="00987846"/>
    <w:rsid w:val="00987877"/>
    <w:rsid w:val="009878D0"/>
    <w:rsid w:val="00987901"/>
    <w:rsid w:val="009879C9"/>
    <w:rsid w:val="00987ED5"/>
    <w:rsid w:val="0099001D"/>
    <w:rsid w:val="0099028C"/>
    <w:rsid w:val="009902A4"/>
    <w:rsid w:val="009904C8"/>
    <w:rsid w:val="00990C9D"/>
    <w:rsid w:val="00990DC1"/>
    <w:rsid w:val="0099108E"/>
    <w:rsid w:val="0099164F"/>
    <w:rsid w:val="009916DF"/>
    <w:rsid w:val="00991C2A"/>
    <w:rsid w:val="00991F25"/>
    <w:rsid w:val="0099240E"/>
    <w:rsid w:val="009929DA"/>
    <w:rsid w:val="00992B87"/>
    <w:rsid w:val="00992BC5"/>
    <w:rsid w:val="009932FA"/>
    <w:rsid w:val="00993A73"/>
    <w:rsid w:val="00993DFA"/>
    <w:rsid w:val="00993EA7"/>
    <w:rsid w:val="009945F6"/>
    <w:rsid w:val="009949D7"/>
    <w:rsid w:val="00994ADE"/>
    <w:rsid w:val="00995159"/>
    <w:rsid w:val="0099533B"/>
    <w:rsid w:val="00995857"/>
    <w:rsid w:val="0099592A"/>
    <w:rsid w:val="00995958"/>
    <w:rsid w:val="00995A62"/>
    <w:rsid w:val="00995BAA"/>
    <w:rsid w:val="00996679"/>
    <w:rsid w:val="00996EED"/>
    <w:rsid w:val="0099712B"/>
    <w:rsid w:val="009971D3"/>
    <w:rsid w:val="009972F3"/>
    <w:rsid w:val="00997E3F"/>
    <w:rsid w:val="00997EAA"/>
    <w:rsid w:val="009A0022"/>
    <w:rsid w:val="009A0366"/>
    <w:rsid w:val="009A04F3"/>
    <w:rsid w:val="009A07A5"/>
    <w:rsid w:val="009A0EEC"/>
    <w:rsid w:val="009A11C5"/>
    <w:rsid w:val="009A16BB"/>
    <w:rsid w:val="009A177B"/>
    <w:rsid w:val="009A1904"/>
    <w:rsid w:val="009A1D14"/>
    <w:rsid w:val="009A1DF6"/>
    <w:rsid w:val="009A1F5D"/>
    <w:rsid w:val="009A2047"/>
    <w:rsid w:val="009A2692"/>
    <w:rsid w:val="009A28E0"/>
    <w:rsid w:val="009A294D"/>
    <w:rsid w:val="009A3375"/>
    <w:rsid w:val="009A3878"/>
    <w:rsid w:val="009A3A64"/>
    <w:rsid w:val="009A3BBF"/>
    <w:rsid w:val="009A3E6F"/>
    <w:rsid w:val="009A4642"/>
    <w:rsid w:val="009A5034"/>
    <w:rsid w:val="009A508A"/>
    <w:rsid w:val="009A59B6"/>
    <w:rsid w:val="009A6178"/>
    <w:rsid w:val="009A6588"/>
    <w:rsid w:val="009A6C28"/>
    <w:rsid w:val="009A6ED6"/>
    <w:rsid w:val="009A737B"/>
    <w:rsid w:val="009A77D4"/>
    <w:rsid w:val="009A7B57"/>
    <w:rsid w:val="009A7B98"/>
    <w:rsid w:val="009A7C0F"/>
    <w:rsid w:val="009A7C21"/>
    <w:rsid w:val="009A7CED"/>
    <w:rsid w:val="009B012F"/>
    <w:rsid w:val="009B0935"/>
    <w:rsid w:val="009B13CC"/>
    <w:rsid w:val="009B17A0"/>
    <w:rsid w:val="009B19C6"/>
    <w:rsid w:val="009B1C85"/>
    <w:rsid w:val="009B1E59"/>
    <w:rsid w:val="009B27A9"/>
    <w:rsid w:val="009B2C74"/>
    <w:rsid w:val="009B2D4D"/>
    <w:rsid w:val="009B2E86"/>
    <w:rsid w:val="009B2FEB"/>
    <w:rsid w:val="009B3005"/>
    <w:rsid w:val="009B3867"/>
    <w:rsid w:val="009B3BA3"/>
    <w:rsid w:val="009B3F5C"/>
    <w:rsid w:val="009B42CC"/>
    <w:rsid w:val="009B47FD"/>
    <w:rsid w:val="009B4E61"/>
    <w:rsid w:val="009B5CE7"/>
    <w:rsid w:val="009B641D"/>
    <w:rsid w:val="009B6900"/>
    <w:rsid w:val="009B6CA6"/>
    <w:rsid w:val="009B6CF0"/>
    <w:rsid w:val="009B6FB9"/>
    <w:rsid w:val="009B7600"/>
    <w:rsid w:val="009B7E8C"/>
    <w:rsid w:val="009C0691"/>
    <w:rsid w:val="009C093B"/>
    <w:rsid w:val="009C0BC2"/>
    <w:rsid w:val="009C0FDD"/>
    <w:rsid w:val="009C1147"/>
    <w:rsid w:val="009C132D"/>
    <w:rsid w:val="009C13C9"/>
    <w:rsid w:val="009C14CD"/>
    <w:rsid w:val="009C1621"/>
    <w:rsid w:val="009C176A"/>
    <w:rsid w:val="009C19D8"/>
    <w:rsid w:val="009C1BBD"/>
    <w:rsid w:val="009C25B0"/>
    <w:rsid w:val="009C2CDB"/>
    <w:rsid w:val="009C2D97"/>
    <w:rsid w:val="009C35DA"/>
    <w:rsid w:val="009C378F"/>
    <w:rsid w:val="009C3A37"/>
    <w:rsid w:val="009C3A8B"/>
    <w:rsid w:val="009C3C61"/>
    <w:rsid w:val="009C4290"/>
    <w:rsid w:val="009C4BAC"/>
    <w:rsid w:val="009C4BB2"/>
    <w:rsid w:val="009C4EB5"/>
    <w:rsid w:val="009C553C"/>
    <w:rsid w:val="009C557F"/>
    <w:rsid w:val="009C593B"/>
    <w:rsid w:val="009C5A20"/>
    <w:rsid w:val="009C634A"/>
    <w:rsid w:val="009C66CB"/>
    <w:rsid w:val="009C692C"/>
    <w:rsid w:val="009C7F28"/>
    <w:rsid w:val="009C7FDB"/>
    <w:rsid w:val="009D0400"/>
    <w:rsid w:val="009D06A5"/>
    <w:rsid w:val="009D0898"/>
    <w:rsid w:val="009D09DA"/>
    <w:rsid w:val="009D1183"/>
    <w:rsid w:val="009D1247"/>
    <w:rsid w:val="009D1776"/>
    <w:rsid w:val="009D1827"/>
    <w:rsid w:val="009D1A3B"/>
    <w:rsid w:val="009D1B9F"/>
    <w:rsid w:val="009D1C0D"/>
    <w:rsid w:val="009D21E2"/>
    <w:rsid w:val="009D234D"/>
    <w:rsid w:val="009D2B78"/>
    <w:rsid w:val="009D2E3A"/>
    <w:rsid w:val="009D2F2C"/>
    <w:rsid w:val="009D30FD"/>
    <w:rsid w:val="009D3921"/>
    <w:rsid w:val="009D3BCA"/>
    <w:rsid w:val="009D3C20"/>
    <w:rsid w:val="009D3E6E"/>
    <w:rsid w:val="009D4215"/>
    <w:rsid w:val="009D460D"/>
    <w:rsid w:val="009D4727"/>
    <w:rsid w:val="009D487C"/>
    <w:rsid w:val="009D4BBE"/>
    <w:rsid w:val="009D4D2B"/>
    <w:rsid w:val="009D58C7"/>
    <w:rsid w:val="009D5EAB"/>
    <w:rsid w:val="009D633A"/>
    <w:rsid w:val="009D63F7"/>
    <w:rsid w:val="009D64C9"/>
    <w:rsid w:val="009D661F"/>
    <w:rsid w:val="009D6768"/>
    <w:rsid w:val="009D6F3D"/>
    <w:rsid w:val="009D769D"/>
    <w:rsid w:val="009D7739"/>
    <w:rsid w:val="009D77E1"/>
    <w:rsid w:val="009D786D"/>
    <w:rsid w:val="009D7BEE"/>
    <w:rsid w:val="009D7CE1"/>
    <w:rsid w:val="009E03E8"/>
    <w:rsid w:val="009E077A"/>
    <w:rsid w:val="009E0AF7"/>
    <w:rsid w:val="009E0E2D"/>
    <w:rsid w:val="009E0FCC"/>
    <w:rsid w:val="009E1872"/>
    <w:rsid w:val="009E1879"/>
    <w:rsid w:val="009E1B81"/>
    <w:rsid w:val="009E1D38"/>
    <w:rsid w:val="009E1F58"/>
    <w:rsid w:val="009E2758"/>
    <w:rsid w:val="009E2AE0"/>
    <w:rsid w:val="009E2BBD"/>
    <w:rsid w:val="009E2E7E"/>
    <w:rsid w:val="009E2FEE"/>
    <w:rsid w:val="009E30F1"/>
    <w:rsid w:val="009E3260"/>
    <w:rsid w:val="009E3311"/>
    <w:rsid w:val="009E3334"/>
    <w:rsid w:val="009E3E12"/>
    <w:rsid w:val="009E4187"/>
    <w:rsid w:val="009E44E4"/>
    <w:rsid w:val="009E459F"/>
    <w:rsid w:val="009E49BB"/>
    <w:rsid w:val="009E4FD1"/>
    <w:rsid w:val="009E51DA"/>
    <w:rsid w:val="009E5205"/>
    <w:rsid w:val="009E6354"/>
    <w:rsid w:val="009E6EC3"/>
    <w:rsid w:val="009E7194"/>
    <w:rsid w:val="009E75DC"/>
    <w:rsid w:val="009E76B3"/>
    <w:rsid w:val="009E77B9"/>
    <w:rsid w:val="009E7B25"/>
    <w:rsid w:val="009F0764"/>
    <w:rsid w:val="009F0C30"/>
    <w:rsid w:val="009F11E3"/>
    <w:rsid w:val="009F11FE"/>
    <w:rsid w:val="009F13B0"/>
    <w:rsid w:val="009F14AD"/>
    <w:rsid w:val="009F1A1E"/>
    <w:rsid w:val="009F1FDC"/>
    <w:rsid w:val="009F27E3"/>
    <w:rsid w:val="009F2CB6"/>
    <w:rsid w:val="009F2E1F"/>
    <w:rsid w:val="009F35D9"/>
    <w:rsid w:val="009F38DB"/>
    <w:rsid w:val="009F391B"/>
    <w:rsid w:val="009F3AC4"/>
    <w:rsid w:val="009F43A1"/>
    <w:rsid w:val="009F43BE"/>
    <w:rsid w:val="009F46C8"/>
    <w:rsid w:val="009F476E"/>
    <w:rsid w:val="009F4BC6"/>
    <w:rsid w:val="009F4DA1"/>
    <w:rsid w:val="009F515A"/>
    <w:rsid w:val="009F5CA9"/>
    <w:rsid w:val="009F5EB9"/>
    <w:rsid w:val="009F6473"/>
    <w:rsid w:val="009F66AB"/>
    <w:rsid w:val="009F682E"/>
    <w:rsid w:val="009F6E2B"/>
    <w:rsid w:val="009F70C9"/>
    <w:rsid w:val="009F7242"/>
    <w:rsid w:val="009F7685"/>
    <w:rsid w:val="00A000C4"/>
    <w:rsid w:val="00A00657"/>
    <w:rsid w:val="00A0126D"/>
    <w:rsid w:val="00A01620"/>
    <w:rsid w:val="00A01688"/>
    <w:rsid w:val="00A01A3B"/>
    <w:rsid w:val="00A01A5C"/>
    <w:rsid w:val="00A01F82"/>
    <w:rsid w:val="00A02251"/>
    <w:rsid w:val="00A022BB"/>
    <w:rsid w:val="00A02473"/>
    <w:rsid w:val="00A02C04"/>
    <w:rsid w:val="00A0307A"/>
    <w:rsid w:val="00A03098"/>
    <w:rsid w:val="00A0349C"/>
    <w:rsid w:val="00A03B0C"/>
    <w:rsid w:val="00A03E74"/>
    <w:rsid w:val="00A041F3"/>
    <w:rsid w:val="00A046B5"/>
    <w:rsid w:val="00A046B8"/>
    <w:rsid w:val="00A05064"/>
    <w:rsid w:val="00A055C8"/>
    <w:rsid w:val="00A05730"/>
    <w:rsid w:val="00A05BB4"/>
    <w:rsid w:val="00A064DD"/>
    <w:rsid w:val="00A067F8"/>
    <w:rsid w:val="00A06CEC"/>
    <w:rsid w:val="00A06DA9"/>
    <w:rsid w:val="00A06FFF"/>
    <w:rsid w:val="00A07BEF"/>
    <w:rsid w:val="00A105AE"/>
    <w:rsid w:val="00A10D7F"/>
    <w:rsid w:val="00A1131C"/>
    <w:rsid w:val="00A114BE"/>
    <w:rsid w:val="00A121BD"/>
    <w:rsid w:val="00A12F53"/>
    <w:rsid w:val="00A12FA8"/>
    <w:rsid w:val="00A132E7"/>
    <w:rsid w:val="00A1391D"/>
    <w:rsid w:val="00A13CE2"/>
    <w:rsid w:val="00A13D0D"/>
    <w:rsid w:val="00A14242"/>
    <w:rsid w:val="00A146A7"/>
    <w:rsid w:val="00A1494B"/>
    <w:rsid w:val="00A14FB1"/>
    <w:rsid w:val="00A15107"/>
    <w:rsid w:val="00A154C8"/>
    <w:rsid w:val="00A1574D"/>
    <w:rsid w:val="00A15802"/>
    <w:rsid w:val="00A15EBE"/>
    <w:rsid w:val="00A1621F"/>
    <w:rsid w:val="00A1645F"/>
    <w:rsid w:val="00A16763"/>
    <w:rsid w:val="00A16AEF"/>
    <w:rsid w:val="00A16BD5"/>
    <w:rsid w:val="00A16BDF"/>
    <w:rsid w:val="00A16CED"/>
    <w:rsid w:val="00A16E85"/>
    <w:rsid w:val="00A173C9"/>
    <w:rsid w:val="00A1781D"/>
    <w:rsid w:val="00A17946"/>
    <w:rsid w:val="00A17B30"/>
    <w:rsid w:val="00A17B8A"/>
    <w:rsid w:val="00A17D21"/>
    <w:rsid w:val="00A17E6D"/>
    <w:rsid w:val="00A17FD3"/>
    <w:rsid w:val="00A20BCB"/>
    <w:rsid w:val="00A20E3E"/>
    <w:rsid w:val="00A213A8"/>
    <w:rsid w:val="00A21A48"/>
    <w:rsid w:val="00A22519"/>
    <w:rsid w:val="00A2261D"/>
    <w:rsid w:val="00A22737"/>
    <w:rsid w:val="00A229CD"/>
    <w:rsid w:val="00A22CB1"/>
    <w:rsid w:val="00A22E26"/>
    <w:rsid w:val="00A22E36"/>
    <w:rsid w:val="00A2314C"/>
    <w:rsid w:val="00A236F5"/>
    <w:rsid w:val="00A2381C"/>
    <w:rsid w:val="00A244A6"/>
    <w:rsid w:val="00A24841"/>
    <w:rsid w:val="00A249DD"/>
    <w:rsid w:val="00A24E60"/>
    <w:rsid w:val="00A254F5"/>
    <w:rsid w:val="00A25881"/>
    <w:rsid w:val="00A25C65"/>
    <w:rsid w:val="00A25C74"/>
    <w:rsid w:val="00A262E2"/>
    <w:rsid w:val="00A266F9"/>
    <w:rsid w:val="00A26749"/>
    <w:rsid w:val="00A2692A"/>
    <w:rsid w:val="00A26C43"/>
    <w:rsid w:val="00A27808"/>
    <w:rsid w:val="00A27923"/>
    <w:rsid w:val="00A27DA5"/>
    <w:rsid w:val="00A27F70"/>
    <w:rsid w:val="00A30349"/>
    <w:rsid w:val="00A30A9C"/>
    <w:rsid w:val="00A30C28"/>
    <w:rsid w:val="00A30D66"/>
    <w:rsid w:val="00A30FD8"/>
    <w:rsid w:val="00A31199"/>
    <w:rsid w:val="00A3189A"/>
    <w:rsid w:val="00A32019"/>
    <w:rsid w:val="00A32186"/>
    <w:rsid w:val="00A326B2"/>
    <w:rsid w:val="00A32B8E"/>
    <w:rsid w:val="00A331D2"/>
    <w:rsid w:val="00A34855"/>
    <w:rsid w:val="00A34945"/>
    <w:rsid w:val="00A34B80"/>
    <w:rsid w:val="00A352D1"/>
    <w:rsid w:val="00A353F5"/>
    <w:rsid w:val="00A35AB0"/>
    <w:rsid w:val="00A35D37"/>
    <w:rsid w:val="00A361E9"/>
    <w:rsid w:val="00A3644B"/>
    <w:rsid w:val="00A366C1"/>
    <w:rsid w:val="00A3677C"/>
    <w:rsid w:val="00A36CA4"/>
    <w:rsid w:val="00A36F79"/>
    <w:rsid w:val="00A36FA0"/>
    <w:rsid w:val="00A372FA"/>
    <w:rsid w:val="00A37ACE"/>
    <w:rsid w:val="00A404E3"/>
    <w:rsid w:val="00A407B0"/>
    <w:rsid w:val="00A40E77"/>
    <w:rsid w:val="00A41330"/>
    <w:rsid w:val="00A4140B"/>
    <w:rsid w:val="00A41708"/>
    <w:rsid w:val="00A4192C"/>
    <w:rsid w:val="00A41D88"/>
    <w:rsid w:val="00A41DE3"/>
    <w:rsid w:val="00A4235E"/>
    <w:rsid w:val="00A427A0"/>
    <w:rsid w:val="00A42A2F"/>
    <w:rsid w:val="00A42A5C"/>
    <w:rsid w:val="00A43AAC"/>
    <w:rsid w:val="00A43D62"/>
    <w:rsid w:val="00A44021"/>
    <w:rsid w:val="00A44873"/>
    <w:rsid w:val="00A44B01"/>
    <w:rsid w:val="00A452A6"/>
    <w:rsid w:val="00A4544B"/>
    <w:rsid w:val="00A455BB"/>
    <w:rsid w:val="00A45884"/>
    <w:rsid w:val="00A45CEA"/>
    <w:rsid w:val="00A45D2A"/>
    <w:rsid w:val="00A4607A"/>
    <w:rsid w:val="00A465B1"/>
    <w:rsid w:val="00A46698"/>
    <w:rsid w:val="00A46DDE"/>
    <w:rsid w:val="00A46EA0"/>
    <w:rsid w:val="00A46EF6"/>
    <w:rsid w:val="00A46F70"/>
    <w:rsid w:val="00A4799F"/>
    <w:rsid w:val="00A47B1A"/>
    <w:rsid w:val="00A47B42"/>
    <w:rsid w:val="00A47F4F"/>
    <w:rsid w:val="00A47FD5"/>
    <w:rsid w:val="00A5096D"/>
    <w:rsid w:val="00A50C91"/>
    <w:rsid w:val="00A50CFF"/>
    <w:rsid w:val="00A50F87"/>
    <w:rsid w:val="00A5131C"/>
    <w:rsid w:val="00A524CB"/>
    <w:rsid w:val="00A52709"/>
    <w:rsid w:val="00A52987"/>
    <w:rsid w:val="00A52A6B"/>
    <w:rsid w:val="00A538A0"/>
    <w:rsid w:val="00A5390E"/>
    <w:rsid w:val="00A53985"/>
    <w:rsid w:val="00A54338"/>
    <w:rsid w:val="00A5442F"/>
    <w:rsid w:val="00A5452F"/>
    <w:rsid w:val="00A54816"/>
    <w:rsid w:val="00A5489D"/>
    <w:rsid w:val="00A54A4A"/>
    <w:rsid w:val="00A54C4E"/>
    <w:rsid w:val="00A54F40"/>
    <w:rsid w:val="00A55F25"/>
    <w:rsid w:val="00A561BC"/>
    <w:rsid w:val="00A56266"/>
    <w:rsid w:val="00A56673"/>
    <w:rsid w:val="00A56DB8"/>
    <w:rsid w:val="00A57095"/>
    <w:rsid w:val="00A57590"/>
    <w:rsid w:val="00A575EE"/>
    <w:rsid w:val="00A606CC"/>
    <w:rsid w:val="00A60BF0"/>
    <w:rsid w:val="00A612D2"/>
    <w:rsid w:val="00A6160E"/>
    <w:rsid w:val="00A616B2"/>
    <w:rsid w:val="00A61889"/>
    <w:rsid w:val="00A619C2"/>
    <w:rsid w:val="00A61B84"/>
    <w:rsid w:val="00A61BC3"/>
    <w:rsid w:val="00A62272"/>
    <w:rsid w:val="00A62AF0"/>
    <w:rsid w:val="00A6303C"/>
    <w:rsid w:val="00A6460A"/>
    <w:rsid w:val="00A64804"/>
    <w:rsid w:val="00A64999"/>
    <w:rsid w:val="00A64D9C"/>
    <w:rsid w:val="00A64E39"/>
    <w:rsid w:val="00A65094"/>
    <w:rsid w:val="00A664D3"/>
    <w:rsid w:val="00A66A64"/>
    <w:rsid w:val="00A66EDD"/>
    <w:rsid w:val="00A670C8"/>
    <w:rsid w:val="00A6718C"/>
    <w:rsid w:val="00A67227"/>
    <w:rsid w:val="00A6725E"/>
    <w:rsid w:val="00A67519"/>
    <w:rsid w:val="00A6782A"/>
    <w:rsid w:val="00A67AE8"/>
    <w:rsid w:val="00A67FC2"/>
    <w:rsid w:val="00A67FE4"/>
    <w:rsid w:val="00A700C0"/>
    <w:rsid w:val="00A7033C"/>
    <w:rsid w:val="00A70BD7"/>
    <w:rsid w:val="00A71406"/>
    <w:rsid w:val="00A71A50"/>
    <w:rsid w:val="00A71B2F"/>
    <w:rsid w:val="00A71D9A"/>
    <w:rsid w:val="00A72A99"/>
    <w:rsid w:val="00A72B44"/>
    <w:rsid w:val="00A72FAA"/>
    <w:rsid w:val="00A72FE5"/>
    <w:rsid w:val="00A738C6"/>
    <w:rsid w:val="00A73922"/>
    <w:rsid w:val="00A74128"/>
    <w:rsid w:val="00A7439D"/>
    <w:rsid w:val="00A74459"/>
    <w:rsid w:val="00A749A6"/>
    <w:rsid w:val="00A74E89"/>
    <w:rsid w:val="00A74F6B"/>
    <w:rsid w:val="00A7514F"/>
    <w:rsid w:val="00A7524D"/>
    <w:rsid w:val="00A752C2"/>
    <w:rsid w:val="00A755AC"/>
    <w:rsid w:val="00A759B6"/>
    <w:rsid w:val="00A75E33"/>
    <w:rsid w:val="00A7621C"/>
    <w:rsid w:val="00A763AB"/>
    <w:rsid w:val="00A76E59"/>
    <w:rsid w:val="00A76F69"/>
    <w:rsid w:val="00A76F9E"/>
    <w:rsid w:val="00A76FDD"/>
    <w:rsid w:val="00A772A1"/>
    <w:rsid w:val="00A7747D"/>
    <w:rsid w:val="00A77AC1"/>
    <w:rsid w:val="00A77BDD"/>
    <w:rsid w:val="00A8014F"/>
    <w:rsid w:val="00A803D3"/>
    <w:rsid w:val="00A8056E"/>
    <w:rsid w:val="00A80E76"/>
    <w:rsid w:val="00A81262"/>
    <w:rsid w:val="00A8195A"/>
    <w:rsid w:val="00A8207A"/>
    <w:rsid w:val="00A824A1"/>
    <w:rsid w:val="00A82C43"/>
    <w:rsid w:val="00A830D5"/>
    <w:rsid w:val="00A832EB"/>
    <w:rsid w:val="00A83584"/>
    <w:rsid w:val="00A84169"/>
    <w:rsid w:val="00A844CE"/>
    <w:rsid w:val="00A8453A"/>
    <w:rsid w:val="00A848E8"/>
    <w:rsid w:val="00A84971"/>
    <w:rsid w:val="00A84BA7"/>
    <w:rsid w:val="00A853AD"/>
    <w:rsid w:val="00A8549F"/>
    <w:rsid w:val="00A856C4"/>
    <w:rsid w:val="00A85A6B"/>
    <w:rsid w:val="00A85C4B"/>
    <w:rsid w:val="00A85E5E"/>
    <w:rsid w:val="00A86725"/>
    <w:rsid w:val="00A86C9E"/>
    <w:rsid w:val="00A86D6F"/>
    <w:rsid w:val="00A8742D"/>
    <w:rsid w:val="00A87436"/>
    <w:rsid w:val="00A87A7E"/>
    <w:rsid w:val="00A87B7A"/>
    <w:rsid w:val="00A87BD0"/>
    <w:rsid w:val="00A905B5"/>
    <w:rsid w:val="00A9095D"/>
    <w:rsid w:val="00A90BA9"/>
    <w:rsid w:val="00A90BCC"/>
    <w:rsid w:val="00A914F3"/>
    <w:rsid w:val="00A9192C"/>
    <w:rsid w:val="00A91D14"/>
    <w:rsid w:val="00A91F07"/>
    <w:rsid w:val="00A91F46"/>
    <w:rsid w:val="00A923D2"/>
    <w:rsid w:val="00A92475"/>
    <w:rsid w:val="00A92730"/>
    <w:rsid w:val="00A927DE"/>
    <w:rsid w:val="00A928C1"/>
    <w:rsid w:val="00A92D24"/>
    <w:rsid w:val="00A92E84"/>
    <w:rsid w:val="00A93023"/>
    <w:rsid w:val="00A932B3"/>
    <w:rsid w:val="00A9345E"/>
    <w:rsid w:val="00A9398C"/>
    <w:rsid w:val="00A93993"/>
    <w:rsid w:val="00A93F3D"/>
    <w:rsid w:val="00A94018"/>
    <w:rsid w:val="00A9453B"/>
    <w:rsid w:val="00A94860"/>
    <w:rsid w:val="00A94B2F"/>
    <w:rsid w:val="00A94D39"/>
    <w:rsid w:val="00A94F8A"/>
    <w:rsid w:val="00A961F9"/>
    <w:rsid w:val="00A9631C"/>
    <w:rsid w:val="00A963CC"/>
    <w:rsid w:val="00A96409"/>
    <w:rsid w:val="00A96547"/>
    <w:rsid w:val="00A96829"/>
    <w:rsid w:val="00A96A41"/>
    <w:rsid w:val="00A96C53"/>
    <w:rsid w:val="00A96E86"/>
    <w:rsid w:val="00A96F7F"/>
    <w:rsid w:val="00A9717A"/>
    <w:rsid w:val="00A97C46"/>
    <w:rsid w:val="00AA1AF4"/>
    <w:rsid w:val="00AA1E3E"/>
    <w:rsid w:val="00AA216B"/>
    <w:rsid w:val="00AA22C1"/>
    <w:rsid w:val="00AA232A"/>
    <w:rsid w:val="00AA2456"/>
    <w:rsid w:val="00AA2648"/>
    <w:rsid w:val="00AA2F11"/>
    <w:rsid w:val="00AA3244"/>
    <w:rsid w:val="00AA3F39"/>
    <w:rsid w:val="00AA40D5"/>
    <w:rsid w:val="00AA4606"/>
    <w:rsid w:val="00AA4904"/>
    <w:rsid w:val="00AA4B30"/>
    <w:rsid w:val="00AA5074"/>
    <w:rsid w:val="00AA6140"/>
    <w:rsid w:val="00AA6149"/>
    <w:rsid w:val="00AA6486"/>
    <w:rsid w:val="00AA65BF"/>
    <w:rsid w:val="00AA6CFA"/>
    <w:rsid w:val="00AA7A2E"/>
    <w:rsid w:val="00AA7BA4"/>
    <w:rsid w:val="00AA7C96"/>
    <w:rsid w:val="00AA7D4A"/>
    <w:rsid w:val="00AB0425"/>
    <w:rsid w:val="00AB06DA"/>
    <w:rsid w:val="00AB0ACF"/>
    <w:rsid w:val="00AB0B58"/>
    <w:rsid w:val="00AB1148"/>
    <w:rsid w:val="00AB11B3"/>
    <w:rsid w:val="00AB14C5"/>
    <w:rsid w:val="00AB18CA"/>
    <w:rsid w:val="00AB1BC8"/>
    <w:rsid w:val="00AB1C18"/>
    <w:rsid w:val="00AB1D25"/>
    <w:rsid w:val="00AB1F02"/>
    <w:rsid w:val="00AB2371"/>
    <w:rsid w:val="00AB23FB"/>
    <w:rsid w:val="00AB2B67"/>
    <w:rsid w:val="00AB316F"/>
    <w:rsid w:val="00AB3267"/>
    <w:rsid w:val="00AB33CD"/>
    <w:rsid w:val="00AB3445"/>
    <w:rsid w:val="00AB350B"/>
    <w:rsid w:val="00AB3774"/>
    <w:rsid w:val="00AB3844"/>
    <w:rsid w:val="00AB385D"/>
    <w:rsid w:val="00AB3E45"/>
    <w:rsid w:val="00AB3F5E"/>
    <w:rsid w:val="00AB4C6F"/>
    <w:rsid w:val="00AB4F98"/>
    <w:rsid w:val="00AB5496"/>
    <w:rsid w:val="00AB5589"/>
    <w:rsid w:val="00AB5840"/>
    <w:rsid w:val="00AB5C33"/>
    <w:rsid w:val="00AB5C6C"/>
    <w:rsid w:val="00AB5D54"/>
    <w:rsid w:val="00AB60FC"/>
    <w:rsid w:val="00AB6127"/>
    <w:rsid w:val="00AB671C"/>
    <w:rsid w:val="00AB675A"/>
    <w:rsid w:val="00AB6795"/>
    <w:rsid w:val="00AB6A6E"/>
    <w:rsid w:val="00AB6D21"/>
    <w:rsid w:val="00AB6D59"/>
    <w:rsid w:val="00AB6DB5"/>
    <w:rsid w:val="00AB6F41"/>
    <w:rsid w:val="00AB7416"/>
    <w:rsid w:val="00AB7B42"/>
    <w:rsid w:val="00AB7B7F"/>
    <w:rsid w:val="00AC04A8"/>
    <w:rsid w:val="00AC0C65"/>
    <w:rsid w:val="00AC0CAB"/>
    <w:rsid w:val="00AC132E"/>
    <w:rsid w:val="00AC13E9"/>
    <w:rsid w:val="00AC1455"/>
    <w:rsid w:val="00AC16FF"/>
    <w:rsid w:val="00AC1749"/>
    <w:rsid w:val="00AC1752"/>
    <w:rsid w:val="00AC183F"/>
    <w:rsid w:val="00AC1903"/>
    <w:rsid w:val="00AC1C58"/>
    <w:rsid w:val="00AC1EFC"/>
    <w:rsid w:val="00AC27C1"/>
    <w:rsid w:val="00AC28F9"/>
    <w:rsid w:val="00AC2B0A"/>
    <w:rsid w:val="00AC2DB7"/>
    <w:rsid w:val="00AC2E55"/>
    <w:rsid w:val="00AC2FCD"/>
    <w:rsid w:val="00AC4052"/>
    <w:rsid w:val="00AC4213"/>
    <w:rsid w:val="00AC4469"/>
    <w:rsid w:val="00AC454A"/>
    <w:rsid w:val="00AC49F5"/>
    <w:rsid w:val="00AC4CD7"/>
    <w:rsid w:val="00AC4E94"/>
    <w:rsid w:val="00AC509E"/>
    <w:rsid w:val="00AC549E"/>
    <w:rsid w:val="00AC5721"/>
    <w:rsid w:val="00AC5B07"/>
    <w:rsid w:val="00AC5F62"/>
    <w:rsid w:val="00AC65A4"/>
    <w:rsid w:val="00AC65D4"/>
    <w:rsid w:val="00AC68A7"/>
    <w:rsid w:val="00AC6917"/>
    <w:rsid w:val="00AC714D"/>
    <w:rsid w:val="00AC7206"/>
    <w:rsid w:val="00AC727D"/>
    <w:rsid w:val="00AC7367"/>
    <w:rsid w:val="00AC747D"/>
    <w:rsid w:val="00AC7540"/>
    <w:rsid w:val="00AD0170"/>
    <w:rsid w:val="00AD0881"/>
    <w:rsid w:val="00AD0E6D"/>
    <w:rsid w:val="00AD1097"/>
    <w:rsid w:val="00AD11A4"/>
    <w:rsid w:val="00AD144F"/>
    <w:rsid w:val="00AD19A5"/>
    <w:rsid w:val="00AD1AA9"/>
    <w:rsid w:val="00AD1EB4"/>
    <w:rsid w:val="00AD21F8"/>
    <w:rsid w:val="00AD2391"/>
    <w:rsid w:val="00AD24E3"/>
    <w:rsid w:val="00AD2674"/>
    <w:rsid w:val="00AD2B47"/>
    <w:rsid w:val="00AD33FE"/>
    <w:rsid w:val="00AD3A46"/>
    <w:rsid w:val="00AD3C53"/>
    <w:rsid w:val="00AD3D40"/>
    <w:rsid w:val="00AD4665"/>
    <w:rsid w:val="00AD4698"/>
    <w:rsid w:val="00AD5ACC"/>
    <w:rsid w:val="00AD6306"/>
    <w:rsid w:val="00AD6569"/>
    <w:rsid w:val="00AD68A9"/>
    <w:rsid w:val="00AD7058"/>
    <w:rsid w:val="00AD72BD"/>
    <w:rsid w:val="00AD7813"/>
    <w:rsid w:val="00AD79EF"/>
    <w:rsid w:val="00AD7C74"/>
    <w:rsid w:val="00AD7E7F"/>
    <w:rsid w:val="00AE06F3"/>
    <w:rsid w:val="00AE0D7B"/>
    <w:rsid w:val="00AE0E5A"/>
    <w:rsid w:val="00AE110B"/>
    <w:rsid w:val="00AE1162"/>
    <w:rsid w:val="00AE11C2"/>
    <w:rsid w:val="00AE126D"/>
    <w:rsid w:val="00AE1324"/>
    <w:rsid w:val="00AE17D2"/>
    <w:rsid w:val="00AE190D"/>
    <w:rsid w:val="00AE2098"/>
    <w:rsid w:val="00AE20E6"/>
    <w:rsid w:val="00AE2581"/>
    <w:rsid w:val="00AE2DC0"/>
    <w:rsid w:val="00AE309C"/>
    <w:rsid w:val="00AE370E"/>
    <w:rsid w:val="00AE38BF"/>
    <w:rsid w:val="00AE3C7A"/>
    <w:rsid w:val="00AE3E09"/>
    <w:rsid w:val="00AE3FC0"/>
    <w:rsid w:val="00AE4692"/>
    <w:rsid w:val="00AE46E7"/>
    <w:rsid w:val="00AE477C"/>
    <w:rsid w:val="00AE4BB2"/>
    <w:rsid w:val="00AE4D63"/>
    <w:rsid w:val="00AE4E2A"/>
    <w:rsid w:val="00AE54B5"/>
    <w:rsid w:val="00AE5643"/>
    <w:rsid w:val="00AE57CA"/>
    <w:rsid w:val="00AE6352"/>
    <w:rsid w:val="00AE65DB"/>
    <w:rsid w:val="00AE669D"/>
    <w:rsid w:val="00AE66EA"/>
    <w:rsid w:val="00AE6936"/>
    <w:rsid w:val="00AE709D"/>
    <w:rsid w:val="00AE7A49"/>
    <w:rsid w:val="00AE7B5B"/>
    <w:rsid w:val="00AF021A"/>
    <w:rsid w:val="00AF048F"/>
    <w:rsid w:val="00AF087A"/>
    <w:rsid w:val="00AF08DE"/>
    <w:rsid w:val="00AF0A13"/>
    <w:rsid w:val="00AF0D8E"/>
    <w:rsid w:val="00AF1657"/>
    <w:rsid w:val="00AF165B"/>
    <w:rsid w:val="00AF18A9"/>
    <w:rsid w:val="00AF18EA"/>
    <w:rsid w:val="00AF1B63"/>
    <w:rsid w:val="00AF1C41"/>
    <w:rsid w:val="00AF1D90"/>
    <w:rsid w:val="00AF1EF3"/>
    <w:rsid w:val="00AF2509"/>
    <w:rsid w:val="00AF250D"/>
    <w:rsid w:val="00AF267C"/>
    <w:rsid w:val="00AF287D"/>
    <w:rsid w:val="00AF28E5"/>
    <w:rsid w:val="00AF2CB2"/>
    <w:rsid w:val="00AF2D6E"/>
    <w:rsid w:val="00AF2FA4"/>
    <w:rsid w:val="00AF2FB6"/>
    <w:rsid w:val="00AF3081"/>
    <w:rsid w:val="00AF324A"/>
    <w:rsid w:val="00AF4432"/>
    <w:rsid w:val="00AF47CE"/>
    <w:rsid w:val="00AF4DE2"/>
    <w:rsid w:val="00AF51A6"/>
    <w:rsid w:val="00AF5AC7"/>
    <w:rsid w:val="00AF5E01"/>
    <w:rsid w:val="00AF6064"/>
    <w:rsid w:val="00AF6090"/>
    <w:rsid w:val="00AF6146"/>
    <w:rsid w:val="00AF6148"/>
    <w:rsid w:val="00AF6C44"/>
    <w:rsid w:val="00AF6EDE"/>
    <w:rsid w:val="00AF7CE1"/>
    <w:rsid w:val="00B00200"/>
    <w:rsid w:val="00B002EA"/>
    <w:rsid w:val="00B00476"/>
    <w:rsid w:val="00B004D3"/>
    <w:rsid w:val="00B01278"/>
    <w:rsid w:val="00B0145B"/>
    <w:rsid w:val="00B0167C"/>
    <w:rsid w:val="00B019B5"/>
    <w:rsid w:val="00B01DCC"/>
    <w:rsid w:val="00B01EF8"/>
    <w:rsid w:val="00B01FB4"/>
    <w:rsid w:val="00B02DD4"/>
    <w:rsid w:val="00B036FD"/>
    <w:rsid w:val="00B03892"/>
    <w:rsid w:val="00B03A19"/>
    <w:rsid w:val="00B03EB6"/>
    <w:rsid w:val="00B0459B"/>
    <w:rsid w:val="00B04DAE"/>
    <w:rsid w:val="00B05079"/>
    <w:rsid w:val="00B052C1"/>
    <w:rsid w:val="00B058F9"/>
    <w:rsid w:val="00B059A1"/>
    <w:rsid w:val="00B05B2C"/>
    <w:rsid w:val="00B05B37"/>
    <w:rsid w:val="00B05E5A"/>
    <w:rsid w:val="00B06378"/>
    <w:rsid w:val="00B06855"/>
    <w:rsid w:val="00B068FA"/>
    <w:rsid w:val="00B06CFC"/>
    <w:rsid w:val="00B07125"/>
    <w:rsid w:val="00B073EA"/>
    <w:rsid w:val="00B0761F"/>
    <w:rsid w:val="00B0763A"/>
    <w:rsid w:val="00B104A9"/>
    <w:rsid w:val="00B10CD4"/>
    <w:rsid w:val="00B10E3C"/>
    <w:rsid w:val="00B11527"/>
    <w:rsid w:val="00B1161B"/>
    <w:rsid w:val="00B11656"/>
    <w:rsid w:val="00B127D6"/>
    <w:rsid w:val="00B128A5"/>
    <w:rsid w:val="00B12E78"/>
    <w:rsid w:val="00B13026"/>
    <w:rsid w:val="00B13132"/>
    <w:rsid w:val="00B133EF"/>
    <w:rsid w:val="00B13760"/>
    <w:rsid w:val="00B138F5"/>
    <w:rsid w:val="00B140E0"/>
    <w:rsid w:val="00B142AC"/>
    <w:rsid w:val="00B14808"/>
    <w:rsid w:val="00B148C7"/>
    <w:rsid w:val="00B14903"/>
    <w:rsid w:val="00B14D61"/>
    <w:rsid w:val="00B14F8E"/>
    <w:rsid w:val="00B152BE"/>
    <w:rsid w:val="00B15404"/>
    <w:rsid w:val="00B15464"/>
    <w:rsid w:val="00B1567F"/>
    <w:rsid w:val="00B157F7"/>
    <w:rsid w:val="00B15A95"/>
    <w:rsid w:val="00B15B14"/>
    <w:rsid w:val="00B15C20"/>
    <w:rsid w:val="00B1641A"/>
    <w:rsid w:val="00B1653D"/>
    <w:rsid w:val="00B169C3"/>
    <w:rsid w:val="00B16A95"/>
    <w:rsid w:val="00B16C86"/>
    <w:rsid w:val="00B16D0F"/>
    <w:rsid w:val="00B16DC8"/>
    <w:rsid w:val="00B16E95"/>
    <w:rsid w:val="00B1700F"/>
    <w:rsid w:val="00B17212"/>
    <w:rsid w:val="00B17774"/>
    <w:rsid w:val="00B17FA5"/>
    <w:rsid w:val="00B20190"/>
    <w:rsid w:val="00B206A0"/>
    <w:rsid w:val="00B20703"/>
    <w:rsid w:val="00B2088D"/>
    <w:rsid w:val="00B208B6"/>
    <w:rsid w:val="00B20ACC"/>
    <w:rsid w:val="00B219AB"/>
    <w:rsid w:val="00B21CE7"/>
    <w:rsid w:val="00B21F38"/>
    <w:rsid w:val="00B22038"/>
    <w:rsid w:val="00B224F0"/>
    <w:rsid w:val="00B2284E"/>
    <w:rsid w:val="00B22ED6"/>
    <w:rsid w:val="00B2313E"/>
    <w:rsid w:val="00B2318F"/>
    <w:rsid w:val="00B231B1"/>
    <w:rsid w:val="00B2323E"/>
    <w:rsid w:val="00B24082"/>
    <w:rsid w:val="00B2431F"/>
    <w:rsid w:val="00B243EA"/>
    <w:rsid w:val="00B24BDA"/>
    <w:rsid w:val="00B24D40"/>
    <w:rsid w:val="00B25494"/>
    <w:rsid w:val="00B255D9"/>
    <w:rsid w:val="00B25A98"/>
    <w:rsid w:val="00B25BB5"/>
    <w:rsid w:val="00B26295"/>
    <w:rsid w:val="00B262ED"/>
    <w:rsid w:val="00B26484"/>
    <w:rsid w:val="00B264F0"/>
    <w:rsid w:val="00B26530"/>
    <w:rsid w:val="00B26AB6"/>
    <w:rsid w:val="00B26FDF"/>
    <w:rsid w:val="00B27479"/>
    <w:rsid w:val="00B27A97"/>
    <w:rsid w:val="00B27F25"/>
    <w:rsid w:val="00B30368"/>
    <w:rsid w:val="00B307AD"/>
    <w:rsid w:val="00B307EC"/>
    <w:rsid w:val="00B30B36"/>
    <w:rsid w:val="00B30F1F"/>
    <w:rsid w:val="00B31234"/>
    <w:rsid w:val="00B317A8"/>
    <w:rsid w:val="00B31821"/>
    <w:rsid w:val="00B318ED"/>
    <w:rsid w:val="00B318F4"/>
    <w:rsid w:val="00B31B44"/>
    <w:rsid w:val="00B32098"/>
    <w:rsid w:val="00B3256F"/>
    <w:rsid w:val="00B32E10"/>
    <w:rsid w:val="00B334EA"/>
    <w:rsid w:val="00B33EDC"/>
    <w:rsid w:val="00B34911"/>
    <w:rsid w:val="00B3493D"/>
    <w:rsid w:val="00B34AB9"/>
    <w:rsid w:val="00B35728"/>
    <w:rsid w:val="00B358F9"/>
    <w:rsid w:val="00B35C51"/>
    <w:rsid w:val="00B35D0D"/>
    <w:rsid w:val="00B35E1B"/>
    <w:rsid w:val="00B36001"/>
    <w:rsid w:val="00B360DE"/>
    <w:rsid w:val="00B36145"/>
    <w:rsid w:val="00B367BB"/>
    <w:rsid w:val="00B367FC"/>
    <w:rsid w:val="00B36FAC"/>
    <w:rsid w:val="00B3748B"/>
    <w:rsid w:val="00B375D2"/>
    <w:rsid w:val="00B37D92"/>
    <w:rsid w:val="00B40444"/>
    <w:rsid w:val="00B4046A"/>
    <w:rsid w:val="00B40773"/>
    <w:rsid w:val="00B4109B"/>
    <w:rsid w:val="00B4165A"/>
    <w:rsid w:val="00B4177C"/>
    <w:rsid w:val="00B41E38"/>
    <w:rsid w:val="00B41F1B"/>
    <w:rsid w:val="00B42185"/>
    <w:rsid w:val="00B422A1"/>
    <w:rsid w:val="00B4272B"/>
    <w:rsid w:val="00B42C47"/>
    <w:rsid w:val="00B43349"/>
    <w:rsid w:val="00B4334A"/>
    <w:rsid w:val="00B43D03"/>
    <w:rsid w:val="00B43E10"/>
    <w:rsid w:val="00B444A3"/>
    <w:rsid w:val="00B44A73"/>
    <w:rsid w:val="00B44F55"/>
    <w:rsid w:val="00B4510B"/>
    <w:rsid w:val="00B45525"/>
    <w:rsid w:val="00B4559B"/>
    <w:rsid w:val="00B45862"/>
    <w:rsid w:val="00B45EA3"/>
    <w:rsid w:val="00B45EC7"/>
    <w:rsid w:val="00B462D8"/>
    <w:rsid w:val="00B46377"/>
    <w:rsid w:val="00B46B22"/>
    <w:rsid w:val="00B47097"/>
    <w:rsid w:val="00B47273"/>
    <w:rsid w:val="00B479B8"/>
    <w:rsid w:val="00B500A2"/>
    <w:rsid w:val="00B501BE"/>
    <w:rsid w:val="00B5041D"/>
    <w:rsid w:val="00B50BC0"/>
    <w:rsid w:val="00B50BC9"/>
    <w:rsid w:val="00B51072"/>
    <w:rsid w:val="00B5133C"/>
    <w:rsid w:val="00B51563"/>
    <w:rsid w:val="00B51796"/>
    <w:rsid w:val="00B51A3A"/>
    <w:rsid w:val="00B53324"/>
    <w:rsid w:val="00B537E3"/>
    <w:rsid w:val="00B53C81"/>
    <w:rsid w:val="00B53CC1"/>
    <w:rsid w:val="00B53FEA"/>
    <w:rsid w:val="00B5467F"/>
    <w:rsid w:val="00B54753"/>
    <w:rsid w:val="00B54823"/>
    <w:rsid w:val="00B54AE6"/>
    <w:rsid w:val="00B54CFD"/>
    <w:rsid w:val="00B55E5B"/>
    <w:rsid w:val="00B5670C"/>
    <w:rsid w:val="00B57119"/>
    <w:rsid w:val="00B57307"/>
    <w:rsid w:val="00B57BD2"/>
    <w:rsid w:val="00B57C10"/>
    <w:rsid w:val="00B57FC7"/>
    <w:rsid w:val="00B60131"/>
    <w:rsid w:val="00B60507"/>
    <w:rsid w:val="00B611A4"/>
    <w:rsid w:val="00B61593"/>
    <w:rsid w:val="00B61706"/>
    <w:rsid w:val="00B61BE2"/>
    <w:rsid w:val="00B61DC6"/>
    <w:rsid w:val="00B6230A"/>
    <w:rsid w:val="00B62515"/>
    <w:rsid w:val="00B625BA"/>
    <w:rsid w:val="00B63014"/>
    <w:rsid w:val="00B63230"/>
    <w:rsid w:val="00B633E3"/>
    <w:rsid w:val="00B63DEF"/>
    <w:rsid w:val="00B63E55"/>
    <w:rsid w:val="00B63EEE"/>
    <w:rsid w:val="00B64662"/>
    <w:rsid w:val="00B64A1B"/>
    <w:rsid w:val="00B64B45"/>
    <w:rsid w:val="00B650E7"/>
    <w:rsid w:val="00B654E3"/>
    <w:rsid w:val="00B65789"/>
    <w:rsid w:val="00B6631E"/>
    <w:rsid w:val="00B6638C"/>
    <w:rsid w:val="00B66723"/>
    <w:rsid w:val="00B669CB"/>
    <w:rsid w:val="00B670A1"/>
    <w:rsid w:val="00B671F5"/>
    <w:rsid w:val="00B674C2"/>
    <w:rsid w:val="00B6773A"/>
    <w:rsid w:val="00B67977"/>
    <w:rsid w:val="00B67CE4"/>
    <w:rsid w:val="00B67F7A"/>
    <w:rsid w:val="00B70172"/>
    <w:rsid w:val="00B706B6"/>
    <w:rsid w:val="00B707A7"/>
    <w:rsid w:val="00B708FF"/>
    <w:rsid w:val="00B70903"/>
    <w:rsid w:val="00B70F54"/>
    <w:rsid w:val="00B71B2F"/>
    <w:rsid w:val="00B71E2B"/>
    <w:rsid w:val="00B71FDE"/>
    <w:rsid w:val="00B72634"/>
    <w:rsid w:val="00B7285D"/>
    <w:rsid w:val="00B72C78"/>
    <w:rsid w:val="00B730DA"/>
    <w:rsid w:val="00B7322C"/>
    <w:rsid w:val="00B73320"/>
    <w:rsid w:val="00B73571"/>
    <w:rsid w:val="00B73C6C"/>
    <w:rsid w:val="00B740E6"/>
    <w:rsid w:val="00B74646"/>
    <w:rsid w:val="00B74705"/>
    <w:rsid w:val="00B74A09"/>
    <w:rsid w:val="00B750FE"/>
    <w:rsid w:val="00B7553B"/>
    <w:rsid w:val="00B7567C"/>
    <w:rsid w:val="00B758AE"/>
    <w:rsid w:val="00B75B2E"/>
    <w:rsid w:val="00B75D12"/>
    <w:rsid w:val="00B76578"/>
    <w:rsid w:val="00B768C8"/>
    <w:rsid w:val="00B76D75"/>
    <w:rsid w:val="00B7721D"/>
    <w:rsid w:val="00B77466"/>
    <w:rsid w:val="00B77467"/>
    <w:rsid w:val="00B77816"/>
    <w:rsid w:val="00B80364"/>
    <w:rsid w:val="00B80391"/>
    <w:rsid w:val="00B80877"/>
    <w:rsid w:val="00B80E8D"/>
    <w:rsid w:val="00B8126E"/>
    <w:rsid w:val="00B812F2"/>
    <w:rsid w:val="00B81545"/>
    <w:rsid w:val="00B81663"/>
    <w:rsid w:val="00B81961"/>
    <w:rsid w:val="00B8226D"/>
    <w:rsid w:val="00B82A13"/>
    <w:rsid w:val="00B83140"/>
    <w:rsid w:val="00B83328"/>
    <w:rsid w:val="00B834C2"/>
    <w:rsid w:val="00B835E5"/>
    <w:rsid w:val="00B83FB2"/>
    <w:rsid w:val="00B8430A"/>
    <w:rsid w:val="00B84398"/>
    <w:rsid w:val="00B84731"/>
    <w:rsid w:val="00B8492C"/>
    <w:rsid w:val="00B84AC8"/>
    <w:rsid w:val="00B84FA8"/>
    <w:rsid w:val="00B85225"/>
    <w:rsid w:val="00B85622"/>
    <w:rsid w:val="00B856FC"/>
    <w:rsid w:val="00B861B7"/>
    <w:rsid w:val="00B86EA4"/>
    <w:rsid w:val="00B87104"/>
    <w:rsid w:val="00B87A75"/>
    <w:rsid w:val="00B87D85"/>
    <w:rsid w:val="00B90542"/>
    <w:rsid w:val="00B90674"/>
    <w:rsid w:val="00B90946"/>
    <w:rsid w:val="00B90959"/>
    <w:rsid w:val="00B90BF7"/>
    <w:rsid w:val="00B90E6D"/>
    <w:rsid w:val="00B90F16"/>
    <w:rsid w:val="00B91025"/>
    <w:rsid w:val="00B91D6D"/>
    <w:rsid w:val="00B91EA4"/>
    <w:rsid w:val="00B92F57"/>
    <w:rsid w:val="00B930DF"/>
    <w:rsid w:val="00B9321B"/>
    <w:rsid w:val="00B93A42"/>
    <w:rsid w:val="00B93C10"/>
    <w:rsid w:val="00B93C3E"/>
    <w:rsid w:val="00B93F37"/>
    <w:rsid w:val="00B9453E"/>
    <w:rsid w:val="00B9467A"/>
    <w:rsid w:val="00B94858"/>
    <w:rsid w:val="00B94A0C"/>
    <w:rsid w:val="00B94A50"/>
    <w:rsid w:val="00B94C91"/>
    <w:rsid w:val="00B95416"/>
    <w:rsid w:val="00B958EE"/>
    <w:rsid w:val="00B95F2B"/>
    <w:rsid w:val="00B960A5"/>
    <w:rsid w:val="00B96983"/>
    <w:rsid w:val="00B96C31"/>
    <w:rsid w:val="00B97797"/>
    <w:rsid w:val="00B97D32"/>
    <w:rsid w:val="00B97F99"/>
    <w:rsid w:val="00B97FF6"/>
    <w:rsid w:val="00BA0389"/>
    <w:rsid w:val="00BA092A"/>
    <w:rsid w:val="00BA0B64"/>
    <w:rsid w:val="00BA0E61"/>
    <w:rsid w:val="00BA0F4A"/>
    <w:rsid w:val="00BA1337"/>
    <w:rsid w:val="00BA15C6"/>
    <w:rsid w:val="00BA1BDD"/>
    <w:rsid w:val="00BA1E52"/>
    <w:rsid w:val="00BA1F54"/>
    <w:rsid w:val="00BA21BE"/>
    <w:rsid w:val="00BA22D0"/>
    <w:rsid w:val="00BA3123"/>
    <w:rsid w:val="00BA33FD"/>
    <w:rsid w:val="00BA3F66"/>
    <w:rsid w:val="00BA40D8"/>
    <w:rsid w:val="00BA48D3"/>
    <w:rsid w:val="00BA4D1D"/>
    <w:rsid w:val="00BA4E8D"/>
    <w:rsid w:val="00BA578B"/>
    <w:rsid w:val="00BA59F8"/>
    <w:rsid w:val="00BA5B46"/>
    <w:rsid w:val="00BA5B85"/>
    <w:rsid w:val="00BA609D"/>
    <w:rsid w:val="00BA64B0"/>
    <w:rsid w:val="00BA656B"/>
    <w:rsid w:val="00BA6630"/>
    <w:rsid w:val="00BA72E5"/>
    <w:rsid w:val="00BA741F"/>
    <w:rsid w:val="00BB0482"/>
    <w:rsid w:val="00BB0BC9"/>
    <w:rsid w:val="00BB0E6E"/>
    <w:rsid w:val="00BB0ED4"/>
    <w:rsid w:val="00BB0F30"/>
    <w:rsid w:val="00BB133F"/>
    <w:rsid w:val="00BB1350"/>
    <w:rsid w:val="00BB1BDB"/>
    <w:rsid w:val="00BB2641"/>
    <w:rsid w:val="00BB2F50"/>
    <w:rsid w:val="00BB3120"/>
    <w:rsid w:val="00BB3581"/>
    <w:rsid w:val="00BB3734"/>
    <w:rsid w:val="00BB379C"/>
    <w:rsid w:val="00BB3E3A"/>
    <w:rsid w:val="00BB401F"/>
    <w:rsid w:val="00BB410C"/>
    <w:rsid w:val="00BB4434"/>
    <w:rsid w:val="00BB4A2A"/>
    <w:rsid w:val="00BB4BE1"/>
    <w:rsid w:val="00BB4C6F"/>
    <w:rsid w:val="00BB5024"/>
    <w:rsid w:val="00BB5251"/>
    <w:rsid w:val="00BB52A6"/>
    <w:rsid w:val="00BB54F2"/>
    <w:rsid w:val="00BB5EEB"/>
    <w:rsid w:val="00BB65C2"/>
    <w:rsid w:val="00BB6826"/>
    <w:rsid w:val="00BB6F2B"/>
    <w:rsid w:val="00BB76C7"/>
    <w:rsid w:val="00BB77BF"/>
    <w:rsid w:val="00BC060A"/>
    <w:rsid w:val="00BC06FB"/>
    <w:rsid w:val="00BC0AF2"/>
    <w:rsid w:val="00BC0B6F"/>
    <w:rsid w:val="00BC0C7A"/>
    <w:rsid w:val="00BC0F11"/>
    <w:rsid w:val="00BC17BF"/>
    <w:rsid w:val="00BC19E1"/>
    <w:rsid w:val="00BC1C20"/>
    <w:rsid w:val="00BC209A"/>
    <w:rsid w:val="00BC232D"/>
    <w:rsid w:val="00BC24B7"/>
    <w:rsid w:val="00BC2901"/>
    <w:rsid w:val="00BC2CEB"/>
    <w:rsid w:val="00BC3026"/>
    <w:rsid w:val="00BC304B"/>
    <w:rsid w:val="00BC339A"/>
    <w:rsid w:val="00BC3B78"/>
    <w:rsid w:val="00BC3C92"/>
    <w:rsid w:val="00BC3DC4"/>
    <w:rsid w:val="00BC3F32"/>
    <w:rsid w:val="00BC4178"/>
    <w:rsid w:val="00BC4420"/>
    <w:rsid w:val="00BC53B7"/>
    <w:rsid w:val="00BC54CB"/>
    <w:rsid w:val="00BC56F3"/>
    <w:rsid w:val="00BC58FA"/>
    <w:rsid w:val="00BC5A79"/>
    <w:rsid w:val="00BC5B37"/>
    <w:rsid w:val="00BC6104"/>
    <w:rsid w:val="00BC626D"/>
    <w:rsid w:val="00BC62B7"/>
    <w:rsid w:val="00BC650E"/>
    <w:rsid w:val="00BC6728"/>
    <w:rsid w:val="00BC6C84"/>
    <w:rsid w:val="00BC6CC7"/>
    <w:rsid w:val="00BC6EDF"/>
    <w:rsid w:val="00BC70E2"/>
    <w:rsid w:val="00BC7808"/>
    <w:rsid w:val="00BC78FC"/>
    <w:rsid w:val="00BC7DCB"/>
    <w:rsid w:val="00BC7F5F"/>
    <w:rsid w:val="00BD002F"/>
    <w:rsid w:val="00BD08B1"/>
    <w:rsid w:val="00BD08F6"/>
    <w:rsid w:val="00BD0A6F"/>
    <w:rsid w:val="00BD0FFA"/>
    <w:rsid w:val="00BD1260"/>
    <w:rsid w:val="00BD2019"/>
    <w:rsid w:val="00BD2199"/>
    <w:rsid w:val="00BD244E"/>
    <w:rsid w:val="00BD2639"/>
    <w:rsid w:val="00BD2681"/>
    <w:rsid w:val="00BD2A3A"/>
    <w:rsid w:val="00BD2B98"/>
    <w:rsid w:val="00BD2BD8"/>
    <w:rsid w:val="00BD31DB"/>
    <w:rsid w:val="00BD3352"/>
    <w:rsid w:val="00BD3435"/>
    <w:rsid w:val="00BD3725"/>
    <w:rsid w:val="00BD3767"/>
    <w:rsid w:val="00BD42DC"/>
    <w:rsid w:val="00BD460A"/>
    <w:rsid w:val="00BD4B8F"/>
    <w:rsid w:val="00BD55D7"/>
    <w:rsid w:val="00BD5B87"/>
    <w:rsid w:val="00BD5F79"/>
    <w:rsid w:val="00BD65BB"/>
    <w:rsid w:val="00BD71F2"/>
    <w:rsid w:val="00BD7B7C"/>
    <w:rsid w:val="00BE0EC3"/>
    <w:rsid w:val="00BE1C0A"/>
    <w:rsid w:val="00BE20EF"/>
    <w:rsid w:val="00BE2698"/>
    <w:rsid w:val="00BE2900"/>
    <w:rsid w:val="00BE2A0E"/>
    <w:rsid w:val="00BE2E6E"/>
    <w:rsid w:val="00BE2E82"/>
    <w:rsid w:val="00BE2F77"/>
    <w:rsid w:val="00BE2FF5"/>
    <w:rsid w:val="00BE30B3"/>
    <w:rsid w:val="00BE3630"/>
    <w:rsid w:val="00BE3FEB"/>
    <w:rsid w:val="00BE4378"/>
    <w:rsid w:val="00BE45E7"/>
    <w:rsid w:val="00BE52F8"/>
    <w:rsid w:val="00BE52FF"/>
    <w:rsid w:val="00BE53A3"/>
    <w:rsid w:val="00BE55F6"/>
    <w:rsid w:val="00BE56B9"/>
    <w:rsid w:val="00BE5F62"/>
    <w:rsid w:val="00BE6336"/>
    <w:rsid w:val="00BE6358"/>
    <w:rsid w:val="00BE6380"/>
    <w:rsid w:val="00BE67A8"/>
    <w:rsid w:val="00BE6BC1"/>
    <w:rsid w:val="00BE70D0"/>
    <w:rsid w:val="00BE73D8"/>
    <w:rsid w:val="00BE7548"/>
    <w:rsid w:val="00BE7639"/>
    <w:rsid w:val="00BE795C"/>
    <w:rsid w:val="00BE7CFB"/>
    <w:rsid w:val="00BE7E3B"/>
    <w:rsid w:val="00BE7E91"/>
    <w:rsid w:val="00BF02F8"/>
    <w:rsid w:val="00BF0A05"/>
    <w:rsid w:val="00BF0A6F"/>
    <w:rsid w:val="00BF0BF6"/>
    <w:rsid w:val="00BF104A"/>
    <w:rsid w:val="00BF123A"/>
    <w:rsid w:val="00BF14AA"/>
    <w:rsid w:val="00BF1765"/>
    <w:rsid w:val="00BF24DB"/>
    <w:rsid w:val="00BF2F60"/>
    <w:rsid w:val="00BF2FA7"/>
    <w:rsid w:val="00BF30BB"/>
    <w:rsid w:val="00BF3253"/>
    <w:rsid w:val="00BF33B8"/>
    <w:rsid w:val="00BF3A23"/>
    <w:rsid w:val="00BF3FB8"/>
    <w:rsid w:val="00BF4459"/>
    <w:rsid w:val="00BF48F7"/>
    <w:rsid w:val="00BF4ADC"/>
    <w:rsid w:val="00BF56C9"/>
    <w:rsid w:val="00BF5DF2"/>
    <w:rsid w:val="00BF614C"/>
    <w:rsid w:val="00BF62F4"/>
    <w:rsid w:val="00BF64FC"/>
    <w:rsid w:val="00BF6897"/>
    <w:rsid w:val="00BF6BC6"/>
    <w:rsid w:val="00BF6C95"/>
    <w:rsid w:val="00BF7CA0"/>
    <w:rsid w:val="00C0054C"/>
    <w:rsid w:val="00C00AD7"/>
    <w:rsid w:val="00C00B9B"/>
    <w:rsid w:val="00C0159F"/>
    <w:rsid w:val="00C01A7B"/>
    <w:rsid w:val="00C01B04"/>
    <w:rsid w:val="00C01E4B"/>
    <w:rsid w:val="00C024CF"/>
    <w:rsid w:val="00C02A10"/>
    <w:rsid w:val="00C02A90"/>
    <w:rsid w:val="00C02B40"/>
    <w:rsid w:val="00C0302F"/>
    <w:rsid w:val="00C032C9"/>
    <w:rsid w:val="00C037D3"/>
    <w:rsid w:val="00C03CEF"/>
    <w:rsid w:val="00C0425E"/>
    <w:rsid w:val="00C04566"/>
    <w:rsid w:val="00C0490D"/>
    <w:rsid w:val="00C04A56"/>
    <w:rsid w:val="00C04AB4"/>
    <w:rsid w:val="00C05022"/>
    <w:rsid w:val="00C05081"/>
    <w:rsid w:val="00C05248"/>
    <w:rsid w:val="00C053C6"/>
    <w:rsid w:val="00C056BB"/>
    <w:rsid w:val="00C057FB"/>
    <w:rsid w:val="00C05893"/>
    <w:rsid w:val="00C05E98"/>
    <w:rsid w:val="00C05EAC"/>
    <w:rsid w:val="00C05FE3"/>
    <w:rsid w:val="00C06FFA"/>
    <w:rsid w:val="00C07130"/>
    <w:rsid w:val="00C07505"/>
    <w:rsid w:val="00C07B2D"/>
    <w:rsid w:val="00C07BED"/>
    <w:rsid w:val="00C07F6F"/>
    <w:rsid w:val="00C11412"/>
    <w:rsid w:val="00C116CE"/>
    <w:rsid w:val="00C118DE"/>
    <w:rsid w:val="00C125E8"/>
    <w:rsid w:val="00C128AD"/>
    <w:rsid w:val="00C12D7B"/>
    <w:rsid w:val="00C1303F"/>
    <w:rsid w:val="00C130C6"/>
    <w:rsid w:val="00C131AF"/>
    <w:rsid w:val="00C135BD"/>
    <w:rsid w:val="00C13913"/>
    <w:rsid w:val="00C13B1E"/>
    <w:rsid w:val="00C13D11"/>
    <w:rsid w:val="00C144FE"/>
    <w:rsid w:val="00C147DA"/>
    <w:rsid w:val="00C14E71"/>
    <w:rsid w:val="00C155D4"/>
    <w:rsid w:val="00C15DC9"/>
    <w:rsid w:val="00C15F73"/>
    <w:rsid w:val="00C15FD8"/>
    <w:rsid w:val="00C15FFF"/>
    <w:rsid w:val="00C1612C"/>
    <w:rsid w:val="00C16704"/>
    <w:rsid w:val="00C168AA"/>
    <w:rsid w:val="00C1750D"/>
    <w:rsid w:val="00C17DE5"/>
    <w:rsid w:val="00C17F8D"/>
    <w:rsid w:val="00C20183"/>
    <w:rsid w:val="00C203D1"/>
    <w:rsid w:val="00C2053F"/>
    <w:rsid w:val="00C20C99"/>
    <w:rsid w:val="00C2107A"/>
    <w:rsid w:val="00C214E7"/>
    <w:rsid w:val="00C216A7"/>
    <w:rsid w:val="00C2193C"/>
    <w:rsid w:val="00C21C8A"/>
    <w:rsid w:val="00C21D9E"/>
    <w:rsid w:val="00C21F3B"/>
    <w:rsid w:val="00C21F56"/>
    <w:rsid w:val="00C2246E"/>
    <w:rsid w:val="00C22515"/>
    <w:rsid w:val="00C22524"/>
    <w:rsid w:val="00C2276A"/>
    <w:rsid w:val="00C22847"/>
    <w:rsid w:val="00C228B2"/>
    <w:rsid w:val="00C22BA8"/>
    <w:rsid w:val="00C22F51"/>
    <w:rsid w:val="00C23049"/>
    <w:rsid w:val="00C23134"/>
    <w:rsid w:val="00C2314A"/>
    <w:rsid w:val="00C23254"/>
    <w:rsid w:val="00C236B8"/>
    <w:rsid w:val="00C23D72"/>
    <w:rsid w:val="00C23F1F"/>
    <w:rsid w:val="00C24422"/>
    <w:rsid w:val="00C24545"/>
    <w:rsid w:val="00C24749"/>
    <w:rsid w:val="00C24770"/>
    <w:rsid w:val="00C247BD"/>
    <w:rsid w:val="00C249A2"/>
    <w:rsid w:val="00C24C14"/>
    <w:rsid w:val="00C24E78"/>
    <w:rsid w:val="00C2536B"/>
    <w:rsid w:val="00C2578A"/>
    <w:rsid w:val="00C25DB6"/>
    <w:rsid w:val="00C25FE2"/>
    <w:rsid w:val="00C26499"/>
    <w:rsid w:val="00C264D0"/>
    <w:rsid w:val="00C2697E"/>
    <w:rsid w:val="00C270BC"/>
    <w:rsid w:val="00C27166"/>
    <w:rsid w:val="00C271A6"/>
    <w:rsid w:val="00C27574"/>
    <w:rsid w:val="00C2788F"/>
    <w:rsid w:val="00C27A6B"/>
    <w:rsid w:val="00C27AAF"/>
    <w:rsid w:val="00C27BDC"/>
    <w:rsid w:val="00C27FCA"/>
    <w:rsid w:val="00C30030"/>
    <w:rsid w:val="00C30A41"/>
    <w:rsid w:val="00C30EAE"/>
    <w:rsid w:val="00C31279"/>
    <w:rsid w:val="00C312FC"/>
    <w:rsid w:val="00C31912"/>
    <w:rsid w:val="00C31BE2"/>
    <w:rsid w:val="00C31C24"/>
    <w:rsid w:val="00C31CC6"/>
    <w:rsid w:val="00C31F27"/>
    <w:rsid w:val="00C32410"/>
    <w:rsid w:val="00C326A8"/>
    <w:rsid w:val="00C3290A"/>
    <w:rsid w:val="00C32B17"/>
    <w:rsid w:val="00C3302A"/>
    <w:rsid w:val="00C331D0"/>
    <w:rsid w:val="00C33315"/>
    <w:rsid w:val="00C33465"/>
    <w:rsid w:val="00C334FD"/>
    <w:rsid w:val="00C33629"/>
    <w:rsid w:val="00C33CF0"/>
    <w:rsid w:val="00C33FC5"/>
    <w:rsid w:val="00C3439B"/>
    <w:rsid w:val="00C3455E"/>
    <w:rsid w:val="00C34DA3"/>
    <w:rsid w:val="00C351C5"/>
    <w:rsid w:val="00C354B8"/>
    <w:rsid w:val="00C35729"/>
    <w:rsid w:val="00C358F6"/>
    <w:rsid w:val="00C3598B"/>
    <w:rsid w:val="00C359CE"/>
    <w:rsid w:val="00C35B5A"/>
    <w:rsid w:val="00C35F26"/>
    <w:rsid w:val="00C36142"/>
    <w:rsid w:val="00C36215"/>
    <w:rsid w:val="00C36221"/>
    <w:rsid w:val="00C36625"/>
    <w:rsid w:val="00C36EF7"/>
    <w:rsid w:val="00C37317"/>
    <w:rsid w:val="00C374DE"/>
    <w:rsid w:val="00C37514"/>
    <w:rsid w:val="00C37C2E"/>
    <w:rsid w:val="00C4049B"/>
    <w:rsid w:val="00C40A75"/>
    <w:rsid w:val="00C41389"/>
    <w:rsid w:val="00C41652"/>
    <w:rsid w:val="00C41803"/>
    <w:rsid w:val="00C41BB7"/>
    <w:rsid w:val="00C437D2"/>
    <w:rsid w:val="00C43B30"/>
    <w:rsid w:val="00C43CEE"/>
    <w:rsid w:val="00C44223"/>
    <w:rsid w:val="00C446CE"/>
    <w:rsid w:val="00C44871"/>
    <w:rsid w:val="00C44B8E"/>
    <w:rsid w:val="00C45942"/>
    <w:rsid w:val="00C45A9B"/>
    <w:rsid w:val="00C46049"/>
    <w:rsid w:val="00C46139"/>
    <w:rsid w:val="00C4643A"/>
    <w:rsid w:val="00C46619"/>
    <w:rsid w:val="00C471D0"/>
    <w:rsid w:val="00C47EBA"/>
    <w:rsid w:val="00C501A1"/>
    <w:rsid w:val="00C5064B"/>
    <w:rsid w:val="00C50864"/>
    <w:rsid w:val="00C50B26"/>
    <w:rsid w:val="00C50D2A"/>
    <w:rsid w:val="00C5131A"/>
    <w:rsid w:val="00C513A1"/>
    <w:rsid w:val="00C5146A"/>
    <w:rsid w:val="00C5248A"/>
    <w:rsid w:val="00C52793"/>
    <w:rsid w:val="00C52980"/>
    <w:rsid w:val="00C531AE"/>
    <w:rsid w:val="00C537AE"/>
    <w:rsid w:val="00C53A9C"/>
    <w:rsid w:val="00C53D95"/>
    <w:rsid w:val="00C53DF0"/>
    <w:rsid w:val="00C541D5"/>
    <w:rsid w:val="00C5430B"/>
    <w:rsid w:val="00C545CD"/>
    <w:rsid w:val="00C547A2"/>
    <w:rsid w:val="00C5487A"/>
    <w:rsid w:val="00C54DEE"/>
    <w:rsid w:val="00C55020"/>
    <w:rsid w:val="00C55879"/>
    <w:rsid w:val="00C55A1F"/>
    <w:rsid w:val="00C55C7E"/>
    <w:rsid w:val="00C562B7"/>
    <w:rsid w:val="00C562CE"/>
    <w:rsid w:val="00C56308"/>
    <w:rsid w:val="00C56559"/>
    <w:rsid w:val="00C567E5"/>
    <w:rsid w:val="00C569FF"/>
    <w:rsid w:val="00C56D7A"/>
    <w:rsid w:val="00C56DD0"/>
    <w:rsid w:val="00C57B97"/>
    <w:rsid w:val="00C57D24"/>
    <w:rsid w:val="00C57FDD"/>
    <w:rsid w:val="00C600C2"/>
    <w:rsid w:val="00C60186"/>
    <w:rsid w:val="00C60218"/>
    <w:rsid w:val="00C6036C"/>
    <w:rsid w:val="00C6039D"/>
    <w:rsid w:val="00C60481"/>
    <w:rsid w:val="00C607D3"/>
    <w:rsid w:val="00C60ED1"/>
    <w:rsid w:val="00C6128F"/>
    <w:rsid w:val="00C61A37"/>
    <w:rsid w:val="00C61D13"/>
    <w:rsid w:val="00C61E1B"/>
    <w:rsid w:val="00C61EA1"/>
    <w:rsid w:val="00C620D7"/>
    <w:rsid w:val="00C62533"/>
    <w:rsid w:val="00C629E3"/>
    <w:rsid w:val="00C62A4B"/>
    <w:rsid w:val="00C62D49"/>
    <w:rsid w:val="00C6400C"/>
    <w:rsid w:val="00C640F0"/>
    <w:rsid w:val="00C64254"/>
    <w:rsid w:val="00C6429E"/>
    <w:rsid w:val="00C6448C"/>
    <w:rsid w:val="00C64557"/>
    <w:rsid w:val="00C64641"/>
    <w:rsid w:val="00C64EF0"/>
    <w:rsid w:val="00C6519D"/>
    <w:rsid w:val="00C652AD"/>
    <w:rsid w:val="00C65AB2"/>
    <w:rsid w:val="00C65D92"/>
    <w:rsid w:val="00C65EDD"/>
    <w:rsid w:val="00C6624E"/>
    <w:rsid w:val="00C66684"/>
    <w:rsid w:val="00C6675E"/>
    <w:rsid w:val="00C66798"/>
    <w:rsid w:val="00C66A9E"/>
    <w:rsid w:val="00C66C16"/>
    <w:rsid w:val="00C67266"/>
    <w:rsid w:val="00C67BA5"/>
    <w:rsid w:val="00C70B0E"/>
    <w:rsid w:val="00C70C3A"/>
    <w:rsid w:val="00C717A8"/>
    <w:rsid w:val="00C719E9"/>
    <w:rsid w:val="00C72E0E"/>
    <w:rsid w:val="00C73248"/>
    <w:rsid w:val="00C733A8"/>
    <w:rsid w:val="00C73E32"/>
    <w:rsid w:val="00C73F1A"/>
    <w:rsid w:val="00C74232"/>
    <w:rsid w:val="00C74873"/>
    <w:rsid w:val="00C748DB"/>
    <w:rsid w:val="00C74C5B"/>
    <w:rsid w:val="00C74CFA"/>
    <w:rsid w:val="00C74EC0"/>
    <w:rsid w:val="00C752C8"/>
    <w:rsid w:val="00C7558D"/>
    <w:rsid w:val="00C7586E"/>
    <w:rsid w:val="00C75D25"/>
    <w:rsid w:val="00C764EF"/>
    <w:rsid w:val="00C76C9E"/>
    <w:rsid w:val="00C7705D"/>
    <w:rsid w:val="00C77306"/>
    <w:rsid w:val="00C77C57"/>
    <w:rsid w:val="00C77CFB"/>
    <w:rsid w:val="00C806AD"/>
    <w:rsid w:val="00C80D17"/>
    <w:rsid w:val="00C813EA"/>
    <w:rsid w:val="00C8148B"/>
    <w:rsid w:val="00C817C5"/>
    <w:rsid w:val="00C81F94"/>
    <w:rsid w:val="00C823F8"/>
    <w:rsid w:val="00C826BD"/>
    <w:rsid w:val="00C826E1"/>
    <w:rsid w:val="00C82A1D"/>
    <w:rsid w:val="00C82AD3"/>
    <w:rsid w:val="00C82F74"/>
    <w:rsid w:val="00C82FF8"/>
    <w:rsid w:val="00C8300A"/>
    <w:rsid w:val="00C834DE"/>
    <w:rsid w:val="00C8351E"/>
    <w:rsid w:val="00C8448A"/>
    <w:rsid w:val="00C84EDB"/>
    <w:rsid w:val="00C84F47"/>
    <w:rsid w:val="00C84F75"/>
    <w:rsid w:val="00C85190"/>
    <w:rsid w:val="00C8520C"/>
    <w:rsid w:val="00C85850"/>
    <w:rsid w:val="00C8592C"/>
    <w:rsid w:val="00C8662A"/>
    <w:rsid w:val="00C86B3E"/>
    <w:rsid w:val="00C86EF9"/>
    <w:rsid w:val="00C86FF6"/>
    <w:rsid w:val="00C874E1"/>
    <w:rsid w:val="00C87ACB"/>
    <w:rsid w:val="00C903E2"/>
    <w:rsid w:val="00C90585"/>
    <w:rsid w:val="00C90FDE"/>
    <w:rsid w:val="00C91340"/>
    <w:rsid w:val="00C91444"/>
    <w:rsid w:val="00C914CB"/>
    <w:rsid w:val="00C91E78"/>
    <w:rsid w:val="00C91E9C"/>
    <w:rsid w:val="00C92590"/>
    <w:rsid w:val="00C9301D"/>
    <w:rsid w:val="00C93637"/>
    <w:rsid w:val="00C9388B"/>
    <w:rsid w:val="00C93A57"/>
    <w:rsid w:val="00C93ADE"/>
    <w:rsid w:val="00C94027"/>
    <w:rsid w:val="00C9451D"/>
    <w:rsid w:val="00C945FD"/>
    <w:rsid w:val="00C946BE"/>
    <w:rsid w:val="00C946C0"/>
    <w:rsid w:val="00C9490D"/>
    <w:rsid w:val="00C94C84"/>
    <w:rsid w:val="00C94E6D"/>
    <w:rsid w:val="00C95380"/>
    <w:rsid w:val="00C9543C"/>
    <w:rsid w:val="00C9630B"/>
    <w:rsid w:val="00C963BE"/>
    <w:rsid w:val="00C96681"/>
    <w:rsid w:val="00C9700D"/>
    <w:rsid w:val="00C9715A"/>
    <w:rsid w:val="00C976D8"/>
    <w:rsid w:val="00C97863"/>
    <w:rsid w:val="00C97A00"/>
    <w:rsid w:val="00C97D52"/>
    <w:rsid w:val="00C97F88"/>
    <w:rsid w:val="00CA0222"/>
    <w:rsid w:val="00CA1207"/>
    <w:rsid w:val="00CA1478"/>
    <w:rsid w:val="00CA1E3A"/>
    <w:rsid w:val="00CA1FF2"/>
    <w:rsid w:val="00CA2448"/>
    <w:rsid w:val="00CA2EC0"/>
    <w:rsid w:val="00CA3273"/>
    <w:rsid w:val="00CA346F"/>
    <w:rsid w:val="00CA3C87"/>
    <w:rsid w:val="00CA407F"/>
    <w:rsid w:val="00CA439F"/>
    <w:rsid w:val="00CA4788"/>
    <w:rsid w:val="00CA47F0"/>
    <w:rsid w:val="00CA4A57"/>
    <w:rsid w:val="00CA4E16"/>
    <w:rsid w:val="00CA4F91"/>
    <w:rsid w:val="00CA57EA"/>
    <w:rsid w:val="00CA5C08"/>
    <w:rsid w:val="00CA5DDD"/>
    <w:rsid w:val="00CA5F8B"/>
    <w:rsid w:val="00CA6381"/>
    <w:rsid w:val="00CA647F"/>
    <w:rsid w:val="00CA71CB"/>
    <w:rsid w:val="00CA7541"/>
    <w:rsid w:val="00CA780F"/>
    <w:rsid w:val="00CA7CBF"/>
    <w:rsid w:val="00CB0CA8"/>
    <w:rsid w:val="00CB0E6A"/>
    <w:rsid w:val="00CB0EC3"/>
    <w:rsid w:val="00CB1418"/>
    <w:rsid w:val="00CB162A"/>
    <w:rsid w:val="00CB17EC"/>
    <w:rsid w:val="00CB198C"/>
    <w:rsid w:val="00CB22A5"/>
    <w:rsid w:val="00CB23C7"/>
    <w:rsid w:val="00CB2741"/>
    <w:rsid w:val="00CB28AD"/>
    <w:rsid w:val="00CB28B8"/>
    <w:rsid w:val="00CB2A74"/>
    <w:rsid w:val="00CB2DC0"/>
    <w:rsid w:val="00CB31AC"/>
    <w:rsid w:val="00CB33C7"/>
    <w:rsid w:val="00CB3722"/>
    <w:rsid w:val="00CB3DA2"/>
    <w:rsid w:val="00CB432C"/>
    <w:rsid w:val="00CB4453"/>
    <w:rsid w:val="00CB45DE"/>
    <w:rsid w:val="00CB46F4"/>
    <w:rsid w:val="00CB49DF"/>
    <w:rsid w:val="00CB4F17"/>
    <w:rsid w:val="00CB52C6"/>
    <w:rsid w:val="00CB5378"/>
    <w:rsid w:val="00CB5CB6"/>
    <w:rsid w:val="00CB650B"/>
    <w:rsid w:val="00CB6B8D"/>
    <w:rsid w:val="00CB7235"/>
    <w:rsid w:val="00CB727A"/>
    <w:rsid w:val="00CB76F3"/>
    <w:rsid w:val="00CB7753"/>
    <w:rsid w:val="00CC03AC"/>
    <w:rsid w:val="00CC0879"/>
    <w:rsid w:val="00CC0EC9"/>
    <w:rsid w:val="00CC1B07"/>
    <w:rsid w:val="00CC1FC4"/>
    <w:rsid w:val="00CC2185"/>
    <w:rsid w:val="00CC26B0"/>
    <w:rsid w:val="00CC2881"/>
    <w:rsid w:val="00CC28B5"/>
    <w:rsid w:val="00CC2BA6"/>
    <w:rsid w:val="00CC2BCE"/>
    <w:rsid w:val="00CC38A9"/>
    <w:rsid w:val="00CC3C0A"/>
    <w:rsid w:val="00CC3FF7"/>
    <w:rsid w:val="00CC43EA"/>
    <w:rsid w:val="00CC45A7"/>
    <w:rsid w:val="00CC4773"/>
    <w:rsid w:val="00CC4976"/>
    <w:rsid w:val="00CC49CA"/>
    <w:rsid w:val="00CC51FC"/>
    <w:rsid w:val="00CC5210"/>
    <w:rsid w:val="00CC539E"/>
    <w:rsid w:val="00CC570D"/>
    <w:rsid w:val="00CC5AB1"/>
    <w:rsid w:val="00CC5E75"/>
    <w:rsid w:val="00CC61B8"/>
    <w:rsid w:val="00CC62D3"/>
    <w:rsid w:val="00CC6489"/>
    <w:rsid w:val="00CC64F6"/>
    <w:rsid w:val="00CC730B"/>
    <w:rsid w:val="00CC7A98"/>
    <w:rsid w:val="00CC7FDB"/>
    <w:rsid w:val="00CD04A9"/>
    <w:rsid w:val="00CD08C0"/>
    <w:rsid w:val="00CD0AEA"/>
    <w:rsid w:val="00CD13EE"/>
    <w:rsid w:val="00CD1DED"/>
    <w:rsid w:val="00CD21F8"/>
    <w:rsid w:val="00CD253C"/>
    <w:rsid w:val="00CD2765"/>
    <w:rsid w:val="00CD2912"/>
    <w:rsid w:val="00CD2BA9"/>
    <w:rsid w:val="00CD2C8C"/>
    <w:rsid w:val="00CD2CF3"/>
    <w:rsid w:val="00CD2D68"/>
    <w:rsid w:val="00CD2F25"/>
    <w:rsid w:val="00CD368C"/>
    <w:rsid w:val="00CD369C"/>
    <w:rsid w:val="00CD393D"/>
    <w:rsid w:val="00CD3AA9"/>
    <w:rsid w:val="00CD3CC0"/>
    <w:rsid w:val="00CD4026"/>
    <w:rsid w:val="00CD4436"/>
    <w:rsid w:val="00CD450D"/>
    <w:rsid w:val="00CD45A2"/>
    <w:rsid w:val="00CD4605"/>
    <w:rsid w:val="00CD4BE0"/>
    <w:rsid w:val="00CD4C59"/>
    <w:rsid w:val="00CD4D01"/>
    <w:rsid w:val="00CD5239"/>
    <w:rsid w:val="00CD5680"/>
    <w:rsid w:val="00CD5A44"/>
    <w:rsid w:val="00CD5C4A"/>
    <w:rsid w:val="00CD5D9F"/>
    <w:rsid w:val="00CD6414"/>
    <w:rsid w:val="00CD6685"/>
    <w:rsid w:val="00CD6A57"/>
    <w:rsid w:val="00CD6B9D"/>
    <w:rsid w:val="00CD6D64"/>
    <w:rsid w:val="00CD77A9"/>
    <w:rsid w:val="00CD7CFC"/>
    <w:rsid w:val="00CE056D"/>
    <w:rsid w:val="00CE0A73"/>
    <w:rsid w:val="00CE0FB6"/>
    <w:rsid w:val="00CE1114"/>
    <w:rsid w:val="00CE116F"/>
    <w:rsid w:val="00CE1728"/>
    <w:rsid w:val="00CE1DAF"/>
    <w:rsid w:val="00CE2CEC"/>
    <w:rsid w:val="00CE377B"/>
    <w:rsid w:val="00CE37C3"/>
    <w:rsid w:val="00CE396B"/>
    <w:rsid w:val="00CE399F"/>
    <w:rsid w:val="00CE3A94"/>
    <w:rsid w:val="00CE3AF7"/>
    <w:rsid w:val="00CE442B"/>
    <w:rsid w:val="00CE4BB7"/>
    <w:rsid w:val="00CE4E59"/>
    <w:rsid w:val="00CE511C"/>
    <w:rsid w:val="00CE59E5"/>
    <w:rsid w:val="00CE5A95"/>
    <w:rsid w:val="00CE5C07"/>
    <w:rsid w:val="00CE60FF"/>
    <w:rsid w:val="00CE6399"/>
    <w:rsid w:val="00CE641C"/>
    <w:rsid w:val="00CE6566"/>
    <w:rsid w:val="00CE674F"/>
    <w:rsid w:val="00CE6A4A"/>
    <w:rsid w:val="00CE6E88"/>
    <w:rsid w:val="00CE7464"/>
    <w:rsid w:val="00CE78ED"/>
    <w:rsid w:val="00CF08EA"/>
    <w:rsid w:val="00CF1540"/>
    <w:rsid w:val="00CF1ACA"/>
    <w:rsid w:val="00CF1AD9"/>
    <w:rsid w:val="00CF1D42"/>
    <w:rsid w:val="00CF2134"/>
    <w:rsid w:val="00CF261A"/>
    <w:rsid w:val="00CF279B"/>
    <w:rsid w:val="00CF2A0B"/>
    <w:rsid w:val="00CF2E48"/>
    <w:rsid w:val="00CF2E70"/>
    <w:rsid w:val="00CF382F"/>
    <w:rsid w:val="00CF437C"/>
    <w:rsid w:val="00CF487C"/>
    <w:rsid w:val="00CF5402"/>
    <w:rsid w:val="00CF57E2"/>
    <w:rsid w:val="00CF5B54"/>
    <w:rsid w:val="00CF5E65"/>
    <w:rsid w:val="00CF6360"/>
    <w:rsid w:val="00CF69C8"/>
    <w:rsid w:val="00CF6BD8"/>
    <w:rsid w:val="00CF6C29"/>
    <w:rsid w:val="00CF6CE0"/>
    <w:rsid w:val="00CF6DDD"/>
    <w:rsid w:val="00CF6DEF"/>
    <w:rsid w:val="00CF716E"/>
    <w:rsid w:val="00CF7C54"/>
    <w:rsid w:val="00D0022F"/>
    <w:rsid w:val="00D002E6"/>
    <w:rsid w:val="00D01133"/>
    <w:rsid w:val="00D01350"/>
    <w:rsid w:val="00D01F43"/>
    <w:rsid w:val="00D02204"/>
    <w:rsid w:val="00D025CA"/>
    <w:rsid w:val="00D0269A"/>
    <w:rsid w:val="00D029AE"/>
    <w:rsid w:val="00D02BD8"/>
    <w:rsid w:val="00D03102"/>
    <w:rsid w:val="00D03300"/>
    <w:rsid w:val="00D0344E"/>
    <w:rsid w:val="00D0360B"/>
    <w:rsid w:val="00D036BE"/>
    <w:rsid w:val="00D03873"/>
    <w:rsid w:val="00D03EFD"/>
    <w:rsid w:val="00D04304"/>
    <w:rsid w:val="00D04631"/>
    <w:rsid w:val="00D046EC"/>
    <w:rsid w:val="00D0479D"/>
    <w:rsid w:val="00D04950"/>
    <w:rsid w:val="00D04FF8"/>
    <w:rsid w:val="00D05332"/>
    <w:rsid w:val="00D064C4"/>
    <w:rsid w:val="00D06A95"/>
    <w:rsid w:val="00D06DFB"/>
    <w:rsid w:val="00D06F20"/>
    <w:rsid w:val="00D07663"/>
    <w:rsid w:val="00D078CF"/>
    <w:rsid w:val="00D07E84"/>
    <w:rsid w:val="00D07EF9"/>
    <w:rsid w:val="00D07FD7"/>
    <w:rsid w:val="00D10095"/>
    <w:rsid w:val="00D102C3"/>
    <w:rsid w:val="00D11C7C"/>
    <w:rsid w:val="00D12139"/>
    <w:rsid w:val="00D12593"/>
    <w:rsid w:val="00D12B7D"/>
    <w:rsid w:val="00D12D81"/>
    <w:rsid w:val="00D12F49"/>
    <w:rsid w:val="00D13006"/>
    <w:rsid w:val="00D1398A"/>
    <w:rsid w:val="00D1443A"/>
    <w:rsid w:val="00D1496B"/>
    <w:rsid w:val="00D14B23"/>
    <w:rsid w:val="00D14F19"/>
    <w:rsid w:val="00D150C6"/>
    <w:rsid w:val="00D15592"/>
    <w:rsid w:val="00D157B1"/>
    <w:rsid w:val="00D15864"/>
    <w:rsid w:val="00D15A5F"/>
    <w:rsid w:val="00D15BE0"/>
    <w:rsid w:val="00D15C9C"/>
    <w:rsid w:val="00D15DD1"/>
    <w:rsid w:val="00D15F08"/>
    <w:rsid w:val="00D16210"/>
    <w:rsid w:val="00D16501"/>
    <w:rsid w:val="00D1678A"/>
    <w:rsid w:val="00D1684C"/>
    <w:rsid w:val="00D16B16"/>
    <w:rsid w:val="00D16F26"/>
    <w:rsid w:val="00D16FF2"/>
    <w:rsid w:val="00D17202"/>
    <w:rsid w:val="00D17679"/>
    <w:rsid w:val="00D17947"/>
    <w:rsid w:val="00D1797D"/>
    <w:rsid w:val="00D17F18"/>
    <w:rsid w:val="00D20099"/>
    <w:rsid w:val="00D2028E"/>
    <w:rsid w:val="00D20376"/>
    <w:rsid w:val="00D20399"/>
    <w:rsid w:val="00D203C2"/>
    <w:rsid w:val="00D20975"/>
    <w:rsid w:val="00D20D32"/>
    <w:rsid w:val="00D20D9E"/>
    <w:rsid w:val="00D21310"/>
    <w:rsid w:val="00D214FA"/>
    <w:rsid w:val="00D218E2"/>
    <w:rsid w:val="00D2247E"/>
    <w:rsid w:val="00D2277F"/>
    <w:rsid w:val="00D228F5"/>
    <w:rsid w:val="00D22B16"/>
    <w:rsid w:val="00D22E7C"/>
    <w:rsid w:val="00D237FE"/>
    <w:rsid w:val="00D23AD1"/>
    <w:rsid w:val="00D23CAD"/>
    <w:rsid w:val="00D23F16"/>
    <w:rsid w:val="00D24C41"/>
    <w:rsid w:val="00D25B54"/>
    <w:rsid w:val="00D25D41"/>
    <w:rsid w:val="00D25EFB"/>
    <w:rsid w:val="00D260C5"/>
    <w:rsid w:val="00D263CE"/>
    <w:rsid w:val="00D26568"/>
    <w:rsid w:val="00D265A9"/>
    <w:rsid w:val="00D267C3"/>
    <w:rsid w:val="00D26886"/>
    <w:rsid w:val="00D268E4"/>
    <w:rsid w:val="00D269B3"/>
    <w:rsid w:val="00D26B9C"/>
    <w:rsid w:val="00D26EE5"/>
    <w:rsid w:val="00D271C6"/>
    <w:rsid w:val="00D27559"/>
    <w:rsid w:val="00D279C2"/>
    <w:rsid w:val="00D27DDA"/>
    <w:rsid w:val="00D27EFE"/>
    <w:rsid w:val="00D30834"/>
    <w:rsid w:val="00D30BEF"/>
    <w:rsid w:val="00D30CB5"/>
    <w:rsid w:val="00D31227"/>
    <w:rsid w:val="00D3142B"/>
    <w:rsid w:val="00D3148F"/>
    <w:rsid w:val="00D317D4"/>
    <w:rsid w:val="00D318A1"/>
    <w:rsid w:val="00D31B99"/>
    <w:rsid w:val="00D31FD8"/>
    <w:rsid w:val="00D321EF"/>
    <w:rsid w:val="00D323F3"/>
    <w:rsid w:val="00D32567"/>
    <w:rsid w:val="00D326BF"/>
    <w:rsid w:val="00D32767"/>
    <w:rsid w:val="00D3288E"/>
    <w:rsid w:val="00D33154"/>
    <w:rsid w:val="00D33BE9"/>
    <w:rsid w:val="00D34914"/>
    <w:rsid w:val="00D349AC"/>
    <w:rsid w:val="00D34E96"/>
    <w:rsid w:val="00D34EE5"/>
    <w:rsid w:val="00D35305"/>
    <w:rsid w:val="00D35359"/>
    <w:rsid w:val="00D3537C"/>
    <w:rsid w:val="00D35A97"/>
    <w:rsid w:val="00D35D0D"/>
    <w:rsid w:val="00D35E4E"/>
    <w:rsid w:val="00D35F04"/>
    <w:rsid w:val="00D36097"/>
    <w:rsid w:val="00D361E0"/>
    <w:rsid w:val="00D36961"/>
    <w:rsid w:val="00D36B52"/>
    <w:rsid w:val="00D36FB8"/>
    <w:rsid w:val="00D372D0"/>
    <w:rsid w:val="00D37408"/>
    <w:rsid w:val="00D37792"/>
    <w:rsid w:val="00D37921"/>
    <w:rsid w:val="00D37A4D"/>
    <w:rsid w:val="00D4032B"/>
    <w:rsid w:val="00D40CFE"/>
    <w:rsid w:val="00D41144"/>
    <w:rsid w:val="00D41271"/>
    <w:rsid w:val="00D412AF"/>
    <w:rsid w:val="00D4190D"/>
    <w:rsid w:val="00D41C88"/>
    <w:rsid w:val="00D41CA1"/>
    <w:rsid w:val="00D41E5F"/>
    <w:rsid w:val="00D41F2D"/>
    <w:rsid w:val="00D4321E"/>
    <w:rsid w:val="00D432ED"/>
    <w:rsid w:val="00D43A37"/>
    <w:rsid w:val="00D43EE0"/>
    <w:rsid w:val="00D44B27"/>
    <w:rsid w:val="00D450B6"/>
    <w:rsid w:val="00D45FF0"/>
    <w:rsid w:val="00D462FD"/>
    <w:rsid w:val="00D463BF"/>
    <w:rsid w:val="00D46883"/>
    <w:rsid w:val="00D46CC0"/>
    <w:rsid w:val="00D476FE"/>
    <w:rsid w:val="00D47DA1"/>
    <w:rsid w:val="00D502DE"/>
    <w:rsid w:val="00D5064C"/>
    <w:rsid w:val="00D50EF8"/>
    <w:rsid w:val="00D516EF"/>
    <w:rsid w:val="00D51D4C"/>
    <w:rsid w:val="00D51FFB"/>
    <w:rsid w:val="00D5210B"/>
    <w:rsid w:val="00D522D8"/>
    <w:rsid w:val="00D527E9"/>
    <w:rsid w:val="00D52BD1"/>
    <w:rsid w:val="00D52D71"/>
    <w:rsid w:val="00D53057"/>
    <w:rsid w:val="00D530C5"/>
    <w:rsid w:val="00D53237"/>
    <w:rsid w:val="00D535C7"/>
    <w:rsid w:val="00D536C2"/>
    <w:rsid w:val="00D539B7"/>
    <w:rsid w:val="00D53CD4"/>
    <w:rsid w:val="00D5429C"/>
    <w:rsid w:val="00D54E6A"/>
    <w:rsid w:val="00D550DD"/>
    <w:rsid w:val="00D55341"/>
    <w:rsid w:val="00D55536"/>
    <w:rsid w:val="00D55599"/>
    <w:rsid w:val="00D557D0"/>
    <w:rsid w:val="00D557E1"/>
    <w:rsid w:val="00D55ACF"/>
    <w:rsid w:val="00D55B3E"/>
    <w:rsid w:val="00D5658A"/>
    <w:rsid w:val="00D56E4D"/>
    <w:rsid w:val="00D572F0"/>
    <w:rsid w:val="00D577E9"/>
    <w:rsid w:val="00D579A6"/>
    <w:rsid w:val="00D57C77"/>
    <w:rsid w:val="00D6030A"/>
    <w:rsid w:val="00D609E8"/>
    <w:rsid w:val="00D60A26"/>
    <w:rsid w:val="00D610EE"/>
    <w:rsid w:val="00D611F9"/>
    <w:rsid w:val="00D61459"/>
    <w:rsid w:val="00D618FD"/>
    <w:rsid w:val="00D61E2A"/>
    <w:rsid w:val="00D6255A"/>
    <w:rsid w:val="00D6284B"/>
    <w:rsid w:val="00D6288A"/>
    <w:rsid w:val="00D63322"/>
    <w:rsid w:val="00D6343D"/>
    <w:rsid w:val="00D63676"/>
    <w:rsid w:val="00D63704"/>
    <w:rsid w:val="00D63D75"/>
    <w:rsid w:val="00D64092"/>
    <w:rsid w:val="00D644FA"/>
    <w:rsid w:val="00D64584"/>
    <w:rsid w:val="00D64CE0"/>
    <w:rsid w:val="00D64E26"/>
    <w:rsid w:val="00D65377"/>
    <w:rsid w:val="00D65AF8"/>
    <w:rsid w:val="00D65B81"/>
    <w:rsid w:val="00D661F4"/>
    <w:rsid w:val="00D6673F"/>
    <w:rsid w:val="00D66F03"/>
    <w:rsid w:val="00D67361"/>
    <w:rsid w:val="00D67BFB"/>
    <w:rsid w:val="00D67E05"/>
    <w:rsid w:val="00D67E57"/>
    <w:rsid w:val="00D7018A"/>
    <w:rsid w:val="00D70650"/>
    <w:rsid w:val="00D706B6"/>
    <w:rsid w:val="00D7098E"/>
    <w:rsid w:val="00D70D4E"/>
    <w:rsid w:val="00D71493"/>
    <w:rsid w:val="00D71508"/>
    <w:rsid w:val="00D715ED"/>
    <w:rsid w:val="00D71688"/>
    <w:rsid w:val="00D71BCE"/>
    <w:rsid w:val="00D71DAB"/>
    <w:rsid w:val="00D721BD"/>
    <w:rsid w:val="00D72991"/>
    <w:rsid w:val="00D72E1C"/>
    <w:rsid w:val="00D72F0E"/>
    <w:rsid w:val="00D732AE"/>
    <w:rsid w:val="00D7333E"/>
    <w:rsid w:val="00D735FD"/>
    <w:rsid w:val="00D7378D"/>
    <w:rsid w:val="00D73DB7"/>
    <w:rsid w:val="00D746C9"/>
    <w:rsid w:val="00D74A06"/>
    <w:rsid w:val="00D74A12"/>
    <w:rsid w:val="00D74EA1"/>
    <w:rsid w:val="00D74FEF"/>
    <w:rsid w:val="00D75181"/>
    <w:rsid w:val="00D75186"/>
    <w:rsid w:val="00D75821"/>
    <w:rsid w:val="00D7612C"/>
    <w:rsid w:val="00D7617D"/>
    <w:rsid w:val="00D764BC"/>
    <w:rsid w:val="00D76F5C"/>
    <w:rsid w:val="00D76FC8"/>
    <w:rsid w:val="00D773B2"/>
    <w:rsid w:val="00D7755D"/>
    <w:rsid w:val="00D779F6"/>
    <w:rsid w:val="00D77CFD"/>
    <w:rsid w:val="00D80709"/>
    <w:rsid w:val="00D81B4D"/>
    <w:rsid w:val="00D823AC"/>
    <w:rsid w:val="00D82891"/>
    <w:rsid w:val="00D82A99"/>
    <w:rsid w:val="00D82BD3"/>
    <w:rsid w:val="00D83376"/>
    <w:rsid w:val="00D8352B"/>
    <w:rsid w:val="00D836E4"/>
    <w:rsid w:val="00D83A96"/>
    <w:rsid w:val="00D843A1"/>
    <w:rsid w:val="00D84468"/>
    <w:rsid w:val="00D84897"/>
    <w:rsid w:val="00D84D28"/>
    <w:rsid w:val="00D8572E"/>
    <w:rsid w:val="00D85B14"/>
    <w:rsid w:val="00D8652D"/>
    <w:rsid w:val="00D867BD"/>
    <w:rsid w:val="00D8733E"/>
    <w:rsid w:val="00D873F6"/>
    <w:rsid w:val="00D875C8"/>
    <w:rsid w:val="00D90108"/>
    <w:rsid w:val="00D9012D"/>
    <w:rsid w:val="00D90156"/>
    <w:rsid w:val="00D9036A"/>
    <w:rsid w:val="00D907A0"/>
    <w:rsid w:val="00D90AF2"/>
    <w:rsid w:val="00D90B8D"/>
    <w:rsid w:val="00D90BF3"/>
    <w:rsid w:val="00D90C84"/>
    <w:rsid w:val="00D90F5B"/>
    <w:rsid w:val="00D917E2"/>
    <w:rsid w:val="00D9183A"/>
    <w:rsid w:val="00D91900"/>
    <w:rsid w:val="00D921C5"/>
    <w:rsid w:val="00D92818"/>
    <w:rsid w:val="00D93088"/>
    <w:rsid w:val="00D933AA"/>
    <w:rsid w:val="00D937CA"/>
    <w:rsid w:val="00D93CEC"/>
    <w:rsid w:val="00D93E85"/>
    <w:rsid w:val="00D94621"/>
    <w:rsid w:val="00D947FD"/>
    <w:rsid w:val="00D94AA4"/>
    <w:rsid w:val="00D94FD5"/>
    <w:rsid w:val="00D9515A"/>
    <w:rsid w:val="00D954E9"/>
    <w:rsid w:val="00D958D2"/>
    <w:rsid w:val="00D95E32"/>
    <w:rsid w:val="00D95E97"/>
    <w:rsid w:val="00D95EFA"/>
    <w:rsid w:val="00D962B4"/>
    <w:rsid w:val="00D967CE"/>
    <w:rsid w:val="00D96C0B"/>
    <w:rsid w:val="00D96E1D"/>
    <w:rsid w:val="00D9717B"/>
    <w:rsid w:val="00D973F7"/>
    <w:rsid w:val="00D976D0"/>
    <w:rsid w:val="00D9779C"/>
    <w:rsid w:val="00D97885"/>
    <w:rsid w:val="00D97DAC"/>
    <w:rsid w:val="00D97E31"/>
    <w:rsid w:val="00D97FCA"/>
    <w:rsid w:val="00DA00D7"/>
    <w:rsid w:val="00DA01F3"/>
    <w:rsid w:val="00DA03BF"/>
    <w:rsid w:val="00DA046D"/>
    <w:rsid w:val="00DA0728"/>
    <w:rsid w:val="00DA0812"/>
    <w:rsid w:val="00DA0869"/>
    <w:rsid w:val="00DA0D59"/>
    <w:rsid w:val="00DA127B"/>
    <w:rsid w:val="00DA167E"/>
    <w:rsid w:val="00DA2136"/>
    <w:rsid w:val="00DA243D"/>
    <w:rsid w:val="00DA2549"/>
    <w:rsid w:val="00DA280B"/>
    <w:rsid w:val="00DA2BF1"/>
    <w:rsid w:val="00DA2CEC"/>
    <w:rsid w:val="00DA2EC5"/>
    <w:rsid w:val="00DA3B38"/>
    <w:rsid w:val="00DA3C75"/>
    <w:rsid w:val="00DA3CBE"/>
    <w:rsid w:val="00DA4027"/>
    <w:rsid w:val="00DA431F"/>
    <w:rsid w:val="00DA44BF"/>
    <w:rsid w:val="00DA4710"/>
    <w:rsid w:val="00DA4817"/>
    <w:rsid w:val="00DA4C95"/>
    <w:rsid w:val="00DA4EF2"/>
    <w:rsid w:val="00DA5377"/>
    <w:rsid w:val="00DA5685"/>
    <w:rsid w:val="00DA5760"/>
    <w:rsid w:val="00DA57B7"/>
    <w:rsid w:val="00DA5FF4"/>
    <w:rsid w:val="00DA6236"/>
    <w:rsid w:val="00DA6CDE"/>
    <w:rsid w:val="00DA6DF4"/>
    <w:rsid w:val="00DA6EF4"/>
    <w:rsid w:val="00DA7083"/>
    <w:rsid w:val="00DA7773"/>
    <w:rsid w:val="00DA7C0D"/>
    <w:rsid w:val="00DA7CDA"/>
    <w:rsid w:val="00DA7DB7"/>
    <w:rsid w:val="00DB01EC"/>
    <w:rsid w:val="00DB049B"/>
    <w:rsid w:val="00DB07A3"/>
    <w:rsid w:val="00DB0ACC"/>
    <w:rsid w:val="00DB0B01"/>
    <w:rsid w:val="00DB0BF7"/>
    <w:rsid w:val="00DB0E6C"/>
    <w:rsid w:val="00DB173F"/>
    <w:rsid w:val="00DB1930"/>
    <w:rsid w:val="00DB2017"/>
    <w:rsid w:val="00DB2077"/>
    <w:rsid w:val="00DB207C"/>
    <w:rsid w:val="00DB23F3"/>
    <w:rsid w:val="00DB24D5"/>
    <w:rsid w:val="00DB284A"/>
    <w:rsid w:val="00DB2D57"/>
    <w:rsid w:val="00DB305A"/>
    <w:rsid w:val="00DB34A6"/>
    <w:rsid w:val="00DB3621"/>
    <w:rsid w:val="00DB36ED"/>
    <w:rsid w:val="00DB3890"/>
    <w:rsid w:val="00DB41F1"/>
    <w:rsid w:val="00DB43BD"/>
    <w:rsid w:val="00DB45E1"/>
    <w:rsid w:val="00DB4740"/>
    <w:rsid w:val="00DB4A01"/>
    <w:rsid w:val="00DB4FB8"/>
    <w:rsid w:val="00DB52DE"/>
    <w:rsid w:val="00DB59C9"/>
    <w:rsid w:val="00DB5C59"/>
    <w:rsid w:val="00DB5E30"/>
    <w:rsid w:val="00DB63C2"/>
    <w:rsid w:val="00DB643D"/>
    <w:rsid w:val="00DB66C1"/>
    <w:rsid w:val="00DB69D5"/>
    <w:rsid w:val="00DB6B59"/>
    <w:rsid w:val="00DB70E5"/>
    <w:rsid w:val="00DB7E46"/>
    <w:rsid w:val="00DC00B3"/>
    <w:rsid w:val="00DC0383"/>
    <w:rsid w:val="00DC05E7"/>
    <w:rsid w:val="00DC0626"/>
    <w:rsid w:val="00DC08EA"/>
    <w:rsid w:val="00DC115F"/>
    <w:rsid w:val="00DC1B7E"/>
    <w:rsid w:val="00DC1D3E"/>
    <w:rsid w:val="00DC1EF0"/>
    <w:rsid w:val="00DC205A"/>
    <w:rsid w:val="00DC243B"/>
    <w:rsid w:val="00DC2569"/>
    <w:rsid w:val="00DC33ED"/>
    <w:rsid w:val="00DC376B"/>
    <w:rsid w:val="00DC3E08"/>
    <w:rsid w:val="00DC4637"/>
    <w:rsid w:val="00DC4E04"/>
    <w:rsid w:val="00DC4F06"/>
    <w:rsid w:val="00DC53EE"/>
    <w:rsid w:val="00DC5C99"/>
    <w:rsid w:val="00DC6049"/>
    <w:rsid w:val="00DC6C7F"/>
    <w:rsid w:val="00DC6DD3"/>
    <w:rsid w:val="00DC6F39"/>
    <w:rsid w:val="00DC734C"/>
    <w:rsid w:val="00DC7753"/>
    <w:rsid w:val="00DC7928"/>
    <w:rsid w:val="00DC796B"/>
    <w:rsid w:val="00DC7B93"/>
    <w:rsid w:val="00DD0138"/>
    <w:rsid w:val="00DD026C"/>
    <w:rsid w:val="00DD03C3"/>
    <w:rsid w:val="00DD05DA"/>
    <w:rsid w:val="00DD05F4"/>
    <w:rsid w:val="00DD066B"/>
    <w:rsid w:val="00DD08B2"/>
    <w:rsid w:val="00DD09DB"/>
    <w:rsid w:val="00DD0DC9"/>
    <w:rsid w:val="00DD10A8"/>
    <w:rsid w:val="00DD10FB"/>
    <w:rsid w:val="00DD16C0"/>
    <w:rsid w:val="00DD1DF3"/>
    <w:rsid w:val="00DD26CB"/>
    <w:rsid w:val="00DD27BB"/>
    <w:rsid w:val="00DD28B3"/>
    <w:rsid w:val="00DD30B1"/>
    <w:rsid w:val="00DD3609"/>
    <w:rsid w:val="00DD3C42"/>
    <w:rsid w:val="00DD3ED9"/>
    <w:rsid w:val="00DD4370"/>
    <w:rsid w:val="00DD444C"/>
    <w:rsid w:val="00DD4E4D"/>
    <w:rsid w:val="00DD4FA9"/>
    <w:rsid w:val="00DD505D"/>
    <w:rsid w:val="00DD5207"/>
    <w:rsid w:val="00DD5997"/>
    <w:rsid w:val="00DD5B16"/>
    <w:rsid w:val="00DD6809"/>
    <w:rsid w:val="00DD6AD1"/>
    <w:rsid w:val="00DD6C86"/>
    <w:rsid w:val="00DD753A"/>
    <w:rsid w:val="00DD768E"/>
    <w:rsid w:val="00DD77C4"/>
    <w:rsid w:val="00DD7A45"/>
    <w:rsid w:val="00DD7C05"/>
    <w:rsid w:val="00DD7D4E"/>
    <w:rsid w:val="00DE0224"/>
    <w:rsid w:val="00DE08BE"/>
    <w:rsid w:val="00DE08D4"/>
    <w:rsid w:val="00DE0CB9"/>
    <w:rsid w:val="00DE0F30"/>
    <w:rsid w:val="00DE108E"/>
    <w:rsid w:val="00DE19C7"/>
    <w:rsid w:val="00DE1B14"/>
    <w:rsid w:val="00DE1D64"/>
    <w:rsid w:val="00DE2A3F"/>
    <w:rsid w:val="00DE2C91"/>
    <w:rsid w:val="00DE30D1"/>
    <w:rsid w:val="00DE328B"/>
    <w:rsid w:val="00DE32D3"/>
    <w:rsid w:val="00DE3306"/>
    <w:rsid w:val="00DE34DD"/>
    <w:rsid w:val="00DE378C"/>
    <w:rsid w:val="00DE3948"/>
    <w:rsid w:val="00DE395D"/>
    <w:rsid w:val="00DE4866"/>
    <w:rsid w:val="00DE4FA9"/>
    <w:rsid w:val="00DE5306"/>
    <w:rsid w:val="00DE537C"/>
    <w:rsid w:val="00DE54ED"/>
    <w:rsid w:val="00DE5647"/>
    <w:rsid w:val="00DE5653"/>
    <w:rsid w:val="00DE58F6"/>
    <w:rsid w:val="00DE5C2B"/>
    <w:rsid w:val="00DE6753"/>
    <w:rsid w:val="00DE67D6"/>
    <w:rsid w:val="00DE6999"/>
    <w:rsid w:val="00DE6B25"/>
    <w:rsid w:val="00DE6B3D"/>
    <w:rsid w:val="00DE6CC9"/>
    <w:rsid w:val="00DE7552"/>
    <w:rsid w:val="00DE7714"/>
    <w:rsid w:val="00DE79C7"/>
    <w:rsid w:val="00DE7A9B"/>
    <w:rsid w:val="00DF03A4"/>
    <w:rsid w:val="00DF0562"/>
    <w:rsid w:val="00DF0578"/>
    <w:rsid w:val="00DF06A4"/>
    <w:rsid w:val="00DF0ECA"/>
    <w:rsid w:val="00DF12D1"/>
    <w:rsid w:val="00DF1522"/>
    <w:rsid w:val="00DF177E"/>
    <w:rsid w:val="00DF18EF"/>
    <w:rsid w:val="00DF1E0A"/>
    <w:rsid w:val="00DF20E0"/>
    <w:rsid w:val="00DF27EF"/>
    <w:rsid w:val="00DF28AC"/>
    <w:rsid w:val="00DF2A8F"/>
    <w:rsid w:val="00DF2EDF"/>
    <w:rsid w:val="00DF3954"/>
    <w:rsid w:val="00DF3992"/>
    <w:rsid w:val="00DF3CAB"/>
    <w:rsid w:val="00DF42B7"/>
    <w:rsid w:val="00DF44C0"/>
    <w:rsid w:val="00DF48FC"/>
    <w:rsid w:val="00DF4D4B"/>
    <w:rsid w:val="00DF4F3A"/>
    <w:rsid w:val="00DF51A9"/>
    <w:rsid w:val="00DF57B2"/>
    <w:rsid w:val="00DF5930"/>
    <w:rsid w:val="00DF5D4F"/>
    <w:rsid w:val="00DF62B9"/>
    <w:rsid w:val="00DF682A"/>
    <w:rsid w:val="00DF7140"/>
    <w:rsid w:val="00DF735D"/>
    <w:rsid w:val="00DF79CD"/>
    <w:rsid w:val="00DF7B5C"/>
    <w:rsid w:val="00E00139"/>
    <w:rsid w:val="00E0029E"/>
    <w:rsid w:val="00E009A0"/>
    <w:rsid w:val="00E00A06"/>
    <w:rsid w:val="00E013F4"/>
    <w:rsid w:val="00E01475"/>
    <w:rsid w:val="00E01AED"/>
    <w:rsid w:val="00E020D9"/>
    <w:rsid w:val="00E02D60"/>
    <w:rsid w:val="00E02DD7"/>
    <w:rsid w:val="00E0352E"/>
    <w:rsid w:val="00E0376E"/>
    <w:rsid w:val="00E03B25"/>
    <w:rsid w:val="00E03E78"/>
    <w:rsid w:val="00E05742"/>
    <w:rsid w:val="00E057D8"/>
    <w:rsid w:val="00E05804"/>
    <w:rsid w:val="00E05EBF"/>
    <w:rsid w:val="00E0654B"/>
    <w:rsid w:val="00E06AF6"/>
    <w:rsid w:val="00E06B6A"/>
    <w:rsid w:val="00E06D66"/>
    <w:rsid w:val="00E0751C"/>
    <w:rsid w:val="00E07AEA"/>
    <w:rsid w:val="00E10251"/>
    <w:rsid w:val="00E107B6"/>
    <w:rsid w:val="00E109CE"/>
    <w:rsid w:val="00E10CF8"/>
    <w:rsid w:val="00E10D74"/>
    <w:rsid w:val="00E10EBE"/>
    <w:rsid w:val="00E115C4"/>
    <w:rsid w:val="00E116EB"/>
    <w:rsid w:val="00E11A4B"/>
    <w:rsid w:val="00E11B2B"/>
    <w:rsid w:val="00E11F2D"/>
    <w:rsid w:val="00E1208E"/>
    <w:rsid w:val="00E121B6"/>
    <w:rsid w:val="00E129CD"/>
    <w:rsid w:val="00E12BA3"/>
    <w:rsid w:val="00E13032"/>
    <w:rsid w:val="00E131F7"/>
    <w:rsid w:val="00E13312"/>
    <w:rsid w:val="00E13631"/>
    <w:rsid w:val="00E13843"/>
    <w:rsid w:val="00E13EFB"/>
    <w:rsid w:val="00E14327"/>
    <w:rsid w:val="00E1436B"/>
    <w:rsid w:val="00E1444C"/>
    <w:rsid w:val="00E14503"/>
    <w:rsid w:val="00E14BFE"/>
    <w:rsid w:val="00E15230"/>
    <w:rsid w:val="00E152DA"/>
    <w:rsid w:val="00E15B05"/>
    <w:rsid w:val="00E15D48"/>
    <w:rsid w:val="00E17989"/>
    <w:rsid w:val="00E179DA"/>
    <w:rsid w:val="00E17B7B"/>
    <w:rsid w:val="00E17DE9"/>
    <w:rsid w:val="00E204FB"/>
    <w:rsid w:val="00E208E1"/>
    <w:rsid w:val="00E20F50"/>
    <w:rsid w:val="00E21762"/>
    <w:rsid w:val="00E21B19"/>
    <w:rsid w:val="00E21EB2"/>
    <w:rsid w:val="00E22BC4"/>
    <w:rsid w:val="00E22EF5"/>
    <w:rsid w:val="00E23844"/>
    <w:rsid w:val="00E23A4F"/>
    <w:rsid w:val="00E23E7B"/>
    <w:rsid w:val="00E24AA0"/>
    <w:rsid w:val="00E24C18"/>
    <w:rsid w:val="00E24EDC"/>
    <w:rsid w:val="00E251DD"/>
    <w:rsid w:val="00E255FD"/>
    <w:rsid w:val="00E25C27"/>
    <w:rsid w:val="00E25C61"/>
    <w:rsid w:val="00E25C85"/>
    <w:rsid w:val="00E25E5B"/>
    <w:rsid w:val="00E2601C"/>
    <w:rsid w:val="00E26DD0"/>
    <w:rsid w:val="00E27071"/>
    <w:rsid w:val="00E273A0"/>
    <w:rsid w:val="00E30696"/>
    <w:rsid w:val="00E30861"/>
    <w:rsid w:val="00E30E25"/>
    <w:rsid w:val="00E31653"/>
    <w:rsid w:val="00E318CE"/>
    <w:rsid w:val="00E31C5B"/>
    <w:rsid w:val="00E31C88"/>
    <w:rsid w:val="00E31D5A"/>
    <w:rsid w:val="00E3299A"/>
    <w:rsid w:val="00E330F5"/>
    <w:rsid w:val="00E3396E"/>
    <w:rsid w:val="00E33A5C"/>
    <w:rsid w:val="00E33CD1"/>
    <w:rsid w:val="00E33D50"/>
    <w:rsid w:val="00E34461"/>
    <w:rsid w:val="00E345D1"/>
    <w:rsid w:val="00E34E0E"/>
    <w:rsid w:val="00E34F0C"/>
    <w:rsid w:val="00E35761"/>
    <w:rsid w:val="00E3594E"/>
    <w:rsid w:val="00E36067"/>
    <w:rsid w:val="00E36131"/>
    <w:rsid w:val="00E361F5"/>
    <w:rsid w:val="00E36240"/>
    <w:rsid w:val="00E36627"/>
    <w:rsid w:val="00E36AFC"/>
    <w:rsid w:val="00E36E7E"/>
    <w:rsid w:val="00E36F3B"/>
    <w:rsid w:val="00E36FA8"/>
    <w:rsid w:val="00E372C2"/>
    <w:rsid w:val="00E404F8"/>
    <w:rsid w:val="00E406F1"/>
    <w:rsid w:val="00E40ECE"/>
    <w:rsid w:val="00E412C7"/>
    <w:rsid w:val="00E413C3"/>
    <w:rsid w:val="00E41A1D"/>
    <w:rsid w:val="00E41E43"/>
    <w:rsid w:val="00E41F44"/>
    <w:rsid w:val="00E420A0"/>
    <w:rsid w:val="00E422DD"/>
    <w:rsid w:val="00E4271E"/>
    <w:rsid w:val="00E42B32"/>
    <w:rsid w:val="00E42F4C"/>
    <w:rsid w:val="00E43138"/>
    <w:rsid w:val="00E43458"/>
    <w:rsid w:val="00E4368F"/>
    <w:rsid w:val="00E442EE"/>
    <w:rsid w:val="00E448DD"/>
    <w:rsid w:val="00E4549B"/>
    <w:rsid w:val="00E45736"/>
    <w:rsid w:val="00E457F1"/>
    <w:rsid w:val="00E4581B"/>
    <w:rsid w:val="00E45DF3"/>
    <w:rsid w:val="00E46084"/>
    <w:rsid w:val="00E46B16"/>
    <w:rsid w:val="00E47AD1"/>
    <w:rsid w:val="00E47DE5"/>
    <w:rsid w:val="00E5023F"/>
    <w:rsid w:val="00E503E1"/>
    <w:rsid w:val="00E508D5"/>
    <w:rsid w:val="00E514C7"/>
    <w:rsid w:val="00E519C5"/>
    <w:rsid w:val="00E51A5B"/>
    <w:rsid w:val="00E51B7D"/>
    <w:rsid w:val="00E51F53"/>
    <w:rsid w:val="00E52298"/>
    <w:rsid w:val="00E53380"/>
    <w:rsid w:val="00E53D21"/>
    <w:rsid w:val="00E53D94"/>
    <w:rsid w:val="00E53E58"/>
    <w:rsid w:val="00E54118"/>
    <w:rsid w:val="00E5423B"/>
    <w:rsid w:val="00E544AB"/>
    <w:rsid w:val="00E550BA"/>
    <w:rsid w:val="00E55716"/>
    <w:rsid w:val="00E5615A"/>
    <w:rsid w:val="00E561E5"/>
    <w:rsid w:val="00E56203"/>
    <w:rsid w:val="00E563B9"/>
    <w:rsid w:val="00E56608"/>
    <w:rsid w:val="00E5680D"/>
    <w:rsid w:val="00E56D70"/>
    <w:rsid w:val="00E56DB3"/>
    <w:rsid w:val="00E57365"/>
    <w:rsid w:val="00E574C9"/>
    <w:rsid w:val="00E57D05"/>
    <w:rsid w:val="00E57EE4"/>
    <w:rsid w:val="00E60626"/>
    <w:rsid w:val="00E606CC"/>
    <w:rsid w:val="00E6087B"/>
    <w:rsid w:val="00E60AF0"/>
    <w:rsid w:val="00E60BA0"/>
    <w:rsid w:val="00E60C91"/>
    <w:rsid w:val="00E61099"/>
    <w:rsid w:val="00E61148"/>
    <w:rsid w:val="00E61B25"/>
    <w:rsid w:val="00E61C71"/>
    <w:rsid w:val="00E61ED2"/>
    <w:rsid w:val="00E62A4B"/>
    <w:rsid w:val="00E631D3"/>
    <w:rsid w:val="00E63A92"/>
    <w:rsid w:val="00E64031"/>
    <w:rsid w:val="00E64755"/>
    <w:rsid w:val="00E647E9"/>
    <w:rsid w:val="00E6498D"/>
    <w:rsid w:val="00E649E6"/>
    <w:rsid w:val="00E64AA2"/>
    <w:rsid w:val="00E65069"/>
    <w:rsid w:val="00E65217"/>
    <w:rsid w:val="00E657AA"/>
    <w:rsid w:val="00E65AD8"/>
    <w:rsid w:val="00E65F63"/>
    <w:rsid w:val="00E660D7"/>
    <w:rsid w:val="00E66D81"/>
    <w:rsid w:val="00E670C3"/>
    <w:rsid w:val="00E67620"/>
    <w:rsid w:val="00E677B6"/>
    <w:rsid w:val="00E70AE9"/>
    <w:rsid w:val="00E70B52"/>
    <w:rsid w:val="00E70BAD"/>
    <w:rsid w:val="00E70E13"/>
    <w:rsid w:val="00E70E37"/>
    <w:rsid w:val="00E70E5E"/>
    <w:rsid w:val="00E71237"/>
    <w:rsid w:val="00E71292"/>
    <w:rsid w:val="00E71352"/>
    <w:rsid w:val="00E718E1"/>
    <w:rsid w:val="00E718ED"/>
    <w:rsid w:val="00E722C5"/>
    <w:rsid w:val="00E7324B"/>
    <w:rsid w:val="00E74369"/>
    <w:rsid w:val="00E74416"/>
    <w:rsid w:val="00E74957"/>
    <w:rsid w:val="00E749E7"/>
    <w:rsid w:val="00E750A8"/>
    <w:rsid w:val="00E752F7"/>
    <w:rsid w:val="00E7582C"/>
    <w:rsid w:val="00E758E2"/>
    <w:rsid w:val="00E76206"/>
    <w:rsid w:val="00E76A9C"/>
    <w:rsid w:val="00E76AF8"/>
    <w:rsid w:val="00E76B9A"/>
    <w:rsid w:val="00E77530"/>
    <w:rsid w:val="00E775C2"/>
    <w:rsid w:val="00E800CC"/>
    <w:rsid w:val="00E80681"/>
    <w:rsid w:val="00E80902"/>
    <w:rsid w:val="00E81064"/>
    <w:rsid w:val="00E8127F"/>
    <w:rsid w:val="00E816E8"/>
    <w:rsid w:val="00E8182C"/>
    <w:rsid w:val="00E8214B"/>
    <w:rsid w:val="00E824E4"/>
    <w:rsid w:val="00E83129"/>
    <w:rsid w:val="00E83AE4"/>
    <w:rsid w:val="00E83B19"/>
    <w:rsid w:val="00E84DCF"/>
    <w:rsid w:val="00E85547"/>
    <w:rsid w:val="00E85659"/>
    <w:rsid w:val="00E85753"/>
    <w:rsid w:val="00E85AA3"/>
    <w:rsid w:val="00E86380"/>
    <w:rsid w:val="00E867C9"/>
    <w:rsid w:val="00E87727"/>
    <w:rsid w:val="00E8781A"/>
    <w:rsid w:val="00E879D2"/>
    <w:rsid w:val="00E87DB8"/>
    <w:rsid w:val="00E90849"/>
    <w:rsid w:val="00E90C63"/>
    <w:rsid w:val="00E90CE1"/>
    <w:rsid w:val="00E91790"/>
    <w:rsid w:val="00E91FA4"/>
    <w:rsid w:val="00E92015"/>
    <w:rsid w:val="00E923FA"/>
    <w:rsid w:val="00E92DF9"/>
    <w:rsid w:val="00E92F5E"/>
    <w:rsid w:val="00E93430"/>
    <w:rsid w:val="00E93A3C"/>
    <w:rsid w:val="00E93EB2"/>
    <w:rsid w:val="00E9442E"/>
    <w:rsid w:val="00E9492A"/>
    <w:rsid w:val="00E94AA3"/>
    <w:rsid w:val="00E94CC8"/>
    <w:rsid w:val="00E9506D"/>
    <w:rsid w:val="00E95238"/>
    <w:rsid w:val="00E9537D"/>
    <w:rsid w:val="00E956B8"/>
    <w:rsid w:val="00E956E6"/>
    <w:rsid w:val="00E9651A"/>
    <w:rsid w:val="00E966F7"/>
    <w:rsid w:val="00E96D44"/>
    <w:rsid w:val="00E96F21"/>
    <w:rsid w:val="00E9709E"/>
    <w:rsid w:val="00E971C2"/>
    <w:rsid w:val="00E97690"/>
    <w:rsid w:val="00E9770C"/>
    <w:rsid w:val="00EA062F"/>
    <w:rsid w:val="00EA0903"/>
    <w:rsid w:val="00EA2468"/>
    <w:rsid w:val="00EA24E5"/>
    <w:rsid w:val="00EA2FA9"/>
    <w:rsid w:val="00EA2FB5"/>
    <w:rsid w:val="00EA3361"/>
    <w:rsid w:val="00EA33CE"/>
    <w:rsid w:val="00EA385F"/>
    <w:rsid w:val="00EA425B"/>
    <w:rsid w:val="00EA4587"/>
    <w:rsid w:val="00EA4807"/>
    <w:rsid w:val="00EA4B35"/>
    <w:rsid w:val="00EA4D22"/>
    <w:rsid w:val="00EA57DC"/>
    <w:rsid w:val="00EA59C4"/>
    <w:rsid w:val="00EA5A76"/>
    <w:rsid w:val="00EA5C78"/>
    <w:rsid w:val="00EA5D95"/>
    <w:rsid w:val="00EA5E97"/>
    <w:rsid w:val="00EA5ECE"/>
    <w:rsid w:val="00EA6313"/>
    <w:rsid w:val="00EA636D"/>
    <w:rsid w:val="00EA663D"/>
    <w:rsid w:val="00EA6A69"/>
    <w:rsid w:val="00EA6D0B"/>
    <w:rsid w:val="00EA71B0"/>
    <w:rsid w:val="00EA74D8"/>
    <w:rsid w:val="00EA769F"/>
    <w:rsid w:val="00EB00E7"/>
    <w:rsid w:val="00EB0A4E"/>
    <w:rsid w:val="00EB13B7"/>
    <w:rsid w:val="00EB1BC0"/>
    <w:rsid w:val="00EB232D"/>
    <w:rsid w:val="00EB31EF"/>
    <w:rsid w:val="00EB334C"/>
    <w:rsid w:val="00EB35FD"/>
    <w:rsid w:val="00EB3626"/>
    <w:rsid w:val="00EB37FF"/>
    <w:rsid w:val="00EB4268"/>
    <w:rsid w:val="00EB4349"/>
    <w:rsid w:val="00EB43EF"/>
    <w:rsid w:val="00EB4808"/>
    <w:rsid w:val="00EB4A7F"/>
    <w:rsid w:val="00EB4AEE"/>
    <w:rsid w:val="00EB531A"/>
    <w:rsid w:val="00EB5425"/>
    <w:rsid w:val="00EB5775"/>
    <w:rsid w:val="00EB5ADA"/>
    <w:rsid w:val="00EB67B2"/>
    <w:rsid w:val="00EB6AA3"/>
    <w:rsid w:val="00EB709D"/>
    <w:rsid w:val="00EB72DB"/>
    <w:rsid w:val="00EB77C2"/>
    <w:rsid w:val="00EB7B6E"/>
    <w:rsid w:val="00EC0697"/>
    <w:rsid w:val="00EC0858"/>
    <w:rsid w:val="00EC0B1B"/>
    <w:rsid w:val="00EC0E3F"/>
    <w:rsid w:val="00EC1832"/>
    <w:rsid w:val="00EC1CF0"/>
    <w:rsid w:val="00EC1DE3"/>
    <w:rsid w:val="00EC1F8F"/>
    <w:rsid w:val="00EC2004"/>
    <w:rsid w:val="00EC2261"/>
    <w:rsid w:val="00EC23C7"/>
    <w:rsid w:val="00EC28EE"/>
    <w:rsid w:val="00EC29B9"/>
    <w:rsid w:val="00EC2B70"/>
    <w:rsid w:val="00EC2BA7"/>
    <w:rsid w:val="00EC2BBB"/>
    <w:rsid w:val="00EC2BDE"/>
    <w:rsid w:val="00EC2D36"/>
    <w:rsid w:val="00EC2E8D"/>
    <w:rsid w:val="00EC2F83"/>
    <w:rsid w:val="00EC4108"/>
    <w:rsid w:val="00EC486A"/>
    <w:rsid w:val="00EC5370"/>
    <w:rsid w:val="00EC56B1"/>
    <w:rsid w:val="00EC5B49"/>
    <w:rsid w:val="00EC6381"/>
    <w:rsid w:val="00EC64C3"/>
    <w:rsid w:val="00EC6581"/>
    <w:rsid w:val="00EC660E"/>
    <w:rsid w:val="00EC6733"/>
    <w:rsid w:val="00EC68DE"/>
    <w:rsid w:val="00EC69FF"/>
    <w:rsid w:val="00EC6BAB"/>
    <w:rsid w:val="00EC6DF2"/>
    <w:rsid w:val="00EC6FCA"/>
    <w:rsid w:val="00EC7205"/>
    <w:rsid w:val="00EC7618"/>
    <w:rsid w:val="00EC7CD0"/>
    <w:rsid w:val="00EC7E69"/>
    <w:rsid w:val="00EC7F4E"/>
    <w:rsid w:val="00ED0256"/>
    <w:rsid w:val="00ED095B"/>
    <w:rsid w:val="00ED1375"/>
    <w:rsid w:val="00ED16E8"/>
    <w:rsid w:val="00ED259A"/>
    <w:rsid w:val="00ED2675"/>
    <w:rsid w:val="00ED2CF7"/>
    <w:rsid w:val="00ED326E"/>
    <w:rsid w:val="00ED364A"/>
    <w:rsid w:val="00ED3C01"/>
    <w:rsid w:val="00ED3D61"/>
    <w:rsid w:val="00ED3F91"/>
    <w:rsid w:val="00ED420A"/>
    <w:rsid w:val="00ED49A2"/>
    <w:rsid w:val="00ED4AB8"/>
    <w:rsid w:val="00ED5019"/>
    <w:rsid w:val="00ED6535"/>
    <w:rsid w:val="00ED7217"/>
    <w:rsid w:val="00ED7222"/>
    <w:rsid w:val="00ED74D7"/>
    <w:rsid w:val="00ED79FE"/>
    <w:rsid w:val="00ED7ADA"/>
    <w:rsid w:val="00ED7F67"/>
    <w:rsid w:val="00ED7FE6"/>
    <w:rsid w:val="00EE009C"/>
    <w:rsid w:val="00EE0294"/>
    <w:rsid w:val="00EE03A5"/>
    <w:rsid w:val="00EE0FD8"/>
    <w:rsid w:val="00EE1017"/>
    <w:rsid w:val="00EE11FD"/>
    <w:rsid w:val="00EE19D4"/>
    <w:rsid w:val="00EE1A8C"/>
    <w:rsid w:val="00EE1A97"/>
    <w:rsid w:val="00EE1DBB"/>
    <w:rsid w:val="00EE21D6"/>
    <w:rsid w:val="00EE2A0F"/>
    <w:rsid w:val="00EE2A69"/>
    <w:rsid w:val="00EE2B0A"/>
    <w:rsid w:val="00EE2BBF"/>
    <w:rsid w:val="00EE32B9"/>
    <w:rsid w:val="00EE34D5"/>
    <w:rsid w:val="00EE3B46"/>
    <w:rsid w:val="00EE3FF7"/>
    <w:rsid w:val="00EE426B"/>
    <w:rsid w:val="00EE4B3A"/>
    <w:rsid w:val="00EE56DD"/>
    <w:rsid w:val="00EE5942"/>
    <w:rsid w:val="00EE61CC"/>
    <w:rsid w:val="00EE6205"/>
    <w:rsid w:val="00EE62E6"/>
    <w:rsid w:val="00EE6589"/>
    <w:rsid w:val="00EE6CED"/>
    <w:rsid w:val="00EE7059"/>
    <w:rsid w:val="00EE7623"/>
    <w:rsid w:val="00EE7991"/>
    <w:rsid w:val="00EE79BB"/>
    <w:rsid w:val="00EE7AC5"/>
    <w:rsid w:val="00EF16A1"/>
    <w:rsid w:val="00EF193C"/>
    <w:rsid w:val="00EF1DDB"/>
    <w:rsid w:val="00EF1F91"/>
    <w:rsid w:val="00EF2400"/>
    <w:rsid w:val="00EF25EC"/>
    <w:rsid w:val="00EF278F"/>
    <w:rsid w:val="00EF2FFC"/>
    <w:rsid w:val="00EF3554"/>
    <w:rsid w:val="00EF367B"/>
    <w:rsid w:val="00EF37EC"/>
    <w:rsid w:val="00EF386E"/>
    <w:rsid w:val="00EF3D90"/>
    <w:rsid w:val="00EF3FA1"/>
    <w:rsid w:val="00EF4B3A"/>
    <w:rsid w:val="00EF5461"/>
    <w:rsid w:val="00EF5B22"/>
    <w:rsid w:val="00EF5B60"/>
    <w:rsid w:val="00EF5C5B"/>
    <w:rsid w:val="00EF5E50"/>
    <w:rsid w:val="00EF6045"/>
    <w:rsid w:val="00EF61A9"/>
    <w:rsid w:val="00EF6471"/>
    <w:rsid w:val="00EF658C"/>
    <w:rsid w:val="00EF6EA5"/>
    <w:rsid w:val="00EF7222"/>
    <w:rsid w:val="00EF765D"/>
    <w:rsid w:val="00EF7AFD"/>
    <w:rsid w:val="00EF7E34"/>
    <w:rsid w:val="00EF7E44"/>
    <w:rsid w:val="00F00CD2"/>
    <w:rsid w:val="00F0144F"/>
    <w:rsid w:val="00F0155E"/>
    <w:rsid w:val="00F01867"/>
    <w:rsid w:val="00F01906"/>
    <w:rsid w:val="00F01F8F"/>
    <w:rsid w:val="00F025FB"/>
    <w:rsid w:val="00F02709"/>
    <w:rsid w:val="00F02E62"/>
    <w:rsid w:val="00F03861"/>
    <w:rsid w:val="00F04084"/>
    <w:rsid w:val="00F04107"/>
    <w:rsid w:val="00F04563"/>
    <w:rsid w:val="00F04BB1"/>
    <w:rsid w:val="00F04F99"/>
    <w:rsid w:val="00F05595"/>
    <w:rsid w:val="00F05921"/>
    <w:rsid w:val="00F05BC3"/>
    <w:rsid w:val="00F0622A"/>
    <w:rsid w:val="00F0672B"/>
    <w:rsid w:val="00F06C39"/>
    <w:rsid w:val="00F0734A"/>
    <w:rsid w:val="00F07852"/>
    <w:rsid w:val="00F07C73"/>
    <w:rsid w:val="00F1032A"/>
    <w:rsid w:val="00F1049F"/>
    <w:rsid w:val="00F10754"/>
    <w:rsid w:val="00F10C37"/>
    <w:rsid w:val="00F10F8A"/>
    <w:rsid w:val="00F11328"/>
    <w:rsid w:val="00F113BD"/>
    <w:rsid w:val="00F11697"/>
    <w:rsid w:val="00F11759"/>
    <w:rsid w:val="00F11B11"/>
    <w:rsid w:val="00F1241D"/>
    <w:rsid w:val="00F130A8"/>
    <w:rsid w:val="00F133DF"/>
    <w:rsid w:val="00F13472"/>
    <w:rsid w:val="00F1377A"/>
    <w:rsid w:val="00F13919"/>
    <w:rsid w:val="00F13ACB"/>
    <w:rsid w:val="00F13DD3"/>
    <w:rsid w:val="00F13E86"/>
    <w:rsid w:val="00F13F49"/>
    <w:rsid w:val="00F14073"/>
    <w:rsid w:val="00F14348"/>
    <w:rsid w:val="00F143FC"/>
    <w:rsid w:val="00F14459"/>
    <w:rsid w:val="00F14546"/>
    <w:rsid w:val="00F14885"/>
    <w:rsid w:val="00F14A97"/>
    <w:rsid w:val="00F14CC1"/>
    <w:rsid w:val="00F14D2E"/>
    <w:rsid w:val="00F15459"/>
    <w:rsid w:val="00F155A8"/>
    <w:rsid w:val="00F15828"/>
    <w:rsid w:val="00F15948"/>
    <w:rsid w:val="00F170DB"/>
    <w:rsid w:val="00F173FF"/>
    <w:rsid w:val="00F2165A"/>
    <w:rsid w:val="00F21D20"/>
    <w:rsid w:val="00F22066"/>
    <w:rsid w:val="00F23814"/>
    <w:rsid w:val="00F2394B"/>
    <w:rsid w:val="00F23FA4"/>
    <w:rsid w:val="00F242C3"/>
    <w:rsid w:val="00F24459"/>
    <w:rsid w:val="00F24677"/>
    <w:rsid w:val="00F24A57"/>
    <w:rsid w:val="00F25373"/>
    <w:rsid w:val="00F25459"/>
    <w:rsid w:val="00F25AA8"/>
    <w:rsid w:val="00F274BE"/>
    <w:rsid w:val="00F27943"/>
    <w:rsid w:val="00F27D08"/>
    <w:rsid w:val="00F27E5E"/>
    <w:rsid w:val="00F3047E"/>
    <w:rsid w:val="00F30D5C"/>
    <w:rsid w:val="00F31288"/>
    <w:rsid w:val="00F3145F"/>
    <w:rsid w:val="00F31F6D"/>
    <w:rsid w:val="00F3209B"/>
    <w:rsid w:val="00F32783"/>
    <w:rsid w:val="00F32D38"/>
    <w:rsid w:val="00F32F3B"/>
    <w:rsid w:val="00F332CA"/>
    <w:rsid w:val="00F33CB4"/>
    <w:rsid w:val="00F33D7C"/>
    <w:rsid w:val="00F34350"/>
    <w:rsid w:val="00F35300"/>
    <w:rsid w:val="00F35A39"/>
    <w:rsid w:val="00F362D7"/>
    <w:rsid w:val="00F37932"/>
    <w:rsid w:val="00F379EA"/>
    <w:rsid w:val="00F37B04"/>
    <w:rsid w:val="00F37FC3"/>
    <w:rsid w:val="00F400C8"/>
    <w:rsid w:val="00F4012C"/>
    <w:rsid w:val="00F4063C"/>
    <w:rsid w:val="00F4085B"/>
    <w:rsid w:val="00F408E3"/>
    <w:rsid w:val="00F409CF"/>
    <w:rsid w:val="00F40CD5"/>
    <w:rsid w:val="00F41802"/>
    <w:rsid w:val="00F41C2A"/>
    <w:rsid w:val="00F429C4"/>
    <w:rsid w:val="00F432EB"/>
    <w:rsid w:val="00F43366"/>
    <w:rsid w:val="00F43569"/>
    <w:rsid w:val="00F437A7"/>
    <w:rsid w:val="00F43A25"/>
    <w:rsid w:val="00F43AA3"/>
    <w:rsid w:val="00F43C0A"/>
    <w:rsid w:val="00F4413B"/>
    <w:rsid w:val="00F44203"/>
    <w:rsid w:val="00F4432F"/>
    <w:rsid w:val="00F446E5"/>
    <w:rsid w:val="00F44752"/>
    <w:rsid w:val="00F4485F"/>
    <w:rsid w:val="00F44CB0"/>
    <w:rsid w:val="00F44F1B"/>
    <w:rsid w:val="00F45145"/>
    <w:rsid w:val="00F451B7"/>
    <w:rsid w:val="00F454E0"/>
    <w:rsid w:val="00F45B51"/>
    <w:rsid w:val="00F465FC"/>
    <w:rsid w:val="00F4678C"/>
    <w:rsid w:val="00F467FF"/>
    <w:rsid w:val="00F4691D"/>
    <w:rsid w:val="00F47064"/>
    <w:rsid w:val="00F475B4"/>
    <w:rsid w:val="00F47DF5"/>
    <w:rsid w:val="00F47F31"/>
    <w:rsid w:val="00F5089A"/>
    <w:rsid w:val="00F50B66"/>
    <w:rsid w:val="00F50EE4"/>
    <w:rsid w:val="00F512FE"/>
    <w:rsid w:val="00F51430"/>
    <w:rsid w:val="00F51781"/>
    <w:rsid w:val="00F51CAE"/>
    <w:rsid w:val="00F51CC5"/>
    <w:rsid w:val="00F52C26"/>
    <w:rsid w:val="00F5350B"/>
    <w:rsid w:val="00F5384E"/>
    <w:rsid w:val="00F53A2D"/>
    <w:rsid w:val="00F545BC"/>
    <w:rsid w:val="00F55311"/>
    <w:rsid w:val="00F5569D"/>
    <w:rsid w:val="00F55B6B"/>
    <w:rsid w:val="00F55EE8"/>
    <w:rsid w:val="00F560B8"/>
    <w:rsid w:val="00F56865"/>
    <w:rsid w:val="00F56921"/>
    <w:rsid w:val="00F56B20"/>
    <w:rsid w:val="00F56C76"/>
    <w:rsid w:val="00F578B5"/>
    <w:rsid w:val="00F57B8D"/>
    <w:rsid w:val="00F601DE"/>
    <w:rsid w:val="00F603F3"/>
    <w:rsid w:val="00F60412"/>
    <w:rsid w:val="00F604C6"/>
    <w:rsid w:val="00F60628"/>
    <w:rsid w:val="00F60EC7"/>
    <w:rsid w:val="00F61148"/>
    <w:rsid w:val="00F6170D"/>
    <w:rsid w:val="00F61911"/>
    <w:rsid w:val="00F61E7C"/>
    <w:rsid w:val="00F61F14"/>
    <w:rsid w:val="00F620A6"/>
    <w:rsid w:val="00F625F8"/>
    <w:rsid w:val="00F626B5"/>
    <w:rsid w:val="00F6274F"/>
    <w:rsid w:val="00F62979"/>
    <w:rsid w:val="00F62F37"/>
    <w:rsid w:val="00F630EC"/>
    <w:rsid w:val="00F630ED"/>
    <w:rsid w:val="00F63157"/>
    <w:rsid w:val="00F635CE"/>
    <w:rsid w:val="00F63E9C"/>
    <w:rsid w:val="00F63FE9"/>
    <w:rsid w:val="00F6492E"/>
    <w:rsid w:val="00F64D4F"/>
    <w:rsid w:val="00F652A1"/>
    <w:rsid w:val="00F653BD"/>
    <w:rsid w:val="00F655B5"/>
    <w:rsid w:val="00F65A62"/>
    <w:rsid w:val="00F65BEA"/>
    <w:rsid w:val="00F65DD4"/>
    <w:rsid w:val="00F65EC4"/>
    <w:rsid w:val="00F66630"/>
    <w:rsid w:val="00F666EB"/>
    <w:rsid w:val="00F6682F"/>
    <w:rsid w:val="00F66899"/>
    <w:rsid w:val="00F669E9"/>
    <w:rsid w:val="00F66E6D"/>
    <w:rsid w:val="00F66FF3"/>
    <w:rsid w:val="00F677F3"/>
    <w:rsid w:val="00F67838"/>
    <w:rsid w:val="00F679EC"/>
    <w:rsid w:val="00F67E05"/>
    <w:rsid w:val="00F7029C"/>
    <w:rsid w:val="00F706FB"/>
    <w:rsid w:val="00F71253"/>
    <w:rsid w:val="00F713BC"/>
    <w:rsid w:val="00F713F6"/>
    <w:rsid w:val="00F716AA"/>
    <w:rsid w:val="00F71D1E"/>
    <w:rsid w:val="00F71DF2"/>
    <w:rsid w:val="00F72014"/>
    <w:rsid w:val="00F72B38"/>
    <w:rsid w:val="00F7308C"/>
    <w:rsid w:val="00F7319B"/>
    <w:rsid w:val="00F738F2"/>
    <w:rsid w:val="00F73A7A"/>
    <w:rsid w:val="00F73AA0"/>
    <w:rsid w:val="00F74D3A"/>
    <w:rsid w:val="00F74E44"/>
    <w:rsid w:val="00F75136"/>
    <w:rsid w:val="00F75377"/>
    <w:rsid w:val="00F753FF"/>
    <w:rsid w:val="00F755AB"/>
    <w:rsid w:val="00F755CF"/>
    <w:rsid w:val="00F75CBE"/>
    <w:rsid w:val="00F76928"/>
    <w:rsid w:val="00F773B6"/>
    <w:rsid w:val="00F775C9"/>
    <w:rsid w:val="00F77655"/>
    <w:rsid w:val="00F7784A"/>
    <w:rsid w:val="00F779F8"/>
    <w:rsid w:val="00F80653"/>
    <w:rsid w:val="00F806A6"/>
    <w:rsid w:val="00F812E5"/>
    <w:rsid w:val="00F814D2"/>
    <w:rsid w:val="00F81A15"/>
    <w:rsid w:val="00F81B9A"/>
    <w:rsid w:val="00F8259E"/>
    <w:rsid w:val="00F831F5"/>
    <w:rsid w:val="00F83303"/>
    <w:rsid w:val="00F8442E"/>
    <w:rsid w:val="00F84778"/>
    <w:rsid w:val="00F84BFD"/>
    <w:rsid w:val="00F857C5"/>
    <w:rsid w:val="00F85A44"/>
    <w:rsid w:val="00F86080"/>
    <w:rsid w:val="00F86514"/>
    <w:rsid w:val="00F8661E"/>
    <w:rsid w:val="00F866F0"/>
    <w:rsid w:val="00F8684F"/>
    <w:rsid w:val="00F870B9"/>
    <w:rsid w:val="00F87281"/>
    <w:rsid w:val="00F875C1"/>
    <w:rsid w:val="00F87CB0"/>
    <w:rsid w:val="00F87CB8"/>
    <w:rsid w:val="00F909E5"/>
    <w:rsid w:val="00F90E67"/>
    <w:rsid w:val="00F90F49"/>
    <w:rsid w:val="00F913EE"/>
    <w:rsid w:val="00F91799"/>
    <w:rsid w:val="00F91C76"/>
    <w:rsid w:val="00F9206E"/>
    <w:rsid w:val="00F921DD"/>
    <w:rsid w:val="00F926FD"/>
    <w:rsid w:val="00F9282F"/>
    <w:rsid w:val="00F928CD"/>
    <w:rsid w:val="00F92EFF"/>
    <w:rsid w:val="00F934DB"/>
    <w:rsid w:val="00F93759"/>
    <w:rsid w:val="00F9392E"/>
    <w:rsid w:val="00F93C2C"/>
    <w:rsid w:val="00F93DE3"/>
    <w:rsid w:val="00F93E31"/>
    <w:rsid w:val="00F941DD"/>
    <w:rsid w:val="00F94224"/>
    <w:rsid w:val="00F944EC"/>
    <w:rsid w:val="00F9478A"/>
    <w:rsid w:val="00F9484B"/>
    <w:rsid w:val="00F94B11"/>
    <w:rsid w:val="00F95239"/>
    <w:rsid w:val="00F9524D"/>
    <w:rsid w:val="00F95301"/>
    <w:rsid w:val="00F95F2A"/>
    <w:rsid w:val="00F964A6"/>
    <w:rsid w:val="00F966AA"/>
    <w:rsid w:val="00F966EE"/>
    <w:rsid w:val="00F967E3"/>
    <w:rsid w:val="00F96D78"/>
    <w:rsid w:val="00F96DE1"/>
    <w:rsid w:val="00F9760F"/>
    <w:rsid w:val="00F97FF1"/>
    <w:rsid w:val="00FA002D"/>
    <w:rsid w:val="00FA08CA"/>
    <w:rsid w:val="00FA0999"/>
    <w:rsid w:val="00FA09E4"/>
    <w:rsid w:val="00FA0EC6"/>
    <w:rsid w:val="00FA11F0"/>
    <w:rsid w:val="00FA12EB"/>
    <w:rsid w:val="00FA1641"/>
    <w:rsid w:val="00FA16ED"/>
    <w:rsid w:val="00FA1B3F"/>
    <w:rsid w:val="00FA253F"/>
    <w:rsid w:val="00FA2BC3"/>
    <w:rsid w:val="00FA339C"/>
    <w:rsid w:val="00FA36EF"/>
    <w:rsid w:val="00FA3957"/>
    <w:rsid w:val="00FA3C7B"/>
    <w:rsid w:val="00FA40C9"/>
    <w:rsid w:val="00FA459E"/>
    <w:rsid w:val="00FA4E1B"/>
    <w:rsid w:val="00FA4E59"/>
    <w:rsid w:val="00FA4F2B"/>
    <w:rsid w:val="00FA50E9"/>
    <w:rsid w:val="00FA54D0"/>
    <w:rsid w:val="00FA5BDB"/>
    <w:rsid w:val="00FA5D82"/>
    <w:rsid w:val="00FA6AA3"/>
    <w:rsid w:val="00FA6C01"/>
    <w:rsid w:val="00FA7D45"/>
    <w:rsid w:val="00FB0166"/>
    <w:rsid w:val="00FB0323"/>
    <w:rsid w:val="00FB094A"/>
    <w:rsid w:val="00FB0D31"/>
    <w:rsid w:val="00FB0E71"/>
    <w:rsid w:val="00FB11DD"/>
    <w:rsid w:val="00FB17D8"/>
    <w:rsid w:val="00FB1D64"/>
    <w:rsid w:val="00FB2660"/>
    <w:rsid w:val="00FB2743"/>
    <w:rsid w:val="00FB2E94"/>
    <w:rsid w:val="00FB306F"/>
    <w:rsid w:val="00FB3D7F"/>
    <w:rsid w:val="00FB4AA0"/>
    <w:rsid w:val="00FB4ADB"/>
    <w:rsid w:val="00FB4D9F"/>
    <w:rsid w:val="00FB5322"/>
    <w:rsid w:val="00FB564A"/>
    <w:rsid w:val="00FB5D87"/>
    <w:rsid w:val="00FB5F9F"/>
    <w:rsid w:val="00FB62A7"/>
    <w:rsid w:val="00FB6939"/>
    <w:rsid w:val="00FB6F31"/>
    <w:rsid w:val="00FB6F36"/>
    <w:rsid w:val="00FB762A"/>
    <w:rsid w:val="00FB7BAC"/>
    <w:rsid w:val="00FB7D3E"/>
    <w:rsid w:val="00FC0126"/>
    <w:rsid w:val="00FC06FC"/>
    <w:rsid w:val="00FC0955"/>
    <w:rsid w:val="00FC0E5F"/>
    <w:rsid w:val="00FC1366"/>
    <w:rsid w:val="00FC145E"/>
    <w:rsid w:val="00FC18FC"/>
    <w:rsid w:val="00FC1CD9"/>
    <w:rsid w:val="00FC1D4B"/>
    <w:rsid w:val="00FC202C"/>
    <w:rsid w:val="00FC284F"/>
    <w:rsid w:val="00FC2AD8"/>
    <w:rsid w:val="00FC2FE4"/>
    <w:rsid w:val="00FC307D"/>
    <w:rsid w:val="00FC37AC"/>
    <w:rsid w:val="00FC3822"/>
    <w:rsid w:val="00FC3882"/>
    <w:rsid w:val="00FC3F20"/>
    <w:rsid w:val="00FC42C7"/>
    <w:rsid w:val="00FC5754"/>
    <w:rsid w:val="00FC5E86"/>
    <w:rsid w:val="00FC5EC9"/>
    <w:rsid w:val="00FC5F2F"/>
    <w:rsid w:val="00FC6042"/>
    <w:rsid w:val="00FC6C9D"/>
    <w:rsid w:val="00FC6D33"/>
    <w:rsid w:val="00FC6D72"/>
    <w:rsid w:val="00FC775B"/>
    <w:rsid w:val="00FC787A"/>
    <w:rsid w:val="00FC79D8"/>
    <w:rsid w:val="00FC7A26"/>
    <w:rsid w:val="00FC7AE7"/>
    <w:rsid w:val="00FD0D0E"/>
    <w:rsid w:val="00FD0E79"/>
    <w:rsid w:val="00FD1319"/>
    <w:rsid w:val="00FD1C0D"/>
    <w:rsid w:val="00FD1D07"/>
    <w:rsid w:val="00FD1ED4"/>
    <w:rsid w:val="00FD2461"/>
    <w:rsid w:val="00FD2910"/>
    <w:rsid w:val="00FD2AB7"/>
    <w:rsid w:val="00FD2B3C"/>
    <w:rsid w:val="00FD3110"/>
    <w:rsid w:val="00FD3B17"/>
    <w:rsid w:val="00FD3E43"/>
    <w:rsid w:val="00FD4310"/>
    <w:rsid w:val="00FD4EC7"/>
    <w:rsid w:val="00FD561A"/>
    <w:rsid w:val="00FD566B"/>
    <w:rsid w:val="00FD5869"/>
    <w:rsid w:val="00FD5BC8"/>
    <w:rsid w:val="00FD5C58"/>
    <w:rsid w:val="00FD5EA9"/>
    <w:rsid w:val="00FD64FD"/>
    <w:rsid w:val="00FD65C6"/>
    <w:rsid w:val="00FD7320"/>
    <w:rsid w:val="00FD76FE"/>
    <w:rsid w:val="00FD7AAB"/>
    <w:rsid w:val="00FD7DB0"/>
    <w:rsid w:val="00FE021F"/>
    <w:rsid w:val="00FE0726"/>
    <w:rsid w:val="00FE0D7B"/>
    <w:rsid w:val="00FE0E34"/>
    <w:rsid w:val="00FE0EE3"/>
    <w:rsid w:val="00FE10EF"/>
    <w:rsid w:val="00FE12E3"/>
    <w:rsid w:val="00FE135A"/>
    <w:rsid w:val="00FE1780"/>
    <w:rsid w:val="00FE18E0"/>
    <w:rsid w:val="00FE2728"/>
    <w:rsid w:val="00FE2DA9"/>
    <w:rsid w:val="00FE2EC4"/>
    <w:rsid w:val="00FE3548"/>
    <w:rsid w:val="00FE3A1E"/>
    <w:rsid w:val="00FE3AE2"/>
    <w:rsid w:val="00FE3B48"/>
    <w:rsid w:val="00FE3BFA"/>
    <w:rsid w:val="00FE40ED"/>
    <w:rsid w:val="00FE42EC"/>
    <w:rsid w:val="00FE433A"/>
    <w:rsid w:val="00FE4394"/>
    <w:rsid w:val="00FE444F"/>
    <w:rsid w:val="00FE4468"/>
    <w:rsid w:val="00FE4972"/>
    <w:rsid w:val="00FE4A5A"/>
    <w:rsid w:val="00FE4DBE"/>
    <w:rsid w:val="00FE4E0C"/>
    <w:rsid w:val="00FE53CD"/>
    <w:rsid w:val="00FE5603"/>
    <w:rsid w:val="00FE5FB9"/>
    <w:rsid w:val="00FE6007"/>
    <w:rsid w:val="00FE66D4"/>
    <w:rsid w:val="00FE68D4"/>
    <w:rsid w:val="00FE6B57"/>
    <w:rsid w:val="00FE6BA7"/>
    <w:rsid w:val="00FE6C81"/>
    <w:rsid w:val="00FE6D5F"/>
    <w:rsid w:val="00FE6E89"/>
    <w:rsid w:val="00FE795A"/>
    <w:rsid w:val="00FE7C28"/>
    <w:rsid w:val="00FE7CCD"/>
    <w:rsid w:val="00FF0CD4"/>
    <w:rsid w:val="00FF1026"/>
    <w:rsid w:val="00FF1528"/>
    <w:rsid w:val="00FF1BDA"/>
    <w:rsid w:val="00FF1DAD"/>
    <w:rsid w:val="00FF2856"/>
    <w:rsid w:val="00FF316E"/>
    <w:rsid w:val="00FF350B"/>
    <w:rsid w:val="00FF371A"/>
    <w:rsid w:val="00FF37ED"/>
    <w:rsid w:val="00FF3C4F"/>
    <w:rsid w:val="00FF4134"/>
    <w:rsid w:val="00FF481A"/>
    <w:rsid w:val="00FF4997"/>
    <w:rsid w:val="00FF4D86"/>
    <w:rsid w:val="00FF4DE3"/>
    <w:rsid w:val="00FF4E87"/>
    <w:rsid w:val="00FF5425"/>
    <w:rsid w:val="00FF58C5"/>
    <w:rsid w:val="00FF5D52"/>
    <w:rsid w:val="00FF66ED"/>
    <w:rsid w:val="00FF66F9"/>
    <w:rsid w:val="00FF6CDB"/>
    <w:rsid w:val="00FF6D32"/>
    <w:rsid w:val="00FF7126"/>
    <w:rsid w:val="00FF7E1C"/>
    <w:rsid w:val="00FF7F2F"/>
    <w:rsid w:val="121829EE"/>
    <w:rsid w:val="18370FC9"/>
    <w:rsid w:val="304DB579"/>
    <w:rsid w:val="5248C967"/>
    <w:rsid w:val="65F341CF"/>
    <w:rsid w:val="6687ADA9"/>
    <w:rsid w:val="7BE214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CD593"/>
  <w15:chartTrackingRefBased/>
  <w15:docId w15:val="{430AE3CF-7110-4343-802B-A6DD70DC7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0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E9A"/>
    <w:rPr>
      <w:rFonts w:eastAsiaTheme="majorEastAsia" w:cstheme="majorBidi"/>
      <w:color w:val="272727" w:themeColor="text1" w:themeTint="D8"/>
    </w:rPr>
  </w:style>
  <w:style w:type="paragraph" w:styleId="Title">
    <w:name w:val="Title"/>
    <w:basedOn w:val="Normal"/>
    <w:next w:val="Normal"/>
    <w:link w:val="TitleChar"/>
    <w:uiPriority w:val="10"/>
    <w:qFormat/>
    <w:rsid w:val="006E0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E9A"/>
    <w:pPr>
      <w:spacing w:before="160"/>
      <w:jc w:val="center"/>
    </w:pPr>
    <w:rPr>
      <w:i/>
      <w:iCs/>
      <w:color w:val="404040" w:themeColor="text1" w:themeTint="BF"/>
    </w:rPr>
  </w:style>
  <w:style w:type="character" w:customStyle="1" w:styleId="QuoteChar">
    <w:name w:val="Quote Char"/>
    <w:basedOn w:val="DefaultParagraphFont"/>
    <w:link w:val="Quote"/>
    <w:uiPriority w:val="29"/>
    <w:rsid w:val="006E0E9A"/>
    <w:rPr>
      <w:i/>
      <w:iCs/>
      <w:color w:val="404040" w:themeColor="text1" w:themeTint="BF"/>
    </w:rPr>
  </w:style>
  <w:style w:type="paragraph" w:styleId="ListParagraph">
    <w:name w:val="List Paragraph"/>
    <w:basedOn w:val="Normal"/>
    <w:uiPriority w:val="34"/>
    <w:qFormat/>
    <w:rsid w:val="006E0E9A"/>
    <w:pPr>
      <w:ind w:left="720"/>
      <w:contextualSpacing/>
    </w:pPr>
  </w:style>
  <w:style w:type="character" w:styleId="IntenseEmphasis">
    <w:name w:val="Intense Emphasis"/>
    <w:basedOn w:val="DefaultParagraphFont"/>
    <w:uiPriority w:val="21"/>
    <w:qFormat/>
    <w:rsid w:val="006E0E9A"/>
    <w:rPr>
      <w:i/>
      <w:iCs/>
      <w:color w:val="0F4761" w:themeColor="accent1" w:themeShade="BF"/>
    </w:rPr>
  </w:style>
  <w:style w:type="paragraph" w:styleId="IntenseQuote">
    <w:name w:val="Intense Quote"/>
    <w:basedOn w:val="Normal"/>
    <w:next w:val="Normal"/>
    <w:link w:val="IntenseQuoteChar"/>
    <w:uiPriority w:val="30"/>
    <w:qFormat/>
    <w:rsid w:val="006E0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E9A"/>
    <w:rPr>
      <w:i/>
      <w:iCs/>
      <w:color w:val="0F4761" w:themeColor="accent1" w:themeShade="BF"/>
    </w:rPr>
  </w:style>
  <w:style w:type="character" w:styleId="IntenseReference">
    <w:name w:val="Intense Reference"/>
    <w:basedOn w:val="DefaultParagraphFont"/>
    <w:uiPriority w:val="32"/>
    <w:qFormat/>
    <w:rsid w:val="006E0E9A"/>
    <w:rPr>
      <w:b/>
      <w:bCs/>
      <w:smallCaps/>
      <w:color w:val="0F4761" w:themeColor="accent1" w:themeShade="BF"/>
      <w:spacing w:val="5"/>
    </w:rPr>
  </w:style>
  <w:style w:type="character" w:customStyle="1" w:styleId="Marker">
    <w:name w:val="Marker"/>
    <w:basedOn w:val="DefaultParagraphFont"/>
    <w:rsid w:val="006E0E9A"/>
    <w:rPr>
      <w:color w:val="0000FF"/>
      <w:shd w:val="clear" w:color="auto" w:fill="auto"/>
    </w:rPr>
  </w:style>
  <w:style w:type="paragraph" w:styleId="Header">
    <w:name w:val="header"/>
    <w:basedOn w:val="Normal"/>
    <w:link w:val="HeaderChar"/>
    <w:uiPriority w:val="99"/>
    <w:unhideWhenUsed/>
    <w:rsid w:val="006E0E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E9A"/>
  </w:style>
  <w:style w:type="paragraph" w:styleId="Footer">
    <w:name w:val="footer"/>
    <w:basedOn w:val="Normal"/>
    <w:link w:val="FooterChar"/>
    <w:uiPriority w:val="99"/>
    <w:unhideWhenUsed/>
    <w:rsid w:val="006E0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E9A"/>
  </w:style>
  <w:style w:type="paragraph" w:customStyle="1" w:styleId="Pagedecouverture">
    <w:name w:val="Page de couverture"/>
    <w:basedOn w:val="Normal"/>
    <w:next w:val="Normal"/>
    <w:rsid w:val="006E0E9A"/>
    <w:pPr>
      <w:spacing w:after="0" w:line="240" w:lineRule="auto"/>
      <w:jc w:val="both"/>
    </w:pPr>
    <w:rPr>
      <w:rFonts w:ascii="Times New Roman" w:hAnsi="Times New Roman" w:cs="Times New Roman"/>
      <w:sz w:val="24"/>
      <w14:ligatures w14:val="none"/>
    </w:rPr>
  </w:style>
  <w:style w:type="paragraph" w:customStyle="1" w:styleId="FooterCoverPage">
    <w:name w:val="Footer Cover Page"/>
    <w:basedOn w:val="Normal"/>
    <w:link w:val="FooterCoverPageChar"/>
    <w:rsid w:val="006E0E9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E0E9A"/>
    <w:rPr>
      <w:rFonts w:ascii="Times New Roman" w:hAnsi="Times New Roman" w:cs="Times New Roman"/>
      <w:sz w:val="24"/>
    </w:rPr>
  </w:style>
  <w:style w:type="paragraph" w:customStyle="1" w:styleId="FooterSensitivity">
    <w:name w:val="Footer Sensitivity"/>
    <w:basedOn w:val="Normal"/>
    <w:link w:val="FooterSensitivityChar"/>
    <w:rsid w:val="006E0E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E0E9A"/>
    <w:rPr>
      <w:rFonts w:ascii="Times New Roman" w:hAnsi="Times New Roman" w:cs="Times New Roman"/>
      <w:b/>
      <w:sz w:val="32"/>
    </w:rPr>
  </w:style>
  <w:style w:type="paragraph" w:customStyle="1" w:styleId="HeaderCoverPage">
    <w:name w:val="Header Cover Page"/>
    <w:basedOn w:val="Normal"/>
    <w:link w:val="HeaderCoverPageChar"/>
    <w:rsid w:val="006E0E9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E0E9A"/>
    <w:rPr>
      <w:rFonts w:ascii="Times New Roman" w:hAnsi="Times New Roman" w:cs="Times New Roman"/>
      <w:sz w:val="24"/>
    </w:rPr>
  </w:style>
  <w:style w:type="paragraph" w:customStyle="1" w:styleId="HeaderSensitivity">
    <w:name w:val="Header Sensitivity"/>
    <w:basedOn w:val="Normal"/>
    <w:link w:val="HeaderSensitivityChar"/>
    <w:rsid w:val="006E0E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E0E9A"/>
    <w:rPr>
      <w:rFonts w:ascii="Times New Roman" w:hAnsi="Times New Roman" w:cs="Times New Roman"/>
      <w:b/>
      <w:sz w:val="32"/>
    </w:rPr>
  </w:style>
  <w:style w:type="paragraph" w:customStyle="1" w:styleId="HeaderSensitivityRight">
    <w:name w:val="Header Sensitivity Right"/>
    <w:basedOn w:val="Normal"/>
    <w:link w:val="HeaderSensitivityRightChar"/>
    <w:rsid w:val="00325B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E0E9A"/>
    <w:rPr>
      <w:rFonts w:ascii="Times New Roman" w:hAnsi="Times New Roman" w:cs="Times New Roman"/>
      <w:sz w:val="28"/>
    </w:rPr>
  </w:style>
  <w:style w:type="paragraph" w:customStyle="1" w:styleId="Text1">
    <w:name w:val="Text 1"/>
    <w:basedOn w:val="Normal"/>
    <w:qFormat/>
    <w:rsid w:val="00DD0DC9"/>
    <w:pPr>
      <w:spacing w:after="240"/>
      <w:ind w:left="482"/>
      <w:jc w:val="both"/>
    </w:pPr>
    <w:rPr>
      <w:rFonts w:ascii="Times New Roman" w:eastAsia="Times New Roman" w:hAnsi="Times New Roman" w:cs="Times New Roman"/>
      <w:sz w:val="24"/>
      <w:szCs w:val="24"/>
      <w:lang w:val="en-GB" w:eastAsia="en-IE"/>
      <w14:ligatures w14:val="none"/>
    </w:rPr>
  </w:style>
  <w:style w:type="character" w:styleId="CommentReference">
    <w:name w:val="annotation reference"/>
    <w:basedOn w:val="DefaultParagraphFont"/>
    <w:uiPriority w:val="99"/>
    <w:semiHidden/>
    <w:unhideWhenUsed/>
    <w:rsid w:val="00DD0DC9"/>
    <w:rPr>
      <w:sz w:val="16"/>
      <w:szCs w:val="16"/>
    </w:rPr>
  </w:style>
  <w:style w:type="paragraph" w:styleId="CommentText">
    <w:name w:val="annotation text"/>
    <w:basedOn w:val="Normal"/>
    <w:link w:val="CommentTextChar"/>
    <w:uiPriority w:val="99"/>
    <w:unhideWhenUsed/>
    <w:rsid w:val="00DD0DC9"/>
    <w:pPr>
      <w:spacing w:line="240" w:lineRule="auto"/>
    </w:pPr>
    <w:rPr>
      <w:sz w:val="20"/>
      <w:szCs w:val="20"/>
      <w:lang w:val="en-IE"/>
      <w14:ligatures w14:val="none"/>
    </w:rPr>
  </w:style>
  <w:style w:type="character" w:customStyle="1" w:styleId="CommentTextChar">
    <w:name w:val="Comment Text Char"/>
    <w:basedOn w:val="DefaultParagraphFont"/>
    <w:link w:val="CommentText"/>
    <w:uiPriority w:val="99"/>
    <w:rsid w:val="00DD0DC9"/>
    <w:rPr>
      <w:sz w:val="20"/>
      <w:szCs w:val="20"/>
      <w:lang w:val="en-IE"/>
      <w14:ligatures w14:val="none"/>
    </w:rPr>
  </w:style>
  <w:style w:type="character" w:styleId="Hyperlink">
    <w:name w:val="Hyperlink"/>
    <w:basedOn w:val="DefaultParagraphFont"/>
    <w:uiPriority w:val="99"/>
    <w:unhideWhenUsed/>
    <w:qFormat/>
    <w:rsid w:val="00DD0DC9"/>
    <w:rPr>
      <w:color w:val="0000FF"/>
      <w:u w:val="single"/>
    </w:rPr>
  </w:style>
  <w:style w:type="paragraph" w:styleId="NoSpacing">
    <w:name w:val="No Spacing"/>
    <w:link w:val="NoSpacingChar"/>
    <w:uiPriority w:val="1"/>
    <w:qFormat/>
    <w:rsid w:val="00DD0DC9"/>
    <w:pPr>
      <w:spacing w:after="0" w:line="240" w:lineRule="auto"/>
    </w:pPr>
    <w:rPr>
      <w:rFonts w:eastAsiaTheme="minorEastAsia"/>
      <w:lang w:val="en-US"/>
      <w14:ligatures w14:val="none"/>
    </w:rPr>
  </w:style>
  <w:style w:type="character" w:customStyle="1" w:styleId="NoSpacingChar">
    <w:name w:val="No Spacing Char"/>
    <w:basedOn w:val="DefaultParagraphFont"/>
    <w:link w:val="NoSpacing"/>
    <w:uiPriority w:val="1"/>
    <w:rsid w:val="00DD0DC9"/>
    <w:rPr>
      <w:rFonts w:eastAsiaTheme="minorEastAsia"/>
      <w:lang w:val="en-US"/>
      <w14:ligatures w14:val="none"/>
    </w:rPr>
  </w:style>
  <w:style w:type="paragraph" w:styleId="CommentSubject">
    <w:name w:val="annotation subject"/>
    <w:basedOn w:val="CommentText"/>
    <w:next w:val="CommentText"/>
    <w:link w:val="CommentSubjectChar"/>
    <w:uiPriority w:val="99"/>
    <w:semiHidden/>
    <w:unhideWhenUsed/>
    <w:rsid w:val="00DD0DC9"/>
    <w:rPr>
      <w:b/>
      <w:bCs/>
    </w:rPr>
  </w:style>
  <w:style w:type="character" w:customStyle="1" w:styleId="CommentSubjectChar">
    <w:name w:val="Comment Subject Char"/>
    <w:basedOn w:val="CommentTextChar"/>
    <w:link w:val="CommentSubject"/>
    <w:uiPriority w:val="99"/>
    <w:semiHidden/>
    <w:rsid w:val="00DD0DC9"/>
    <w:rPr>
      <w:b/>
      <w:bCs/>
      <w:sz w:val="20"/>
      <w:szCs w:val="20"/>
      <w:lang w:val="en-IE"/>
      <w14:ligatures w14:val="none"/>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00DD0DC9"/>
    <w:pPr>
      <w:spacing w:after="0" w:line="240" w:lineRule="auto"/>
    </w:pPr>
    <w:rPr>
      <w:sz w:val="20"/>
      <w:szCs w:val="20"/>
      <w:lang w:val="en-IE"/>
      <w14:ligatures w14:val="non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qFormat/>
    <w:rsid w:val="00DD0DC9"/>
    <w:rPr>
      <w:sz w:val="20"/>
      <w:szCs w:val="20"/>
      <w:lang w:val="en-IE"/>
      <w14:ligatures w14:val="non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DD0DC9"/>
    <w:rPr>
      <w:vertAlign w:val="superscript"/>
    </w:rPr>
  </w:style>
  <w:style w:type="character" w:customStyle="1" w:styleId="UnresolvedMention1">
    <w:name w:val="Unresolved Mention1"/>
    <w:basedOn w:val="DefaultParagraphFont"/>
    <w:uiPriority w:val="99"/>
    <w:semiHidden/>
    <w:unhideWhenUsed/>
    <w:rsid w:val="00DD0DC9"/>
    <w:rPr>
      <w:color w:val="605E5C"/>
      <w:shd w:val="clear" w:color="auto" w:fill="E1DFDD"/>
    </w:rPr>
  </w:style>
  <w:style w:type="paragraph" w:styleId="NormalWeb">
    <w:name w:val="Normal (Web)"/>
    <w:basedOn w:val="Normal"/>
    <w:uiPriority w:val="99"/>
    <w:semiHidden/>
    <w:unhideWhenUsed/>
    <w:rsid w:val="00DD0DC9"/>
    <w:rPr>
      <w:rFonts w:ascii="Times New Roman" w:hAnsi="Times New Roman" w:cs="Times New Roman"/>
      <w:sz w:val="24"/>
      <w:szCs w:val="24"/>
      <w:lang w:val="en-IE"/>
      <w14:ligatures w14:val="none"/>
    </w:rPr>
  </w:style>
  <w:style w:type="character" w:customStyle="1" w:styleId="Mention1">
    <w:name w:val="Mention1"/>
    <w:basedOn w:val="DefaultParagraphFont"/>
    <w:uiPriority w:val="99"/>
    <w:unhideWhenUsed/>
    <w:rsid w:val="00DD0DC9"/>
    <w:rPr>
      <w:color w:val="2B579A"/>
      <w:shd w:val="clear" w:color="auto" w:fill="E1DFDD"/>
    </w:rPr>
  </w:style>
  <w:style w:type="character" w:styleId="FollowedHyperlink">
    <w:name w:val="FollowedHyperlink"/>
    <w:basedOn w:val="DefaultParagraphFont"/>
    <w:uiPriority w:val="99"/>
    <w:semiHidden/>
    <w:unhideWhenUsed/>
    <w:rsid w:val="00DD0DC9"/>
    <w:rPr>
      <w:color w:val="96607D" w:themeColor="followedHyperlink"/>
      <w:u w:val="single"/>
    </w:rPr>
  </w:style>
  <w:style w:type="paragraph" w:styleId="Revision">
    <w:name w:val="Revision"/>
    <w:hidden/>
    <w:uiPriority w:val="99"/>
    <w:semiHidden/>
    <w:rsid w:val="00DD0DC9"/>
    <w:pPr>
      <w:spacing w:after="0" w:line="240" w:lineRule="auto"/>
    </w:pPr>
    <w:rPr>
      <w:lang w:val="en-IE"/>
      <w14:ligatures w14:val="none"/>
    </w:rPr>
  </w:style>
  <w:style w:type="table" w:styleId="TableGrid">
    <w:name w:val="Table Grid"/>
    <w:basedOn w:val="TableNormal"/>
    <w:uiPriority w:val="59"/>
    <w:rsid w:val="00DD0DC9"/>
    <w:pPr>
      <w:spacing w:after="0" w:line="240" w:lineRule="auto"/>
    </w:pPr>
    <w:rPr>
      <w:kern w:val="2"/>
      <w:lang w:val="en-GB"/>
    </w:rP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DD0DC9"/>
    <w:pPr>
      <w:spacing w:after="0" w:line="240" w:lineRule="exact"/>
      <w:jc w:val="both"/>
    </w:pPr>
    <w:rPr>
      <w:vertAlign w:val="superscript"/>
    </w:rPr>
  </w:style>
  <w:style w:type="paragraph" w:styleId="PlainText">
    <w:name w:val="Plain Text"/>
    <w:basedOn w:val="Normal"/>
    <w:link w:val="PlainTextChar"/>
    <w:uiPriority w:val="99"/>
    <w:semiHidden/>
    <w:unhideWhenUsed/>
    <w:rsid w:val="00DD0DC9"/>
    <w:pPr>
      <w:spacing w:after="0" w:line="240" w:lineRule="auto"/>
    </w:pPr>
    <w:rPr>
      <w:rFonts w:ascii="Consolas" w:hAnsi="Consolas"/>
      <w:sz w:val="21"/>
      <w:szCs w:val="21"/>
      <w:lang w:val="en-IE"/>
      <w14:ligatures w14:val="none"/>
    </w:rPr>
  </w:style>
  <w:style w:type="character" w:customStyle="1" w:styleId="PlainTextChar">
    <w:name w:val="Plain Text Char"/>
    <w:basedOn w:val="DefaultParagraphFont"/>
    <w:link w:val="PlainText"/>
    <w:uiPriority w:val="99"/>
    <w:semiHidden/>
    <w:rsid w:val="00DD0DC9"/>
    <w:rPr>
      <w:rFonts w:ascii="Consolas" w:hAnsi="Consolas"/>
      <w:sz w:val="21"/>
      <w:szCs w:val="21"/>
      <w:lang w:val="en-IE"/>
      <w14:ligatures w14:val="none"/>
    </w:rPr>
  </w:style>
  <w:style w:type="paragraph" w:customStyle="1" w:styleId="Paragraph">
    <w:name w:val="Paragraph"/>
    <w:basedOn w:val="Normal"/>
    <w:rsid w:val="00DD0DC9"/>
    <w:pPr>
      <w:suppressAutoHyphens/>
      <w:autoSpaceDN w:val="0"/>
      <w:spacing w:line="249" w:lineRule="auto"/>
      <w:jc w:val="both"/>
    </w:pPr>
    <w:rPr>
      <w:rFonts w:ascii="Times New Roman" w:eastAsia="Times New Roman" w:hAnsi="Times New Roman" w:cs="Times New Roman"/>
      <w:kern w:val="3"/>
      <w:sz w:val="24"/>
      <w:szCs w:val="24"/>
      <w:lang w:val="en-GB"/>
      <w14:ligatures w14:val="none"/>
    </w:rPr>
  </w:style>
  <w:style w:type="paragraph" w:styleId="EndnoteText">
    <w:name w:val="endnote text"/>
    <w:basedOn w:val="Normal"/>
    <w:link w:val="EndnoteTextChar"/>
    <w:uiPriority w:val="99"/>
    <w:semiHidden/>
    <w:unhideWhenUsed/>
    <w:rsid w:val="003E663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6636"/>
    <w:rPr>
      <w:sz w:val="20"/>
      <w:szCs w:val="20"/>
    </w:rPr>
  </w:style>
  <w:style w:type="character" w:styleId="EndnoteReference">
    <w:name w:val="endnote reference"/>
    <w:basedOn w:val="DefaultParagraphFont"/>
    <w:uiPriority w:val="99"/>
    <w:semiHidden/>
    <w:unhideWhenUsed/>
    <w:rsid w:val="003E6636"/>
    <w:rPr>
      <w:vertAlign w:val="superscript"/>
    </w:rPr>
  </w:style>
  <w:style w:type="paragraph" w:customStyle="1" w:styleId="text10">
    <w:name w:val="text1"/>
    <w:basedOn w:val="Normal"/>
    <w:rsid w:val="00DB3890"/>
    <w:pPr>
      <w:spacing w:after="240" w:line="252" w:lineRule="auto"/>
      <w:ind w:left="482"/>
      <w:jc w:val="both"/>
    </w:pPr>
    <w:rPr>
      <w:rFonts w:ascii="Times New Roman" w:hAnsi="Times New Roman" w:cs="Times New Roman"/>
      <w:sz w:val="24"/>
      <w:szCs w:val="24"/>
      <w:lang w:val="en-IE" w:eastAsia="en-IE"/>
      <w14:ligatures w14:val="none"/>
    </w:rPr>
  </w:style>
  <w:style w:type="paragraph" w:customStyle="1" w:styleId="Disclaimer">
    <w:name w:val="Disclaimer"/>
    <w:basedOn w:val="Normal"/>
    <w:rsid w:val="00325B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14:ligatures w14:val="none"/>
    </w:rPr>
  </w:style>
  <w:style w:type="paragraph" w:customStyle="1" w:styleId="SecurityMarking">
    <w:name w:val="SecurityMarking"/>
    <w:basedOn w:val="Normal"/>
    <w:rsid w:val="00325B00"/>
    <w:pPr>
      <w:spacing w:after="0" w:line="276" w:lineRule="auto"/>
      <w:ind w:left="5103"/>
    </w:pPr>
    <w:rPr>
      <w:rFonts w:ascii="Times New Roman" w:hAnsi="Times New Roman" w:cs="Times New Roman"/>
      <w:sz w:val="28"/>
      <w14:ligatures w14:val="none"/>
    </w:rPr>
  </w:style>
  <w:style w:type="paragraph" w:customStyle="1" w:styleId="DateMarking">
    <w:name w:val="DateMarking"/>
    <w:basedOn w:val="Normal"/>
    <w:rsid w:val="00325B00"/>
    <w:pPr>
      <w:spacing w:after="0" w:line="276" w:lineRule="auto"/>
      <w:ind w:left="5103"/>
    </w:pPr>
    <w:rPr>
      <w:rFonts w:ascii="Times New Roman" w:hAnsi="Times New Roman" w:cs="Times New Roman"/>
      <w:i/>
      <w:sz w:val="28"/>
      <w14:ligatures w14:val="none"/>
    </w:rPr>
  </w:style>
  <w:style w:type="paragraph" w:customStyle="1" w:styleId="ReleasableTo">
    <w:name w:val="ReleasableTo"/>
    <w:basedOn w:val="Normal"/>
    <w:rsid w:val="00325B00"/>
    <w:pPr>
      <w:spacing w:after="0" w:line="276" w:lineRule="auto"/>
      <w:ind w:left="5103"/>
    </w:pPr>
    <w:rPr>
      <w:rFonts w:ascii="Times New Roman" w:hAnsi="Times New Roman" w:cs="Times New Roman"/>
      <w:i/>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727576">
      <w:bodyDiv w:val="1"/>
      <w:marLeft w:val="0"/>
      <w:marRight w:val="0"/>
      <w:marTop w:val="0"/>
      <w:marBottom w:val="0"/>
      <w:divBdr>
        <w:top w:val="none" w:sz="0" w:space="0" w:color="auto"/>
        <w:left w:val="none" w:sz="0" w:space="0" w:color="auto"/>
        <w:bottom w:val="none" w:sz="0" w:space="0" w:color="auto"/>
        <w:right w:val="none" w:sz="0" w:space="0" w:color="auto"/>
      </w:divBdr>
    </w:div>
    <w:div w:id="673801728">
      <w:bodyDiv w:val="1"/>
      <w:marLeft w:val="0"/>
      <w:marRight w:val="0"/>
      <w:marTop w:val="0"/>
      <w:marBottom w:val="0"/>
      <w:divBdr>
        <w:top w:val="none" w:sz="0" w:space="0" w:color="auto"/>
        <w:left w:val="none" w:sz="0" w:space="0" w:color="auto"/>
        <w:bottom w:val="none" w:sz="0" w:space="0" w:color="auto"/>
        <w:right w:val="none" w:sz="0" w:space="0" w:color="auto"/>
      </w:divBdr>
    </w:div>
    <w:div w:id="125790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cid:image006.png@01DC817A.00B24AB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cid:image001.png@01DC690B.C9ACE4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18/1724/oj/eng" TargetMode="External"/><Relationship Id="rId13" Type="http://schemas.openxmlformats.org/officeDocument/2006/relationships/hyperlink" Target="https://commission.europa.eu/news-and-media/news/commission-proposes-new-measures-improve-health-and-healthcare-sector-2025-12-16_en" TargetMode="External"/><Relationship Id="rId18" Type="http://schemas.openxmlformats.org/officeDocument/2006/relationships/hyperlink" Target="https://competition-policy.ec.europa.eu/state-aid/ipcei/approved-ipceis_en" TargetMode="External"/><Relationship Id="rId26" Type="http://schemas.openxmlformats.org/officeDocument/2006/relationships/hyperlink" Target="https://www.oecd.org/en/data/indicators/fdi-flows.html" TargetMode="External"/><Relationship Id="rId3" Type="http://schemas.openxmlformats.org/officeDocument/2006/relationships/hyperlink" Target="https://www.imf.org/en/news/articles/2024/11/18/sp111424-scaling-up-the-single-market-to-boost-productivity" TargetMode="External"/><Relationship Id="rId21" Type="http://schemas.openxmlformats.org/officeDocument/2006/relationships/hyperlink" Target="https://ec.europa.eu/eurostat/statistics-explained/index.php?title=Waste_statistics_-_electrical_and_electronic_equipment" TargetMode="External"/><Relationship Id="rId7" Type="http://schemas.openxmlformats.org/officeDocument/2006/relationships/hyperlink" Target="https://single-market-economy.ec.europa.eu/single-market/goods/new-legislative-framework_en" TargetMode="External"/><Relationship Id="rId12" Type="http://schemas.openxmlformats.org/officeDocument/2006/relationships/hyperlink" Target="file:///C:\Users\piergmi\AppData\Local\Microsoft\Windows\INetCache\Content.Outlook\FABJTEYM\2025%20EU%20Industrial%20R&amp;D%20Investment%20Scoreboard" TargetMode="External"/><Relationship Id="rId17" Type="http://schemas.openxmlformats.org/officeDocument/2006/relationships/hyperlink" Target="https://commission.europa.eu/strategy-and-policy/eu-budget/performance-and-reporting/programme-performance-statements/investeu-performance_en" TargetMode="External"/><Relationship Id="rId25" Type="http://schemas.openxmlformats.org/officeDocument/2006/relationships/hyperlink" Target="https://www.oecd.org/content/dam/oecd/en/publications/reports/2025/06/a-comprehensive-overview-of-the-energy-intensive-industries-ecosystem_ceb6bd58/bbf7d4c2-en.pdf" TargetMode="External"/><Relationship Id="rId33" Type="http://schemas.openxmlformats.org/officeDocument/2006/relationships/hyperlink" Target="https://grow-smsgt.acc.fpfis.tech.ec.europa.eu/competitiveness/resilience_en" TargetMode="External"/><Relationship Id="rId2" Type="http://schemas.openxmlformats.org/officeDocument/2006/relationships/hyperlink" Target="https://www.oecd.org/en/topics/services-trade-restrictiveness-index.html" TargetMode="External"/><Relationship Id="rId16" Type="http://schemas.openxmlformats.org/officeDocument/2006/relationships/hyperlink" Target="https://ec.europa.eu/regional_policy/information-sources/cohesion-report_en" TargetMode="External"/><Relationship Id="rId20" Type="http://schemas.openxmlformats.org/officeDocument/2006/relationships/hyperlink" Target="https://energy.ec.europa.eu/publications/assessment-progress-towards-energy-union-and-climate-action-objectives-swd_en" TargetMode="External"/><Relationship Id="rId29" Type="http://schemas.openxmlformats.org/officeDocument/2006/relationships/hyperlink" Target="https://single-market-economy.ec.europa.eu/publications/external-vulnerability-index-exvi_en"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op.europa.eu/en/publication-detail/-/publication/ea5db20e-840f-11f0-9af8-01aa75ed71a1/language-en" TargetMode="External"/><Relationship Id="rId11" Type="http://schemas.openxmlformats.org/officeDocument/2006/relationships/hyperlink" Target="https://www.eib.org/en/publications/20240354-investment-report-2024" TargetMode="External"/><Relationship Id="rId24" Type="http://schemas.openxmlformats.org/officeDocument/2006/relationships/hyperlink" Target="https://eur-lex.europa.eu/eli/2024/2754/oj" TargetMode="External"/><Relationship Id="rId32" Type="http://schemas.openxmlformats.org/officeDocument/2006/relationships/hyperlink" Target="https://single-market-economy.ec.europa.eu/sectors/raw-materials/areas-specific-interest/critical-raw-materials/strategic-projects-under-crma/selected-projects_en" TargetMode="External"/><Relationship Id="rId5" Type="http://schemas.openxmlformats.org/officeDocument/2006/relationships/hyperlink" Target="https://www.ecb.europa.eu/press/economic-bulletin/articles/2026/html/ecb.ebart202508_01~2e71d52829.en.html" TargetMode="External"/><Relationship Id="rId15" Type="http://schemas.openxmlformats.org/officeDocument/2006/relationships/hyperlink" Target="https://finance.ec.europa.eu/regulation-and-supervision/savings-and-investments-union_en" TargetMode="External"/><Relationship Id="rId23" Type="http://schemas.openxmlformats.org/officeDocument/2006/relationships/hyperlink" Target="https://ec.europa.eu/transparency/documents-register/detail?ref=SWD(2025)780&amp;lang=en" TargetMode="External"/><Relationship Id="rId28" Type="http://schemas.openxmlformats.org/officeDocument/2006/relationships/hyperlink" Target="https://single-market-scoreboard.ec.europa.eu/competitiveness/growth_en" TargetMode="External"/><Relationship Id="rId10" Type="http://schemas.openxmlformats.org/officeDocument/2006/relationships/hyperlink" Target="https://iri.jrc.ec.europa.eu/scoreboard/2025-eu-industrial-rd-investment-scoreboard" TargetMode="External"/><Relationship Id="rId19" Type="http://schemas.openxmlformats.org/officeDocument/2006/relationships/hyperlink" Target="https://competition-policy.ec.europa.eu/state-aid/ipcei/joint-european-forum-ipcei_en" TargetMode="External"/><Relationship Id="rId31" Type="http://schemas.openxmlformats.org/officeDocument/2006/relationships/hyperlink" Target="https://single-market-economy.ec.europa.eu/industry/sustainability/net-zero-industry-act/strategic-projects-under-nzia/overview_en" TargetMode="External"/><Relationship Id="rId4" Type="http://schemas.openxmlformats.org/officeDocument/2006/relationships/hyperlink" Target="https://cepr.org/voxeu/columns/no-eu-does-not-impose-45-tariff-itself" TargetMode="External"/><Relationship Id="rId9" Type="http://schemas.openxmlformats.org/officeDocument/2006/relationships/hyperlink" Target="https://europa.eu/eurobarometer/api/deliverable/download/file?deliverableId=99219" TargetMode="External"/><Relationship Id="rId14" Type="http://schemas.openxmlformats.org/officeDocument/2006/relationships/hyperlink" Target="https://www.ecb.europa.eu/press/key/date/2024/html/ecb.sp241122~fb84170883.en.html" TargetMode="External"/><Relationship Id="rId22" Type="http://schemas.openxmlformats.org/officeDocument/2006/relationships/hyperlink" Target="https://single-market-economy.ec.europa.eu/document/download/0382bd9c-1af2-4a28-8d32-8694ba5c1c61_en?filename=2024.12338_01_ENN.pdf%20or%20ET-01-24-023-EN-N.pdf.pdf" TargetMode="External"/><Relationship Id="rId27" Type="http://schemas.openxmlformats.org/officeDocument/2006/relationships/hyperlink" Target="https://www.oecd.org/en/data/indicators/fdi-stocks.html" TargetMode="External"/><Relationship Id="rId30" Type="http://schemas.openxmlformats.org/officeDocument/2006/relationships/hyperlink" Target="https://health.ec.europa.eu/medicinal-products/legal-framework-governing-medicinal-products-human-use-eu/critical-medicines-ac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17108F1A3E9479BE5ED246ADBD7EC" ma:contentTypeVersion="4" ma:contentTypeDescription="Create a new document." ma:contentTypeScope="" ma:versionID="1cb5f4962f6d682c5b758fb481b178b4">
  <xsd:schema xmlns:xsd="http://www.w3.org/2001/XMLSchema" xmlns:xs="http://www.w3.org/2001/XMLSchema" xmlns:p="http://schemas.microsoft.com/office/2006/metadata/properties" xmlns:ns2="34266153-3551-435e-a09d-e8f9a82e0e06" targetNamespace="http://schemas.microsoft.com/office/2006/metadata/properties" ma:root="true" ma:fieldsID="94e7fde48314fc483bebfa12d9469028" ns2:_="">
    <xsd:import namespace="34266153-3551-435e-a09d-e8f9a82e0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66153-3551-435e-a09d-e8f9a82e0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A362E-C5CF-4A20-BF8B-D8F772571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66153-3551-435e-a09d-e8f9a82e0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A7FC40-170E-416A-BB25-8B215617C7A3}">
  <ds:schemaRefs>
    <ds:schemaRef ds:uri="http://schemas.microsoft.com/sharepoint/v3/contenttype/forms"/>
  </ds:schemaRefs>
</ds:datastoreItem>
</file>

<file path=customXml/itemProps3.xml><?xml version="1.0" encoding="utf-8"?>
<ds:datastoreItem xmlns:ds="http://schemas.openxmlformats.org/officeDocument/2006/customXml" ds:itemID="{E2EDB1C9-390E-4F81-91D5-A328FF04B6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5C310E-D94E-4D46-BAF4-0741631A4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6997</Words>
  <Characters>39884</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46788</CharactersWithSpaces>
  <SharedDoc>false</SharedDoc>
  <HLinks>
    <vt:vector size="198" baseType="variant">
      <vt:variant>
        <vt:i4>3473436</vt:i4>
      </vt:variant>
      <vt:variant>
        <vt:i4>111</vt:i4>
      </vt:variant>
      <vt:variant>
        <vt:i4>0</vt:i4>
      </vt:variant>
      <vt:variant>
        <vt:i4>5</vt:i4>
      </vt:variant>
      <vt:variant>
        <vt:lpwstr>https://grow-smsgt.acc.fpfis.tech.ec.europa.eu/competitiveness/resilience_en</vt:lpwstr>
      </vt:variant>
      <vt:variant>
        <vt:lpwstr/>
      </vt:variant>
      <vt:variant>
        <vt:i4>393338</vt:i4>
      </vt:variant>
      <vt:variant>
        <vt:i4>108</vt:i4>
      </vt:variant>
      <vt:variant>
        <vt:i4>0</vt:i4>
      </vt:variant>
      <vt:variant>
        <vt:i4>5</vt:i4>
      </vt:variant>
      <vt:variant>
        <vt:lpwstr>https://single-market-economy.ec.europa.eu/sectors/raw-materials/areas-specific-interest/critical-raw-materials/strategic-projects-under-crma/selected-projects_en</vt:lpwstr>
      </vt:variant>
      <vt:variant>
        <vt:lpwstr/>
      </vt:variant>
      <vt:variant>
        <vt:i4>1310831</vt:i4>
      </vt:variant>
      <vt:variant>
        <vt:i4>105</vt:i4>
      </vt:variant>
      <vt:variant>
        <vt:i4>0</vt:i4>
      </vt:variant>
      <vt:variant>
        <vt:i4>5</vt:i4>
      </vt:variant>
      <vt:variant>
        <vt:lpwstr>https://single-market-economy.ec.europa.eu/industry/sustainability/net-zero-industry-act/strategic-projects-under-nzia/overview_en</vt:lpwstr>
      </vt:variant>
      <vt:variant>
        <vt:lpwstr/>
      </vt:variant>
      <vt:variant>
        <vt:i4>5242940</vt:i4>
      </vt:variant>
      <vt:variant>
        <vt:i4>102</vt:i4>
      </vt:variant>
      <vt:variant>
        <vt:i4>0</vt:i4>
      </vt:variant>
      <vt:variant>
        <vt:i4>5</vt:i4>
      </vt:variant>
      <vt:variant>
        <vt:lpwstr>https://health.ec.europa.eu/medicinal-products/legal-framework-governing-medicinal-products-human-use-eu/critical-medicines-act_en</vt:lpwstr>
      </vt:variant>
      <vt:variant>
        <vt:lpwstr/>
      </vt:variant>
      <vt:variant>
        <vt:i4>2162773</vt:i4>
      </vt:variant>
      <vt:variant>
        <vt:i4>99</vt:i4>
      </vt:variant>
      <vt:variant>
        <vt:i4>0</vt:i4>
      </vt:variant>
      <vt:variant>
        <vt:i4>5</vt:i4>
      </vt:variant>
      <vt:variant>
        <vt:lpwstr>https://single-market-economy.ec.europa.eu/publications/external-vulnerability-index-exvi_en</vt:lpwstr>
      </vt:variant>
      <vt:variant>
        <vt:lpwstr/>
      </vt:variant>
      <vt:variant>
        <vt:i4>7471180</vt:i4>
      </vt:variant>
      <vt:variant>
        <vt:i4>96</vt:i4>
      </vt:variant>
      <vt:variant>
        <vt:i4>0</vt:i4>
      </vt:variant>
      <vt:variant>
        <vt:i4>5</vt:i4>
      </vt:variant>
      <vt:variant>
        <vt:lpwstr>https://single-market-scoreboard.ec.europa.eu/competitiveness/growth_en</vt:lpwstr>
      </vt:variant>
      <vt:variant>
        <vt:lpwstr/>
      </vt:variant>
      <vt:variant>
        <vt:i4>6553654</vt:i4>
      </vt:variant>
      <vt:variant>
        <vt:i4>93</vt:i4>
      </vt:variant>
      <vt:variant>
        <vt:i4>0</vt:i4>
      </vt:variant>
      <vt:variant>
        <vt:i4>5</vt:i4>
      </vt:variant>
      <vt:variant>
        <vt:lpwstr>https://www.oecd.org/en/data/indicators/fdi-stocks.html</vt:lpwstr>
      </vt:variant>
      <vt:variant>
        <vt:lpwstr/>
      </vt:variant>
      <vt:variant>
        <vt:i4>2621540</vt:i4>
      </vt:variant>
      <vt:variant>
        <vt:i4>90</vt:i4>
      </vt:variant>
      <vt:variant>
        <vt:i4>0</vt:i4>
      </vt:variant>
      <vt:variant>
        <vt:i4>5</vt:i4>
      </vt:variant>
      <vt:variant>
        <vt:lpwstr>https://www.oecd.org/en/data/indicators/fdi-flows.html</vt:lpwstr>
      </vt:variant>
      <vt:variant>
        <vt:lpwstr/>
      </vt:variant>
      <vt:variant>
        <vt:i4>3735631</vt:i4>
      </vt:variant>
      <vt:variant>
        <vt:i4>78</vt:i4>
      </vt:variant>
      <vt:variant>
        <vt:i4>0</vt:i4>
      </vt:variant>
      <vt:variant>
        <vt:i4>5</vt:i4>
      </vt:variant>
      <vt:variant>
        <vt:lpwstr>https://www.oecd.org/content/dam/oecd/en/publications/reports/2025/06/a-comprehensive-overview-of-the-energy-intensive-industries-ecosystem_ceb6bd58/bbf7d4c2-en.pdf</vt:lpwstr>
      </vt:variant>
      <vt:variant>
        <vt:lpwstr/>
      </vt:variant>
      <vt:variant>
        <vt:i4>3538992</vt:i4>
      </vt:variant>
      <vt:variant>
        <vt:i4>75</vt:i4>
      </vt:variant>
      <vt:variant>
        <vt:i4>0</vt:i4>
      </vt:variant>
      <vt:variant>
        <vt:i4>5</vt:i4>
      </vt:variant>
      <vt:variant>
        <vt:lpwstr>https://eur-lex.europa.eu/eli/2024/2754/oj</vt:lpwstr>
      </vt:variant>
      <vt:variant>
        <vt:lpwstr/>
      </vt:variant>
      <vt:variant>
        <vt:i4>6160471</vt:i4>
      </vt:variant>
      <vt:variant>
        <vt:i4>72</vt:i4>
      </vt:variant>
      <vt:variant>
        <vt:i4>0</vt:i4>
      </vt:variant>
      <vt:variant>
        <vt:i4>5</vt:i4>
      </vt:variant>
      <vt:variant>
        <vt:lpwstr>https://ec.europa.eu/transparency/documents-register/detail?ref=SWD(2025)780&amp;lang=en</vt:lpwstr>
      </vt:variant>
      <vt:variant>
        <vt:lpwstr/>
      </vt:variant>
      <vt:variant>
        <vt:i4>4194367</vt:i4>
      </vt:variant>
      <vt:variant>
        <vt:i4>69</vt:i4>
      </vt:variant>
      <vt:variant>
        <vt:i4>0</vt:i4>
      </vt:variant>
      <vt:variant>
        <vt:i4>5</vt:i4>
      </vt:variant>
      <vt:variant>
        <vt:lpwstr>https://single-market-economy.ec.europa.eu/document/download/0382bd9c-1af2-4a28-8d32-8694ba5c1c61_en?filename=2024.12338_01_ENN.pdf%20or%20ET-01-24-023-EN-N.pdf.pdf</vt:lpwstr>
      </vt:variant>
      <vt:variant>
        <vt:lpwstr/>
      </vt:variant>
      <vt:variant>
        <vt:i4>3080309</vt:i4>
      </vt:variant>
      <vt:variant>
        <vt:i4>66</vt:i4>
      </vt:variant>
      <vt:variant>
        <vt:i4>0</vt:i4>
      </vt:variant>
      <vt:variant>
        <vt:i4>5</vt:i4>
      </vt:variant>
      <vt:variant>
        <vt:lpwstr>https://ec.europa.eu/eurostat/statistics-explained/index.php?title=Waste_statistics_-_electrical_and_electronic_equipment</vt:lpwstr>
      </vt:variant>
      <vt:variant>
        <vt:lpwstr/>
      </vt:variant>
      <vt:variant>
        <vt:i4>4849707</vt:i4>
      </vt:variant>
      <vt:variant>
        <vt:i4>63</vt:i4>
      </vt:variant>
      <vt:variant>
        <vt:i4>0</vt:i4>
      </vt:variant>
      <vt:variant>
        <vt:i4>5</vt:i4>
      </vt:variant>
      <vt:variant>
        <vt:lpwstr>https://energy.ec.europa.eu/publications/assessment-progress-towards-energy-union-and-climate-action-objectives-swd_en</vt:lpwstr>
      </vt:variant>
      <vt:variant>
        <vt:lpwstr/>
      </vt:variant>
      <vt:variant>
        <vt:i4>5898363</vt:i4>
      </vt:variant>
      <vt:variant>
        <vt:i4>60</vt:i4>
      </vt:variant>
      <vt:variant>
        <vt:i4>0</vt:i4>
      </vt:variant>
      <vt:variant>
        <vt:i4>5</vt:i4>
      </vt:variant>
      <vt:variant>
        <vt:lpwstr>https://competition-policy.ec.europa.eu/state-aid/ipcei/joint-european-forum-ipcei_en</vt:lpwstr>
      </vt:variant>
      <vt:variant>
        <vt:lpwstr/>
      </vt:variant>
      <vt:variant>
        <vt:i4>5898351</vt:i4>
      </vt:variant>
      <vt:variant>
        <vt:i4>57</vt:i4>
      </vt:variant>
      <vt:variant>
        <vt:i4>0</vt:i4>
      </vt:variant>
      <vt:variant>
        <vt:i4>5</vt:i4>
      </vt:variant>
      <vt:variant>
        <vt:lpwstr>https://competition-policy.ec.europa.eu/state-aid/ipcei/approved-ipceis_en</vt:lpwstr>
      </vt:variant>
      <vt:variant>
        <vt:lpwstr/>
      </vt:variant>
      <vt:variant>
        <vt:i4>4522097</vt:i4>
      </vt:variant>
      <vt:variant>
        <vt:i4>54</vt:i4>
      </vt:variant>
      <vt:variant>
        <vt:i4>0</vt:i4>
      </vt:variant>
      <vt:variant>
        <vt:i4>5</vt:i4>
      </vt:variant>
      <vt:variant>
        <vt:lpwstr>https://commission.europa.eu/strategy-and-policy/eu-budget/performance-and-reporting/programme-performance-statements/investeu-performance_en</vt:lpwstr>
      </vt:variant>
      <vt:variant>
        <vt:lpwstr/>
      </vt:variant>
      <vt:variant>
        <vt:i4>5832779</vt:i4>
      </vt:variant>
      <vt:variant>
        <vt:i4>51</vt:i4>
      </vt:variant>
      <vt:variant>
        <vt:i4>0</vt:i4>
      </vt:variant>
      <vt:variant>
        <vt:i4>5</vt:i4>
      </vt:variant>
      <vt:variant>
        <vt:lpwstr>https://ec.europa.eu/regional_policy/information-sources/cohesion-report_en</vt:lpwstr>
      </vt:variant>
      <vt:variant>
        <vt:lpwstr/>
      </vt:variant>
      <vt:variant>
        <vt:i4>2097219</vt:i4>
      </vt:variant>
      <vt:variant>
        <vt:i4>48</vt:i4>
      </vt:variant>
      <vt:variant>
        <vt:i4>0</vt:i4>
      </vt:variant>
      <vt:variant>
        <vt:i4>5</vt:i4>
      </vt:variant>
      <vt:variant>
        <vt:lpwstr>https://finance.ec.europa.eu/regulation-and-supervision/savings-and-investments-union_en</vt:lpwstr>
      </vt:variant>
      <vt:variant>
        <vt:lpwstr/>
      </vt:variant>
      <vt:variant>
        <vt:i4>6357046</vt:i4>
      </vt:variant>
      <vt:variant>
        <vt:i4>45</vt:i4>
      </vt:variant>
      <vt:variant>
        <vt:i4>0</vt:i4>
      </vt:variant>
      <vt:variant>
        <vt:i4>5</vt:i4>
      </vt:variant>
      <vt:variant>
        <vt:lpwstr>https://www.ecb.europa.eu/press/key/date/2024/html/ecb.sp241122~fb84170883.en.html</vt:lpwstr>
      </vt:variant>
      <vt:variant>
        <vt:lpwstr/>
      </vt:variant>
      <vt:variant>
        <vt:i4>7864325</vt:i4>
      </vt:variant>
      <vt:variant>
        <vt:i4>42</vt:i4>
      </vt:variant>
      <vt:variant>
        <vt:i4>0</vt:i4>
      </vt:variant>
      <vt:variant>
        <vt:i4>5</vt:i4>
      </vt:variant>
      <vt:variant>
        <vt:lpwstr>https://commission.europa.eu/news-and-media/news/commission-proposes-new-measures-improve-health-and-healthcare-sector-2025-12-16_en</vt:lpwstr>
      </vt:variant>
      <vt:variant>
        <vt:lpwstr/>
      </vt:variant>
      <vt:variant>
        <vt:i4>7667835</vt:i4>
      </vt:variant>
      <vt:variant>
        <vt:i4>39</vt:i4>
      </vt:variant>
      <vt:variant>
        <vt:i4>0</vt:i4>
      </vt:variant>
      <vt:variant>
        <vt:i4>5</vt:i4>
      </vt:variant>
      <vt:variant>
        <vt:lpwstr>C:\Users\piergmi\AppData\Local\Microsoft\Windows\INetCache\Content.Outlook\FABJTEYM\2025 EU Industrial R&amp;D Investment Scoreboard</vt:lpwstr>
      </vt:variant>
      <vt:variant>
        <vt:lpwstr/>
      </vt:variant>
      <vt:variant>
        <vt:i4>3211324</vt:i4>
      </vt:variant>
      <vt:variant>
        <vt:i4>36</vt:i4>
      </vt:variant>
      <vt:variant>
        <vt:i4>0</vt:i4>
      </vt:variant>
      <vt:variant>
        <vt:i4>5</vt:i4>
      </vt:variant>
      <vt:variant>
        <vt:lpwstr>https://www.eib.org/en/publications/20240354-investment-report-2024</vt:lpwstr>
      </vt:variant>
      <vt:variant>
        <vt:lpwstr/>
      </vt:variant>
      <vt:variant>
        <vt:i4>7798889</vt:i4>
      </vt:variant>
      <vt:variant>
        <vt:i4>30</vt:i4>
      </vt:variant>
      <vt:variant>
        <vt:i4>0</vt:i4>
      </vt:variant>
      <vt:variant>
        <vt:i4>5</vt:i4>
      </vt:variant>
      <vt:variant>
        <vt:lpwstr>https://iri.jrc.ec.europa.eu/scoreboard/2025-eu-industrial-rd-investment-scoreboard</vt:lpwstr>
      </vt:variant>
      <vt:variant>
        <vt:lpwstr/>
      </vt:variant>
      <vt:variant>
        <vt:i4>524362</vt:i4>
      </vt:variant>
      <vt:variant>
        <vt:i4>27</vt:i4>
      </vt:variant>
      <vt:variant>
        <vt:i4>0</vt:i4>
      </vt:variant>
      <vt:variant>
        <vt:i4>5</vt:i4>
      </vt:variant>
      <vt:variant>
        <vt:lpwstr>https://europa.eu/eurobarometer/api/deliverable/download/file?deliverableId=99219</vt:lpwstr>
      </vt:variant>
      <vt:variant>
        <vt:lpwstr/>
      </vt:variant>
      <vt:variant>
        <vt:i4>7733351</vt:i4>
      </vt:variant>
      <vt:variant>
        <vt:i4>24</vt:i4>
      </vt:variant>
      <vt:variant>
        <vt:i4>0</vt:i4>
      </vt:variant>
      <vt:variant>
        <vt:i4>5</vt:i4>
      </vt:variant>
      <vt:variant>
        <vt:lpwstr>https://eur-lex.europa.eu/eli/reg/2018/1724/oj/eng</vt:lpwstr>
      </vt:variant>
      <vt:variant>
        <vt:lpwstr/>
      </vt:variant>
      <vt:variant>
        <vt:i4>6946908</vt:i4>
      </vt:variant>
      <vt:variant>
        <vt:i4>21</vt:i4>
      </vt:variant>
      <vt:variant>
        <vt:i4>0</vt:i4>
      </vt:variant>
      <vt:variant>
        <vt:i4>5</vt:i4>
      </vt:variant>
      <vt:variant>
        <vt:lpwstr>https://single-market-economy.ec.europa.eu/single-market/goods/new-legislative-framework_en</vt:lpwstr>
      </vt:variant>
      <vt:variant>
        <vt:lpwstr/>
      </vt:variant>
      <vt:variant>
        <vt:i4>4194380</vt:i4>
      </vt:variant>
      <vt:variant>
        <vt:i4>18</vt:i4>
      </vt:variant>
      <vt:variant>
        <vt:i4>0</vt:i4>
      </vt:variant>
      <vt:variant>
        <vt:i4>5</vt:i4>
      </vt:variant>
      <vt:variant>
        <vt:lpwstr>https://op.europa.eu/en/publication-detail/-/publication/ea5db20e-840f-11f0-9af8-01aa75ed71a1/language-en</vt:lpwstr>
      </vt:variant>
      <vt:variant>
        <vt:lpwstr/>
      </vt:variant>
      <vt:variant>
        <vt:i4>3145736</vt:i4>
      </vt:variant>
      <vt:variant>
        <vt:i4>15</vt:i4>
      </vt:variant>
      <vt:variant>
        <vt:i4>0</vt:i4>
      </vt:variant>
      <vt:variant>
        <vt:i4>5</vt:i4>
      </vt:variant>
      <vt:variant>
        <vt:lpwstr>https://www.ecb.europa.eu/press/economic-bulletin/articles/2026/html/ecb.ebart202508_01~2e71d52829.en.html</vt:lpwstr>
      </vt:variant>
      <vt:variant>
        <vt:lpwstr/>
      </vt:variant>
      <vt:variant>
        <vt:i4>5898321</vt:i4>
      </vt:variant>
      <vt:variant>
        <vt:i4>12</vt:i4>
      </vt:variant>
      <vt:variant>
        <vt:i4>0</vt:i4>
      </vt:variant>
      <vt:variant>
        <vt:i4>5</vt:i4>
      </vt:variant>
      <vt:variant>
        <vt:lpwstr>https://cepr.org/voxeu/columns/no-eu-does-not-impose-45-tariff-itself</vt:lpwstr>
      </vt:variant>
      <vt:variant>
        <vt:lpwstr/>
      </vt:variant>
      <vt:variant>
        <vt:i4>8126587</vt:i4>
      </vt:variant>
      <vt:variant>
        <vt:i4>9</vt:i4>
      </vt:variant>
      <vt:variant>
        <vt:i4>0</vt:i4>
      </vt:variant>
      <vt:variant>
        <vt:i4>5</vt:i4>
      </vt:variant>
      <vt:variant>
        <vt:lpwstr>https://www.imf.org/en/news/articles/2024/11/18/sp111424-scaling-up-the-single-market-to-boost-productivity</vt:lpwstr>
      </vt:variant>
      <vt:variant>
        <vt:lpwstr/>
      </vt:variant>
      <vt:variant>
        <vt:i4>1179664</vt:i4>
      </vt:variant>
      <vt:variant>
        <vt:i4>3</vt:i4>
      </vt:variant>
      <vt:variant>
        <vt:i4>0</vt:i4>
      </vt:variant>
      <vt:variant>
        <vt:i4>5</vt:i4>
      </vt:variant>
      <vt:variant>
        <vt:lpwstr>https://www.oecd.org/en/topics/services-trade-restrictiveness-index.html</vt:lpwstr>
      </vt:variant>
      <vt:variant>
        <vt:lpwstr/>
      </vt:variant>
      <vt:variant>
        <vt:i4>2752634</vt:i4>
      </vt:variant>
      <vt:variant>
        <vt:i4>0</vt:i4>
      </vt:variant>
      <vt:variant>
        <vt:i4>0</vt:i4>
      </vt:variant>
      <vt:variant>
        <vt:i4>5</vt:i4>
      </vt:variant>
      <vt:variant>
        <vt:lpwstr>https://commission.europa.eu/topics/competitiveness/draghi-report_en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2026-01-28T09:30:00Z</dcterms:created>
  <dcterms:modified xsi:type="dcterms:W3CDTF">2026-01-29T14:29:00Z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SIP_Label_6bd9ddd1-4d20-43f6-abfa-fc3c07406f94_ContentBits">
    <vt:lpwstr>0</vt:lpwstr>
  </property>
  <property fmtid="{D5CDD505-2E9C-101B-9397-08002B2CF9AE}" pid="6" name="ContentTypeId">
    <vt:lpwstr>0x010100E9017108F1A3E9479BE5ED246ADBD7EC</vt:lpwstr>
  </property>
  <property fmtid="{D5CDD505-2E9C-101B-9397-08002B2CF9AE}" pid="7" name="CPTemplateID">
    <vt:lpwstr>CP-014</vt:lpwstr>
  </property>
  <property fmtid="{D5CDD505-2E9C-101B-9397-08002B2CF9AE}" pid="8" name="MSIP_Label_6bd9ddd1-4d20-43f6-abfa-fc3c07406f94_Tag">
    <vt:lpwstr>10, 3, 0, 1</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Method">
    <vt:lpwstr>Standard</vt:lpwstr>
  </property>
  <property fmtid="{D5CDD505-2E9C-101B-9397-08002B2CF9AE}" pid="11" name="MSIP_Label_6bd9ddd1-4d20-43f6-abfa-fc3c07406f94_Enabled">
    <vt:lpwstr>true</vt:lpwstr>
  </property>
  <property fmtid="{D5CDD505-2E9C-101B-9397-08002B2CF9AE}" pid="12" name="Total parts">
    <vt:lpwstr>1</vt:lpwstr>
  </property>
  <property fmtid="{D5CDD505-2E9C-101B-9397-08002B2CF9AE}" pid="13" name="DocStatus">
    <vt:lpwstr>Green</vt:lpwstr>
  </property>
  <property fmtid="{D5CDD505-2E9C-101B-9397-08002B2CF9AE}" pid="14" name="MSIP_Label_6bd9ddd1-4d20-43f6-abfa-fc3c07406f94_SetDate">
    <vt:lpwstr>2026-01-26T12:46:51Z</vt:lpwstr>
  </property>
  <property fmtid="{D5CDD505-2E9C-101B-9397-08002B2CF9AE}" pid="15" name="Level of sensitivity">
    <vt:lpwstr>Standard treatment</vt:lpwstr>
  </property>
  <property fmtid="{D5CDD505-2E9C-101B-9397-08002B2CF9AE}" pid="16" name="MSIP_Label_6bd9ddd1-4d20-43f6-abfa-fc3c07406f94_ActionId">
    <vt:lpwstr>86730a3b-602c-4141-82f9-9c865850b841</vt:lpwstr>
  </property>
</Properties>
</file>