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5A95B411-2844-4A8C-BA86-95BDE0FBFC11" style="width:455.25pt;height:385.5pt">
            <v:imagedata r:id="rId7" o:title=""/>
          </v:shape>
        </w:pict>
      </w:r>
    </w:p>
    <w:p>
      <w:pPr>
        <w:rPr>
          <w:noProof/>
        </w:rPr>
        <w:sectPr>
          <w:footerReference w:type="even" r:id="rId8"/>
          <w:footerReference w:type="default" r:id="rId9"/>
          <w:pgSz w:w="11907" w:h="16839"/>
          <w:pgMar w:top="1134" w:right="1417" w:bottom="1134" w:left="1417" w:header="709" w:footer="709" w:gutter="0"/>
          <w:pgNumType w:start="0"/>
          <w:cols w:space="720"/>
          <w:docGrid w:linePitch="360"/>
        </w:sectPr>
      </w:pPr>
    </w:p>
    <w:p>
      <w:pPr>
        <w:pStyle w:val="Exposdesmotifstitre"/>
        <w:rPr>
          <w:noProof/>
        </w:rPr>
      </w:pPr>
      <w:r>
        <w:rPr>
          <w:noProof/>
        </w:rPr>
        <w:lastRenderedPageBreak/>
        <w:t>EXPUNERE DE MOTIVE</w:t>
      </w:r>
    </w:p>
    <w:p>
      <w:pPr>
        <w:pStyle w:val="ManualHeading1"/>
        <w:rPr>
          <w:rFonts w:eastAsia="Arial Unicode MS"/>
          <w:noProof/>
        </w:rPr>
      </w:pPr>
      <w:r>
        <w:rPr>
          <w:noProof/>
        </w:rPr>
        <w:t>1.</w:t>
      </w:r>
      <w:r>
        <w:rPr>
          <w:noProof/>
        </w:rPr>
        <w:tab/>
        <w:t>OBIECTUL PROPUNERII</w:t>
      </w:r>
    </w:p>
    <w:p>
      <w:pPr>
        <w:rPr>
          <w:rFonts w:eastAsia="Arial Unicode MS"/>
          <w:noProof/>
        </w:rPr>
      </w:pPr>
      <w:r>
        <w:rPr>
          <w:noProof/>
        </w:rPr>
        <w:t>Prezenta propunere se referă la decizia de stabilire a poziției care urmează să fie adoptată în numele Uniunii în cadrul Consiliului de cooperare în legătură cu adoptarea anticipată a Recomandării nr. XX/2026 privind prelungirea și modificarea priorităților parteneriatului UE­Azerbaidjan pentru perioada 2026-2030</w:t>
      </w:r>
    </w:p>
    <w:p>
      <w:pPr>
        <w:pStyle w:val="ManualHeading1"/>
        <w:rPr>
          <w:noProof/>
        </w:rPr>
      </w:pPr>
      <w:r>
        <w:rPr>
          <w:noProof/>
        </w:rPr>
        <w:t>2.</w:t>
      </w:r>
      <w:r>
        <w:rPr>
          <w:noProof/>
        </w:rPr>
        <w:tab/>
        <w:t>CONTEXTUL PROPUNERII</w:t>
      </w:r>
    </w:p>
    <w:p>
      <w:pPr>
        <w:pStyle w:val="ManualHeading2"/>
        <w:rPr>
          <w:noProof/>
        </w:rPr>
      </w:pPr>
      <w:r>
        <w:rPr>
          <w:noProof/>
        </w:rPr>
        <w:t>2.1.</w:t>
      </w:r>
      <w:r>
        <w:rPr>
          <w:noProof/>
        </w:rPr>
        <w:tab/>
        <w:t>Acordul de parteneriat și cooperare</w:t>
      </w:r>
    </w:p>
    <w:p>
      <w:pPr>
        <w:rPr>
          <w:rFonts w:eastAsia="Arial Unicode MS"/>
          <w:noProof/>
        </w:rPr>
      </w:pPr>
      <w:r>
        <w:rPr>
          <w:noProof/>
        </w:rPr>
        <w:t>Acordul de parteneriat și cooperare dintre Comunitățile Europene și statele membre ale acestora, pe de o parte, și Republica Azerbaidjan, pe de altă parte (denumit în continuare „acordul”) urmărește să ofere un cadru pentru dialogul politic și cooperarea dintre Comunitățile Europene și statele membre ale acestora și Republica Azerbaidjan (denumite în continuare „părțile”), în vederea dezvoltării relațiilor politice. Acordul a intrat în vigoare la 1 iulie 1999.</w:t>
      </w:r>
    </w:p>
    <w:p>
      <w:pPr>
        <w:pStyle w:val="ManualHeading2"/>
        <w:rPr>
          <w:noProof/>
        </w:rPr>
      </w:pPr>
      <w:r>
        <w:rPr>
          <w:noProof/>
        </w:rPr>
        <w:t>2.2.</w:t>
      </w:r>
      <w:r>
        <w:rPr>
          <w:noProof/>
        </w:rPr>
        <w:tab/>
        <w:t>Consiliul de cooperare</w:t>
      </w:r>
    </w:p>
    <w:p>
      <w:pPr>
        <w:rPr>
          <w:rFonts w:eastAsia="Arial Unicode MS"/>
          <w:noProof/>
        </w:rPr>
      </w:pPr>
      <w:r>
        <w:rPr>
          <w:noProof/>
        </w:rPr>
        <w:t>Pentru a atinge obiectivele acordului, Consiliul de cooperare examinează orice chestiuni majore care decurg din acord, precum și orice alte chestiuni bilaterale sau internaționale de interes comun. Consiliul de cooperare poate formula recomandări adecvate, cu acordul părților. Consiliul de cooperare este compus din membri ai Consiliului Uniunii Europene și ai Comisiei Europene, pe de o parte, și din membri ai Guvernului Republicii Azerbaidjan, pe de altă parte. Consiliul de cooperare are propriul regulament de procedură.</w:t>
      </w:r>
    </w:p>
    <w:p>
      <w:pPr>
        <w:pStyle w:val="ManualHeading2"/>
        <w:rPr>
          <w:noProof/>
        </w:rPr>
      </w:pPr>
      <w:r>
        <w:rPr>
          <w:noProof/>
        </w:rPr>
        <w:t>2.3.</w:t>
      </w:r>
      <w:r>
        <w:rPr>
          <w:noProof/>
        </w:rPr>
        <w:tab/>
        <w:t>Actul avut în vedere spre adoptare de către Consiliul de cooperare</w:t>
      </w:r>
    </w:p>
    <w:p>
      <w:pPr>
        <w:rPr>
          <w:rFonts w:eastAsia="Arial Unicode MS"/>
          <w:noProof/>
        </w:rPr>
      </w:pPr>
      <w:r>
        <w:rPr>
          <w:noProof/>
        </w:rPr>
        <w:t>Consiliul de cooperare ar trebui să adopte prin procedură scrisă o recomandare privind modificarea conținutului priorităților parteneriatului și prelungirea perioadei de punere în aplicare a acestora după perioada 2021-2024, și anume până în 2026-2030 (denumit în continuare „actul”).</w:t>
      </w:r>
    </w:p>
    <w:p>
      <w:pPr>
        <w:pStyle w:val="ManualHeading1"/>
        <w:rPr>
          <w:rFonts w:eastAsia="Arial Unicode MS"/>
          <w:noProof/>
        </w:rPr>
      </w:pPr>
      <w:r>
        <w:rPr>
          <w:noProof/>
        </w:rPr>
        <w:t>3.</w:t>
      </w:r>
      <w:r>
        <w:rPr>
          <w:noProof/>
        </w:rPr>
        <w:tab/>
        <w:t>POZIȚIA CARE URMEAZĂ SĂ FIE LUATĂ ÎN NUMELE UNIUNII</w:t>
      </w:r>
    </w:p>
    <w:p>
      <w:pPr>
        <w:rPr>
          <w:rFonts w:eastAsia="Arial Unicode MS"/>
          <w:noProof/>
        </w:rPr>
      </w:pPr>
      <w:r>
        <w:rPr>
          <w:noProof/>
        </w:rPr>
        <w:t>Poziția care urmează să fie luată de Uniune în cadrul Consiliului de cooperare se bazează pe recomandarea anexată la prezenta decizie.</w:t>
      </w:r>
    </w:p>
    <w:p>
      <w:pPr>
        <w:rPr>
          <w:rFonts w:eastAsia="Arial Unicode MS"/>
          <w:noProof/>
        </w:rPr>
      </w:pPr>
      <w:r>
        <w:rPr>
          <w:noProof/>
        </w:rPr>
        <w:t>Prioritățile parteneriatului, redenumite „Prioritățile strategice ale parteneriatului UE­Azerbaidjan” vor îndeplini în continuare obiectivele politicii europene de vecinătate revizuite, precum și obiectivele Parteneriatului estic. Prioritățile parteneriatului vor orienta programarea multianuală a cooperării financiare a UE cu Azerbaidjanul.</w:t>
      </w:r>
    </w:p>
    <w:p>
      <w:pPr>
        <w:rPr>
          <w:noProof/>
        </w:rPr>
      </w:pPr>
      <w:r>
        <w:rPr>
          <w:noProof/>
        </w:rPr>
        <w:t>Părțile au decis să modifice prioritățile parteneriatului în conformitate cu evoluțiile relevante. Părțile se angajează să își dezvolte relațiile și să pună în aplicare aceste priorități.</w:t>
      </w:r>
    </w:p>
    <w:p>
      <w:pPr>
        <w:rPr>
          <w:noProof/>
        </w:rPr>
      </w:pPr>
      <w:r>
        <w:rPr>
          <w:noProof/>
        </w:rPr>
        <w:t>Reînnoirea priorităților parteneriatului este în interesul Uniunii.</w:t>
      </w:r>
    </w:p>
    <w:p>
      <w:pPr>
        <w:pStyle w:val="ManualHeading1"/>
        <w:rPr>
          <w:noProof/>
        </w:rPr>
      </w:pPr>
      <w:r>
        <w:rPr>
          <w:noProof/>
        </w:rPr>
        <w:lastRenderedPageBreak/>
        <w:t>4.</w:t>
      </w:r>
      <w:r>
        <w:rPr>
          <w:noProof/>
        </w:rPr>
        <w:tab/>
        <w:t>TEMEI JURIDIC</w:t>
      </w:r>
    </w:p>
    <w:p>
      <w:pPr>
        <w:pStyle w:val="ManualHeading2"/>
        <w:rPr>
          <w:noProof/>
        </w:rPr>
      </w:pPr>
      <w:r>
        <w:rPr>
          <w:noProof/>
        </w:rPr>
        <w:t>4.1.</w:t>
      </w:r>
      <w:r>
        <w:rPr>
          <w:noProof/>
        </w:rPr>
        <w:tab/>
        <w:t>Temeiul juridic procedural</w:t>
      </w:r>
    </w:p>
    <w:p>
      <w:pPr>
        <w:pStyle w:val="ManualHeading3"/>
        <w:tabs>
          <w:tab w:val="clear" w:pos="850"/>
          <w:tab w:val="num" w:pos="1984"/>
        </w:tabs>
        <w:ind w:left="1984" w:hanging="567"/>
        <w:rPr>
          <w:noProof/>
        </w:rPr>
      </w:pPr>
      <w:r>
        <w:rPr>
          <w:noProof/>
        </w:rPr>
        <w:t>4.1.1.</w:t>
      </w:r>
      <w:r>
        <w:rPr>
          <w:noProof/>
        </w:rPr>
        <w:tab/>
        <w:t>Principii</w:t>
      </w:r>
    </w:p>
    <w:p>
      <w:pPr>
        <w:rPr>
          <w:noProof/>
        </w:rPr>
      </w:pPr>
      <w:r>
        <w:rPr>
          <w:noProof/>
        </w:rPr>
        <w:t>Articolul 218 alineatul (9) din Tratatul privind funcționarea Uniunii Europene (TFUE) prevede posibilitatea adoptării unor decizii de stabilire „a pozițiilor care trebuie adoptate în numele Uniunii în cadrul unui organism creat printr-un acord, în cazul în care acest organism trebuie să adopte acte cu efecte juridice, cu excepția actelor care modifică sau completează cadrul instituțional al acordului.”</w:t>
      </w:r>
    </w:p>
    <w:p>
      <w:pPr>
        <w:rPr>
          <w:noProof/>
        </w:rPr>
      </w:pPr>
      <w:r>
        <w:rPr>
          <w:noProof/>
        </w:rPr>
        <w:t>Noțiunea de „acte cu efecte juridice” include actele care au efecte juridice în temeiul normelor de drept internațional aplicabile organismului în cauză. Aceasta include totodată instrumente care nu au un caracter obligatoriu în temeiul dreptului internațional, dar care „au vocația de a influența în mod decisiv conținutul reglementării adoptate de legiuitorul Uniunii”</w:t>
      </w:r>
      <w:r>
        <w:rPr>
          <w:rStyle w:val="FootnoteReference"/>
          <w:noProof/>
        </w:rPr>
        <w:footnoteReference w:id="1"/>
      </w:r>
      <w:r>
        <w:rPr>
          <w:noProof/>
        </w:rPr>
        <w:t>.</w:t>
      </w:r>
    </w:p>
    <w:p>
      <w:pPr>
        <w:pStyle w:val="ManualHeading3"/>
        <w:tabs>
          <w:tab w:val="clear" w:pos="850"/>
          <w:tab w:val="num" w:pos="1984"/>
        </w:tabs>
        <w:ind w:left="1984" w:hanging="567"/>
        <w:rPr>
          <w:noProof/>
        </w:rPr>
      </w:pPr>
      <w:r>
        <w:rPr>
          <w:noProof/>
        </w:rPr>
        <w:t>4.1.2.</w:t>
      </w:r>
      <w:r>
        <w:rPr>
          <w:noProof/>
        </w:rPr>
        <w:tab/>
        <w:t>Aplicarea la cazul în speță</w:t>
      </w:r>
    </w:p>
    <w:p>
      <w:pPr>
        <w:rPr>
          <w:noProof/>
        </w:rPr>
      </w:pPr>
      <w:r>
        <w:rPr>
          <w:noProof/>
        </w:rPr>
        <w:t>Consiliul de cooperare este un organism înființat printr-un acord, și anume Acordul de parteneriat și cooperare dintre Comunitățile Europene și statele membre ale acestora, pe de o parte, și Republica Azerbaidjan, pe de altă parte.</w:t>
      </w:r>
    </w:p>
    <w:p>
      <w:pPr>
        <w:rPr>
          <w:noProof/>
        </w:rPr>
      </w:pPr>
      <w:r>
        <w:rPr>
          <w:noProof/>
        </w:rPr>
        <w:t>Actul pe care Consiliul de cooperare este invitat să îl adopte este un act cu efecte juridice.</w:t>
      </w:r>
    </w:p>
    <w:p>
      <w:pPr>
        <w:rPr>
          <w:noProof/>
        </w:rPr>
      </w:pPr>
      <w:r>
        <w:rPr>
          <w:noProof/>
        </w:rPr>
        <w:t>Actul poate influența în mod decisiv conținutul legislației UE, și anume programarea multianuală a cooperării financiare în temeiul cadrului unic de sprijin, deoarece articolul 7 alineatul (2) din Regulamentul (UE) nr. 232/2014 al Parlamentului European și al Consiliului din 11 martie 2014 de instituire a unui instrument european de vecinătate prevede că în cazul țărilor pentru care există documentele prevăzute la articolul 3 alineatul (2) din regulamentul respectiv, trebuie adoptat un cadru cuprinzător unic de sprijin multianual, în conformitate cu procedura de examinare prevăzută la articolul 16 alineatul (3) din Regulamentul (UE) nr. 236/2014. Documentele relevante pot fi planuri de acțiune sau alte documente echivalente convenite de comun acord, cum ar fi prioritățile parteneriatului.</w:t>
      </w:r>
    </w:p>
    <w:p>
      <w:pPr>
        <w:rPr>
          <w:noProof/>
        </w:rPr>
      </w:pPr>
      <w:r>
        <w:rPr>
          <w:noProof/>
        </w:rPr>
        <w:t>Actele avute în vedere nu aduc completări sau modificări cadrului instituțional al acordului.</w:t>
      </w:r>
    </w:p>
    <w:p>
      <w:pPr>
        <w:rPr>
          <w:noProof/>
        </w:rPr>
      </w:pPr>
      <w:r>
        <w:rPr>
          <w:noProof/>
        </w:rPr>
        <w:t>Prin urmare, temeiul juridic procedural al propunerii de decizie este articolul 218 alineatul (9) din TFUE.</w:t>
      </w:r>
    </w:p>
    <w:p>
      <w:pPr>
        <w:pStyle w:val="ManualHeading2"/>
        <w:rPr>
          <w:noProof/>
        </w:rPr>
      </w:pPr>
      <w:r>
        <w:rPr>
          <w:noProof/>
        </w:rPr>
        <w:t>4.2.</w:t>
      </w:r>
      <w:r>
        <w:rPr>
          <w:noProof/>
        </w:rPr>
        <w:tab/>
        <w:t>Temeiul juridic material</w:t>
      </w:r>
    </w:p>
    <w:p>
      <w:pPr>
        <w:pStyle w:val="ManualHeading3"/>
        <w:tabs>
          <w:tab w:val="clear" w:pos="850"/>
          <w:tab w:val="num" w:pos="1984"/>
        </w:tabs>
        <w:ind w:left="1984" w:hanging="567"/>
        <w:rPr>
          <w:noProof/>
        </w:rPr>
      </w:pPr>
      <w:r>
        <w:rPr>
          <w:noProof/>
        </w:rPr>
        <w:t>4.2.1.</w:t>
      </w:r>
      <w:r>
        <w:rPr>
          <w:noProof/>
        </w:rPr>
        <w:tab/>
        <w:t>Principii</w:t>
      </w:r>
    </w:p>
    <w:p>
      <w:pPr>
        <w:rPr>
          <w:noProof/>
        </w:rPr>
      </w:pPr>
      <w:r>
        <w:rPr>
          <w:noProof/>
        </w:rPr>
        <w:t>Temeiul juridic material al unei decizii adoptate în temeiul articolului 218 alineatul (9) din TFUE depinde în primul rând de obiectivul și de conținutul actului avut în vedere, cu privire la care se adoptă o poziție în numele Uniunii. Dacă actul avut în vedere urmărește două obiective sau include două elemente, dintre care unul poate fi identificat ca fiind principal, iar celălalt ca având mai degrabă un caracter accesoriu, decizia adoptată în temeiul articolului 218 alineatul (9) din TFUE trebuie să se întemeieze pe un singur temei juridic material, respectiv cel impus de obiectivul sau de elementul principal sau predominant.</w:t>
      </w:r>
    </w:p>
    <w:p>
      <w:pPr>
        <w:pStyle w:val="ManualHeading3"/>
        <w:tabs>
          <w:tab w:val="clear" w:pos="850"/>
          <w:tab w:val="num" w:pos="1984"/>
        </w:tabs>
        <w:ind w:left="1984" w:hanging="567"/>
        <w:rPr>
          <w:noProof/>
        </w:rPr>
      </w:pPr>
      <w:r>
        <w:rPr>
          <w:noProof/>
        </w:rPr>
        <w:t>4.2.2.</w:t>
      </w:r>
      <w:r>
        <w:rPr>
          <w:noProof/>
        </w:rPr>
        <w:tab/>
        <w:t>Aplicarea la cazul în speță</w:t>
      </w:r>
    </w:p>
    <w:p>
      <w:pPr>
        <w:rPr>
          <w:noProof/>
        </w:rPr>
      </w:pPr>
      <w:r>
        <w:rPr>
          <w:noProof/>
        </w:rPr>
        <w:t>Obiectivul principal și conținutul actului avut în vedere se referă la toate domeniile de cooperare cu Azerbaidjanul în cadrul acordului și al politicii europene de vecinătate revizuite.</w:t>
      </w:r>
    </w:p>
    <w:p>
      <w:pPr>
        <w:rPr>
          <w:i/>
          <w:noProof/>
        </w:rPr>
      </w:pPr>
      <w:r>
        <w:rPr>
          <w:noProof/>
        </w:rPr>
        <w:t>Prin urmare, temeiul juridic material al deciziei propuse îl reprezintă articolele 207 și 209 din TFUE.</w:t>
      </w:r>
    </w:p>
    <w:p>
      <w:pPr>
        <w:pStyle w:val="ManualHeading2"/>
        <w:rPr>
          <w:noProof/>
        </w:rPr>
      </w:pPr>
      <w:r>
        <w:rPr>
          <w:noProof/>
        </w:rPr>
        <w:t>4.3.</w:t>
      </w:r>
      <w:r>
        <w:rPr>
          <w:noProof/>
        </w:rPr>
        <w:tab/>
        <w:t>Concluzie</w:t>
      </w:r>
    </w:p>
    <w:p>
      <w:pPr>
        <w:rPr>
          <w:noProof/>
        </w:rPr>
      </w:pPr>
      <w:r>
        <w:rPr>
          <w:noProof/>
        </w:rPr>
        <w:t>Temeiul juridic al deciziei propuse îl constituie articolele 207 și 209, coroborate cu articolul 218 alineatul (9) din TFUE.</w:t>
      </w:r>
    </w:p>
    <w:p>
      <w:pPr>
        <w:pStyle w:val="ManualHeading1"/>
        <w:rPr>
          <w:noProof/>
        </w:rPr>
      </w:pPr>
      <w:r>
        <w:rPr>
          <w:noProof/>
        </w:rPr>
        <w:t>5.</w:t>
      </w:r>
      <w:r>
        <w:rPr>
          <w:noProof/>
        </w:rPr>
        <w:tab/>
        <w:t>Publicarea actului avut în vedere</w:t>
      </w:r>
    </w:p>
    <w:p>
      <w:pPr>
        <w:rPr>
          <w:noProof/>
        </w:rPr>
      </w:pPr>
      <w:r>
        <w:rPr>
          <w:noProof/>
        </w:rPr>
        <w:t xml:space="preserve">Întrucât actul Consiliului de cooperare va modifica conținutul priorităților parteneriatului și perioada de punere în aplicare a acestora, este oportună publicarea sa, după adoptare, în </w:t>
      </w:r>
      <w:r>
        <w:rPr>
          <w:i/>
          <w:iCs/>
          <w:noProof/>
        </w:rPr>
        <w:t>Jurnalul Oficial al Uniunii Europene</w:t>
      </w:r>
      <w:r>
        <w:rPr>
          <w:noProof/>
        </w:rPr>
        <w:t>.</w:t>
      </w:r>
    </w:p>
    <w:p>
      <w:pPr>
        <w:rPr>
          <w:noProof/>
        </w:rPr>
        <w:sectPr>
          <w:headerReference w:type="even" r:id="rId10"/>
          <w:footerReference w:type="even" r:id="rId11"/>
          <w:footerReference w:type="default" r:id="rId12"/>
          <w:headerReference w:type="first" r:id="rId13"/>
          <w:footerReference w:type="first" r:id="rId14"/>
          <w:pgSz w:w="11907" w:h="16839"/>
          <w:pgMar w:top="1134" w:right="1417" w:bottom="1134" w:left="1417" w:header="709" w:footer="709" w:gutter="0"/>
          <w:cols w:space="708"/>
          <w:docGrid w:linePitch="360"/>
        </w:sectPr>
      </w:pPr>
    </w:p>
    <w:p>
      <w:pPr>
        <w:pStyle w:val="Rfrenceinterinstitutionnelle"/>
        <w:rPr>
          <w:noProof/>
        </w:rPr>
      </w:pPr>
      <w:r>
        <w:rPr>
          <w:noProof/>
        </w:rPr>
        <w:t>2026/0263 (NLE)</w:t>
      </w:r>
    </w:p>
    <w:p>
      <w:pPr>
        <w:pStyle w:val="Statut"/>
        <w:rPr>
          <w:noProof/>
        </w:rPr>
      </w:pPr>
      <w:r>
        <w:rPr>
          <w:noProof/>
        </w:rPr>
        <w:t>Propunere de</w:t>
      </w:r>
    </w:p>
    <w:p>
      <w:pPr>
        <w:pStyle w:val="Typedudocument"/>
        <w:rPr>
          <w:noProof/>
        </w:rPr>
      </w:pPr>
      <w:r>
        <w:rPr>
          <w:noProof/>
        </w:rPr>
        <w:t>DECIZIE A CONSILIULUI</w:t>
      </w:r>
    </w:p>
    <w:p>
      <w:pPr>
        <w:pStyle w:val="Titreobjet"/>
        <w:rPr>
          <w:noProof/>
        </w:rPr>
      </w:pPr>
      <w:r>
        <w:rPr>
          <w:noProof/>
        </w:rPr>
        <w:t>privind poziția care urmează să fie luată, în numele Uniunii Europene, în cadrul Consiliului de cooperare instituit prin Acordul de parteneriat și cooperare dintre Comunitățile Europene și statele membre ale acestora, pe de o parte, și Republica Azerbaidjan, pe de altă parte, cu privire la modificarea priorităților parteneriatului UE-Azerbaidjan și prelungirea perioadei de punere în aplicare a acestora</w:t>
      </w:r>
    </w:p>
    <w:p>
      <w:pPr>
        <w:pStyle w:val="Institutionquiagit"/>
        <w:rPr>
          <w:noProof/>
        </w:rPr>
      </w:pPr>
      <w:r>
        <w:rPr>
          <w:noProof/>
        </w:rPr>
        <w:t>CONSILIUL UNIUNII EUROPENE,</w:t>
      </w:r>
    </w:p>
    <w:p>
      <w:pPr>
        <w:rPr>
          <w:noProof/>
        </w:rPr>
      </w:pPr>
      <w:r>
        <w:rPr>
          <w:noProof/>
        </w:rPr>
        <w:t>având în vedere Tratatul privind funcționarea Uniunii Europene, în special articolele 207 și 209, coroborate cu articolul 218 alineatul (9),</w:t>
      </w:r>
    </w:p>
    <w:p>
      <w:pPr>
        <w:rPr>
          <w:noProof/>
        </w:rPr>
      </w:pPr>
      <w:r>
        <w:rPr>
          <w:noProof/>
        </w:rPr>
        <w:t>având în vedere propunerea Comisiei Europene,</w:t>
      </w:r>
    </w:p>
    <w:p>
      <w:pPr>
        <w:rPr>
          <w:noProof/>
        </w:rPr>
      </w:pPr>
      <w:r>
        <w:rPr>
          <w:noProof/>
        </w:rPr>
        <w:t>întrucât:</w:t>
      </w:r>
    </w:p>
    <w:p>
      <w:pPr>
        <w:pStyle w:val="ManualConsidrant"/>
        <w:rPr>
          <w:noProof/>
        </w:rPr>
      </w:pPr>
      <w:r>
        <w:rPr>
          <w:noProof/>
        </w:rPr>
        <w:t>(1)</w:t>
      </w:r>
      <w:r>
        <w:rPr>
          <w:noProof/>
        </w:rPr>
        <w:tab/>
        <w:t>Acordul de parteneriat și cooperare dintre Comunitățile Europene și statele membre ale acestora, pe de o parte, și Republica Azerbaidjan, pe de altă parte (denumit în continuare „acordul”), a fost încheiat de Uniune la 22 aprilie 1996 printr-o decizie a Consiliului și a intrat în vigoare la 1 iulie 1999.</w:t>
      </w:r>
    </w:p>
    <w:p>
      <w:pPr>
        <w:pStyle w:val="ManualConsidrant"/>
        <w:rPr>
          <w:noProof/>
        </w:rPr>
      </w:pPr>
      <w:r>
        <w:rPr>
          <w:noProof/>
        </w:rPr>
        <w:t>(2)</w:t>
      </w:r>
      <w:r>
        <w:rPr>
          <w:noProof/>
        </w:rPr>
        <w:tab/>
        <w:t>În temeiul articolului 81 din acord, Consiliul de cooperare poate adopta recomandări în vederea atingerii obiectivelor acordului.</w:t>
      </w:r>
    </w:p>
    <w:p>
      <w:pPr>
        <w:pStyle w:val="ManualConsidrant"/>
        <w:rPr>
          <w:noProof/>
        </w:rPr>
      </w:pPr>
      <w:r>
        <w:rPr>
          <w:noProof/>
        </w:rPr>
        <w:t>(3)</w:t>
      </w:r>
      <w:r>
        <w:rPr>
          <w:noProof/>
        </w:rPr>
        <w:tab/>
        <w:t>În cadrul reuniunii sale din 28 septembrie 2018, Consiliul de cooperare UE­Azerbaidjan a adoptat prioritățile parteneriatului UE-Azerbaidjan pentru perioada 2018-2020, care au fost prelungite pentru perioada 2021-2024 prin procedură scrisă.</w:t>
      </w:r>
    </w:p>
    <w:p>
      <w:pPr>
        <w:pStyle w:val="ManualConsidrant"/>
        <w:rPr>
          <w:noProof/>
        </w:rPr>
      </w:pPr>
      <w:r>
        <w:rPr>
          <w:noProof/>
        </w:rPr>
        <w:t>(4)</w:t>
      </w:r>
      <w:r>
        <w:rPr>
          <w:noProof/>
        </w:rPr>
        <w:tab/>
        <w:t>Este oportun să se stabilească poziția privind modificarea și prelungirea priorităților parteneriatului UE-Azerbaidjan, care urmează să fie redenumite „priorități strategice ale parteneriatului UE-Azerbaidjan”, poziție ce urmează să fie adoptată în numele Uniunii în cadrul Consiliului de cooperare.</w:t>
      </w:r>
    </w:p>
    <w:p>
      <w:pPr>
        <w:pStyle w:val="ManualConsidrant"/>
        <w:rPr>
          <w:noProof/>
        </w:rPr>
      </w:pPr>
      <w:r>
        <w:rPr>
          <w:noProof/>
        </w:rPr>
        <w:t>(5)</w:t>
      </w:r>
      <w:r>
        <w:rPr>
          <w:noProof/>
        </w:rPr>
        <w:tab/>
        <w:t>Prioritățile strategice ale parteneriatului UE-Azerbaidjan vor continua să orienteze programarea multianuală a cooperării financiare a UE cu Azerbaidjanul.</w:t>
      </w:r>
    </w:p>
    <w:p>
      <w:pPr>
        <w:pStyle w:val="Formuledadoption"/>
        <w:rPr>
          <w:noProof/>
        </w:rPr>
      </w:pPr>
      <w:r>
        <w:rPr>
          <w:noProof/>
        </w:rPr>
        <w:t>ADOPTĂ PREZENTA DECIZIE:</w:t>
      </w:r>
    </w:p>
    <w:p>
      <w:pPr>
        <w:pStyle w:val="Titrearticle"/>
        <w:rPr>
          <w:noProof/>
        </w:rPr>
      </w:pPr>
      <w:r>
        <w:rPr>
          <w:noProof/>
        </w:rPr>
        <w:t>Articolul 1</w:t>
      </w:r>
    </w:p>
    <w:p>
      <w:pPr>
        <w:rPr>
          <w:i/>
          <w:noProof/>
        </w:rPr>
      </w:pPr>
      <w:r>
        <w:rPr>
          <w:noProof/>
        </w:rPr>
        <w:t>Poziția care urmează să fie adoptată în numele Uniunii Europene în cadrul Consiliului de cooperare instituit prin Acordul de parteneriat și cooperare dintre Comunitățile Europene și statele membre ale acestora, pe de o parte, și Republica Azerbaidjan, pe de altă parte, se bazează pe proiectul anexat la prezenta decizie.</w:t>
      </w:r>
    </w:p>
    <w:p>
      <w:pPr>
        <w:pStyle w:val="Titrearticle"/>
        <w:rPr>
          <w:noProof/>
        </w:rPr>
      </w:pPr>
      <w:r>
        <w:rPr>
          <w:noProof/>
        </w:rPr>
        <w:t>Articolul 2</w:t>
      </w:r>
    </w:p>
    <w:p>
      <w:pPr>
        <w:rPr>
          <w:noProof/>
        </w:rPr>
      </w:pPr>
      <w:r>
        <w:rPr>
          <w:noProof/>
        </w:rPr>
        <w:t>Se poate conveni asupra unor modificări tehnice minore ale pozițiilor menționate la articolul 1 și în anexă fără a mai fi necesară o nouă decizie a Consiliului.</w:t>
      </w:r>
    </w:p>
    <w:p>
      <w:pPr>
        <w:pStyle w:val="Titrearticle"/>
        <w:rPr>
          <w:noProof/>
        </w:rPr>
      </w:pPr>
      <w:r>
        <w:rPr>
          <w:noProof/>
        </w:rPr>
        <w:t>Articolul 3</w:t>
      </w:r>
    </w:p>
    <w:p>
      <w:pPr>
        <w:rPr>
          <w:noProof/>
          <w:highlight w:val="yellow"/>
        </w:rPr>
      </w:pPr>
    </w:p>
    <w:p>
      <w:pPr>
        <w:keepNext/>
        <w:keepLines/>
        <w:rPr>
          <w:noProof/>
          <w:szCs w:val="24"/>
        </w:rPr>
      </w:pPr>
      <w:r>
        <w:rPr>
          <w:noProof/>
        </w:rPr>
        <w:t>Prezenta decizie intră în vigoare la […].</w:t>
      </w:r>
    </w:p>
    <w:p>
      <w:pPr>
        <w:rPr>
          <w:noProof/>
          <w:highlight w:val="yellow"/>
        </w:rPr>
      </w:pPr>
    </w:p>
    <w:p>
      <w:pPr>
        <w:pStyle w:val="Fait"/>
        <w:rPr>
          <w:noProof/>
        </w:rPr>
      </w:pPr>
      <w:r>
        <w:rPr>
          <w:noProof/>
        </w:rPr>
        <w:t>Adoptată la Bruxelles,</w:t>
      </w:r>
    </w:p>
    <w:p>
      <w:pPr>
        <w:pStyle w:val="Institutionquisigne"/>
        <w:rPr>
          <w:noProof/>
        </w:rPr>
      </w:pPr>
      <w:r>
        <w:rPr>
          <w:noProof/>
        </w:rPr>
        <w:tab/>
        <w:t>Pentru Consiliu</w:t>
      </w:r>
    </w:p>
    <w:p>
      <w:pPr>
        <w:pStyle w:val="Personnequisigne"/>
        <w:rPr>
          <w:noProof/>
        </w:rPr>
      </w:pPr>
      <w:r>
        <w:rPr>
          <w:noProof/>
        </w:rPr>
        <w:tab/>
        <w:t>Președintele</w:t>
      </w:r>
    </w:p>
    <w:sectPr>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before="0" w:after="0"/>
      </w:pPr>
      <w:r>
        <w:separator/>
      </w:r>
    </w:p>
  </w:endnote>
  <w:endnote w:type="continuationSeparator" w:id="0">
    <w:p>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RO</w:t>
    </w:r>
    <w:r>
      <w:rPr>
        <w:rFonts w:ascii="Arial" w:hAnsi="Arial" w:cs="Arial"/>
        <w:b/>
        <w:sz w:val="48"/>
      </w:rPr>
      <w:tab/>
    </w:r>
    <w:r>
      <w:fldChar w:fldCharType="begin"/>
    </w:r>
    <w:r>
      <w:instrText xml:space="preserve"> PAGE  \* MERGEFORMAT </w:instrText>
    </w:r>
    <w:r>
      <w:fldChar w:fldCharType="separate"/>
    </w:r>
    <w:r>
      <w:rPr>
        <w:noProof/>
      </w:rPr>
      <w:t>1</w:t>
    </w:r>
    <w:r>
      <w:fldChar w:fldCharType="end"/>
    </w:r>
    <w:r>
      <w:tab/>
    </w:r>
    <w:r>
      <w:tab/>
    </w:r>
    <w:r>
      <w:rPr>
        <w:rFonts w:ascii="Arial" w:hAnsi="Arial" w:cs="Arial"/>
        <w:b/>
        <w:sz w:val="48"/>
      </w:rPr>
      <w:t>RO</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spacing w:before="0" w:after="0"/>
      </w:pPr>
      <w:r>
        <w:separator/>
      </w:r>
    </w:p>
  </w:footnote>
  <w:footnote w:type="continuationSeparator" w:id="0">
    <w:p>
      <w:pPr>
        <w:spacing w:before="0" w:after="0"/>
      </w:pPr>
      <w:r>
        <w:continuationSeparator/>
      </w:r>
    </w:p>
  </w:footnote>
  <w:footnote w:id="1">
    <w:p>
      <w:pPr>
        <w:pStyle w:val="FootnoteText"/>
      </w:pPr>
      <w:r>
        <w:rPr>
          <w:rStyle w:val="FootnoteReference"/>
        </w:rPr>
        <w:footnoteRef/>
      </w:r>
      <w:r>
        <w:tab/>
        <w:t>Hotărârea Curții de Justiție din 7 octombrie 2014, Germania/Consiliu, C-399/12, ECLI:EU:C:2014:2258, punctele 61-64.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1"/>
    <w:multiLevelType w:val="singleLevel"/>
    <w:tmpl w:val="3EC2F0C8"/>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AA9CB214"/>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533C7DE8"/>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0ECE7A0C"/>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8"/>
    <w:lvlOverride w:ilvl="0">
      <w:startOverride w:val="1"/>
    </w:lvlOverride>
  </w:num>
  <w:num w:numId="3">
    <w:abstractNumId w:val="3"/>
  </w:num>
  <w:num w:numId="4">
    <w:abstractNumId w:val="2"/>
  </w:num>
  <w:num w:numId="5">
    <w:abstractNumId w:val="1"/>
  </w:num>
  <w:num w:numId="6">
    <w:abstractNumId w:val="0"/>
  </w:num>
  <w:num w:numId="7">
    <w:abstractNumId w:val="15"/>
  </w:num>
  <w:num w:numId="8">
    <w:abstractNumId w:val="8"/>
  </w:num>
  <w:num w:numId="9">
    <w:abstractNumId w:val="17"/>
  </w:num>
  <w:num w:numId="10">
    <w:abstractNumId w:val="7"/>
  </w:num>
  <w:num w:numId="11">
    <w:abstractNumId w:val="9"/>
  </w:num>
  <w:num w:numId="12">
    <w:abstractNumId w:val="10"/>
  </w:num>
  <w:num w:numId="13">
    <w:abstractNumId w:val="5"/>
  </w:num>
  <w:num w:numId="14">
    <w:abstractNumId w:val="16"/>
  </w:num>
  <w:num w:numId="15">
    <w:abstractNumId w:val="4"/>
  </w:num>
  <w:num w:numId="16">
    <w:abstractNumId w:val="11"/>
  </w:num>
  <w:num w:numId="17">
    <w:abstractNumId w:val="13"/>
  </w:num>
  <w:num w:numId="18">
    <w:abstractNumId w:val="14"/>
  </w:num>
  <w:num w:numId="19">
    <w:abstractNumId w:val="6"/>
  </w:num>
  <w:num w:numId="20">
    <w:abstractNumId w:val="12"/>
  </w:num>
  <w:num w:numId="21">
    <w:abstractNumId w:val="18"/>
  </w:num>
  <w:num w:numId="22">
    <w:abstractNumId w:val="15"/>
  </w:num>
  <w:num w:numId="23">
    <w:abstractNumId w:val="8"/>
  </w:num>
  <w:num w:numId="24">
    <w:abstractNumId w:val="17"/>
  </w:num>
  <w:num w:numId="25">
    <w:abstractNumId w:val="7"/>
  </w:num>
  <w:num w:numId="26">
    <w:abstractNumId w:val="9"/>
  </w:num>
  <w:num w:numId="27">
    <w:abstractNumId w:val="10"/>
  </w:num>
  <w:num w:numId="28">
    <w:abstractNumId w:val="5"/>
  </w:num>
  <w:num w:numId="29">
    <w:abstractNumId w:val="16"/>
  </w:num>
  <w:num w:numId="30">
    <w:abstractNumId w:val="4"/>
  </w:num>
  <w:num w:numId="31">
    <w:abstractNumId w:val="11"/>
  </w:num>
  <w:num w:numId="32">
    <w:abstractNumId w:val="13"/>
  </w:num>
  <w:num w:numId="33">
    <w:abstractNumId w:val="14"/>
  </w:num>
  <w:num w:numId="34">
    <w:abstractNumId w:val="6"/>
  </w:num>
  <w:num w:numId="35">
    <w:abstractNumId w:val="12"/>
  </w:num>
  <w:num w:numId="36">
    <w:abstractNumId w:val="18"/>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R_RefLast" w:val="0"/>
    <w:docVar w:name="DQCDateTime" w:val="2026-09-09 13:32:45"/>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5A95B411-2844-4A8C-BA86-95BDE0FBFC11"/>
    <w:docVar w:name="LW_COVERPAGE_TYPE" w:val="1"/>
    <w:docVar w:name="LW_CreatedUtc" w:val="2026-06-12T08:08:28.8102008Z"/>
    <w:docVar w:name="LW_CROSSREFERENCE" w:val="&lt;UNUSED&gt;"/>
    <w:docVar w:name="LW_DocType" w:val="COM"/>
    <w:docVar w:name="LW_EMISSION" w:val="11.9.2026"/>
    <w:docVar w:name="LW_EMISSION_ISODATE" w:val="2026-09-11"/>
    <w:docVar w:name="LW_EMISSION_LOCATION" w:val="BRX"/>
    <w:docVar w:name="LW_EMISSION_PREFIX" w:val="Bruxelles, "/>
    <w:docVar w:name="LW_EMISSION_SUFFIX" w:val=" "/>
    <w:docVar w:name="LW_ID_DOCMODEL" w:val="SJ-043"/>
    <w:docVar w:name="LW_ID_DOCSIGNATURE" w:val="SJ-019"/>
    <w:docVar w:name="LW_ID_DOCSTRUCTURE" w:val="COM/PL/ORG"/>
    <w:docVar w:name="LW_ID_DOCTYPE" w:val="SJ-043"/>
    <w:docVar w:name="LW_ID_STATUT" w:val="SJ-019"/>
    <w:docVar w:name="LW_INSERT_EXP.MOTIFS.NEW" w:val="1"/>
    <w:docVar w:name="LW_INTERETEEE.CP" w:val="&lt;UNUSED&gt;"/>
    <w:docVar w:name="LW_LANGUE" w:val="RO"/>
    <w:docVar w:name="LW_LEVEL_OF_SENSITIVITY" w:val="Standard treatment"/>
    <w:docVar w:name="LW_NOM.INST" w:val="COMISIA EUROPEAN\u258?"/>
    <w:docVar w:name="LW_NOM.INST_JOINTDOC" w:val="&lt;EMPTY&gt;"/>
    <w:docVar w:name="LW_PART_NBR" w:val="1"/>
    <w:docVar w:name="LW_PART_NBR_TOTAL" w:val="1"/>
    <w:docVar w:name="LW_REF.II.NEW.CP" w:val="NLE"/>
    <w:docVar w:name="LW_REF.II.NEW.CP_NUMBER" w:val="0263"/>
    <w:docVar w:name="LW_REF.II.NEW.CP_YEAR" w:val="2026"/>
    <w:docVar w:name="LW_REF.INST.NEW" w:val="COM"/>
    <w:docVar w:name="LW_REF.INST.NEW_ADOPTED" w:val="final"/>
    <w:docVar w:name="LW_REF.INST.NEW_TEXT" w:val="(2026) 471"/>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unere de"/>
    <w:docVar w:name="LW_SUPERTITRE" w:val="&lt;UNUSED&gt;"/>
    <w:docVar w:name="LW_TITRE.OBJ.CP" w:val="privind pozi\u539?ia care urmeaz\u259? s\u259? fie luat\u259?, în numele Uniunii Europene, în cadrul Consiliului de cooperare instituit prin Acordul de parteneriat \u537?i cooperare dintre Comunit\u259?\u539?ile Europene \u537?i statele membre ale acestora, pe de o parte, \u537?i Republica Azerbaidjan, pe de alt\u259? parte, cu privire la modificarea priorit\u259?\u539?ilor parteneriatului UE-Azerbaidjan \u537?i prelungirea perioadei de punere în aplicare a acestora"/>
    <w:docVar w:name="LW_TYPE.DOC.CP" w:val="DECIZIE A CONSILIULUI"/>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CC8D2A9B-CCF3-4014-BC45-624D33BE3D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29"/>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9"/>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9"/>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9"/>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29"/>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29"/>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29"/>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ro-RO"/>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ro-RO"/>
    </w:rPr>
  </w:style>
  <w:style w:type="character" w:styleId="Hyperlink">
    <w:name w:val="Hyperlink"/>
    <w:basedOn w:val="DefaultParagraphFont"/>
    <w:uiPriority w:val="99"/>
    <w:unhideWhenUsed/>
    <w:rPr>
      <w:color w:val="0000FF" w:themeColor="hyperlink"/>
      <w:u w:val="single"/>
    </w:rPr>
  </w:style>
  <w:style w:type="character" w:styleId="UnresolvedMention">
    <w:name w:val="Unresolved Mention"/>
    <w:basedOn w:val="DefaultParagraphFont"/>
    <w:uiPriority w:val="99"/>
    <w:semiHidden/>
    <w:unhideWhenUsed/>
    <w:rPr>
      <w:color w:val="605E5C"/>
      <w:shd w:val="clear" w:color="auto" w:fill="E1DFDD"/>
    </w:rPr>
  </w:style>
  <w:style w:type="paragraph" w:styleId="Revision">
    <w:name w:val="Revision"/>
    <w:hidden/>
    <w:uiPriority w:val="99"/>
    <w:semiHidden/>
    <w:pPr>
      <w:spacing w:after="0" w:line="240" w:lineRule="auto"/>
    </w:pPr>
    <w:rPr>
      <w:rFonts w:ascii="Times New Roman" w:hAnsi="Times New Roman" w:cs="Times New Roman"/>
      <w:sz w:val="24"/>
    </w:rPr>
  </w:style>
  <w:style w:type="paragraph" w:styleId="ListBullet">
    <w:name w:val="List Bullet"/>
    <w:basedOn w:val="Normal"/>
    <w:uiPriority w:val="99"/>
    <w:semiHidden/>
    <w:unhideWhenUsed/>
    <w:pPr>
      <w:numPr>
        <w:numId w:val="3"/>
      </w:numPr>
      <w:contextualSpacing/>
    </w:pPr>
  </w:style>
  <w:style w:type="paragraph" w:styleId="ListBullet2">
    <w:name w:val="List Bullet 2"/>
    <w:basedOn w:val="Normal"/>
    <w:uiPriority w:val="99"/>
    <w:semiHidden/>
    <w:unhideWhenUsed/>
    <w:pPr>
      <w:numPr>
        <w:numId w:val="4"/>
      </w:numPr>
      <w:contextualSpacing/>
    </w:pPr>
  </w:style>
  <w:style w:type="paragraph" w:styleId="ListBullet3">
    <w:name w:val="List Bullet 3"/>
    <w:basedOn w:val="Normal"/>
    <w:uiPriority w:val="99"/>
    <w:semiHidden/>
    <w:unhideWhenUsed/>
    <w:pPr>
      <w:numPr>
        <w:numId w:val="5"/>
      </w:numPr>
      <w:contextualSpacing/>
    </w:pPr>
  </w:style>
  <w:style w:type="paragraph" w:styleId="ListBullet4">
    <w:name w:val="List Bullet 4"/>
    <w:basedOn w:val="Normal"/>
    <w:uiPriority w:val="99"/>
    <w:semiHidden/>
    <w:unhideWhenUsed/>
    <w:pPr>
      <w:numPr>
        <w:numId w:val="6"/>
      </w:numPr>
      <w:contextualSpacing/>
    </w:pPr>
  </w:style>
  <w:style w:type="character" w:customStyle="1" w:styleId="HeaderChar">
    <w:name w:val="Header Char"/>
    <w:basedOn w:val="DefaultParagraphFont"/>
    <w:link w:val="Header"/>
    <w:uiPriority w:val="99"/>
    <w:rPr>
      <w:rFonts w:ascii="Times New Roman" w:hAnsi="Times New Roman" w:cs="Times New Roman"/>
      <w:sz w:val="24"/>
      <w:lang w:val="ro-RO"/>
    </w:rPr>
  </w:style>
  <w:style w:type="character" w:customStyle="1" w:styleId="FooterChar">
    <w:name w:val="Footer Char"/>
    <w:basedOn w:val="DefaultParagraphFont"/>
    <w:link w:val="Footer"/>
    <w:uiPriority w:val="99"/>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pPr>
      <w:spacing w:before="0"/>
      <w:jc w:val="right"/>
    </w:pPr>
    <w:rPr>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2"/>
      </w:numPr>
    </w:pPr>
  </w:style>
  <w:style w:type="paragraph" w:customStyle="1" w:styleId="Tiret1">
    <w:name w:val="Tiret 1"/>
    <w:basedOn w:val="Point1"/>
    <w:pPr>
      <w:numPr>
        <w:numId w:val="23"/>
      </w:numPr>
    </w:pPr>
  </w:style>
  <w:style w:type="paragraph" w:customStyle="1" w:styleId="Tiret2">
    <w:name w:val="Tiret 2"/>
    <w:basedOn w:val="Point2"/>
    <w:pPr>
      <w:numPr>
        <w:numId w:val="24"/>
      </w:numPr>
    </w:pPr>
  </w:style>
  <w:style w:type="paragraph" w:customStyle="1" w:styleId="Tiret3">
    <w:name w:val="Tiret 3"/>
    <w:basedOn w:val="Point3"/>
    <w:pPr>
      <w:numPr>
        <w:numId w:val="25"/>
      </w:numPr>
    </w:pPr>
  </w:style>
  <w:style w:type="paragraph" w:customStyle="1" w:styleId="Tiret4">
    <w:name w:val="Tiret 4"/>
    <w:basedOn w:val="Point4"/>
    <w:pPr>
      <w:numPr>
        <w:numId w:val="26"/>
      </w:numPr>
    </w:pPr>
  </w:style>
  <w:style w:type="paragraph" w:customStyle="1" w:styleId="Tiret5">
    <w:name w:val="Tiret 5"/>
    <w:basedOn w:val="Point5"/>
    <w:pPr>
      <w:numPr>
        <w:numId w:val="27"/>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8"/>
      </w:numPr>
    </w:pPr>
  </w:style>
  <w:style w:type="paragraph" w:customStyle="1" w:styleId="NumPar2">
    <w:name w:val="NumPar 2"/>
    <w:basedOn w:val="Normal"/>
    <w:next w:val="Text1"/>
    <w:pPr>
      <w:numPr>
        <w:ilvl w:val="1"/>
        <w:numId w:val="28"/>
      </w:numPr>
    </w:pPr>
  </w:style>
  <w:style w:type="paragraph" w:customStyle="1" w:styleId="NumPar3">
    <w:name w:val="NumPar 3"/>
    <w:basedOn w:val="Normal"/>
    <w:next w:val="Text1"/>
    <w:pPr>
      <w:numPr>
        <w:ilvl w:val="2"/>
        <w:numId w:val="28"/>
      </w:numPr>
    </w:pPr>
  </w:style>
  <w:style w:type="paragraph" w:customStyle="1" w:styleId="NumPar4">
    <w:name w:val="NumPar 4"/>
    <w:basedOn w:val="Normal"/>
    <w:next w:val="Text1"/>
    <w:pPr>
      <w:numPr>
        <w:ilvl w:val="3"/>
        <w:numId w:val="28"/>
      </w:numPr>
    </w:pPr>
  </w:style>
  <w:style w:type="paragraph" w:customStyle="1" w:styleId="NumPar5">
    <w:name w:val="NumPar 5"/>
    <w:basedOn w:val="Normal"/>
    <w:next w:val="Text2"/>
    <w:pPr>
      <w:numPr>
        <w:ilvl w:val="4"/>
        <w:numId w:val="28"/>
      </w:numPr>
    </w:pPr>
  </w:style>
  <w:style w:type="paragraph" w:customStyle="1" w:styleId="NumPar6">
    <w:name w:val="NumPar 6"/>
    <w:basedOn w:val="Normal"/>
    <w:next w:val="Text2"/>
    <w:pPr>
      <w:numPr>
        <w:ilvl w:val="5"/>
        <w:numId w:val="28"/>
      </w:numPr>
    </w:pPr>
  </w:style>
  <w:style w:type="paragraph" w:customStyle="1" w:styleId="NumPar7">
    <w:name w:val="NumPar 7"/>
    <w:basedOn w:val="Normal"/>
    <w:next w:val="Text2"/>
    <w:pPr>
      <w:numPr>
        <w:ilvl w:val="6"/>
        <w:numId w:val="28"/>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0"/>
      </w:numPr>
    </w:pPr>
  </w:style>
  <w:style w:type="paragraph" w:customStyle="1" w:styleId="Point1number">
    <w:name w:val="Point 1 (number)"/>
    <w:basedOn w:val="Normal"/>
    <w:pPr>
      <w:numPr>
        <w:ilvl w:val="2"/>
        <w:numId w:val="30"/>
      </w:numPr>
    </w:pPr>
  </w:style>
  <w:style w:type="paragraph" w:customStyle="1" w:styleId="Point2number">
    <w:name w:val="Point 2 (number)"/>
    <w:basedOn w:val="Normal"/>
    <w:pPr>
      <w:numPr>
        <w:ilvl w:val="4"/>
        <w:numId w:val="30"/>
      </w:numPr>
    </w:pPr>
  </w:style>
  <w:style w:type="paragraph" w:customStyle="1" w:styleId="Point3number">
    <w:name w:val="Point 3 (number)"/>
    <w:basedOn w:val="Normal"/>
    <w:pPr>
      <w:numPr>
        <w:ilvl w:val="6"/>
        <w:numId w:val="30"/>
      </w:numPr>
    </w:pPr>
  </w:style>
  <w:style w:type="paragraph" w:customStyle="1" w:styleId="Point0letter">
    <w:name w:val="Point 0 (letter)"/>
    <w:basedOn w:val="Normal"/>
    <w:pPr>
      <w:numPr>
        <w:ilvl w:val="1"/>
        <w:numId w:val="30"/>
      </w:numPr>
    </w:pPr>
  </w:style>
  <w:style w:type="paragraph" w:customStyle="1" w:styleId="Point1letter">
    <w:name w:val="Point 1 (letter)"/>
    <w:basedOn w:val="Normal"/>
    <w:pPr>
      <w:numPr>
        <w:ilvl w:val="3"/>
        <w:numId w:val="30"/>
      </w:numPr>
    </w:pPr>
  </w:style>
  <w:style w:type="paragraph" w:customStyle="1" w:styleId="Point2letter">
    <w:name w:val="Point 2 (letter)"/>
    <w:basedOn w:val="Normal"/>
    <w:pPr>
      <w:numPr>
        <w:ilvl w:val="5"/>
        <w:numId w:val="30"/>
      </w:numPr>
    </w:pPr>
  </w:style>
  <w:style w:type="paragraph" w:customStyle="1" w:styleId="Point3letter">
    <w:name w:val="Point 3 (letter)"/>
    <w:basedOn w:val="Normal"/>
    <w:pPr>
      <w:numPr>
        <w:ilvl w:val="7"/>
        <w:numId w:val="30"/>
      </w:numPr>
    </w:pPr>
  </w:style>
  <w:style w:type="paragraph" w:customStyle="1" w:styleId="Point4letter">
    <w:name w:val="Point 4 (letter)"/>
    <w:basedOn w:val="Normal"/>
    <w:pPr>
      <w:numPr>
        <w:ilvl w:val="8"/>
        <w:numId w:val="30"/>
      </w:numPr>
    </w:pPr>
  </w:style>
  <w:style w:type="paragraph" w:customStyle="1" w:styleId="Bullet0">
    <w:name w:val="Bullet 0"/>
    <w:basedOn w:val="Normal"/>
    <w:pPr>
      <w:numPr>
        <w:numId w:val="31"/>
      </w:numPr>
    </w:pPr>
  </w:style>
  <w:style w:type="paragraph" w:customStyle="1" w:styleId="Bullet1">
    <w:name w:val="Bullet 1"/>
    <w:basedOn w:val="Normal"/>
    <w:pPr>
      <w:numPr>
        <w:numId w:val="32"/>
      </w:numPr>
    </w:pPr>
  </w:style>
  <w:style w:type="paragraph" w:customStyle="1" w:styleId="Bullet2">
    <w:name w:val="Bullet 2"/>
    <w:basedOn w:val="Normal"/>
    <w:pPr>
      <w:numPr>
        <w:numId w:val="33"/>
      </w:numPr>
    </w:pPr>
  </w:style>
  <w:style w:type="paragraph" w:customStyle="1" w:styleId="Bullet3">
    <w:name w:val="Bullet 3"/>
    <w:basedOn w:val="Normal"/>
    <w:pPr>
      <w:numPr>
        <w:numId w:val="34"/>
      </w:numPr>
    </w:pPr>
  </w:style>
  <w:style w:type="paragraph" w:customStyle="1" w:styleId="Bullet4">
    <w:name w:val="Bullet 4"/>
    <w:basedOn w:val="Normal"/>
    <w:pPr>
      <w:numPr>
        <w:numId w:val="35"/>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6"/>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pPr>
      <w:spacing w:before="360" w:after="240"/>
      <w:jc w:val="center"/>
    </w:pPr>
  </w:style>
  <w:style w:type="paragraph" w:styleId="Header">
    <w:name w:val="header"/>
    <w:basedOn w:val="Normal"/>
    <w:link w:val="HeaderChar"/>
    <w:uiPriority w:val="99"/>
    <w:unhideWhenUsed/>
    <w:pPr>
      <w:tabs>
        <w:tab w:val="center" w:pos="4535"/>
        <w:tab w:val="right" w:pos="9071"/>
      </w:tabs>
      <w:spacing w:before="0"/>
    </w:pPr>
  </w:style>
  <w:style w:type="paragraph" w:customStyle="1" w:styleId="HeaderLandscape">
    <w:name w:val="HeaderLandscape"/>
    <w:basedOn w:val="Normal"/>
    <w:pPr>
      <w:tabs>
        <w:tab w:val="center" w:pos="7285"/>
        <w:tab w:val="right" w:pos="14003"/>
      </w:tabs>
      <w:spacing w:before="0"/>
    </w:p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oter" Target="footer4.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footer" Target="foot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COM.dotm</Template>
  <TotalTime>10</TotalTime>
  <Pages>6</Pages>
  <Words>1296</Words>
  <Characters>7392</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SVC-T1-CODE-PRD</cp:lastModifiedBy>
  <cp:revision>20</cp:revision>
  <dcterms:created xsi:type="dcterms:W3CDTF">2026-09-07T07:39:00Z</dcterms:created>
  <dcterms:modified xsi:type="dcterms:W3CDTF">2026-09-09T11:32:00Z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2026-07-28T10:49:36Z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7c37705a-415e-4719-97ff-26f9ddd8da54</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Category">
    <vt:lpwstr>COM/PL/ORG</vt:lpwstr>
  </property>
  <property fmtid="{D5CDD505-2E9C-101B-9397-08002B2CF9AE}" pid="11" name="Version">
    <vt:lpwstr>8.0.25.0</vt:lpwstr>
  </property>
  <property fmtid="{D5CDD505-2E9C-101B-9397-08002B2CF9AE}" pid="12" name="Last edited using">
    <vt:lpwstr>LW 9.2, Build 20250828</vt:lpwstr>
  </property>
  <property fmtid="{D5CDD505-2E9C-101B-9397-08002B2CF9AE}" pid="13" name="Created using">
    <vt:lpwstr>LW 9.1, Build 20240808</vt:lpwstr>
  </property>
  <property fmtid="{D5CDD505-2E9C-101B-9397-08002B2CF9AE}" pid="14" name="Part">
    <vt:lpwstr>1</vt:lpwstr>
  </property>
  <property fmtid="{D5CDD505-2E9C-101B-9397-08002B2CF9AE}" pid="15" name="Total parts">
    <vt:lpwstr>1</vt:lpwstr>
  </property>
  <property fmtid="{D5CDD505-2E9C-101B-9397-08002B2CF9AE}" pid="16" name="Level of sensitivity">
    <vt:lpwstr>Standard treatment</vt:lpwstr>
  </property>
  <property fmtid="{D5CDD505-2E9C-101B-9397-08002B2CF9AE}" pid="17" name="LWTemplateID">
    <vt:lpwstr>SJ-043</vt:lpwstr>
  </property>
  <property fmtid="{D5CDD505-2E9C-101B-9397-08002B2CF9AE}" pid="18" name="DQCStatus">
    <vt:lpwstr>Green (DQC version 03)</vt:lpwstr>
  </property>
</Properties>
</file>