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9A2AA2B-8C1D-43DF-8F81-1FF4C53DF6D9" style="width:455.25pt;height:396pt">
            <v:imagedata r:id="rId8" o:title=""/>
          </v:shape>
        </w:pict>
      </w:r>
    </w:p>
    <w:p>
      <w:pPr>
        <w:rPr>
          <w:noProof/>
        </w:rPr>
        <w:sectPr>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pPr>
        <w:pStyle w:val="Annexetitre"/>
        <w:rPr>
          <w:noProof/>
        </w:rPr>
      </w:pPr>
      <w:r>
        <w:rPr>
          <w:noProof/>
        </w:rPr>
        <w:lastRenderedPageBreak/>
        <w:t>ANEXĂ</w:t>
      </w:r>
    </w:p>
    <w:p>
      <w:pPr>
        <w:rPr>
          <w:noProof/>
        </w:rPr>
      </w:pPr>
    </w:p>
    <w:p>
      <w:pPr>
        <w:pStyle w:val="Default"/>
        <w:jc w:val="center"/>
        <w:rPr>
          <w:noProof/>
          <w:lang w:val="ro-RO"/>
        </w:rPr>
      </w:pPr>
      <w:r>
        <w:rPr>
          <w:b/>
          <w:noProof/>
          <w:lang w:val="ro-RO"/>
        </w:rPr>
        <w:t>RECOMANDAREA NR. XX/2026 A CONSILIULUI DE COOPERARE UE-AZERBAIDJAN</w:t>
      </w:r>
    </w:p>
    <w:p>
      <w:pPr>
        <w:jc w:val="center"/>
        <w:rPr>
          <w:b/>
          <w:bCs/>
          <w:noProof/>
          <w:szCs w:val="24"/>
        </w:rPr>
      </w:pPr>
      <w:r>
        <w:rPr>
          <w:b/>
          <w:noProof/>
        </w:rPr>
        <w:t>de aprobare a modificării priorităților parteneriatului UE-Azerbaidjan și a prelungirii acestora pe perioada 2026-2030</w:t>
      </w:r>
    </w:p>
    <w:p>
      <w:pPr>
        <w:jc w:val="left"/>
        <w:rPr>
          <w:b/>
          <w:bCs/>
          <w:noProof/>
          <w:szCs w:val="24"/>
        </w:rPr>
      </w:pPr>
    </w:p>
    <w:p>
      <w:pPr>
        <w:pStyle w:val="Default"/>
        <w:rPr>
          <w:noProof/>
          <w:lang w:val="ro-RO"/>
        </w:rPr>
      </w:pPr>
      <w:r>
        <w:rPr>
          <w:noProof/>
          <w:lang w:val="ro-RO"/>
        </w:rPr>
        <w:t>CONSILIUL DE COOPERARE UE-AZERBAIDJAN,</w:t>
      </w:r>
    </w:p>
    <w:p>
      <w:pPr>
        <w:pStyle w:val="Default"/>
        <w:rPr>
          <w:noProof/>
          <w:lang w:val="ro-RO"/>
        </w:rPr>
      </w:pPr>
    </w:p>
    <w:p>
      <w:pPr>
        <w:pStyle w:val="Default"/>
        <w:jc w:val="both"/>
        <w:rPr>
          <w:noProof/>
          <w:lang w:val="ro-RO"/>
        </w:rPr>
      </w:pPr>
      <w:r>
        <w:rPr>
          <w:noProof/>
          <w:lang w:val="ro-RO"/>
        </w:rPr>
        <w:t>având în vedere Acordul de parteneriat și cooperare dintre Comunitățile Europene și statele membre ale acestora, pe de o parte, și Republica Azerbaidjan, pe de altă parte, în special articolul 81,</w:t>
      </w:r>
    </w:p>
    <w:p>
      <w:pPr>
        <w:rPr>
          <w:noProof/>
          <w:szCs w:val="24"/>
        </w:rPr>
      </w:pPr>
      <w:r>
        <w:rPr>
          <w:noProof/>
        </w:rPr>
        <w:t>având în vedere Recomandarea nr. 1/2018 a Consiliului de cooperare UE-Azerbaidjan din 28 septembrie 2018 privind prioritățile parteneriatului UE-Azerbaidjan (2018-2020),</w:t>
      </w:r>
    </w:p>
    <w:p>
      <w:pPr>
        <w:rPr>
          <w:noProof/>
          <w:szCs w:val="24"/>
        </w:rPr>
      </w:pPr>
      <w:r>
        <w:rPr>
          <w:noProof/>
        </w:rPr>
        <w:t>având în vedere Recomandarea nr. 1/2021 a Consiliului de cooperare UE-Azerbaidjan din 22 decembrie 2021 privind prelungirea, pe perioada 2021-2024, a priorităților parteneriatului UE-Azerbaidjan [2023/830],</w:t>
      </w:r>
    </w:p>
    <w:p>
      <w:pPr>
        <w:rPr>
          <w:noProof/>
        </w:rPr>
      </w:pPr>
      <w:r>
        <w:rPr>
          <w:noProof/>
        </w:rPr>
        <w:t>întrucât:</w:t>
      </w:r>
    </w:p>
    <w:p>
      <w:pPr>
        <w:pStyle w:val="Considrant"/>
        <w:numPr>
          <w:ilvl w:val="0"/>
          <w:numId w:val="5"/>
        </w:numPr>
        <w:rPr>
          <w:noProof/>
        </w:rPr>
      </w:pPr>
      <w:r>
        <w:rPr>
          <w:noProof/>
        </w:rPr>
        <w:t>Acordul de parteneriat și cooperare dintre Comunitățile Europene și statele membre ale acestora, pe de o parte, și Republica Azerbaidjan, pe de altă parte (denumit în continuare „acordul”) a fost semnat la 22 aprilie 1996 și a intrat în vigoare la 1 iulie 1999.</w:t>
      </w:r>
    </w:p>
    <w:p>
      <w:pPr>
        <w:pStyle w:val="Considrant"/>
        <w:rPr>
          <w:noProof/>
        </w:rPr>
      </w:pPr>
      <w:r>
        <w:rPr>
          <w:noProof/>
        </w:rPr>
        <w:t>În conformitate cu articolul 81 din acord, Consiliul de cooperare poate formula recomandări adecvate în vederea atingerii obiectivelor acordului.</w:t>
      </w:r>
    </w:p>
    <w:p>
      <w:pPr>
        <w:pStyle w:val="Considrant"/>
        <w:rPr>
          <w:noProof/>
        </w:rPr>
      </w:pPr>
      <w:r>
        <w:rPr>
          <w:noProof/>
        </w:rPr>
        <w:t>În conformitate cu articolul 98 din acord, părțile la acord iau toate măsurile cu caracter general sau specific necesare pentru îndeplinirea obligațiilor care le revin în temeiul acordului și se asigură că obiectivele stabilite în acord sunt îndeplinite.</w:t>
      </w:r>
    </w:p>
    <w:p>
      <w:pPr>
        <w:pStyle w:val="Considrant"/>
        <w:rPr>
          <w:noProof/>
        </w:rPr>
      </w:pPr>
      <w:r>
        <w:rPr>
          <w:noProof/>
        </w:rPr>
        <w:t>La 28 septembrie 2018, Uniunea Europeană și Azerbaidjan au aprobat prioritățile parteneriatului UE-Azerbaidjan pentru perioada 2018-2020.</w:t>
      </w:r>
    </w:p>
    <w:p>
      <w:pPr>
        <w:pStyle w:val="Considrant"/>
        <w:rPr>
          <w:noProof/>
        </w:rPr>
      </w:pPr>
      <w:r>
        <w:rPr>
          <w:noProof/>
        </w:rPr>
        <w:t>La 22 decembrie 2021, Uniunea Europeană și Azerbaidjan au prelungit prioritățile parteneriatului UE-Azerbaidjan pe perioada 2021-2024.</w:t>
      </w:r>
    </w:p>
    <w:p>
      <w:pPr>
        <w:pStyle w:val="Considrant"/>
        <w:rPr>
          <w:noProof/>
        </w:rPr>
      </w:pPr>
      <w:r>
        <w:rPr>
          <w:noProof/>
        </w:rPr>
        <w:t>UE și Azerbaidjan vor lua în considerare la nivel bilateral, în cadrul priorităților parteneriatului, obiectivele pe termen lung și rezultatele preconizate care urmează să fie convenite între acestea în contextul Parteneriatului estic,</w:t>
      </w:r>
    </w:p>
    <w:p>
      <w:pPr>
        <w:rPr>
          <w:noProof/>
        </w:rPr>
      </w:pPr>
    </w:p>
    <w:p>
      <w:pPr>
        <w:pStyle w:val="Formuledadoption"/>
        <w:rPr>
          <w:noProof/>
        </w:rPr>
      </w:pPr>
      <w:r>
        <w:rPr>
          <w:noProof/>
        </w:rPr>
        <w:t>ADOPTĂ PREZENTA RECOMANDARE:</w:t>
      </w:r>
    </w:p>
    <w:p>
      <w:pPr>
        <w:pStyle w:val="Titrearticle"/>
        <w:rPr>
          <w:noProof/>
        </w:rPr>
      </w:pPr>
      <w:r>
        <w:rPr>
          <w:noProof/>
        </w:rPr>
        <w:t>Articolul 1</w:t>
      </w:r>
    </w:p>
    <w:p>
      <w:pPr>
        <w:rPr>
          <w:noProof/>
        </w:rPr>
      </w:pPr>
      <w:r>
        <w:rPr>
          <w:noProof/>
        </w:rPr>
        <w:t>Consiliul de cooperare recomandă modificarea priorităților parteneriatului UE-Azerbaidjan, redenumirea acestora ca priorități strategice pentru parteneriatul UE-Azerbaidjan și prelungirea acestora pe perioada 2026-2030, astfel cum figurează în anexă.</w:t>
      </w:r>
    </w:p>
    <w:p>
      <w:pPr>
        <w:pStyle w:val="Titrearticle"/>
        <w:rPr>
          <w:noProof/>
        </w:rPr>
      </w:pPr>
      <w:r>
        <w:rPr>
          <w:noProof/>
        </w:rPr>
        <w:t>Articolul 2</w:t>
      </w:r>
    </w:p>
    <w:p>
      <w:pPr>
        <w:rPr>
          <w:noProof/>
        </w:rPr>
      </w:pPr>
      <w:r>
        <w:rPr>
          <w:noProof/>
        </w:rPr>
        <w:t>Prezenta recomandare produce efecte de la data adoptării.</w:t>
      </w:r>
    </w:p>
    <w:p>
      <w:pPr>
        <w:rPr>
          <w:noProof/>
        </w:rPr>
      </w:pPr>
    </w:p>
    <w:p>
      <w:pPr>
        <w:rPr>
          <w:noProof/>
        </w:rPr>
      </w:pPr>
      <w:r>
        <w:rPr>
          <w:noProof/>
        </w:rPr>
        <w:t>Adoptată la Bruxelles,</w:t>
      </w:r>
    </w:p>
    <w:p>
      <w:pPr>
        <w:jc w:val="center"/>
        <w:rPr>
          <w:noProof/>
        </w:rPr>
      </w:pPr>
      <w:r>
        <w:rPr>
          <w:noProof/>
        </w:rPr>
        <w:t>Pentru Consiliul de cooperare</w:t>
      </w:r>
    </w:p>
    <w:p>
      <w:pPr>
        <w:jc w:val="center"/>
        <w:rPr>
          <w:noProof/>
        </w:rPr>
      </w:pPr>
    </w:p>
    <w:p>
      <w:pPr>
        <w:rPr>
          <w:noProof/>
        </w:rPr>
      </w:pPr>
      <w:r>
        <w:rPr>
          <w:noProof/>
        </w:rPr>
        <w:t>Uniunea Europeană</w:t>
      </w:r>
      <w:r>
        <w:rPr>
          <w:noProof/>
        </w:rPr>
        <w:tab/>
      </w:r>
      <w:r>
        <w:rPr>
          <w:noProof/>
        </w:rPr>
        <w:tab/>
      </w:r>
      <w:r>
        <w:rPr>
          <w:noProof/>
        </w:rPr>
        <w:tab/>
      </w:r>
      <w:r>
        <w:rPr>
          <w:noProof/>
        </w:rPr>
        <w:tab/>
      </w:r>
      <w:r>
        <w:rPr>
          <w:noProof/>
        </w:rPr>
        <w:tab/>
      </w:r>
      <w:r>
        <w:rPr>
          <w:noProof/>
        </w:rPr>
        <w:tab/>
        <w:t>Republica Azerbaidjan</w:t>
      </w:r>
    </w:p>
    <w:p>
      <w:pPr>
        <w:rPr>
          <w:noProof/>
        </w:rPr>
      </w:pPr>
    </w:p>
    <w:p>
      <w:pPr>
        <w:rPr>
          <w:noProof/>
        </w:rPr>
      </w:pPr>
      <w:r>
        <w:rPr>
          <w:noProof/>
        </w:rPr>
        <w:br w:type="page"/>
      </w:r>
    </w:p>
    <w:p>
      <w:pPr>
        <w:rPr>
          <w:noProof/>
        </w:rPr>
        <w:sectPr>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20"/>
          <w:docGrid w:linePitch="360"/>
        </w:sectPr>
      </w:pPr>
    </w:p>
    <w:p>
      <w:pPr>
        <w:rPr>
          <w:noProof/>
        </w:rPr>
      </w:pPr>
    </w:p>
    <w:p>
      <w:pPr>
        <w:jc w:val="center"/>
        <w:rPr>
          <w:b/>
          <w:noProof/>
        </w:rPr>
      </w:pPr>
      <w:r>
        <w:rPr>
          <w:b/>
          <w:noProof/>
          <w:u w:val="single"/>
        </w:rPr>
        <w:t>ANEXĂ</w:t>
      </w:r>
    </w:p>
    <w:p>
      <w:pPr>
        <w:jc w:val="center"/>
        <w:rPr>
          <w:b/>
          <w:noProof/>
        </w:rPr>
      </w:pPr>
    </w:p>
    <w:p>
      <w:pPr>
        <w:pStyle w:val="NoSpacing"/>
        <w:snapToGrid w:val="0"/>
        <w:spacing w:before="120" w:after="120" w:line="360" w:lineRule="auto"/>
        <w:jc w:val="center"/>
        <w:rPr>
          <w:rFonts w:ascii="Times New Roman" w:hAnsi="Times New Roman"/>
          <w:b/>
          <w:caps/>
          <w:noProof/>
          <w:lang w:val="ro-RO"/>
        </w:rPr>
      </w:pPr>
      <w:r>
        <w:rPr>
          <w:rFonts w:ascii="Times New Roman" w:hAnsi="Times New Roman"/>
          <w:b/>
          <w:caps/>
          <w:noProof/>
          <w:lang w:val="ro-RO"/>
        </w:rPr>
        <w:t xml:space="preserve">PRIORITĂȚI STRATEGICE ALE PARTENERIATULUI UE-AZERBAIDJAN </w:t>
      </w:r>
    </w:p>
    <w:p>
      <w:pPr>
        <w:pStyle w:val="NoSpacing"/>
        <w:snapToGrid w:val="0"/>
        <w:spacing w:before="120" w:after="120" w:line="360" w:lineRule="auto"/>
        <w:jc w:val="center"/>
        <w:rPr>
          <w:rFonts w:ascii="Times New Roman" w:hAnsi="Times New Roman" w:cs="Times New Roman"/>
          <w:b/>
          <w:bCs/>
          <w:caps/>
          <w:noProof/>
          <w:lang w:val="ro-RO"/>
        </w:rPr>
      </w:pPr>
      <w:r>
        <w:rPr>
          <w:rFonts w:ascii="Times New Roman" w:hAnsi="Times New Roman"/>
          <w:b/>
          <w:caps/>
          <w:noProof/>
          <w:lang w:val="ro-RO"/>
        </w:rPr>
        <w:t>(2026-2030)</w:t>
      </w:r>
    </w:p>
    <w:p>
      <w:pPr>
        <w:pStyle w:val="NoSpacing"/>
        <w:numPr>
          <w:ilvl w:val="0"/>
          <w:numId w:val="11"/>
        </w:numPr>
        <w:snapToGrid w:val="0"/>
        <w:spacing w:before="360" w:after="120" w:line="360" w:lineRule="auto"/>
        <w:ind w:left="1077"/>
        <w:jc w:val="both"/>
        <w:rPr>
          <w:rFonts w:ascii="Times New Roman" w:hAnsi="Times New Roman" w:cs="Times New Roman"/>
          <w:noProof/>
          <w:lang w:val="ro-RO"/>
        </w:rPr>
      </w:pPr>
      <w:r>
        <w:rPr>
          <w:rFonts w:ascii="Times New Roman" w:hAnsi="Times New Roman"/>
          <w:b/>
          <w:noProof/>
          <w:lang w:val="ro-RO"/>
        </w:rPr>
        <w:t>CONTEXTUL</w:t>
      </w:r>
    </w:p>
    <w:p>
      <w:pPr>
        <w:pStyle w:val="NoSpacing"/>
        <w:numPr>
          <w:ilvl w:val="0"/>
          <w:numId w:val="10"/>
        </w:numPr>
        <w:snapToGrid w:val="0"/>
        <w:spacing w:before="120" w:after="120" w:line="360" w:lineRule="auto"/>
        <w:jc w:val="both"/>
        <w:rPr>
          <w:rFonts w:ascii="Times New Roman" w:hAnsi="Times New Roman" w:cs="Times New Roman"/>
          <w:noProof/>
          <w:lang w:val="ro-RO"/>
        </w:rPr>
      </w:pPr>
      <w:r>
        <w:rPr>
          <w:rFonts w:ascii="Times New Roman" w:hAnsi="Times New Roman"/>
          <w:noProof/>
          <w:lang w:val="ro-RO"/>
        </w:rPr>
        <w:t>În vederea consolidării în continuare a relației lor, în 2018, Uniunea Europeană și Republica Azerbaidjan au adoptat un prim set de priorități ale parteneriatului UE-Azerbaidjan, care au expirat în 2024. Documentul a definit o viziune comună pentru consolidarea parteneriatului. Această viziune s-a bazat pe patru domenii prioritare, și anume buna guvernanță, dezvoltarea economică, conectivitatea și contactele interpersonale.</w:t>
      </w:r>
    </w:p>
    <w:p>
      <w:pPr>
        <w:pStyle w:val="NoSpacing"/>
        <w:numPr>
          <w:ilvl w:val="0"/>
          <w:numId w:val="10"/>
        </w:numPr>
        <w:snapToGrid w:val="0"/>
        <w:spacing w:before="120" w:after="120" w:line="360" w:lineRule="auto"/>
        <w:jc w:val="both"/>
        <w:rPr>
          <w:rFonts w:ascii="Times New Roman" w:hAnsi="Times New Roman" w:cs="Times New Roman"/>
          <w:noProof/>
          <w:lang w:val="ro-RO"/>
        </w:rPr>
      </w:pPr>
      <w:r>
        <w:rPr>
          <w:rFonts w:ascii="Times New Roman" w:hAnsi="Times New Roman"/>
          <w:noProof/>
          <w:lang w:val="ro-RO"/>
        </w:rPr>
        <w:t>Perioada de punere în aplicare a documentului a coincis cu provocări globale și regionale fără precedent, printre care pandemia de COVID-19, evoluțiile geopolitice și crizele alimentare, sanitare și energetice agravate. Aceste evoluții au subliniat importanța strategică a parteneriatului UE-Azerbaidjan, în special în ceea ce privește creșterea rezilienței în toate sectoarele critice.</w:t>
      </w:r>
    </w:p>
    <w:p>
      <w:pPr>
        <w:pStyle w:val="NoSpacing"/>
        <w:numPr>
          <w:ilvl w:val="0"/>
          <w:numId w:val="10"/>
        </w:numPr>
        <w:snapToGrid w:val="0"/>
        <w:spacing w:before="120" w:after="120" w:line="360" w:lineRule="auto"/>
        <w:jc w:val="both"/>
        <w:rPr>
          <w:rFonts w:ascii="Times New Roman" w:hAnsi="Times New Roman" w:cs="Times New Roman"/>
          <w:noProof/>
          <w:lang w:val="ro-RO"/>
        </w:rPr>
      </w:pPr>
      <w:r>
        <w:rPr>
          <w:rFonts w:ascii="Times New Roman" w:hAnsi="Times New Roman"/>
          <w:noProof/>
          <w:lang w:val="ro-RO"/>
        </w:rPr>
        <w:t>Declarația de presă comună din 11 martie 2026 a președintelui Republicii Azerbaidjan, Ilham Aliyev, și a președintelui Consiliului European, António Costa, referitoare la rezultatele vizitei acestuia din urmă în Republica Azerbaidjan, au reafirmat interesul strategic al relațiilor UE-Azerbaidjan și au subliniat importanța adoptării unor priorități reînnoite ale parteneriatului UE-Azerbaidjan și a promovării agendei bilaterale în toate domeniile. Declarația președintei Comisiei Europene, Ursula von der Leyen, și a președintelui Republicii Azerbaidjan, Ilham Aliyev, emisă cu ocazia vizitei președintei von der Leyen în Republica Azerbaidjan, la 1 iulie 2026, a subliniat importanța aprofundării relațiilor UE-Azerbaidjan și a anunțat lansarea Parteneriatului pentru conectivitate UE-Azerbaidjan. Aceste angajamente s-au bazat pe intensificarea contactelor la nivel înalt și a vizitelor reciproce între părți, inclusiv pe purtarea unor dialoguri între UE și Azerbaidjan privind securitatea, energia și transporturile.</w:t>
      </w:r>
    </w:p>
    <w:p>
      <w:pPr>
        <w:pStyle w:val="NoSpacing"/>
        <w:numPr>
          <w:ilvl w:val="0"/>
          <w:numId w:val="10"/>
        </w:numPr>
        <w:snapToGrid w:val="0"/>
        <w:spacing w:before="120" w:after="120" w:line="360" w:lineRule="auto"/>
        <w:jc w:val="both"/>
        <w:rPr>
          <w:rFonts w:ascii="Times New Roman" w:hAnsi="Times New Roman" w:cs="Times New Roman"/>
          <w:noProof/>
          <w:lang w:val="ro-RO"/>
        </w:rPr>
      </w:pPr>
      <w:r>
        <w:rPr>
          <w:rFonts w:ascii="Times New Roman" w:hAnsi="Times New Roman"/>
          <w:noProof/>
          <w:lang w:val="ro-RO"/>
        </w:rPr>
        <w:t xml:space="preserve">Există o înțelegere comună cu privire la faptul că sunt necesare noi priorități strategice ale parteneriatului UE-Azerbaidjan pentru a promova în continuare un parteneriat egal și reciproc avantajos între UE și Azerbaidjan, pe baza respectării de către ambele părți a obligațiilor și a angajamentelor asumate în temeiul dreptului internațional, inclusiv al </w:t>
      </w:r>
      <w:r>
        <w:rPr>
          <w:rFonts w:ascii="Times New Roman" w:hAnsi="Times New Roman"/>
          <w:noProof/>
          <w:lang w:val="ro-RO"/>
        </w:rPr>
        <w:lastRenderedPageBreak/>
        <w:t>Cartei ONU, printre altele, a principiului integrității teritoriale și al neamestecului în afacerile interne, reflectând în același timp principalele evoluții economice și politice la nivel național, regional și mondial care au avut loc de la semnarea, în 2018, a priorităților parteneriatului UE-Azerbaidjan.</w:t>
      </w:r>
    </w:p>
    <w:p>
      <w:pPr>
        <w:pStyle w:val="NoSpacing"/>
        <w:numPr>
          <w:ilvl w:val="0"/>
          <w:numId w:val="10"/>
        </w:numPr>
        <w:snapToGrid w:val="0"/>
        <w:spacing w:before="120" w:after="120" w:line="360" w:lineRule="auto"/>
        <w:jc w:val="both"/>
        <w:rPr>
          <w:rFonts w:ascii="Times New Roman" w:hAnsi="Times New Roman" w:cs="Times New Roman"/>
          <w:noProof/>
          <w:lang w:val="ro-RO"/>
        </w:rPr>
      </w:pPr>
      <w:r>
        <w:rPr>
          <w:rFonts w:ascii="Times New Roman" w:hAnsi="Times New Roman"/>
          <w:noProof/>
          <w:lang w:val="ro-RO"/>
        </w:rPr>
        <w:t>Sfârșitul conflictului armat și redobândirea suveranității și a integrității teritoriale a Azerbaidjanului au pregătit terenul pentru pacea dintre Azerbaidjan și Armenia și au reprezentat o etapă definitorie pentru Caucazul de Sud. Progresele istorice înregistrate în procesul de pace dintre Azerbaidjan și Armenia au fost marcate de semnarea, în prezența președintelui Statelor Unite ale Americii, a unei declarații comune a președintelui Republicii Azerbaidjan și a prim-ministrului Republicii Armenia, și de parafarea, la 8 august 2025, la Washington D.C. (Statele Unite ale Americii), a Acordului privind instaurarea păcii și a relațiilor interstatale dintre Republica Armenia și Republica Azerbaidjan, negociat bilateral. Această evoluție istorică a deschis noi perspective pentru regiunea Caucazului de Sud și alte regiuni, consolidând, de asemenea, parteneriatul UE-Azerbaidjan în domenii de interes reciproc și evidențiind, în același timp, necesitatea adaptării parteneriatului Azerbaidjan-UE la nevoile, prioritățile și provocările emergente.</w:t>
      </w:r>
    </w:p>
    <w:p>
      <w:pPr>
        <w:pStyle w:val="NoSpacing"/>
        <w:numPr>
          <w:ilvl w:val="0"/>
          <w:numId w:val="10"/>
        </w:numPr>
        <w:snapToGrid w:val="0"/>
        <w:spacing w:before="120" w:after="120" w:line="360" w:lineRule="auto"/>
        <w:jc w:val="both"/>
        <w:rPr>
          <w:rFonts w:ascii="Times New Roman" w:hAnsi="Times New Roman" w:cs="Times New Roman"/>
          <w:noProof/>
          <w:lang w:val="ro-RO"/>
        </w:rPr>
      </w:pPr>
      <w:r>
        <w:rPr>
          <w:rFonts w:ascii="Times New Roman" w:hAnsi="Times New Roman"/>
          <w:noProof/>
          <w:lang w:val="ro-RO"/>
        </w:rPr>
        <w:t>Azerbaidjanul a demarat lucrări la scară largă de reconstrucție și reabilitare post-conflict în teritoriile afectate de conflicte, inclusiv operații de deminare umanitară. Reintegrarea acestor teritorii în economia națională va stimula creșterea regională prin facilitarea unor noi proiecte de conectivitate. Cu toate acestea, contaminarea pe scară largă cu mine terestre și muniții neexplodate a împiedicat aceste procese, întârziind eforturile de reconstrucție și reabilitare și reprezentând o amenințare umanitară gravă. Deși UE este cel mai mare donator internațional în domeniul operațiilor de deminare umanitară din Azerbaidjan, pentru a face față amplorii amenințării reprezentate de contaminarea cu mine terestre este nevoie de un sprijin și o cooperare mai susținute în acest domeniu.</w:t>
      </w:r>
    </w:p>
    <w:p>
      <w:pPr>
        <w:pStyle w:val="NoSpacing"/>
        <w:numPr>
          <w:ilvl w:val="0"/>
          <w:numId w:val="10"/>
        </w:numPr>
        <w:snapToGrid w:val="0"/>
        <w:spacing w:before="120" w:after="120" w:line="360" w:lineRule="auto"/>
        <w:jc w:val="both"/>
        <w:rPr>
          <w:rFonts w:ascii="Times New Roman" w:hAnsi="Times New Roman" w:cs="Times New Roman"/>
          <w:noProof/>
          <w:lang w:val="ro-RO"/>
        </w:rPr>
      </w:pPr>
      <w:r>
        <w:rPr>
          <w:rFonts w:ascii="Times New Roman" w:hAnsi="Times New Roman"/>
          <w:noProof/>
          <w:lang w:val="ro-RO"/>
        </w:rPr>
        <w:t xml:space="preserve">Alte evoluții demne de remarcat de la adoptarea ultimelor priorități ale parteneriatului includ lansarea, în 2020, a gazoductului transadriatic, ca segment final al coridorului sudic al gazelor. De atunci, gazoductul transadriatic a asigurat livrarea în mod direct a gazelor din Azerbaidjan către un număr tot mai mare de state membre ale UE. Astfel, Azerbaidjanul își sporește rolul de partener energetic de încredere, contribuind la strategia UE în materie de securitate și diversificare energetică. Această cooperare a fost consolidată și mai mult prin semnarea de către președinta Comisiei Europene, </w:t>
      </w:r>
      <w:r>
        <w:rPr>
          <w:rFonts w:ascii="Times New Roman" w:hAnsi="Times New Roman"/>
          <w:noProof/>
          <w:lang w:val="ro-RO"/>
        </w:rPr>
        <w:lastRenderedPageBreak/>
        <w:t>Ursula von der Leyen, și președintele Republicii Azerbaidjan, Ilham Aliyev, la Baku, în iulie 2022, a unui memorandum de înțelegere privind un parteneriat strategic în domeniul energiei. Memorandumul de înțelegere stabilește obiective ambițioase privind sporirea livrărilor de gaze din Azerbaidjan către UE, printre care sprijinirea condițiilor pentru extinderea coridorului sudic al gazelor în conformitate cu viabilitatea comercială și cererea pieței, pe baza unor contracte pe termen lung previzibile și stabile, precum și extinderea colaborării privind interconectarea rețelelor de energie electrică, eficiența energetică și energia curată, inclusiv hidrogenul și sursele regenerabile de energie, în concordanță cu obiectivele de decarbonizare ale UE pe termen mediu și lung.</w:t>
      </w:r>
    </w:p>
    <w:p>
      <w:pPr>
        <w:pStyle w:val="NoSpacing"/>
        <w:numPr>
          <w:ilvl w:val="0"/>
          <w:numId w:val="10"/>
        </w:numPr>
        <w:snapToGrid w:val="0"/>
        <w:spacing w:before="120" w:after="120" w:line="360" w:lineRule="auto"/>
        <w:jc w:val="both"/>
        <w:rPr>
          <w:rFonts w:ascii="Times New Roman" w:hAnsi="Times New Roman" w:cs="Times New Roman"/>
          <w:noProof/>
          <w:lang w:val="ro-RO"/>
        </w:rPr>
      </w:pPr>
      <w:r>
        <w:rPr>
          <w:rFonts w:ascii="Times New Roman" w:hAnsi="Times New Roman"/>
          <w:noProof/>
          <w:lang w:val="ro-RO"/>
        </w:rPr>
        <w:t>În contextul în care coridorul mijlociu, denumit și Coridorul de transport transcaspic (</w:t>
      </w:r>
      <w:r>
        <w:rPr>
          <w:rFonts w:ascii="Times New Roman" w:hAnsi="Times New Roman"/>
          <w:i/>
          <w:iCs/>
          <w:noProof/>
          <w:lang w:val="ro-RO"/>
        </w:rPr>
        <w:t>Trans-Caspian Transport Corridor</w:t>
      </w:r>
      <w:r>
        <w:rPr>
          <w:rFonts w:ascii="Times New Roman" w:hAnsi="Times New Roman"/>
          <w:noProof/>
          <w:lang w:val="ro-RO"/>
        </w:rPr>
        <w:t xml:space="preserve"> – TCTC), se conturează ca o legătură de transport și de tranzit din ce în ce mai importantă între Europa și Asia, fapt care s-a reflectat, de asemenea, în Agenda UE privind conectivitatea transregională, perspectivele parteneriatului UE-Azerbaidjan au crescut semnificativ, ca urmare a rolului indispensabil al Azerbaidjanului de nod esențial pentru conectivitatea multimodală. În conformitate cu interesul comun de promovare a conectivității, părțile vor institui Parteneriatul pentru conectivitate UE-Azerbaidjan și Dialogul la nivel înalt UE-Azerbaidjan privind conectivitatea, pentru a explora oportunitățile de cooperare pe termen lung în vederea promovării unui comerț și a unui tranzit sigure, previzibile și eficiente de-a lungul acestui coridor, inclusiv prin dezvoltarea infrastructurii, logistică, digitalizarea proceselor și măsuri de conectivitate nematerială. Părțile vor lucra, de asemenea, la organizarea, la Baku, a unei conferințe regionale privind investițiile în conectivitate, la care vor participa țări partenere.</w:t>
      </w:r>
    </w:p>
    <w:p>
      <w:pPr>
        <w:pStyle w:val="NoSpacing"/>
        <w:numPr>
          <w:ilvl w:val="0"/>
          <w:numId w:val="10"/>
        </w:numPr>
        <w:snapToGrid w:val="0"/>
        <w:spacing w:before="120" w:after="120" w:line="360" w:lineRule="auto"/>
        <w:jc w:val="both"/>
        <w:rPr>
          <w:rFonts w:ascii="Times New Roman" w:hAnsi="Times New Roman" w:cs="Times New Roman"/>
          <w:noProof/>
          <w:lang w:val="ro-RO"/>
        </w:rPr>
      </w:pPr>
      <w:r>
        <w:rPr>
          <w:rFonts w:ascii="Times New Roman" w:hAnsi="Times New Roman"/>
          <w:noProof/>
          <w:lang w:val="ro-RO"/>
        </w:rPr>
        <w:t>După încheierea conflictului, Azerbaidjanul a demarat reconstrucția la scară largă a infrastructurii sale de transport, având ca obiectiv finalizarea infrastructurii rutiere și feroviare până la frontiera sa cu Armenia până la sfârșitul anului 2027. Punerea în aplicare a „Drumului Trump către pace și prosperitate internațională” (</w:t>
      </w:r>
      <w:r>
        <w:rPr>
          <w:rFonts w:ascii="Times New Roman" w:hAnsi="Times New Roman"/>
          <w:i/>
          <w:iCs/>
          <w:noProof/>
          <w:lang w:val="ro-RO"/>
        </w:rPr>
        <w:t>Trump Route for International Peace and Prosperity</w:t>
      </w:r>
      <w:r>
        <w:rPr>
          <w:rFonts w:ascii="Times New Roman" w:hAnsi="Times New Roman"/>
          <w:noProof/>
          <w:lang w:val="ro-RO"/>
        </w:rPr>
        <w:t xml:space="preserve"> – TRIPP), astfel cum este prevăzută în declarația comună semnată la 8 august 2025 la Washington D.C., va asigura o conectivitate neîntreruptă între partea continentală a Republicii Azerbaidjan și Republica Autonomă Nakhchivan, extinzând în același timp și mai mult capacitățile de tranzit ale TCTC pentru transportul internațional. </w:t>
      </w:r>
    </w:p>
    <w:p>
      <w:pPr>
        <w:pStyle w:val="NoSpacing"/>
        <w:snapToGrid w:val="0"/>
        <w:spacing w:before="120" w:after="120" w:line="360" w:lineRule="auto"/>
        <w:ind w:left="720"/>
        <w:jc w:val="both"/>
        <w:rPr>
          <w:rFonts w:ascii="Times New Roman" w:hAnsi="Times New Roman" w:cs="Times New Roman"/>
          <w:noProof/>
          <w:lang w:val="ro-RO"/>
        </w:rPr>
      </w:pPr>
      <w:r>
        <w:rPr>
          <w:rFonts w:ascii="Times New Roman" w:hAnsi="Times New Roman"/>
          <w:noProof/>
          <w:lang w:val="ro-RO"/>
        </w:rPr>
        <w:lastRenderedPageBreak/>
        <w:t>Pentru a întări și mai mult această rută, cooperarea UE-Azerbaidjan în ceea ce privește dezvoltarea și modernizarea infrastructurii de transport feroviar a Republicii Autonome Nakhchivan din cadrul Republicii Azerbaidjan va consolida în mod semnificativ funcționalitatea TCTC, inclusiv prin dezvoltarea unor noi legături de transport transfrontalier.</w:t>
      </w:r>
    </w:p>
    <w:p>
      <w:pPr>
        <w:pStyle w:val="NoSpacing"/>
        <w:numPr>
          <w:ilvl w:val="0"/>
          <w:numId w:val="10"/>
        </w:numPr>
        <w:snapToGrid w:val="0"/>
        <w:spacing w:before="120" w:after="120" w:line="360" w:lineRule="auto"/>
        <w:jc w:val="both"/>
        <w:rPr>
          <w:rFonts w:ascii="Times New Roman" w:hAnsi="Times New Roman" w:cs="Times New Roman"/>
          <w:noProof/>
          <w:lang w:val="ro-RO"/>
        </w:rPr>
      </w:pPr>
      <w:r>
        <w:rPr>
          <w:rFonts w:ascii="Times New Roman" w:hAnsi="Times New Roman"/>
          <w:noProof/>
          <w:lang w:val="ro-RO"/>
        </w:rPr>
        <w:t xml:space="preserve">Există, de asemenea, un impuls din ce în ce mai mare pentru creșterea conectivității transfrontaliere în sectorul energetic. UE și Azerbaidjanul împărtășesc aspirația comună de a spori cooperarea în ceea ce privește asigurarea unei aprovizionări stabile, sigure și fiabile cu energie, precum și în ceea ce privește promovarea energiei curate, a eficienței energetice și a interconexiunilor electrice. Datorită vastului său potențial în domeniul energiei din surse regenerabile, în special al energiei solare și al energiei eoliene offshore, Azerbaidjanul ocupă un loc central în cadrul mai multor proiecte aferente unor conducte de interconectare care permit transportul de energie verde și are în vedere comerțul și schimbul de energie electrică verde între părți, în conformitate cu normele aplicabile ale pieței, precum și cu Turcia și cu alte regiuni. </w:t>
      </w:r>
    </w:p>
    <w:p>
      <w:pPr>
        <w:pStyle w:val="NoSpacing"/>
        <w:snapToGrid w:val="0"/>
        <w:spacing w:before="120" w:after="120" w:line="360" w:lineRule="auto"/>
        <w:ind w:left="720"/>
        <w:jc w:val="both"/>
        <w:rPr>
          <w:rFonts w:ascii="Times New Roman" w:hAnsi="Times New Roman" w:cs="Times New Roman"/>
          <w:noProof/>
          <w:lang w:val="ro-RO"/>
        </w:rPr>
      </w:pPr>
      <w:r>
        <w:rPr>
          <w:rFonts w:ascii="Times New Roman" w:hAnsi="Times New Roman"/>
          <w:noProof/>
          <w:lang w:val="ro-RO"/>
        </w:rPr>
        <w:t>În acest context, Azerbaidjanul joacă un rol important în ceea ce privește conectivitatea regională și dezvoltă următoarele proiecte: coridorul Asia Centrală-Azerbaidjan, coridorul energetic verde Marea Caspică – Marea Neagră – Europa, interconexiunea electrică Azerbaidjan-Turcia (prin Nakhchivan și TRIPP) și coridorul energetic Azerbaidjan-Georgia-Turcia-Bulgaria care pot contribui la securitatea energetică, la transportul energiei și transmiterea datelor, precum și la realizarea obiectivelor de diversificare și decarbonizare.</w:t>
      </w:r>
    </w:p>
    <w:p>
      <w:pPr>
        <w:pStyle w:val="NoSpacing"/>
        <w:numPr>
          <w:ilvl w:val="0"/>
          <w:numId w:val="10"/>
        </w:numPr>
        <w:snapToGrid w:val="0"/>
        <w:spacing w:before="120" w:after="120" w:line="360" w:lineRule="auto"/>
        <w:jc w:val="both"/>
        <w:rPr>
          <w:rFonts w:ascii="Times New Roman" w:hAnsi="Times New Roman" w:cs="Times New Roman"/>
          <w:noProof/>
          <w:lang w:val="ro-RO"/>
        </w:rPr>
      </w:pPr>
      <w:r>
        <w:rPr>
          <w:rFonts w:ascii="Times New Roman" w:hAnsi="Times New Roman"/>
          <w:noProof/>
          <w:lang w:val="ro-RO"/>
        </w:rPr>
        <w:t>Acordul privind un parteneriat strategic în domeniul dezvoltării și al transportului energiei verzi între Azerbaidjan, Georgia, România și Ungaria, semnat la 17 decembrie 2022 la București, în prezența șefilor de stat și de guvern ai Azerbaidjanului, Georgiei, României și Ungariei și a președintei Comisiei Europene, a oferit un impuls suplimentar conectivității regionale a rețelelor de energie electrică prin crearea condițiilor propice pentru proiectul privind coridorul energetic verde Marea Caspică – Marea Neagră – Europa, care prevede o capacitate suplimentară de cabluri submarine în Marea Neagră, precum și extinderea interconexiunilor terestre.</w:t>
      </w:r>
    </w:p>
    <w:p>
      <w:pPr>
        <w:pStyle w:val="NoSpacing"/>
        <w:snapToGrid w:val="0"/>
        <w:spacing w:before="120" w:after="120" w:line="360" w:lineRule="auto"/>
        <w:ind w:left="720"/>
        <w:jc w:val="both"/>
        <w:rPr>
          <w:rFonts w:ascii="Times New Roman" w:hAnsi="Times New Roman" w:cs="Times New Roman"/>
          <w:noProof/>
          <w:lang w:val="ro-RO"/>
        </w:rPr>
      </w:pPr>
      <w:r>
        <w:rPr>
          <w:rFonts w:ascii="Times New Roman" w:hAnsi="Times New Roman"/>
          <w:noProof/>
          <w:lang w:val="ro-RO"/>
        </w:rPr>
        <w:t>Un cablu paralel de comunicații prin fibră optică (FOC), planificat de-a lungul rutei cablurilor electrice, ar putea oferi legături de comunicații securizate și va îmbunătăți conectivitatea digitală regională.</w:t>
      </w:r>
    </w:p>
    <w:p>
      <w:pPr>
        <w:pStyle w:val="NoSpacing"/>
        <w:snapToGrid w:val="0"/>
        <w:spacing w:before="120" w:after="120" w:line="360" w:lineRule="auto"/>
        <w:ind w:left="720"/>
        <w:jc w:val="both"/>
        <w:rPr>
          <w:rFonts w:ascii="Times New Roman" w:hAnsi="Times New Roman" w:cs="Times New Roman"/>
          <w:noProof/>
          <w:lang w:val="ro-RO"/>
        </w:rPr>
      </w:pPr>
      <w:r>
        <w:rPr>
          <w:rFonts w:ascii="Times New Roman" w:hAnsi="Times New Roman"/>
          <w:noProof/>
          <w:lang w:val="ro-RO"/>
        </w:rPr>
        <w:lastRenderedPageBreak/>
        <w:t>În mai 2025, s-a solicitat includerea proiectului privind coridorul energetic verde Marea Caspică – Marea Neagră – Europa în Planul de dezvoltare a rețelei pe zece ani al Rețelei europene a operatorilor de sisteme de transport de energie electrică (ENTSO-E), publicarea finală fiind prevăzută să aibă loc până la sfârșitul anului 2026. Participanții la proiect urmăresc să depună o cerere pentru obținerea statutului de proiect de interes comun/proiect de interes reciproc.</w:t>
      </w:r>
    </w:p>
    <w:p>
      <w:pPr>
        <w:pStyle w:val="NoSpacing"/>
        <w:snapToGrid w:val="0"/>
        <w:spacing w:before="120" w:after="120" w:line="360" w:lineRule="auto"/>
        <w:ind w:left="720"/>
        <w:jc w:val="both"/>
        <w:rPr>
          <w:rFonts w:ascii="Times New Roman" w:hAnsi="Times New Roman" w:cs="Times New Roman"/>
          <w:noProof/>
          <w:lang w:val="ro-RO"/>
        </w:rPr>
      </w:pPr>
      <w:r>
        <w:rPr>
          <w:rFonts w:ascii="Times New Roman" w:hAnsi="Times New Roman"/>
          <w:noProof/>
          <w:lang w:val="ro-RO"/>
        </w:rPr>
        <w:t>Părțile vor evalua în continuare complementaritatea proiectului privind coridorul energetic verde Marea Caspică – Marea Neagră – Europa cu strategia Global Gateway a UE. În acest context, ar putea apărea oportunități de cooperare pentru întreprinderile din UE, inclusiv în ceea ce privește următoarele aspecte, dar fără a se limita la acestea: participarea la lanțurile de aprovizionare și la contractele pentru construirea de infrastructuri critice și furnizarea de echipamente, acorduri de achiziționare a producției și cadre de dezvoltare a proiectelor în etapa ulterioară studiului de fezabilitate.</w:t>
      </w:r>
    </w:p>
    <w:p>
      <w:pPr>
        <w:pStyle w:val="NoSpacing"/>
        <w:numPr>
          <w:ilvl w:val="0"/>
          <w:numId w:val="10"/>
        </w:numPr>
        <w:snapToGrid w:val="0"/>
        <w:spacing w:before="120" w:after="120" w:line="360" w:lineRule="auto"/>
        <w:jc w:val="both"/>
        <w:rPr>
          <w:rFonts w:ascii="Times New Roman" w:hAnsi="Times New Roman" w:cs="Times New Roman"/>
          <w:noProof/>
          <w:lang w:val="ro-RO"/>
        </w:rPr>
      </w:pPr>
      <w:r>
        <w:rPr>
          <w:rFonts w:ascii="Times New Roman" w:hAnsi="Times New Roman"/>
          <w:noProof/>
          <w:lang w:val="ro-RO"/>
        </w:rPr>
        <w:t>În perioada 2024-2025, Azerbaidjanul a deținut președinția celei de a 29-a Conferințe a ONU privind schimbările climatice (COP29), care, pe lângă faptul că și-a reafirmat angajamentul față de acțiunile climatice, a reunit părțile pentru a accelera acțiunile în vederea atingerii obiectivului Acordului de la Paris privind limitarea încălzirii globale la 1,5 C și a obiectivelor Convenției-cadru a Națiunilor Unite asupra schimbărilor climatice (CCONUSC), marcând începutul unei noi ere pentru finanțarea combaterii schimbărilor climatice. Conferința a avut loc la Baku în perioada 11-24 noiembrie 2024 și s-a axat pe pregătirea și prezentarea unor planuri naționale solide, pe finanțarea combaterii schimbărilor climatice și pe realizarea unor piețe ale carbonului cu un grad ridicat de integritate în temeiul articolului 6 din Acordul de la Paris, abordând pierderile și daunele. Faptul că Azerbaidjanul a deținut președinția COP29 și a găzduit această conferință a reprezentat premisa unei noi ere de cooperare cu UE în cadrul climatic multilateral și pot constitui un element de bază pentru intensificarea activităților comune dintre UE și Azerbaidjan în domeniul acțiunilor climatice și al durabilității, în conformitate cu obiectivele CCONUSC și ale Acordului de la Paris.</w:t>
      </w:r>
    </w:p>
    <w:p>
      <w:pPr>
        <w:pStyle w:val="NoSpacing"/>
        <w:numPr>
          <w:ilvl w:val="0"/>
          <w:numId w:val="10"/>
        </w:numPr>
        <w:snapToGrid w:val="0"/>
        <w:spacing w:before="120" w:after="120" w:line="360" w:lineRule="auto"/>
        <w:jc w:val="both"/>
        <w:rPr>
          <w:rFonts w:ascii="Times New Roman" w:hAnsi="Times New Roman" w:cs="Times New Roman"/>
          <w:noProof/>
          <w:lang w:val="ro-RO"/>
        </w:rPr>
      </w:pPr>
      <w:r>
        <w:rPr>
          <w:rFonts w:ascii="Times New Roman" w:hAnsi="Times New Roman"/>
          <w:noProof/>
          <w:lang w:val="ro-RO"/>
        </w:rPr>
        <w:t xml:space="preserve">Azerbaidjanul se confruntă cu o serie de provocări din ce în ce mai mari legate de mediu și climă. Secetele grave și deficitul tot mai mare de apă au exercitat o presiune semnificativă asupra sectorului său agricol, în timp ce țara depinde în mare măsură de fluxurile hidrice transfrontaliere pentru gestionarea apei dulci. Vulnerabilitatea climatică, utilizarea ineficientă a resurselor de apă, poluarea și infiltrarea apei de mare </w:t>
      </w:r>
      <w:r>
        <w:rPr>
          <w:rFonts w:ascii="Times New Roman" w:hAnsi="Times New Roman"/>
          <w:noProof/>
          <w:lang w:val="ro-RO"/>
        </w:rPr>
        <w:lastRenderedPageBreak/>
        <w:t>evidențiază și mai mult urgența adoptării unor strategii integrate de gestionare a resurselor de apă, ținând seama de cele mai bune practici ale UE.</w:t>
      </w:r>
    </w:p>
    <w:p>
      <w:pPr>
        <w:pStyle w:val="NoSpacing"/>
        <w:numPr>
          <w:ilvl w:val="0"/>
          <w:numId w:val="10"/>
        </w:numPr>
        <w:snapToGrid w:val="0"/>
        <w:spacing w:before="120" w:after="120" w:line="360" w:lineRule="auto"/>
        <w:jc w:val="both"/>
        <w:rPr>
          <w:rFonts w:ascii="Times New Roman" w:hAnsi="Times New Roman" w:cs="Times New Roman"/>
          <w:noProof/>
          <w:lang w:val="ro-RO"/>
        </w:rPr>
      </w:pPr>
      <w:r>
        <w:rPr>
          <w:rFonts w:ascii="Times New Roman" w:hAnsi="Times New Roman"/>
          <w:noProof/>
          <w:lang w:val="ro-RO"/>
        </w:rPr>
        <w:t>UE și Azerbaidjanul pun un accent puternic pe realizarea obiectivelor Agendei 2030 pentru dezvoltare durabilă, inclusiv a celor 17 obiective de dezvoltare durabilă ale ONU, precum și a obiectivelor acordurilor multilaterale de mediu, inclusiv a acordurilor la care sunt părți, cum ar fi CCONUSC, Convenția privind diversitatea biologică din 1992, Acordul de la Paris din 2015 și Cadrul mondial pentru biodiversitate de la Kunming-Montreal din 2022, cooperând în acest sens.</w:t>
      </w:r>
    </w:p>
    <w:p>
      <w:pPr>
        <w:pStyle w:val="NoSpacing"/>
        <w:snapToGrid w:val="0"/>
        <w:spacing w:before="120" w:after="120" w:line="360" w:lineRule="auto"/>
        <w:ind w:left="720"/>
        <w:jc w:val="both"/>
        <w:rPr>
          <w:rFonts w:ascii="Times New Roman" w:hAnsi="Times New Roman" w:cs="Times New Roman"/>
          <w:noProof/>
          <w:lang w:val="ro-RO"/>
        </w:rPr>
      </w:pPr>
      <w:r>
        <w:rPr>
          <w:rFonts w:ascii="Times New Roman" w:hAnsi="Times New Roman"/>
          <w:noProof/>
          <w:lang w:val="ro-RO"/>
        </w:rPr>
        <w:t>În plus, UE și Azerbaidjanul își intensifică eforturile de abordare a provocărilor globale interconectate reprezentate de schimbările climatice, degradarea mediului, pierderea biodiversității și poluare, sărăcie și inegalitate, prin sprijinirea eforturilor internaționale în domeniul climei și a ambițiilor în materie de dezvoltare durabilă.</w:t>
      </w:r>
    </w:p>
    <w:p>
      <w:pPr>
        <w:pStyle w:val="NoSpacing"/>
        <w:numPr>
          <w:ilvl w:val="0"/>
          <w:numId w:val="10"/>
        </w:numPr>
        <w:snapToGrid w:val="0"/>
        <w:spacing w:before="120" w:after="120" w:line="360" w:lineRule="auto"/>
        <w:jc w:val="both"/>
        <w:rPr>
          <w:rFonts w:ascii="Times New Roman" w:hAnsi="Times New Roman" w:cs="Times New Roman"/>
          <w:noProof/>
          <w:lang w:val="ro-RO"/>
        </w:rPr>
      </w:pPr>
      <w:r>
        <w:rPr>
          <w:rFonts w:ascii="Times New Roman" w:hAnsi="Times New Roman"/>
          <w:noProof/>
          <w:lang w:val="ro-RO"/>
        </w:rPr>
        <w:t>Cooperarea internațională în domeniul cercetării și inovării (C&amp;I) este o prioritate strategică atât pentru UE, cât și pentru Azerbaidjan. Consolidarea cooperării UE-Azerbaidjan în domeniul C&amp;I ar fi un factor important și un motor al tranziției verzi și digitale într-un moment în care Azerbaidjanul dorește să își stimuleze și diversifice economia, sporindu-și astfel competitivitatea și creând o economie bazată pe cunoaștere.</w:t>
      </w:r>
    </w:p>
    <w:p>
      <w:pPr>
        <w:pStyle w:val="NoSpacing"/>
        <w:numPr>
          <w:ilvl w:val="0"/>
          <w:numId w:val="10"/>
        </w:numPr>
        <w:snapToGrid w:val="0"/>
        <w:spacing w:before="120" w:after="120" w:line="360" w:lineRule="auto"/>
        <w:jc w:val="both"/>
        <w:rPr>
          <w:rFonts w:ascii="Times New Roman" w:hAnsi="Times New Roman" w:cs="Times New Roman"/>
          <w:noProof/>
          <w:lang w:val="ro-RO"/>
        </w:rPr>
      </w:pPr>
      <w:r>
        <w:rPr>
          <w:rFonts w:ascii="Times New Roman" w:hAnsi="Times New Roman"/>
          <w:noProof/>
          <w:lang w:val="ro-RO"/>
        </w:rPr>
        <w:t>Astfel cum s-a subliniat în „Strategia pentru 2030 a Azerbaidjanului”, în februarie 2021, Azerbaidjanul a adoptat cinci priorități naționale de dezvoltare socioeconomică menite să orienteze progresele țării în următorul deceniu. Printre priorități se numără o economie în continuă creștere și competitivă, o societate dinamică și favorabilă incluziunii, bazată pe justiție socială, domenii precum capitalul uman competitiv și inovațiile moderne, întoarcerea masivă în teritoriile eliberate de sub ocupație și un mediu curat pentru creșterea verde. Acest demers deschide o gamă largă de oportunități de cooperare între UE și Azerbaidjan, inclusiv în ceea ce privește: (i) promovarea unei economii în continuă creștere și competitive; (ii) un climat de afaceri îmbunătățit; (iii) C&amp;I și dezvoltarea capitalului uman și (iv) promovarea creșterii verzi și a durabilității mediului.</w:t>
      </w:r>
    </w:p>
    <w:p>
      <w:pPr>
        <w:pStyle w:val="NoSpacing"/>
        <w:numPr>
          <w:ilvl w:val="0"/>
          <w:numId w:val="11"/>
        </w:numPr>
        <w:snapToGrid w:val="0"/>
        <w:spacing w:before="360" w:after="120" w:line="360" w:lineRule="auto"/>
        <w:ind w:left="1077"/>
        <w:jc w:val="both"/>
        <w:rPr>
          <w:rFonts w:ascii="Times New Roman" w:hAnsi="Times New Roman" w:cs="Times New Roman"/>
          <w:b/>
          <w:bCs/>
          <w:noProof/>
          <w:lang w:val="ro-RO"/>
        </w:rPr>
      </w:pPr>
      <w:r>
        <w:rPr>
          <w:rFonts w:ascii="Times New Roman" w:hAnsi="Times New Roman"/>
          <w:b/>
          <w:noProof/>
          <w:lang w:val="ro-RO"/>
        </w:rPr>
        <w:t>Priorități</w:t>
      </w:r>
    </w:p>
    <w:p>
      <w:pPr>
        <w:pStyle w:val="NoSpacing"/>
        <w:numPr>
          <w:ilvl w:val="0"/>
          <w:numId w:val="10"/>
        </w:numPr>
        <w:snapToGrid w:val="0"/>
        <w:spacing w:before="120" w:after="120" w:line="360" w:lineRule="auto"/>
        <w:jc w:val="both"/>
        <w:rPr>
          <w:rFonts w:ascii="Times New Roman" w:hAnsi="Times New Roman" w:cs="Times New Roman"/>
          <w:noProof/>
          <w:lang w:val="ro-RO"/>
        </w:rPr>
      </w:pPr>
      <w:r>
        <w:rPr>
          <w:rFonts w:ascii="Times New Roman" w:hAnsi="Times New Roman"/>
          <w:noProof/>
          <w:lang w:val="ro-RO"/>
        </w:rPr>
        <w:t xml:space="preserve">Parteneriatul UE-Azerbaidjan va fi aliniat la prioritățile strategice reînnoite. Acesta va fi consolidat în domenii de interes reciproc și în beneficiul ambelor părți, cum ar fi: dezvoltarea economică durabilă și diversificată și furnizarea eficientă de servicii </w:t>
      </w:r>
      <w:r>
        <w:rPr>
          <w:rFonts w:ascii="Times New Roman" w:hAnsi="Times New Roman"/>
          <w:noProof/>
          <w:lang w:val="ro-RO"/>
        </w:rPr>
        <w:lastRenderedPageBreak/>
        <w:t>publice; energia curată, reziliența la schimbările climatice, durabilitatea mediului și protecția civilă; conectivitatea, infrastructura inteligentă și reconstrucția; dezvoltarea umană, mobilitatea și inovarea.</w:t>
      </w:r>
    </w:p>
    <w:p>
      <w:pPr>
        <w:pStyle w:val="NoSpacing"/>
        <w:snapToGrid w:val="0"/>
        <w:spacing w:before="120" w:after="120" w:line="360" w:lineRule="auto"/>
        <w:ind w:left="720"/>
        <w:jc w:val="both"/>
        <w:rPr>
          <w:rFonts w:ascii="Times New Roman" w:hAnsi="Times New Roman" w:cs="Times New Roman"/>
          <w:noProof/>
          <w:lang w:val="ro-RO"/>
        </w:rPr>
      </w:pPr>
      <w:r>
        <w:rPr>
          <w:rFonts w:ascii="Times New Roman" w:hAnsi="Times New Roman"/>
          <w:noProof/>
          <w:lang w:val="ro-RO"/>
        </w:rPr>
        <w:t>Toate activitățile incluse în prezentul document vor fi concepute și puse în aplicare în conformitate cu principiile drepturilor omului, principiul bunei guvernanțe și cel al statului de drept, cu un accent deosebit pe asigurarea incluziunii, a durabilității mediului și a rezilienței la schimbările climatice.</w:t>
      </w:r>
    </w:p>
    <w:p>
      <w:pPr>
        <w:pStyle w:val="NoSpacing"/>
        <w:numPr>
          <w:ilvl w:val="0"/>
          <w:numId w:val="10"/>
        </w:numPr>
        <w:snapToGrid w:val="0"/>
        <w:spacing w:before="120" w:after="120" w:line="360" w:lineRule="auto"/>
        <w:jc w:val="both"/>
        <w:rPr>
          <w:rFonts w:ascii="Times New Roman" w:hAnsi="Times New Roman" w:cs="Times New Roman"/>
          <w:noProof/>
          <w:lang w:val="ro-RO"/>
        </w:rPr>
      </w:pPr>
      <w:r>
        <w:rPr>
          <w:rFonts w:ascii="Times New Roman" w:hAnsi="Times New Roman"/>
          <w:noProof/>
          <w:lang w:val="ro-RO"/>
        </w:rPr>
        <w:t>Domeniile de cooperare politică, economică și tehnică prezentate mai jos nu sunt exhaustive. Cooperarea dintre UE și Azerbaidjan poate acoperi un număr mai mare de domenii, în special conectivitatea. În toate aceste domenii, cooperarea poate fi atât bilaterală, cât și multilaterală.</w:t>
      </w:r>
    </w:p>
    <w:p>
      <w:pPr>
        <w:pStyle w:val="NoSpacing"/>
        <w:numPr>
          <w:ilvl w:val="0"/>
          <w:numId w:val="10"/>
        </w:numPr>
        <w:snapToGrid w:val="0"/>
        <w:spacing w:before="120" w:after="120" w:line="360" w:lineRule="auto"/>
        <w:jc w:val="both"/>
        <w:rPr>
          <w:rFonts w:ascii="Times New Roman" w:hAnsi="Times New Roman" w:cs="Times New Roman"/>
          <w:noProof/>
          <w:lang w:val="ro-RO"/>
        </w:rPr>
      </w:pPr>
      <w:r>
        <w:rPr>
          <w:rFonts w:ascii="Times New Roman" w:hAnsi="Times New Roman"/>
          <w:noProof/>
          <w:lang w:val="ro-RO"/>
        </w:rPr>
        <w:t>Ambele părți vor evalua periodic punerea în aplicare a priorităților strategice pentru a asigura îndeplinirea obiectivelor convenite. Părțile interesate relevante vor fi, de asemenea, încurajate să contribuie la evaluarea punerii lor în aplicare. Pentru a aborda problemele care pot apărea în urma punerii în aplicare a priorităților strategice, părțile vor menține un dialog periodic, prin consultări bilaterale și cu bună credință, inclusiv prin schimburi de opinii cu privire la evoluțiile regionale și internaționale relevante care ar putea afecta punerea în aplicare a priorităților strategice.</w:t>
      </w:r>
    </w:p>
    <w:p>
      <w:pPr>
        <w:pStyle w:val="NoSpacing"/>
        <w:numPr>
          <w:ilvl w:val="0"/>
          <w:numId w:val="10"/>
        </w:numPr>
        <w:snapToGrid w:val="0"/>
        <w:spacing w:before="120" w:after="120" w:line="360" w:lineRule="auto"/>
        <w:jc w:val="both"/>
        <w:rPr>
          <w:rFonts w:ascii="Times New Roman" w:hAnsi="Times New Roman" w:cs="Times New Roman"/>
          <w:noProof/>
          <w:lang w:val="ro-RO"/>
        </w:rPr>
      </w:pPr>
      <w:r>
        <w:rPr>
          <w:rFonts w:ascii="Times New Roman" w:hAnsi="Times New Roman"/>
          <w:noProof/>
          <w:lang w:val="ro-RO"/>
        </w:rPr>
        <w:t>Părțile vor utiliza cadrul instituțional și mecanismele de dialog existente, inclusiv cele din cadrul Acordului de parteneriat și cooperare, și vor explora oportunitățile de a-și îmbogăți în continuare dialogul bilateral cu privire la toate aspectele de interes reciproc și în beneficiul ambelor părți. Părțile convin, de asemenea, să reia și să accelereze negocierile privind încheierea unui nou acord bilateral UE-Azerbaidjan, în vederea înlocuirii actualului acord de parteneriat și cooperare.</w:t>
      </w:r>
    </w:p>
    <w:p>
      <w:pPr>
        <w:pStyle w:val="NoSpacing"/>
        <w:snapToGrid w:val="0"/>
        <w:spacing w:before="360" w:after="120" w:line="360" w:lineRule="auto"/>
        <w:jc w:val="both"/>
        <w:rPr>
          <w:rFonts w:ascii="Times New Roman" w:hAnsi="Times New Roman" w:cs="Times New Roman"/>
          <w:b/>
          <w:bCs/>
          <w:noProof/>
          <w:lang w:val="ro-RO"/>
        </w:rPr>
      </w:pPr>
      <w:r>
        <w:rPr>
          <w:rFonts w:ascii="Times New Roman" w:hAnsi="Times New Roman"/>
          <w:b/>
          <w:noProof/>
          <w:lang w:val="ro-RO"/>
        </w:rPr>
        <w:t>1. Dezvoltarea economică durabilă și diversificată și furnizarea eficientă de servicii publice</w:t>
      </w:r>
    </w:p>
    <w:p>
      <w:pPr>
        <w:pStyle w:val="NoSpacing"/>
        <w:numPr>
          <w:ilvl w:val="0"/>
          <w:numId w:val="10"/>
        </w:numPr>
        <w:snapToGrid w:val="0"/>
        <w:spacing w:before="120" w:after="120" w:line="360" w:lineRule="auto"/>
        <w:jc w:val="both"/>
        <w:rPr>
          <w:rFonts w:ascii="Times New Roman" w:hAnsi="Times New Roman" w:cs="Times New Roman"/>
          <w:noProof/>
          <w:lang w:val="ro-RO"/>
        </w:rPr>
      </w:pPr>
      <w:r>
        <w:rPr>
          <w:rFonts w:ascii="Times New Roman" w:hAnsi="Times New Roman"/>
          <w:noProof/>
          <w:lang w:val="ro-RO"/>
        </w:rPr>
        <w:t>Părțile recunosc faptul că dezvoltarea durabilă include dezvoltarea economică, dezvoltarea socială și protecția mediului, toate trei fiind interdependente și consolidându-se reciproc.</w:t>
      </w:r>
    </w:p>
    <w:p>
      <w:pPr>
        <w:pStyle w:val="NoSpacing"/>
        <w:numPr>
          <w:ilvl w:val="0"/>
          <w:numId w:val="10"/>
        </w:numPr>
        <w:snapToGrid w:val="0"/>
        <w:spacing w:before="120" w:after="120" w:line="360" w:lineRule="auto"/>
        <w:jc w:val="both"/>
        <w:rPr>
          <w:rFonts w:ascii="Times New Roman" w:hAnsi="Times New Roman" w:cs="Times New Roman"/>
          <w:noProof/>
          <w:lang w:val="ro-RO"/>
        </w:rPr>
      </w:pPr>
      <w:r>
        <w:rPr>
          <w:rFonts w:ascii="Times New Roman" w:hAnsi="Times New Roman"/>
          <w:noProof/>
          <w:lang w:val="ro-RO"/>
        </w:rPr>
        <w:t xml:space="preserve">Părțile vor promova dezvoltarea unei economii reziliente, durabile, bazate pe cunoaștere și diversificate în Azerbaidjan. În acest context, cooperarea va sprijini </w:t>
      </w:r>
      <w:r>
        <w:rPr>
          <w:rFonts w:ascii="Times New Roman" w:hAnsi="Times New Roman"/>
          <w:noProof/>
          <w:lang w:val="ro-RO"/>
        </w:rPr>
        <w:lastRenderedPageBreak/>
        <w:t>reformele structurale, creșterea economică și integrarea în lanțurile valorice globale și regionale.</w:t>
      </w:r>
    </w:p>
    <w:p>
      <w:pPr>
        <w:pStyle w:val="NoSpacing"/>
        <w:numPr>
          <w:ilvl w:val="0"/>
          <w:numId w:val="10"/>
        </w:numPr>
        <w:snapToGrid w:val="0"/>
        <w:spacing w:before="120" w:after="120" w:line="360" w:lineRule="auto"/>
        <w:jc w:val="both"/>
        <w:rPr>
          <w:rFonts w:ascii="Times New Roman" w:hAnsi="Times New Roman" w:cs="Times New Roman"/>
          <w:noProof/>
          <w:lang w:val="ro-RO"/>
        </w:rPr>
      </w:pPr>
      <w:r>
        <w:rPr>
          <w:rFonts w:ascii="Times New Roman" w:hAnsi="Times New Roman"/>
          <w:noProof/>
          <w:lang w:val="ro-RO"/>
        </w:rPr>
        <w:t>UE și Azerbaidjanul își vor aprofunda cooperarea în ceea ce privește facilitarea comerțului, inclusiv modernizarea vămilor, interoperabilitatea sistemelor informatice și compatibilitatea în materie de reglementare, ținând seama de cele mai bune practici ale ambelor părți. Se va acorda sprijin pentru consolidarea infrastructurii și a logisticii legate de comerț în cadrul TCTC pentru a asigura lanțuri de aprovizionare reziliente și o mai mare conectivitate între Europa și Asia.</w:t>
      </w:r>
    </w:p>
    <w:p>
      <w:pPr>
        <w:pStyle w:val="NoSpacing"/>
        <w:numPr>
          <w:ilvl w:val="0"/>
          <w:numId w:val="10"/>
        </w:numPr>
        <w:snapToGrid w:val="0"/>
        <w:spacing w:before="120" w:after="120" w:line="360" w:lineRule="auto"/>
        <w:jc w:val="both"/>
        <w:rPr>
          <w:rFonts w:ascii="Times New Roman" w:hAnsi="Times New Roman" w:cs="Times New Roman"/>
          <w:noProof/>
          <w:lang w:val="ro-RO"/>
        </w:rPr>
      </w:pPr>
      <w:r>
        <w:rPr>
          <w:rFonts w:ascii="Times New Roman" w:hAnsi="Times New Roman"/>
          <w:noProof/>
          <w:lang w:val="ro-RO"/>
        </w:rPr>
        <w:t>Cooperarea comercială ar trebui să urmărească simplificarea comerțului și a investițiilor reciproce în sectoarele esențiale, inclusiv în domeniile energiei, transporturilor, digitalizării, agriculturii și industriei, în conformitate cu prioritățile reciproce și cu Memorandumul de înțelegere din 18 iulie 2022 privind un parteneriat strategic în domeniul energiei între UE și Azerbaidjan. În plus, părțile vor depune eforturi pentru a consolida previzibilitatea cooperării pe termen lung în domeniul energiei, inclusiv prin intermediul unui dialog privind nevoile de investiții în materie de infrastructură și aprovizionare, în concordanță cu cererea de pe piață și cu securitatea energetică. Părțile își vor stimula relațiile comerciale și de investiții într-un mod care să contribuie la: (i) dezvoltarea durabilă și creșterea favorabilă incluziunii; (ii) sprijinirea tranziției verzi și (iii) promovarea unor lanțuri valorice responsabile și durabile.</w:t>
      </w:r>
    </w:p>
    <w:p>
      <w:pPr>
        <w:pStyle w:val="NoSpacing"/>
        <w:numPr>
          <w:ilvl w:val="0"/>
          <w:numId w:val="10"/>
        </w:numPr>
        <w:snapToGrid w:val="0"/>
        <w:spacing w:before="120" w:after="120" w:line="360" w:lineRule="auto"/>
        <w:jc w:val="both"/>
        <w:rPr>
          <w:rFonts w:ascii="Times New Roman" w:hAnsi="Times New Roman" w:cs="Times New Roman"/>
          <w:noProof/>
          <w:lang w:val="ro-RO"/>
        </w:rPr>
      </w:pPr>
      <w:r>
        <w:rPr>
          <w:rFonts w:ascii="Times New Roman" w:hAnsi="Times New Roman"/>
          <w:noProof/>
          <w:lang w:val="ro-RO"/>
        </w:rPr>
        <w:t>UE va sprijini Azerbaidjanul pe parcursul procesului său de negociere privind aderarea la OMC.</w:t>
      </w:r>
    </w:p>
    <w:p>
      <w:pPr>
        <w:pStyle w:val="NoSpacing"/>
        <w:numPr>
          <w:ilvl w:val="0"/>
          <w:numId w:val="10"/>
        </w:numPr>
        <w:snapToGrid w:val="0"/>
        <w:spacing w:before="120" w:after="120" w:line="360" w:lineRule="auto"/>
        <w:jc w:val="both"/>
        <w:rPr>
          <w:rFonts w:ascii="Times New Roman" w:hAnsi="Times New Roman" w:cs="Times New Roman"/>
          <w:noProof/>
          <w:lang w:val="ro-RO"/>
        </w:rPr>
      </w:pPr>
      <w:r>
        <w:rPr>
          <w:rFonts w:ascii="Times New Roman" w:hAnsi="Times New Roman"/>
          <w:noProof/>
          <w:lang w:val="ro-RO"/>
        </w:rPr>
        <w:t>Părțile vor sprijini împreună inovarea și spiritul antreprenorial, punând un accent deosebit pe dezvoltarea întreprinderilor nou-înființate, a microîntreprinderilor și a întreprinderilor mici și mijlocii. Măsurile de sprijin specifice și parteneriatele public-privat vor îmbunătăți accesul la finanțare și la investiții în sectoarele strategice.</w:t>
      </w:r>
    </w:p>
    <w:p>
      <w:pPr>
        <w:pStyle w:val="NoSpacing"/>
        <w:numPr>
          <w:ilvl w:val="0"/>
          <w:numId w:val="10"/>
        </w:numPr>
        <w:snapToGrid w:val="0"/>
        <w:spacing w:before="120" w:after="120" w:line="360" w:lineRule="auto"/>
        <w:jc w:val="both"/>
        <w:rPr>
          <w:rFonts w:ascii="Times New Roman" w:hAnsi="Times New Roman" w:cs="Times New Roman"/>
          <w:noProof/>
          <w:lang w:val="ro-RO"/>
        </w:rPr>
      </w:pPr>
      <w:r>
        <w:rPr>
          <w:rFonts w:ascii="Times New Roman" w:hAnsi="Times New Roman"/>
          <w:noProof/>
          <w:lang w:val="ro-RO"/>
        </w:rPr>
        <w:t>În spiritul documentului „Azerbaidjan 2030: priorități naționale pentru dezvoltarea socioeconomică”, care recunoaște, printre cele cinci priorități naționale, „o economie competitivă cu creștere durabilă”, „un mediu curat” și o „țară a creșterii verzi”, UE va promova și va sprijini adoptarea și punerea în aplicare a unor practici durabile și cu emisii scăzute în industria și agricultura Azerbaidjanului. De asemenea, se vor depune eforturi pentru a îmbunătăți în continuare climatul de afaceri prin atragerea sectorului privat și a investițiilor din UE, precum și pentru a stimula competitivitatea.</w:t>
      </w:r>
    </w:p>
    <w:p>
      <w:pPr>
        <w:pStyle w:val="NoSpacing"/>
        <w:numPr>
          <w:ilvl w:val="0"/>
          <w:numId w:val="10"/>
        </w:numPr>
        <w:snapToGrid w:val="0"/>
        <w:spacing w:before="120" w:after="120" w:line="360" w:lineRule="auto"/>
        <w:jc w:val="both"/>
        <w:rPr>
          <w:rFonts w:ascii="Times New Roman" w:hAnsi="Times New Roman" w:cs="Times New Roman"/>
          <w:noProof/>
          <w:lang w:val="ro-RO"/>
        </w:rPr>
      </w:pPr>
      <w:r>
        <w:rPr>
          <w:rFonts w:ascii="Times New Roman" w:hAnsi="Times New Roman"/>
          <w:noProof/>
          <w:lang w:val="ro-RO"/>
        </w:rPr>
        <w:lastRenderedPageBreak/>
        <w:t>Cooperarea în acest domeniu va viza, de asemenea, consolidarea administrației publice și furnizarea eficientă de servicii publice. UE va susține punerea în aplicare a noului Cod azer al concurenței și va continua să sprijine această țară în ceea ce privește elaborarea de statistici oficiale de înaltă calitate și schimbul de bune practici privind guvernanța și elaborarea de politici bazate pe date concrete. Părțile recunosc că implicarea incluzivă a societății civile în punerea în aplicare a acestor priorități este esențială. De asemenea, părțile își vor consolida cooperarea în ceea ce privește combaterea fraudei care afectează interesele financiare ale UE și ale Azerbaidjanului.</w:t>
      </w:r>
    </w:p>
    <w:p>
      <w:pPr>
        <w:pStyle w:val="NoSpacing"/>
        <w:numPr>
          <w:ilvl w:val="0"/>
          <w:numId w:val="10"/>
        </w:numPr>
        <w:snapToGrid w:val="0"/>
        <w:spacing w:before="120" w:after="120" w:line="360" w:lineRule="auto"/>
        <w:jc w:val="both"/>
        <w:rPr>
          <w:rFonts w:ascii="Times New Roman" w:hAnsi="Times New Roman" w:cs="Times New Roman"/>
          <w:noProof/>
          <w:lang w:val="ro-RO"/>
        </w:rPr>
      </w:pPr>
      <w:r>
        <w:rPr>
          <w:rFonts w:ascii="Times New Roman" w:hAnsi="Times New Roman"/>
          <w:noProof/>
          <w:lang w:val="ro-RO"/>
        </w:rPr>
        <w:t>Părțile recunosc importanța transformării digitale pentru îmbunătățirea administrației publice și vor coopera în ceea ce privește digitalizarea serviciilor publice pentru a spori eficiența, transparența și accesibilitatea acestora pentru persoanele fizice și întreprinderi. Părțile convin să continue cooperarea în domeniul combaterii spălării banilor și a finanțării terorismului.</w:t>
      </w:r>
    </w:p>
    <w:p>
      <w:pPr>
        <w:pStyle w:val="NoSpacing"/>
        <w:numPr>
          <w:ilvl w:val="0"/>
          <w:numId w:val="10"/>
        </w:numPr>
        <w:snapToGrid w:val="0"/>
        <w:spacing w:before="120" w:after="120" w:line="360" w:lineRule="auto"/>
        <w:jc w:val="both"/>
        <w:rPr>
          <w:rFonts w:ascii="Times New Roman" w:hAnsi="Times New Roman" w:cs="Times New Roman"/>
          <w:noProof/>
          <w:lang w:val="ro-RO"/>
        </w:rPr>
      </w:pPr>
      <w:r>
        <w:rPr>
          <w:rFonts w:ascii="Times New Roman" w:hAnsi="Times New Roman"/>
          <w:noProof/>
          <w:lang w:val="ro-RO"/>
        </w:rPr>
        <w:t>Statele membre ale UE și Republica Azerbaidjan vor promova schimbul de experiență în domeniul Industriei 4.0 și vor facilita cooperarea dintre întreprinderile tehnologice în acest domeniu prin punerea în aplicare a inițiativelor de colaborare relevante.</w:t>
      </w:r>
    </w:p>
    <w:p>
      <w:pPr>
        <w:pStyle w:val="NoSpacing"/>
        <w:snapToGrid w:val="0"/>
        <w:spacing w:before="360" w:after="120" w:line="360" w:lineRule="auto"/>
        <w:jc w:val="both"/>
        <w:rPr>
          <w:rFonts w:ascii="Times New Roman" w:hAnsi="Times New Roman" w:cs="Times New Roman"/>
          <w:b/>
          <w:bCs/>
          <w:noProof/>
          <w:lang w:val="ro-RO"/>
        </w:rPr>
      </w:pPr>
      <w:r>
        <w:rPr>
          <w:rFonts w:ascii="Times New Roman" w:hAnsi="Times New Roman"/>
          <w:b/>
          <w:noProof/>
          <w:lang w:val="ro-RO"/>
        </w:rPr>
        <w:t>2. Energia curată, reziliența la schimbările climatice, durabilitatea mediului și protecția civilă</w:t>
      </w:r>
    </w:p>
    <w:p>
      <w:pPr>
        <w:pStyle w:val="NoSpacing"/>
        <w:numPr>
          <w:ilvl w:val="0"/>
          <w:numId w:val="10"/>
        </w:numPr>
        <w:snapToGrid w:val="0"/>
        <w:spacing w:before="120" w:after="120" w:line="360" w:lineRule="auto"/>
        <w:jc w:val="both"/>
        <w:rPr>
          <w:rFonts w:ascii="Times New Roman" w:hAnsi="Times New Roman" w:cs="Times New Roman"/>
          <w:noProof/>
          <w:lang w:val="ro-RO"/>
        </w:rPr>
      </w:pPr>
      <w:r>
        <w:rPr>
          <w:rFonts w:ascii="Times New Roman" w:hAnsi="Times New Roman"/>
          <w:noProof/>
          <w:lang w:val="ro-RO"/>
        </w:rPr>
        <w:t>Părțile își vor aprofunda parteneriatul strategic în domeniul energiei pe baza dialogului UE-Azerbaidjan, dezvoltând coridorul sudic al gazelor și viitoarea extindere a acestuia în conformitate cu mediul de piață și cel investițional, precum și prin proiecte regionale și interregionale de transport al energiei electrice.</w:t>
      </w:r>
    </w:p>
    <w:p>
      <w:pPr>
        <w:pStyle w:val="NoSpacing"/>
        <w:snapToGrid w:val="0"/>
        <w:spacing w:before="120" w:after="120" w:line="360" w:lineRule="auto"/>
        <w:ind w:left="720"/>
        <w:jc w:val="both"/>
        <w:rPr>
          <w:rFonts w:ascii="Times New Roman" w:hAnsi="Times New Roman" w:cs="Times New Roman"/>
          <w:noProof/>
          <w:lang w:val="ro-RO"/>
        </w:rPr>
      </w:pPr>
      <w:r>
        <w:rPr>
          <w:rFonts w:ascii="Times New Roman" w:hAnsi="Times New Roman"/>
          <w:noProof/>
          <w:lang w:val="ro-RO"/>
        </w:rPr>
        <w:t>Părțile subliniază, de asemenea, importanța încheierii unor contracte de energie pe termen lung, previzibile și stabile pentru a asigura fezabilitatea economică a dezvoltării investițiilor necesare în infrastructura de producție și de export, pentru a sprijini securitatea cererii pentru producători, exportatori și proprietarii de infrastructură, precum și securitatea aprovizionării pentru importatori și cumpărători, în conformitate cu cerințele de reglementare.</w:t>
      </w:r>
    </w:p>
    <w:p>
      <w:pPr>
        <w:pStyle w:val="NoSpacing"/>
        <w:snapToGrid w:val="0"/>
        <w:spacing w:before="120" w:after="120" w:line="360" w:lineRule="auto"/>
        <w:ind w:left="720"/>
        <w:jc w:val="both"/>
        <w:rPr>
          <w:rFonts w:ascii="Times New Roman" w:hAnsi="Times New Roman" w:cs="Times New Roman"/>
          <w:noProof/>
          <w:lang w:val="ro-RO"/>
        </w:rPr>
      </w:pPr>
      <w:r>
        <w:rPr>
          <w:rFonts w:ascii="Times New Roman" w:hAnsi="Times New Roman"/>
          <w:noProof/>
          <w:lang w:val="ro-RO"/>
        </w:rPr>
        <w:t xml:space="preserve">Această cooperare va promova tranziția energetică în întreaga regiune prin generarea și integrarea energiei din surse regenerabile (energia solară, eoliană, hidroelectrică, hidrogenul din surse regenerabile și energia geotermală), electrificarea sectoarelor care generează această cerere, măsuri de eficiență energetică, inclusiv de atenuare a </w:t>
      </w:r>
      <w:r>
        <w:rPr>
          <w:rFonts w:ascii="Times New Roman" w:hAnsi="Times New Roman"/>
          <w:noProof/>
          <w:lang w:val="ro-RO"/>
        </w:rPr>
        <w:lastRenderedPageBreak/>
        <w:t>emisiilor de metan, precum și prin sprijinirea digitalizării și a gestionării inteligente a infrastructurii energetice pentru a îmbunătăți reziliența și eficiența sistemului.</w:t>
      </w:r>
    </w:p>
    <w:p>
      <w:pPr>
        <w:pStyle w:val="NoSpacing"/>
        <w:numPr>
          <w:ilvl w:val="0"/>
          <w:numId w:val="10"/>
        </w:numPr>
        <w:snapToGrid w:val="0"/>
        <w:spacing w:before="120" w:after="120" w:line="360" w:lineRule="auto"/>
        <w:jc w:val="both"/>
        <w:rPr>
          <w:rFonts w:ascii="Times New Roman" w:hAnsi="Times New Roman" w:cs="Times New Roman"/>
          <w:noProof/>
          <w:lang w:val="ro-RO"/>
        </w:rPr>
      </w:pPr>
      <w:r>
        <w:rPr>
          <w:rFonts w:ascii="Times New Roman" w:hAnsi="Times New Roman"/>
          <w:noProof/>
          <w:lang w:val="ro-RO"/>
        </w:rPr>
        <w:t>Azerbaidjanul are un vast potențial în materie de energie din surse regenerabile și este din ce în ce mai deschis să colaboreze cu instituțiile financiare internaționale în ceea ce privește modernizarea infrastructurii de rețea și capacitatea de producție. Azerbaidjanul promovează, de asemenea, politici și măsuri în materie de eficiență energetică în sectoare-cheie ale economiei. Acești factori pot contribui la accelerarea decarbonizării sectorului energetic, la îmbunătățirea securității energetice și la crearea de excedente de energie curată pentru comerțul transfrontalier și proiectele de conectivitate regională, contribuind astfel la punerea în aplicare a strategiei „Global Gateway” a UE, a Agendei UE privind conectivitatea transregională și a cadrului rețelelor energetice transeuropene în domeniul respectiv. În acest sens, părțile vor analiza modul în care proiectele regionale de conectivitate energetică completează obiectivele UE și ale Azerbaidjanului în materie de climă și securitate energetică, consolidate prin Memorandumul de înțelegere privind un parteneriat strategic în domeniul energiei (încheiat la 18 iulie 2022) și prin Dialogul la nivel înalt UE-Azerbaidjan privind energia. În ceea ce privește conectivitatea nematerială, părțile vor consolida cooperarea regională privind aspectele legate de reglementare și de piață prin inițiative relevante.</w:t>
      </w:r>
    </w:p>
    <w:p>
      <w:pPr>
        <w:pStyle w:val="NoSpacing"/>
        <w:numPr>
          <w:ilvl w:val="0"/>
          <w:numId w:val="10"/>
        </w:numPr>
        <w:snapToGrid w:val="0"/>
        <w:spacing w:before="120" w:after="120" w:line="360" w:lineRule="auto"/>
        <w:jc w:val="both"/>
        <w:rPr>
          <w:rFonts w:ascii="Times New Roman" w:hAnsi="Times New Roman" w:cs="Times New Roman"/>
          <w:noProof/>
          <w:lang w:val="ro-RO"/>
        </w:rPr>
      </w:pPr>
      <w:r>
        <w:rPr>
          <w:rFonts w:ascii="Times New Roman" w:hAnsi="Times New Roman"/>
          <w:noProof/>
          <w:lang w:val="ro-RO"/>
        </w:rPr>
        <w:t xml:space="preserve">UE și Azerbaidjanul urmăresc să coopereze în vederea îndeplinirii obiectivelor Acordului de la Paris și a asigurării punerii în aplicare depline a acestuia, inclusiv prin actualizări periodice ale contribuțiilor stabilite la nivel național (CSN) care vizează reduceri susținute ale emisiilor de gaze cu efect de seră, având în vedere circumstanțele naționale. Intensificarea cooperării privind acțiunile climatice va ajuta Azerbaidjanul să își dezvolte o economie mai eficientă, mai competitivă, mai rezilientă și mai stabilă, în conformitate cu CSN și cu planurile sale naționale de adaptare. Vor fi elaborate și puse în aplicare proiecte convenite de comun acord, susținute de o finanțare preferențială adecvată, în conformitate cu Acordul de la Paris, precum și cu noul obiectiv colectiv cuantificat privind finanțarea combaterii schimbărilor climatice convenit prin Decizia 1/CMA5 în cadrul COP29, pentru a promova planurile naționale ale Azerbaidjanului privind clima, mediul și atenuarea schimbărilor climatice și adaptarea la acestea și pentru a integra în continuare acțiunile în domeniul climei și al mediului în politicile naționale, sprijinind astfel inițiativele reziliente la schimbările climatice. Printre aceste inițiative se numără: consolidarea </w:t>
      </w:r>
      <w:r>
        <w:rPr>
          <w:rFonts w:ascii="Times New Roman" w:hAnsi="Times New Roman"/>
          <w:noProof/>
          <w:lang w:val="ro-RO"/>
        </w:rPr>
        <w:lastRenderedPageBreak/>
        <w:t>gestionării durabile a apei, instituirea unor sisteme integrate de gestionare a deșeurilor, îmbunătățirea eficienței energetice a sistemelor urbane și lansarea altor proiecte legate de climă convenite de comun acord. Rezultatele științifice și sprijinul acordat prin intermediul proiectelor finanțate prin programul Orizont Europa vor consolida punerea în aplicare a planurilor naționale ale Azerbaidjanului privind clima și atenuarea schimbărilor climatice și adaptarea la acestea și vor contribui la promovarea cooperării privind generarea și integrarea energiei din surse regenerabile. Părțile vor coopera, de asemenea, în ceea ce privește dezvoltarea unor mecanisme de stabilire a prețului carbonului și de comercializare a certificatelor de emisii ca instrumente interne de politică în domeniul climei eficiente din punctul de vedere al costurilor, care ar putea, totodată, să promoveze inovarea și să genereze venituri ce pot finanța tranziția către tehnologii curate și pot întări reziliența la riscurile legate de schimbările climatice.</w:t>
      </w:r>
    </w:p>
    <w:p>
      <w:pPr>
        <w:pStyle w:val="NoSpacing"/>
        <w:numPr>
          <w:ilvl w:val="0"/>
          <w:numId w:val="10"/>
        </w:numPr>
        <w:snapToGrid w:val="0"/>
        <w:spacing w:before="120" w:after="120" w:line="360" w:lineRule="auto"/>
        <w:jc w:val="both"/>
        <w:rPr>
          <w:rFonts w:ascii="Times New Roman" w:hAnsi="Times New Roman" w:cs="Times New Roman"/>
          <w:noProof/>
          <w:lang w:val="ro-RO"/>
        </w:rPr>
      </w:pPr>
      <w:r>
        <w:rPr>
          <w:rFonts w:ascii="Times New Roman" w:hAnsi="Times New Roman"/>
          <w:noProof/>
          <w:lang w:val="ro-RO"/>
        </w:rPr>
        <w:t>Consolidarea gestionării apei, a securității apei și a rezilienței la schimbările climatice va constitui o prioritate comună. UE și Azerbaidjanul vor sprijini colaborarea în ceea ce privește integrarea principiilor de gestionare integrată a resurselor de apă la nivel național, la nivelul bazinelor hidrografice și la nivel local prin: (i) reforme juridice, instituționale și operaționale; (ii) evaluări strategice de mediu; (iii) consolidarea sistemelor de acordare a licențelor și de autorizare; (iv) instrumente economice și (v) capacități extinse de monitorizare hidrologică și a calității apei. Se va acorda o atenție deosebită aplicării practicilor de adaptare durabile, și anume a practicilor care oferă răspunsuri eficace și coerente la impactul schimbărilor climatice pe termen scurt și lung. În plus, părțile vor sprijini elaborarea, adoptarea și punerea în aplicare a planurilor de management al bazinelor hidrografice pentru toate districtele hidrografice, inclusiv instituirea unor structuri de guvernanță participativă.</w:t>
      </w:r>
    </w:p>
    <w:p>
      <w:pPr>
        <w:pStyle w:val="NoSpacing"/>
        <w:snapToGrid w:val="0"/>
        <w:spacing w:before="120" w:after="120" w:line="360" w:lineRule="auto"/>
        <w:ind w:left="720"/>
        <w:jc w:val="both"/>
        <w:rPr>
          <w:rFonts w:ascii="Times New Roman" w:hAnsi="Times New Roman" w:cs="Times New Roman"/>
          <w:noProof/>
          <w:lang w:val="ro-RO"/>
        </w:rPr>
      </w:pPr>
      <w:r>
        <w:rPr>
          <w:rFonts w:ascii="Times New Roman" w:hAnsi="Times New Roman"/>
          <w:noProof/>
          <w:lang w:val="ro-RO"/>
        </w:rPr>
        <w:t>Părțile vor coopera pentru a promova operaționalizarea dialogului de la Baku privind apa pentru acțiuni climatice, lansat la inițiativa Azerbaidjanului în cadrul Declarației președinției COP29 privind apa pentru acțiunile în domeniul climei.</w:t>
      </w:r>
    </w:p>
    <w:p>
      <w:pPr>
        <w:pStyle w:val="NoSpacing"/>
        <w:numPr>
          <w:ilvl w:val="0"/>
          <w:numId w:val="10"/>
        </w:numPr>
        <w:snapToGrid w:val="0"/>
        <w:spacing w:before="120" w:after="120" w:line="360" w:lineRule="auto"/>
        <w:jc w:val="both"/>
        <w:rPr>
          <w:rFonts w:ascii="Times New Roman" w:hAnsi="Times New Roman" w:cs="Times New Roman"/>
          <w:noProof/>
          <w:lang w:val="ro-RO"/>
        </w:rPr>
      </w:pPr>
      <w:r>
        <w:rPr>
          <w:rFonts w:ascii="Times New Roman" w:hAnsi="Times New Roman"/>
          <w:noProof/>
          <w:lang w:val="ro-RO"/>
        </w:rPr>
        <w:t>Părțile își vor continua cooperarea în domeniul protecției civile și al gestionării riscurilor de dezastre, inclusiv ca parte a programului regional de protecție civilă în țările din cadrul Parteneriatului estic (PPRD Est 4).</w:t>
      </w:r>
    </w:p>
    <w:p>
      <w:pPr>
        <w:pStyle w:val="NoSpacing"/>
        <w:snapToGrid w:val="0"/>
        <w:spacing w:before="360" w:after="120" w:line="360" w:lineRule="auto"/>
        <w:jc w:val="both"/>
        <w:rPr>
          <w:rFonts w:ascii="Times New Roman" w:hAnsi="Times New Roman" w:cs="Times New Roman"/>
          <w:b/>
          <w:bCs/>
          <w:noProof/>
          <w:lang w:val="ro-RO"/>
        </w:rPr>
      </w:pPr>
      <w:r>
        <w:rPr>
          <w:rFonts w:ascii="Times New Roman" w:hAnsi="Times New Roman"/>
          <w:b/>
          <w:noProof/>
          <w:lang w:val="ro-RO"/>
        </w:rPr>
        <w:t>3. Conectivitate, infrastructură inteligentă și reconstrucție</w:t>
      </w:r>
    </w:p>
    <w:p>
      <w:pPr>
        <w:pStyle w:val="NoSpacing"/>
        <w:numPr>
          <w:ilvl w:val="0"/>
          <w:numId w:val="10"/>
        </w:numPr>
        <w:snapToGrid w:val="0"/>
        <w:spacing w:before="120" w:after="120" w:line="360" w:lineRule="auto"/>
        <w:jc w:val="both"/>
        <w:rPr>
          <w:rFonts w:ascii="Times New Roman" w:hAnsi="Times New Roman" w:cs="Times New Roman"/>
          <w:noProof/>
          <w:lang w:val="ro-RO"/>
        </w:rPr>
      </w:pPr>
      <w:r>
        <w:rPr>
          <w:rFonts w:ascii="Times New Roman" w:hAnsi="Times New Roman"/>
          <w:noProof/>
          <w:lang w:val="ro-RO"/>
        </w:rPr>
        <w:t xml:space="preserve">UE și Azerbaidjanul vor consolida parteneriatul privind conectivitatea, pe baza rolului de nod esențial al Azerbaidjanului. Dialogurile relevante la nivel înalt deja instituite, </w:t>
      </w:r>
      <w:r>
        <w:rPr>
          <w:rFonts w:ascii="Times New Roman" w:hAnsi="Times New Roman"/>
          <w:noProof/>
          <w:lang w:val="ro-RO"/>
        </w:rPr>
        <w:lastRenderedPageBreak/>
        <w:t>precum și Grupul de lucru la nivel înalt pentru cooperare economică, menite să consolideze cooperarea economică dintre Uniunea Europeană și Azerbaidjan și investițiile din cadrul inițiativei Global Gateway, vor fi esențiale pentru impulsionarea agendei comune. Acțiunile avute în vedere vor include: dezvoltarea infrastructurii de transport, promovarea soluțiilor digitale în domeniul transporturilor și încurajarea cooperării între toate modurile de transport, pentru dezvoltarea în continuare a rețelei TEN-T extinse, după caz, în conformitate cu agenda UE-Azerbaidjan privind conectivitatea.</w:t>
      </w:r>
    </w:p>
    <w:p>
      <w:pPr>
        <w:pStyle w:val="NoSpacing"/>
        <w:snapToGrid w:val="0"/>
        <w:spacing w:before="120" w:after="120" w:line="360" w:lineRule="auto"/>
        <w:ind w:left="720"/>
        <w:jc w:val="both"/>
        <w:rPr>
          <w:rFonts w:ascii="Times New Roman" w:hAnsi="Times New Roman" w:cs="Times New Roman"/>
          <w:noProof/>
          <w:lang w:val="ro-RO"/>
        </w:rPr>
      </w:pPr>
      <w:r>
        <w:rPr>
          <w:rFonts w:ascii="Times New Roman" w:hAnsi="Times New Roman"/>
          <w:noProof/>
          <w:lang w:val="ro-RO"/>
        </w:rPr>
        <w:t>Pe baza acestor acțiuni, părțile convin asupra necesității de a analiza posibilitățile de modernizare a rețelei TEN-T extinse, astfel încât aceasta să reflecte mai bine noile evoluții și inițiative menite să consolideze conectivitatea în regiune, inclusiv în ceea ce privește Republica Autonomă Nakhchivan din cadrul Republicii Azerbaidjan.</w:t>
      </w:r>
    </w:p>
    <w:p>
      <w:pPr>
        <w:pStyle w:val="NoSpacing"/>
        <w:snapToGrid w:val="0"/>
        <w:spacing w:before="120" w:after="120" w:line="360" w:lineRule="auto"/>
        <w:ind w:left="720"/>
        <w:jc w:val="both"/>
        <w:rPr>
          <w:rFonts w:ascii="Times New Roman" w:hAnsi="Times New Roman" w:cs="Times New Roman"/>
          <w:noProof/>
          <w:lang w:val="ro-RO"/>
        </w:rPr>
      </w:pPr>
      <w:r>
        <w:rPr>
          <w:rFonts w:ascii="Times New Roman" w:hAnsi="Times New Roman"/>
          <w:noProof/>
          <w:lang w:val="ro-RO"/>
        </w:rPr>
        <w:t>În cadrul Parteneriatului UE-Azerbaidjan privind conectivitatea, părțile vor coopera pentru a sprijini dezvoltarea de proiecte legate de transporturi, energie, interconexiuni pentru energie curată și economia digitală, inclusiv soluții de IA și de securitate cibernetică. În acest scop, în cadrul mecanismelor relevante ale UE, cum ar fi strategia Global Gateway a UE, părțile vor facilita mobilizarea resurselor financiare și tehnice printr-o combinație adecvată de instrumente, inclusiv prin împrumuturi preferențiale, granturi, garanții, participare la capital, structuri de finanțare mixtă și alte mecanisme de reducere a riscurilor asociate investițiilor, în vederea îmbunătățirii bancabilității proiectelor și a asigurării accesului la finanțare în condiții competitive, transparente și durabile.</w:t>
      </w:r>
    </w:p>
    <w:p>
      <w:pPr>
        <w:pStyle w:val="NoSpacing"/>
        <w:numPr>
          <w:ilvl w:val="0"/>
          <w:numId w:val="10"/>
        </w:numPr>
        <w:snapToGrid w:val="0"/>
        <w:spacing w:before="120" w:after="120" w:line="360" w:lineRule="auto"/>
        <w:jc w:val="both"/>
        <w:rPr>
          <w:rFonts w:ascii="Times New Roman" w:hAnsi="Times New Roman" w:cs="Times New Roman"/>
          <w:noProof/>
          <w:lang w:val="ro-RO"/>
        </w:rPr>
      </w:pPr>
      <w:r>
        <w:rPr>
          <w:rFonts w:ascii="Times New Roman" w:hAnsi="Times New Roman"/>
          <w:noProof/>
          <w:lang w:val="ro-RO"/>
        </w:rPr>
        <w:t>Părțile recunosc rolul strategic al TCTC în crearea de legături între Azerbaidjan, UE și partenerii regionali. În conformitate cu standardele europene și internaționale, inclusiv, după caz, prin posibila implicare a altor participanți la TCTC, părțile vor continua să coopereze în ceea ce privește dezvoltarea infrastructurii, să impulsioneze digitalizarea sistemelor de transport și a proceselor logistice și să promoveze interoperabilitatea și colaborarea între toate modurile de transport.</w:t>
      </w:r>
    </w:p>
    <w:p>
      <w:pPr>
        <w:pStyle w:val="NoSpacing"/>
        <w:numPr>
          <w:ilvl w:val="0"/>
          <w:numId w:val="10"/>
        </w:numPr>
        <w:snapToGrid w:val="0"/>
        <w:spacing w:before="120" w:after="120" w:line="360" w:lineRule="auto"/>
        <w:jc w:val="both"/>
        <w:rPr>
          <w:rFonts w:ascii="Times New Roman" w:hAnsi="Times New Roman" w:cs="Times New Roman"/>
          <w:noProof/>
          <w:lang w:val="ro-RO"/>
        </w:rPr>
      </w:pPr>
      <w:r>
        <w:rPr>
          <w:rFonts w:ascii="Times New Roman" w:hAnsi="Times New Roman"/>
          <w:noProof/>
          <w:lang w:val="ro-RO"/>
        </w:rPr>
        <w:t xml:space="preserve">Părțile vor încerca să extindă potențialul de tranzit și transport al TCTC prin dezvoltarea infrastructurii și a capacităților care consolidează interoperabilitatea multimodală, având în vedere în special importanța strategică a legăturii feroviare din Republica Autonomă Nakhchivan, un proiect prioritar comun pentru Azerbaidjan și UE. Cooperarea în acest domeniu va include, de asemenea, sensibilizarea instituțiilor financiare internaționale, a băncilor de investiții și a părților interesate din sectorul </w:t>
      </w:r>
      <w:r>
        <w:rPr>
          <w:rFonts w:ascii="Times New Roman" w:hAnsi="Times New Roman"/>
          <w:noProof/>
          <w:lang w:val="ro-RO"/>
        </w:rPr>
        <w:lastRenderedPageBreak/>
        <w:t>privat cu privire la oportunitățile de investiții conexe, facilitarea unui dialog structurat cu potențialii investitori și sprijinirea elaborării și a prezentării de proiecte eligibile pentru finanțare în conformitate cu standardele internaționale.</w:t>
      </w:r>
    </w:p>
    <w:p>
      <w:pPr>
        <w:pStyle w:val="NoSpacing"/>
        <w:numPr>
          <w:ilvl w:val="0"/>
          <w:numId w:val="10"/>
        </w:numPr>
        <w:snapToGrid w:val="0"/>
        <w:spacing w:before="120" w:after="120" w:line="360" w:lineRule="auto"/>
        <w:jc w:val="both"/>
        <w:rPr>
          <w:rFonts w:ascii="Times New Roman" w:hAnsi="Times New Roman" w:cs="Times New Roman"/>
          <w:noProof/>
          <w:lang w:val="ro-RO"/>
        </w:rPr>
      </w:pPr>
      <w:r>
        <w:rPr>
          <w:rFonts w:ascii="Times New Roman" w:hAnsi="Times New Roman"/>
          <w:noProof/>
          <w:lang w:val="ro-RO"/>
        </w:rPr>
        <w:t>Părțile își vor consolida cooperarea în vederea modernizării, a digitalizării și a înverzirii sectorului transporturilor din Azerbaidjan, inclusiv prin îmbunătățirea cadrelor juridice, de reglementare, de control instituțional și de asigurare a respectării legii, în conformitate cu standardele internaționale relevante. Se va acorda o atenție deosebită continuării negocierilor legate de un acord UE-Azerbaidjan privind un spațiu aerian comun, în vederea încheierii acestuia pe baza principiului interesului reciproc și al beneficiilor partajate.</w:t>
      </w:r>
    </w:p>
    <w:p>
      <w:pPr>
        <w:pStyle w:val="NoSpacing"/>
        <w:numPr>
          <w:ilvl w:val="0"/>
          <w:numId w:val="10"/>
        </w:numPr>
        <w:snapToGrid w:val="0"/>
        <w:spacing w:before="120" w:after="120" w:line="360" w:lineRule="auto"/>
        <w:jc w:val="both"/>
        <w:rPr>
          <w:rFonts w:ascii="Times New Roman" w:hAnsi="Times New Roman" w:cs="Times New Roman"/>
          <w:noProof/>
          <w:lang w:val="ro-RO"/>
        </w:rPr>
      </w:pPr>
      <w:r>
        <w:rPr>
          <w:rFonts w:ascii="Times New Roman" w:hAnsi="Times New Roman"/>
          <w:noProof/>
          <w:lang w:val="ro-RO"/>
        </w:rPr>
        <w:t>Părțile vor îmbunătăți capacitățile autorităților naționale din domeniul transporturilor prin programe de consolidare a capacităților și de formare structurată care includ, de asemenea, dezvoltarea de competențe verzi și digitale. Vor fi examinate oportunitățile de dezvoltare a unor servicii logistice cu valoare adăugată, pentru a se asigura că Azerbaidjanul beneficiază de fluxurile de tranzit relevante. Vor fi încurajate parteneriatele dintre guvern, mediul academic și sectorul privat în vederea accelerării inovării în domeniul transporturilor curate. Sprijinul va fi direcționat, de asemenea, către digitalizarea și interoperabilitatea rețelei de transport din Azerbaidjan, pentru a spori eficiența, siguranța și integrarea multimodală între platformele rutiere, feroviare, maritime, aeriene și logistice.</w:t>
      </w:r>
    </w:p>
    <w:p>
      <w:pPr>
        <w:pStyle w:val="NoSpacing"/>
        <w:numPr>
          <w:ilvl w:val="0"/>
          <w:numId w:val="10"/>
        </w:numPr>
        <w:snapToGrid w:val="0"/>
        <w:spacing w:before="120" w:after="120" w:line="360" w:lineRule="auto"/>
        <w:jc w:val="both"/>
        <w:rPr>
          <w:rFonts w:ascii="Times New Roman" w:hAnsi="Times New Roman" w:cs="Times New Roman"/>
          <w:noProof/>
          <w:lang w:val="ro-RO"/>
        </w:rPr>
      </w:pPr>
      <w:r>
        <w:rPr>
          <w:rFonts w:ascii="Times New Roman" w:hAnsi="Times New Roman"/>
          <w:noProof/>
          <w:lang w:val="ro-RO"/>
        </w:rPr>
        <w:t>În regiunile economice Garabagh și Zangezur de Est, vor fi impulsionate dezvoltarea urbană și reconstrucția post-conflict, pe baza principiilor unei planificări urbane durabile, reziliente și inteligente. Succesul operațiilor de deminare umanitară este o condiție prealabilă pentru reconstrucția, relocarea, conectivitatea și reînnoirea agricolă în condiții de siguranță în aceste regiuni. Pe baza sprijinului financiar al UE, inclusiv a inițiativei „Echipa Europa” privind acțiunea împotriva minelor, părțile vor coopera pentru a consolida capacitatea de acțiune împotriva minelor a Azerbaidjanului. Această cooperare va include înființarea în Azerbaidjan a unui Centru internațional de excelență și formare pentru acțiunea împotriva minelor, care va servi drept centru național, regional și internațional pentru formare, consolidarea capacităților, inovare și transfer de cunoștințe în domeniul acțiunii împotriva minelor, punând accentul pe cele mai recente tehnici și tehnologii. Vor fi intensificate eforturile de sensibilizare cu privire la impactul umanitar al minelor terestre și al resturilor explozive de război.</w:t>
      </w:r>
    </w:p>
    <w:p>
      <w:pPr>
        <w:pStyle w:val="NoSpacing"/>
        <w:snapToGrid w:val="0"/>
        <w:spacing w:before="360" w:after="120" w:line="360" w:lineRule="auto"/>
        <w:jc w:val="both"/>
        <w:rPr>
          <w:rFonts w:ascii="Times New Roman" w:hAnsi="Times New Roman" w:cs="Times New Roman"/>
          <w:b/>
          <w:bCs/>
          <w:noProof/>
          <w:lang w:val="ro-RO"/>
        </w:rPr>
      </w:pPr>
      <w:r>
        <w:rPr>
          <w:rFonts w:ascii="Times New Roman" w:hAnsi="Times New Roman"/>
          <w:b/>
          <w:noProof/>
          <w:lang w:val="ro-RO"/>
        </w:rPr>
        <w:lastRenderedPageBreak/>
        <w:t>4. Dezvoltare umană, mobilitate și inovare</w:t>
      </w:r>
    </w:p>
    <w:p>
      <w:pPr>
        <w:pStyle w:val="NoSpacing"/>
        <w:numPr>
          <w:ilvl w:val="0"/>
          <w:numId w:val="10"/>
        </w:numPr>
        <w:snapToGrid w:val="0"/>
        <w:spacing w:before="120" w:after="120" w:line="360" w:lineRule="auto"/>
        <w:jc w:val="both"/>
        <w:rPr>
          <w:rFonts w:ascii="Times New Roman" w:hAnsi="Times New Roman" w:cs="Times New Roman"/>
          <w:noProof/>
          <w:lang w:val="ro-RO"/>
        </w:rPr>
      </w:pPr>
      <w:r>
        <w:rPr>
          <w:rFonts w:ascii="Times New Roman" w:hAnsi="Times New Roman"/>
          <w:noProof/>
          <w:lang w:val="ro-RO"/>
        </w:rPr>
        <w:t>Părțile vor promova contactele interpersonale, mobilitatea, educația, cercetarea și inovarea, cultura, implicarea tinerilor și dezvoltarea socioeconomică și umană favorabilă incluziunii.</w:t>
      </w:r>
    </w:p>
    <w:p>
      <w:pPr>
        <w:pStyle w:val="NoSpacing"/>
        <w:numPr>
          <w:ilvl w:val="0"/>
          <w:numId w:val="10"/>
        </w:numPr>
        <w:snapToGrid w:val="0"/>
        <w:spacing w:before="120" w:after="120" w:line="360" w:lineRule="auto"/>
        <w:jc w:val="both"/>
        <w:rPr>
          <w:rFonts w:ascii="Times New Roman" w:hAnsi="Times New Roman" w:cs="Times New Roman"/>
          <w:noProof/>
          <w:lang w:val="ro-RO"/>
        </w:rPr>
      </w:pPr>
      <w:r>
        <w:rPr>
          <w:rFonts w:ascii="Times New Roman" w:hAnsi="Times New Roman"/>
          <w:noProof/>
          <w:lang w:val="ro-RO"/>
        </w:rPr>
        <w:t>Părțile vor pune un accent deosebit pe încurajarea colaborării în materie de cercetare în domeniul științelor fundamentale, al ingineriei, al informaticii și al inteligenței artificiale prin intermediul programelor UE, inclusiv al programului Orizont Europa. Părțile vor încuraja participarea Azerbaidjanului la programul Orizont Europa și la alte programe relevante ale UE, inclusiv colaborarea științifică și schimburile între universități, institute de cercetare, întreprinderi private și alte părți interesate din domeniul cercetării și inovării.</w:t>
      </w:r>
    </w:p>
    <w:p>
      <w:pPr>
        <w:pStyle w:val="NoSpacing"/>
        <w:numPr>
          <w:ilvl w:val="0"/>
          <w:numId w:val="10"/>
        </w:numPr>
        <w:snapToGrid w:val="0"/>
        <w:spacing w:before="120" w:after="120" w:line="360" w:lineRule="auto"/>
        <w:jc w:val="both"/>
        <w:rPr>
          <w:rFonts w:ascii="Times New Roman" w:hAnsi="Times New Roman" w:cs="Times New Roman"/>
          <w:noProof/>
          <w:lang w:val="ro-RO"/>
        </w:rPr>
      </w:pPr>
      <w:r>
        <w:rPr>
          <w:rFonts w:ascii="Times New Roman" w:hAnsi="Times New Roman"/>
          <w:noProof/>
          <w:lang w:val="ro-RO"/>
        </w:rPr>
        <w:t>Părțile așteaptă cu interes consolidarea cooperării și continuarea progreselor în domeniul mobilității, într-un mediu sigur și bine gestionat, și recunosc importanța contactelor interpersonale, inclusiv printr-o mobilitate sporită.</w:t>
      </w:r>
    </w:p>
    <w:p>
      <w:pPr>
        <w:pStyle w:val="NoSpacing"/>
        <w:snapToGrid w:val="0"/>
        <w:spacing w:before="120" w:after="120" w:line="360" w:lineRule="auto"/>
        <w:ind w:left="720"/>
        <w:jc w:val="both"/>
        <w:rPr>
          <w:rFonts w:ascii="Times New Roman" w:hAnsi="Times New Roman" w:cs="Times New Roman"/>
          <w:noProof/>
          <w:lang w:val="ro-RO"/>
        </w:rPr>
      </w:pPr>
      <w:r>
        <w:rPr>
          <w:rFonts w:ascii="Times New Roman" w:hAnsi="Times New Roman"/>
          <w:noProof/>
          <w:lang w:val="ro-RO"/>
        </w:rPr>
        <w:t>Părțile vor continua cooperarea pentru punerea în aplicare a Acordului de readmisie UE-Azerbaidjan și recunosc importanța reintegrării.</w:t>
      </w:r>
    </w:p>
    <w:p>
      <w:pPr>
        <w:pStyle w:val="NoSpacing"/>
        <w:snapToGrid w:val="0"/>
        <w:spacing w:before="120" w:after="120" w:line="360" w:lineRule="auto"/>
        <w:ind w:left="720"/>
        <w:jc w:val="both"/>
        <w:rPr>
          <w:rFonts w:ascii="Times New Roman" w:hAnsi="Times New Roman" w:cs="Times New Roman"/>
          <w:noProof/>
          <w:lang w:val="ro-RO"/>
        </w:rPr>
      </w:pPr>
      <w:r>
        <w:rPr>
          <w:rFonts w:ascii="Times New Roman" w:hAnsi="Times New Roman"/>
          <w:noProof/>
          <w:lang w:val="ro-RO"/>
        </w:rPr>
        <w:t>Părțile vor purta în continuare un dialog structurat privind facilitarea eliberării vizelor în contextul punerii în aplicare a Acordului UE-Azerbaidjan încheiat pe această temă, în vederea consolidării cooperării, inclusiv în domeniile educației, ocupării forței de muncă, culturii, tineretului și cercetării. Părțile salută continuarea punerii în aplicare a Acordului UE-Azerbaidjan de facilitare a eliberării vizelor, în vederea facilitării în continuare a călătoriilor reciproce.</w:t>
      </w:r>
    </w:p>
    <w:p>
      <w:pPr>
        <w:pStyle w:val="NoSpacing"/>
        <w:numPr>
          <w:ilvl w:val="0"/>
          <w:numId w:val="10"/>
        </w:numPr>
        <w:snapToGrid w:val="0"/>
        <w:spacing w:before="120" w:after="120" w:line="360" w:lineRule="auto"/>
        <w:jc w:val="both"/>
        <w:rPr>
          <w:rFonts w:ascii="Times New Roman" w:hAnsi="Times New Roman" w:cs="Times New Roman"/>
          <w:noProof/>
          <w:lang w:val="ro-RO"/>
        </w:rPr>
      </w:pPr>
      <w:r>
        <w:rPr>
          <w:rFonts w:ascii="Times New Roman" w:hAnsi="Times New Roman"/>
          <w:noProof/>
          <w:lang w:val="ro-RO"/>
        </w:rPr>
        <w:t>Părțile vor sprijini contactele interpersonale și cooperarea dintre instituțiile de învățământ superior și furnizorii de educație și formare profesională (EFP), în vederea modernizării programelor de învățământ și a îmbunătățirii metodologiilor de predare și învățare, inclusiv, după caz, prin intermediul programului Erasmus+.</w:t>
      </w:r>
    </w:p>
    <w:p>
      <w:pPr>
        <w:pStyle w:val="NoSpacing"/>
        <w:numPr>
          <w:ilvl w:val="0"/>
          <w:numId w:val="10"/>
        </w:numPr>
        <w:snapToGrid w:val="0"/>
        <w:spacing w:before="120" w:after="120" w:line="360" w:lineRule="auto"/>
        <w:jc w:val="both"/>
        <w:rPr>
          <w:rFonts w:ascii="Times New Roman" w:hAnsi="Times New Roman" w:cs="Times New Roman"/>
          <w:noProof/>
          <w:lang w:val="ro-RO"/>
        </w:rPr>
      </w:pPr>
      <w:r>
        <w:rPr>
          <w:rFonts w:ascii="Times New Roman" w:hAnsi="Times New Roman"/>
          <w:noProof/>
          <w:lang w:val="ro-RO"/>
        </w:rPr>
        <w:t>Părțile se vor baza pe cooperarea anterioară în domeniul EFP pentru a sprijini dezvoltarea unui sistem național de calificări. Ele vor sprijini, de asemenea, cooperarea dintre organizațiile de tineret și cele sportive.</w:t>
      </w:r>
    </w:p>
    <w:p>
      <w:pPr>
        <w:pStyle w:val="NoSpacing"/>
        <w:numPr>
          <w:ilvl w:val="0"/>
          <w:numId w:val="10"/>
        </w:numPr>
        <w:snapToGrid w:val="0"/>
        <w:spacing w:before="120" w:after="120" w:line="360" w:lineRule="auto"/>
        <w:jc w:val="both"/>
        <w:rPr>
          <w:rFonts w:ascii="Times New Roman" w:hAnsi="Times New Roman" w:cs="Times New Roman"/>
          <w:noProof/>
          <w:lang w:val="ro-RO"/>
        </w:rPr>
      </w:pPr>
      <w:r>
        <w:rPr>
          <w:rFonts w:ascii="Times New Roman" w:hAnsi="Times New Roman"/>
          <w:noProof/>
          <w:lang w:val="ro-RO"/>
        </w:rPr>
        <w:t xml:space="preserve">Părțile vor promova inițiative de învățare pe tot parcursul vieții pentru a sprijini dezvoltarea continuă a aptitudinilor și a competențelor pe parcursul întregului proces educațional, promovând în același timp educația pentru dezvoltare durabilă prin </w:t>
      </w:r>
      <w:r>
        <w:rPr>
          <w:rFonts w:ascii="Times New Roman" w:hAnsi="Times New Roman"/>
          <w:noProof/>
          <w:lang w:val="ro-RO"/>
        </w:rPr>
        <w:lastRenderedPageBreak/>
        <w:t>integrarea considerentelor de mediu și climatice la toate nivelurile de educație, în special în contextul tranziției digitale și al celei verzi.</w:t>
      </w:r>
    </w:p>
    <w:p>
      <w:pPr>
        <w:pStyle w:val="NoSpacing"/>
        <w:numPr>
          <w:ilvl w:val="0"/>
          <w:numId w:val="10"/>
        </w:numPr>
        <w:snapToGrid w:val="0"/>
        <w:spacing w:before="120" w:after="120" w:line="360" w:lineRule="auto"/>
        <w:jc w:val="both"/>
        <w:rPr>
          <w:rFonts w:ascii="Times New Roman" w:hAnsi="Times New Roman" w:cs="Times New Roman"/>
          <w:noProof/>
          <w:lang w:val="ro-RO"/>
        </w:rPr>
      </w:pPr>
      <w:r>
        <w:rPr>
          <w:rFonts w:ascii="Times New Roman" w:hAnsi="Times New Roman"/>
          <w:noProof/>
          <w:lang w:val="ro-RO"/>
        </w:rPr>
        <w:t>Părțile vor consolida în continuare cooperarea în materie de securitate cibernetică și de securitate digitală pentru a consolida reziliența infrastructurii bazate pe TIC și pentru a sprijini transformarea digitală securizată prin consolidarea capacităților și schimbul de expertiză, inclusiv în domeniul criminalității informatice.</w:t>
      </w:r>
    </w:p>
    <w:p>
      <w:pPr>
        <w:pStyle w:val="NoSpacing"/>
        <w:numPr>
          <w:ilvl w:val="0"/>
          <w:numId w:val="10"/>
        </w:numPr>
        <w:snapToGrid w:val="0"/>
        <w:spacing w:before="120" w:after="120" w:line="360" w:lineRule="auto"/>
        <w:jc w:val="both"/>
        <w:rPr>
          <w:rFonts w:ascii="Times New Roman" w:hAnsi="Times New Roman" w:cs="Times New Roman"/>
          <w:noProof/>
          <w:lang w:val="ro-RO"/>
        </w:rPr>
      </w:pPr>
      <w:r>
        <w:rPr>
          <w:rFonts w:ascii="Times New Roman" w:hAnsi="Times New Roman"/>
          <w:noProof/>
          <w:lang w:val="ro-RO"/>
        </w:rPr>
        <w:t>Părțile vor avea în vedere posibilitatea de a institui mecanisme specifice de asistență tehnică și financiară care să sprijine operaționalizarea eficace a cadrelor etice și juridice convenite privind inteligența artificială, inclusiv prin proiecte-pilot și spații de testare în materie de reglementare în sectoarele prioritare, astfel încât cooperarea în materie de reglementare să conducă la rezultate concrete în materie de dezvoltare socioeconomică, în conformitate cu legislația și strategiile respective, ținând seama, de asemenea, de cele mai bune practici existente ale părților.</w:t>
      </w:r>
    </w:p>
    <w:p>
      <w:pPr>
        <w:pStyle w:val="NoSpacing"/>
        <w:numPr>
          <w:ilvl w:val="0"/>
          <w:numId w:val="10"/>
        </w:numPr>
        <w:snapToGrid w:val="0"/>
        <w:spacing w:before="120" w:after="120" w:line="360" w:lineRule="auto"/>
        <w:jc w:val="both"/>
        <w:rPr>
          <w:rFonts w:ascii="Times New Roman" w:hAnsi="Times New Roman" w:cs="Times New Roman"/>
          <w:noProof/>
          <w:lang w:val="ro-RO"/>
        </w:rPr>
      </w:pPr>
      <w:r>
        <w:rPr>
          <w:rFonts w:ascii="Times New Roman" w:hAnsi="Times New Roman"/>
          <w:noProof/>
          <w:lang w:val="ro-RO"/>
        </w:rPr>
        <w:t>Părțile vor analiza posibilitatea de a promova un mediu de reglementare favorabil și bazat pe riscuri, care să faciliteze tehnologiile și capacitățile avansate și să sprijine cercetarea și experimentarea, precum și dezvoltarea, testarea și implementarea de soluții tehnologice inovatoare în Republica Azerbaidjan.</w:t>
      </w:r>
    </w:p>
    <w:p>
      <w:pPr>
        <w:pStyle w:val="NoSpacing"/>
        <w:numPr>
          <w:ilvl w:val="0"/>
          <w:numId w:val="10"/>
        </w:numPr>
        <w:snapToGrid w:val="0"/>
        <w:spacing w:before="120" w:after="120" w:line="360" w:lineRule="auto"/>
        <w:jc w:val="both"/>
        <w:rPr>
          <w:rFonts w:ascii="Times New Roman" w:hAnsi="Times New Roman" w:cs="Times New Roman"/>
          <w:noProof/>
          <w:lang w:val="ro-RO"/>
        </w:rPr>
      </w:pPr>
      <w:r>
        <w:rPr>
          <w:rFonts w:ascii="Times New Roman" w:hAnsi="Times New Roman"/>
          <w:noProof/>
          <w:lang w:val="ro-RO"/>
        </w:rPr>
        <w:t>Părțile vor coopera pentru a sprijini dezvoltarea și implementarea soluțiilor de securitate cibernetică, a inițiativelor de digitalizare și a altor tehnologii avansate în Republica Azerbaidjan.</w:t>
      </w:r>
    </w:p>
    <w:p>
      <w:pPr>
        <w:pStyle w:val="NoSpacing"/>
        <w:numPr>
          <w:ilvl w:val="0"/>
          <w:numId w:val="10"/>
        </w:numPr>
        <w:snapToGrid w:val="0"/>
        <w:spacing w:before="120" w:after="120" w:line="360" w:lineRule="auto"/>
        <w:jc w:val="both"/>
        <w:rPr>
          <w:rFonts w:ascii="Times New Roman" w:hAnsi="Times New Roman" w:cs="Times New Roman"/>
          <w:noProof/>
          <w:lang w:val="ro-RO"/>
        </w:rPr>
      </w:pPr>
      <w:r>
        <w:rPr>
          <w:rFonts w:ascii="Times New Roman" w:hAnsi="Times New Roman"/>
          <w:noProof/>
          <w:lang w:val="ro-RO"/>
        </w:rPr>
        <w:t>Părțile, în conformitate cu legislația și strategiile lor, intenționează, de asemenea, să consolideze mediul de reglementare, instituțional și de infrastructură favorabil, necesar pentru un ecosistem digital sigur, rezilient și de înaltă performanță, inclusiv o guvernanță solidă a datelor și cadre digitale solide și, după caz, ținând seama de cele mai bune practici ale ambelor părți.</w:t>
      </w:r>
    </w:p>
    <w:p>
      <w:pPr>
        <w:pStyle w:val="NoSpacing"/>
        <w:snapToGrid w:val="0"/>
        <w:spacing w:before="120" w:after="120" w:line="360" w:lineRule="auto"/>
        <w:ind w:left="720"/>
        <w:jc w:val="both"/>
        <w:rPr>
          <w:rFonts w:ascii="Times New Roman" w:hAnsi="Times New Roman" w:cs="Times New Roman"/>
          <w:noProof/>
          <w:lang w:val="ro-RO"/>
        </w:rPr>
      </w:pPr>
      <w:r>
        <w:rPr>
          <w:rFonts w:ascii="Times New Roman" w:hAnsi="Times New Roman"/>
          <w:noProof/>
          <w:lang w:val="ro-RO"/>
        </w:rPr>
        <w:t>În acest context, părțile pot explora posibile modalități de a sprijini și a facilita crearea unui mediu favorabil pentru investiții, accesul la infrastructuri tehnologice avansate și la piețe de capital, precum și promovarea investițiilor străine directe, inclusiv, după caz, prin contacte cu furnizorii de tehnologie, cu instituțiile financiare și cu alte părți interesate relevante, cu scopul de a contribui la dezvoltarea economică și la reziliența pe termen lung.</w:t>
      </w:r>
    </w:p>
    <w:sectPr>
      <w:pgSz w:w="11907" w:h="16839"/>
      <w:pgMar w:top="1134" w:right="1418" w:bottom="1134" w:left="141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ED84770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7C8EC86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C62CF832"/>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FA146732"/>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B5AABC0"/>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5274B84E"/>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59102414"/>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5B4844EC"/>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1F774323"/>
    <w:multiLevelType w:val="hybridMultilevel"/>
    <w:tmpl w:val="8D1C170E"/>
    <w:lvl w:ilvl="0" w:tplc="6B18CFD6">
      <w:start w:val="1"/>
      <w:numFmt w:val="decimal"/>
      <w:lvlText w:val="%1."/>
      <w:lvlJc w:val="left"/>
      <w:pPr>
        <w:ind w:left="720" w:hanging="360"/>
      </w:pPr>
      <w:rPr>
        <w:rFonts w:ascii="Times New Roman" w:eastAsiaTheme="minorHAnsi" w:hAnsi="Times New Roman"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2"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15:restartNumberingAfterBreak="0">
    <w:nsid w:val="4C773B6B"/>
    <w:multiLevelType w:val="hybridMultilevel"/>
    <w:tmpl w:val="CCFA0E06"/>
    <w:lvl w:ilvl="0" w:tplc="0F5EF90C">
      <w:start w:val="1"/>
      <w:numFmt w:val="upp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9"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0"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1"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2"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4"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24"/>
    <w:lvlOverride w:ilvl="0">
      <w:startOverride w:val="1"/>
    </w:lvlOverride>
  </w:num>
  <w:num w:numId="6">
    <w:abstractNumId w:val="6"/>
  </w:num>
  <w:num w:numId="7">
    <w:abstractNumId w:val="2"/>
  </w:num>
  <w:num w:numId="8">
    <w:abstractNumId w:val="1"/>
  </w:num>
  <w:num w:numId="9">
    <w:abstractNumId w:val="0"/>
  </w:num>
  <w:num w:numId="10">
    <w:abstractNumId w:val="9"/>
  </w:num>
  <w:num w:numId="11">
    <w:abstractNumId w:val="17"/>
  </w:num>
  <w:num w:numId="12">
    <w:abstractNumId w:val="21"/>
  </w:num>
  <w:num w:numId="13">
    <w:abstractNumId w:val="13"/>
  </w:num>
  <w:num w:numId="14">
    <w:abstractNumId w:val="23"/>
  </w:num>
  <w:num w:numId="15">
    <w:abstractNumId w:val="12"/>
  </w:num>
  <w:num w:numId="16">
    <w:abstractNumId w:val="14"/>
  </w:num>
  <w:num w:numId="17">
    <w:abstractNumId w:val="15"/>
  </w:num>
  <w:num w:numId="18">
    <w:abstractNumId w:val="10"/>
  </w:num>
  <w:num w:numId="19">
    <w:abstractNumId w:val="22"/>
  </w:num>
  <w:num w:numId="20">
    <w:abstractNumId w:val="8"/>
  </w:num>
  <w:num w:numId="21">
    <w:abstractNumId w:val="16"/>
  </w:num>
  <w:num w:numId="22">
    <w:abstractNumId w:val="19"/>
  </w:num>
  <w:num w:numId="23">
    <w:abstractNumId w:val="20"/>
  </w:num>
  <w:num w:numId="24">
    <w:abstractNumId w:val="11"/>
  </w:num>
  <w:num w:numId="25">
    <w:abstractNumId w:val="18"/>
  </w:num>
  <w:num w:numId="26">
    <w:abstractNumId w:val="24"/>
  </w:num>
  <w:num w:numId="27">
    <w:abstractNumId w:val="21"/>
  </w:num>
  <w:num w:numId="28">
    <w:abstractNumId w:val="13"/>
  </w:num>
  <w:num w:numId="29">
    <w:abstractNumId w:val="23"/>
  </w:num>
  <w:num w:numId="30">
    <w:abstractNumId w:val="12"/>
  </w:num>
  <w:num w:numId="31">
    <w:abstractNumId w:val="14"/>
  </w:num>
  <w:num w:numId="32">
    <w:abstractNumId w:val="15"/>
  </w:num>
  <w:num w:numId="33">
    <w:abstractNumId w:val="10"/>
  </w:num>
  <w:num w:numId="34">
    <w:abstractNumId w:val="22"/>
  </w:num>
  <w:num w:numId="35">
    <w:abstractNumId w:val="8"/>
  </w:num>
  <w:num w:numId="36">
    <w:abstractNumId w:val="16"/>
  </w:num>
  <w:num w:numId="37">
    <w:abstractNumId w:val="19"/>
  </w:num>
  <w:num w:numId="38">
    <w:abstractNumId w:val="20"/>
  </w:num>
  <w:num w:numId="39">
    <w:abstractNumId w:val="11"/>
  </w:num>
  <w:num w:numId="40">
    <w:abstractNumId w:val="18"/>
  </w:num>
  <w:num w:numId="41">
    <w:abstractNumId w:val="2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R_RefLast" w:val="0"/>
    <w:docVar w:name="DQCDateTime" w:val="2026-09-09 13:32:14"/>
    <w:docVar w:name="DQCRepairStyles" w:val=";TOC 9;Langues faisant foi;Intérêt EEE;Intérêt EEE (Page de couverture);Langues faisant foi (Page de couverture);"/>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la"/>
    <w:docVar w:name="LW_ACCOMPAGNANT.CP" w:val="la"/>
    <w:docVar w:name="LW_ANNEX_NBR_FIRST" w:val="1"/>
    <w:docVar w:name="LW_ANNEX_NBR_LAST" w:val="1"/>
    <w:docVar w:name="LW_ANNEX_UNIQUE" w:val="1"/>
    <w:docVar w:name="LW_CORRIGENDUM" w:val="&lt;UNUSED&gt;"/>
    <w:docVar w:name="LW_COVERPAGE_EXISTS" w:val="True"/>
    <w:docVar w:name="LW_COVERPAGE_GUID" w:val="39A2AA2B-8C1D-43DF-8F81-1FF4C53DF6D9"/>
    <w:docVar w:name="LW_COVERPAGE_TYPE" w:val="1"/>
    <w:docVar w:name="LW_CROSSREFERENCE" w:val="&lt;UNUSED&gt;"/>
    <w:docVar w:name="LW_DocType" w:val="ANNEX"/>
    <w:docVar w:name="LW_EMISSION" w:val="11.9.2026"/>
    <w:docVar w:name="LW_EMISSION_ISODATE" w:val="2026-09-11"/>
    <w:docVar w:name="LW_EMISSION_LOCATION" w:val="BRX"/>
    <w:docVar w:name="LW_EMISSION_PREFIX" w:val="Bruxelles, "/>
    <w:docVar w:name="LW_EMISSION_SUFFIX" w:val=" "/>
    <w:docVar w:name="LW_ID_DOCSTRUCTURE" w:val="COM/ANNEX"/>
    <w:docVar w:name="LW_ID_DOCTYPE" w:val="SG-017"/>
    <w:docVar w:name="LW_LANGUE" w:val="RO"/>
    <w:docVar w:name="LW_LEVEL_OF_SENSITIVITY" w:val="Standard treatment"/>
    <w:docVar w:name="LW_NOM.INST" w:val="COMISIA EUROPEAN\u258?"/>
    <w:docVar w:name="LW_NOM.INST_JOINTDOC" w:val="&lt;EMPTY&gt;"/>
    <w:docVar w:name="LW_OBJETACTEPRINCIPAL" w:val="&lt;FMT:Bold&gt;privind pozi\u539?ia care urmeaz\u259? s\u259? fie luat\u259?, în numele Uniunii Europene, în cadrul Consiliului de cooperare instituit prin Acordul de parteneriat \u537?i cooperare dintre Comunit\u259?\u539?ile Europene \u537?i statele membre ale acestora, pe de o parte, \u537?i Republica Azerbaidjan, pe de alt\u259? parte, cu privire la modificarea priorit\u259?\u539?ilor parteneriatului UE-Azerbaidjan \u537?i prelungirea perioadei de punere în aplicare a acestora&lt;/FMT&gt;"/>
    <w:docVar w:name="LW_OBJETACTEPRINCIPAL.CP" w:val="&lt;FMT:Bold&gt;privind pozi\u539?ia care urmeaz\u259? s\u259? fie luat\u259?, în numele Uniunii Europene, în cadrul Consiliului de cooperare instituit prin Acordul de parteneriat \u537?i cooperare dintre Comunit\u259?\u539?ile Europene \u537?i statele membre ale acestora, pe de o parte, \u537?i Republica Azerbaidjan, pe de alt\u259? parte, cu privire la modificarea priorit\u259?\u539?ilor parteneriatului UE-Azerbaidjan \u537?i prelungirea perioadei de punere în aplicare a acestora&lt;/FMT&gt;"/>
    <w:docVar w:name="LW_PART_NBR" w:val="1"/>
    <w:docVar w:name="LW_PART_NBR_TOTAL" w:val="1"/>
    <w:docVar w:name="LW_REF.INST.NEW" w:val="COM"/>
    <w:docVar w:name="LW_REF.INST.NEW_ADOPTED" w:val="final"/>
    <w:docVar w:name="LW_REF.INST.NEW_TEXT" w:val="(2026) 47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EX\u258?"/>
    <w:docVar w:name="LW_TYPE.DOC.CP" w:val="ANEX\u258?"/>
    <w:docVar w:name="LW_TYPEACTEPRINCIPAL" w:val="Propunerea de DECIZIE A CONSILIULUI"/>
    <w:docVar w:name="LW_TYPEACTEPRINCIPAL.CP" w:val="Propunerea de DECIZIE A CONSILIULUI"/>
    <w:docVar w:name="LwApiVersions" w:val="LW4CoDe 1.25.1.0; LW 9.2, Build 20260702"/>
    <w:docVar w:name="Stamp" w:val="\\dossiers.dgt.cec.eu.int\dossiers\EEAS\EEAS-2025-00989\EEAS-2025-00989-00-01-EN-EDT-00.20251202174320191456.DOCX"/>
  </w:docVars>
  <m:mathPr>
    <m:mathFont m:val="Cambria Math"/>
    <m:brkBin m:val="before"/>
    <m:brkBinSub m:val="--"/>
    <m:smallFrac m:val="0"/>
    <m:dispDef/>
    <m:lMargin m:val="0"/>
    <m:rMargin m:val="0"/>
    <m:defJc m:val="centerGroup"/>
    <m:wrapIndent m:val="1440"/>
    <m:intLim m:val="subSup"/>
    <m:naryLim m:val="undOvr"/>
  </m:mathPr>
  <w:themeFontLang w:val="en-US" w:eastAsia="ja-JP" w:bidi="mn-Mong-C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4662B985-ECE6-4A67-AE41-9ED65BB72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tabs>
        <w:tab w:val="clear" w:pos="643"/>
        <w:tab w:val="num" w:pos="360"/>
      </w:tabs>
      <w:ind w:left="0" w:firstLine="0"/>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Revision">
    <w:name w:val="Revision"/>
    <w:hidden/>
    <w:uiPriority w:val="99"/>
    <w:semiHidden/>
    <w:pPr>
      <w:spacing w:after="0" w:line="240" w:lineRule="auto"/>
    </w:pPr>
    <w:rPr>
      <w:rFonts w:ascii="Times New Roman" w:hAnsi="Times New Roman" w:cs="Times New Roman"/>
      <w:sz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paragraph" w:styleId="ListParagraph">
    <w:name w:val="List Paragraph"/>
    <w:aliases w:val="FooterText,Bullet List,List Paragraph1,numbered,Paragraphe de liste1,Bulletr List Paragraph,列出段落,列出段落1,Listeafsnit1,Parágrafo da Lista1,List Paragraph2,List Paragraph21,Párrafo de lista1,リスト段落1,Bullet points,Parбgrafo da Lista1,본문1,Plan"/>
    <w:basedOn w:val="Normal"/>
    <w:link w:val="ListParagraphChar"/>
    <w:uiPriority w:val="34"/>
    <w:qFormat/>
    <w:pPr>
      <w:spacing w:before="0" w:after="160" w:line="278" w:lineRule="auto"/>
      <w:ind w:left="720"/>
      <w:contextualSpacing/>
      <w:jc w:val="left"/>
    </w:pPr>
    <w:rPr>
      <w:rFonts w:asciiTheme="minorHAnsi" w:hAnsiTheme="minorHAnsi" w:cstheme="minorBidi"/>
      <w:kern w:val="2"/>
      <w:szCs w:val="24"/>
      <w14:ligatures w14:val="standardContextual"/>
    </w:rPr>
  </w:style>
  <w:style w:type="paragraph" w:styleId="NoSpacing">
    <w:name w:val="No Spacing"/>
    <w:uiPriority w:val="1"/>
    <w:qFormat/>
    <w:pPr>
      <w:spacing w:after="0" w:line="240" w:lineRule="auto"/>
    </w:pPr>
    <w:rPr>
      <w:kern w:val="2"/>
      <w:sz w:val="24"/>
      <w:szCs w:val="24"/>
      <w14:ligatures w14:val="standardContextual"/>
    </w:rPr>
  </w:style>
  <w:style w:type="character" w:customStyle="1" w:styleId="ListParagraphChar">
    <w:name w:val="List Paragraph Char"/>
    <w:aliases w:val="FooterText Char,Bullet List Char,List Paragraph1 Char,numbered Char,Paragraphe de liste1 Char,Bulletr List Paragraph Char,列出段落 Char,列出段落1 Char,Listeafsnit1 Char,Parágrafo da Lista1 Char,List Paragraph2 Char,List Paragraph21 Char"/>
    <w:basedOn w:val="DefaultParagraphFont"/>
    <w:link w:val="ListParagraph"/>
    <w:uiPriority w:val="1"/>
    <w:qFormat/>
    <w:locked/>
    <w:rPr>
      <w:kern w:val="2"/>
      <w:sz w:val="24"/>
      <w:szCs w:val="24"/>
      <w14:ligatures w14:val="standardContextual"/>
    </w:rPr>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Style1">
    <w:name w:val="Style1"/>
    <w:basedOn w:val="Default"/>
    <w:qFormat/>
  </w:style>
  <w:style w:type="paragraph" w:customStyle="1" w:styleId="Style2">
    <w:name w:val="Style2"/>
    <w:basedOn w:val="Considrant"/>
    <w:qFormat/>
    <w:pPr>
      <w:numPr>
        <w:numId w:val="0"/>
      </w:numPr>
      <w:ind w:left="709"/>
    </w:p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character" w:customStyle="1" w:styleId="FooterChar">
    <w:name w:val="Footer Char"/>
    <w:basedOn w:val="DefaultParagraphFont"/>
    <w:link w:val="Footer"/>
    <w:uiPriority w:val="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7"/>
      </w:numPr>
    </w:pPr>
  </w:style>
  <w:style w:type="paragraph" w:customStyle="1" w:styleId="Tiret1">
    <w:name w:val="Tiret 1"/>
    <w:basedOn w:val="Point1"/>
    <w:pPr>
      <w:numPr>
        <w:numId w:val="28"/>
      </w:numPr>
    </w:pPr>
  </w:style>
  <w:style w:type="paragraph" w:customStyle="1" w:styleId="Tiret2">
    <w:name w:val="Tiret 2"/>
    <w:basedOn w:val="Point2"/>
    <w:pPr>
      <w:numPr>
        <w:numId w:val="29"/>
      </w:numPr>
    </w:pPr>
  </w:style>
  <w:style w:type="paragraph" w:customStyle="1" w:styleId="Tiret3">
    <w:name w:val="Tiret 3"/>
    <w:basedOn w:val="Point3"/>
    <w:pPr>
      <w:numPr>
        <w:numId w:val="30"/>
      </w:numPr>
    </w:pPr>
  </w:style>
  <w:style w:type="paragraph" w:customStyle="1" w:styleId="Tiret4">
    <w:name w:val="Tiret 4"/>
    <w:basedOn w:val="Point4"/>
    <w:pPr>
      <w:numPr>
        <w:numId w:val="31"/>
      </w:numPr>
    </w:pPr>
  </w:style>
  <w:style w:type="paragraph" w:customStyle="1" w:styleId="Tiret5">
    <w:name w:val="Tiret 5"/>
    <w:basedOn w:val="Point5"/>
    <w:pPr>
      <w:numPr>
        <w:numId w:val="3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3"/>
      </w:numPr>
    </w:pPr>
  </w:style>
  <w:style w:type="paragraph" w:customStyle="1" w:styleId="NumPar2">
    <w:name w:val="NumPar 2"/>
    <w:basedOn w:val="Normal"/>
    <w:next w:val="Text1"/>
    <w:pPr>
      <w:numPr>
        <w:ilvl w:val="1"/>
        <w:numId w:val="33"/>
      </w:numPr>
    </w:pPr>
  </w:style>
  <w:style w:type="paragraph" w:customStyle="1" w:styleId="NumPar3">
    <w:name w:val="NumPar 3"/>
    <w:basedOn w:val="Normal"/>
    <w:next w:val="Text1"/>
    <w:pPr>
      <w:numPr>
        <w:ilvl w:val="2"/>
        <w:numId w:val="33"/>
      </w:numPr>
    </w:pPr>
  </w:style>
  <w:style w:type="paragraph" w:customStyle="1" w:styleId="NumPar4">
    <w:name w:val="NumPar 4"/>
    <w:basedOn w:val="Normal"/>
    <w:next w:val="Text1"/>
    <w:pPr>
      <w:numPr>
        <w:ilvl w:val="3"/>
        <w:numId w:val="33"/>
      </w:numPr>
    </w:pPr>
  </w:style>
  <w:style w:type="paragraph" w:customStyle="1" w:styleId="NumPar5">
    <w:name w:val="NumPar 5"/>
    <w:basedOn w:val="Normal"/>
    <w:next w:val="Text2"/>
    <w:pPr>
      <w:numPr>
        <w:ilvl w:val="4"/>
        <w:numId w:val="33"/>
      </w:numPr>
    </w:pPr>
  </w:style>
  <w:style w:type="paragraph" w:customStyle="1" w:styleId="NumPar6">
    <w:name w:val="NumPar 6"/>
    <w:basedOn w:val="Normal"/>
    <w:next w:val="Text2"/>
    <w:pPr>
      <w:numPr>
        <w:ilvl w:val="5"/>
        <w:numId w:val="33"/>
      </w:numPr>
    </w:pPr>
  </w:style>
  <w:style w:type="paragraph" w:customStyle="1" w:styleId="NumPar7">
    <w:name w:val="NumPar 7"/>
    <w:basedOn w:val="Normal"/>
    <w:next w:val="Text2"/>
    <w:pPr>
      <w:numPr>
        <w:ilvl w:val="6"/>
        <w:numId w:val="3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5"/>
      </w:numPr>
    </w:pPr>
  </w:style>
  <w:style w:type="paragraph" w:customStyle="1" w:styleId="Point1number">
    <w:name w:val="Point 1 (number)"/>
    <w:basedOn w:val="Normal"/>
    <w:pPr>
      <w:numPr>
        <w:ilvl w:val="2"/>
        <w:numId w:val="35"/>
      </w:numPr>
    </w:pPr>
  </w:style>
  <w:style w:type="paragraph" w:customStyle="1" w:styleId="Point2number">
    <w:name w:val="Point 2 (number)"/>
    <w:basedOn w:val="Normal"/>
    <w:pPr>
      <w:numPr>
        <w:ilvl w:val="4"/>
        <w:numId w:val="35"/>
      </w:numPr>
    </w:pPr>
  </w:style>
  <w:style w:type="paragraph" w:customStyle="1" w:styleId="Point3number">
    <w:name w:val="Point 3 (number)"/>
    <w:basedOn w:val="Normal"/>
    <w:pPr>
      <w:numPr>
        <w:ilvl w:val="6"/>
        <w:numId w:val="35"/>
      </w:numPr>
    </w:pPr>
  </w:style>
  <w:style w:type="paragraph" w:customStyle="1" w:styleId="Point0letter">
    <w:name w:val="Point 0 (letter)"/>
    <w:basedOn w:val="Normal"/>
    <w:pPr>
      <w:numPr>
        <w:ilvl w:val="1"/>
        <w:numId w:val="35"/>
      </w:numPr>
    </w:pPr>
  </w:style>
  <w:style w:type="paragraph" w:customStyle="1" w:styleId="Point1letter">
    <w:name w:val="Point 1 (letter)"/>
    <w:basedOn w:val="Normal"/>
    <w:pPr>
      <w:numPr>
        <w:ilvl w:val="3"/>
        <w:numId w:val="35"/>
      </w:numPr>
    </w:pPr>
  </w:style>
  <w:style w:type="paragraph" w:customStyle="1" w:styleId="Point2letter">
    <w:name w:val="Point 2 (letter)"/>
    <w:basedOn w:val="Normal"/>
    <w:pPr>
      <w:numPr>
        <w:ilvl w:val="5"/>
        <w:numId w:val="35"/>
      </w:numPr>
    </w:pPr>
  </w:style>
  <w:style w:type="paragraph" w:customStyle="1" w:styleId="Point3letter">
    <w:name w:val="Point 3 (letter)"/>
    <w:basedOn w:val="Normal"/>
    <w:pPr>
      <w:numPr>
        <w:ilvl w:val="7"/>
        <w:numId w:val="35"/>
      </w:numPr>
    </w:pPr>
  </w:style>
  <w:style w:type="paragraph" w:customStyle="1" w:styleId="Point4letter">
    <w:name w:val="Point 4 (letter)"/>
    <w:basedOn w:val="Normal"/>
    <w:pPr>
      <w:numPr>
        <w:ilvl w:val="8"/>
        <w:numId w:val="35"/>
      </w:numPr>
    </w:pPr>
  </w:style>
  <w:style w:type="paragraph" w:customStyle="1" w:styleId="Bullet0">
    <w:name w:val="Bullet 0"/>
    <w:basedOn w:val="Normal"/>
    <w:pPr>
      <w:numPr>
        <w:numId w:val="36"/>
      </w:numPr>
    </w:pPr>
  </w:style>
  <w:style w:type="paragraph" w:customStyle="1" w:styleId="Bullet1">
    <w:name w:val="Bullet 1"/>
    <w:basedOn w:val="Normal"/>
    <w:pPr>
      <w:numPr>
        <w:numId w:val="37"/>
      </w:numPr>
    </w:pPr>
  </w:style>
  <w:style w:type="paragraph" w:customStyle="1" w:styleId="Bullet2">
    <w:name w:val="Bullet 2"/>
    <w:basedOn w:val="Normal"/>
    <w:pPr>
      <w:numPr>
        <w:numId w:val="38"/>
      </w:numPr>
    </w:pPr>
  </w:style>
  <w:style w:type="paragraph" w:customStyle="1" w:styleId="Bullet3">
    <w:name w:val="Bullet 3"/>
    <w:basedOn w:val="Normal"/>
    <w:pPr>
      <w:numPr>
        <w:numId w:val="39"/>
      </w:numPr>
    </w:pPr>
  </w:style>
  <w:style w:type="paragraph" w:customStyle="1" w:styleId="Bullet4">
    <w:name w:val="Bullet 4"/>
    <w:basedOn w:val="Normal"/>
    <w:pPr>
      <w:numPr>
        <w:numId w:val="4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2695449">
      <w:bodyDiv w:val="1"/>
      <w:marLeft w:val="0"/>
      <w:marRight w:val="0"/>
      <w:marTop w:val="0"/>
      <w:marBottom w:val="0"/>
      <w:divBdr>
        <w:top w:val="none" w:sz="0" w:space="0" w:color="auto"/>
        <w:left w:val="none" w:sz="0" w:space="0" w:color="auto"/>
        <w:bottom w:val="none" w:sz="0" w:space="0" w:color="auto"/>
        <w:right w:val="none" w:sz="0" w:space="0" w:color="auto"/>
      </w:divBdr>
    </w:div>
    <w:div w:id="1920208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8BDA72-F236-4F84-82D4-7A2114748A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98</TotalTime>
  <Pages>4</Pages>
  <Words>6196</Words>
  <Characters>35320</Characters>
  <Application>Microsoft Office Word</Application>
  <DocSecurity>0</DocSecurity>
  <Lines>294</Lines>
  <Paragraphs>82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19</cp:revision>
  <dcterms:created xsi:type="dcterms:W3CDTF">2026-09-07T07:36:00Z</dcterms:created>
  <dcterms:modified xsi:type="dcterms:W3CDTF">2026-09-09T11:32:00Z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2026-07-27T14:06:47Z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ca696fcf-0d01-4c12-8939-050ab2a05edc</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Category">
    <vt:lpwstr>COM/ANNEX</vt:lpwstr>
  </property>
  <property fmtid="{D5CDD505-2E9C-101B-9397-08002B2CF9AE}" pid="12" name="Last edited using">
    <vt:lpwstr>LW 9.2, Build 20250828</vt:lpwstr>
  </property>
  <property fmtid="{D5CDD505-2E9C-101B-9397-08002B2CF9AE}" pid="13" name="First annex">
    <vt:lpwstr>1</vt:lpwstr>
  </property>
  <property fmtid="{D5CDD505-2E9C-101B-9397-08002B2CF9AE}" pid="14" name="Last annex">
    <vt:lpwstr>1</vt:lpwstr>
  </property>
  <property fmtid="{D5CDD505-2E9C-101B-9397-08002B2CF9AE}" pid="15" name="Unique annex">
    <vt:lpwstr>1</vt:lpwstr>
  </property>
  <property fmtid="{D5CDD505-2E9C-101B-9397-08002B2CF9AE}" pid="16" name="Part">
    <vt:lpwstr>1</vt:lpwstr>
  </property>
  <property fmtid="{D5CDD505-2E9C-101B-9397-08002B2CF9AE}" pid="17" name="Total parts">
    <vt:lpwstr>1</vt:lpwstr>
  </property>
  <property fmtid="{D5CDD505-2E9C-101B-9397-08002B2CF9AE}" pid="18" name="LWTemplateID">
    <vt:lpwstr>SG-017</vt:lpwstr>
  </property>
  <property fmtid="{D5CDD505-2E9C-101B-9397-08002B2CF9AE}" pid="19" name="DQCStatus">
    <vt:lpwstr>Green (DQC version 03)</vt:lpwstr>
  </property>
</Properties>
</file>