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53C0070-B059-470F-9E46-4C44334AFACF" style="width:455.25pt;height:286.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Heading1"/>
        <w:rPr>
          <w:noProof/>
        </w:rPr>
      </w:pPr>
      <w:r>
        <w:rPr>
          <w:noProof/>
        </w:rPr>
        <w:lastRenderedPageBreak/>
        <w:t>Introduction</w:t>
      </w:r>
    </w:p>
    <w:p>
      <w:pPr>
        <w:pStyle w:val="BodyText"/>
        <w:jc w:val="both"/>
        <w:rPr>
          <w:noProof/>
        </w:rPr>
      </w:pPr>
      <w:r>
        <w:rPr>
          <w:noProof/>
        </w:rPr>
        <w:t>Energy subsidies represent a fiscal burden and a cost to public budgets. It is therefore essential that energy subsidies are well designed, well-spent, and fit in coherently with EU policy goals to achieve a competitive and just carbon-neutral economy alongside a secure, clean energy supply by 2050.</w:t>
      </w:r>
    </w:p>
    <w:p>
      <w:pPr>
        <w:pStyle w:val="BodyText"/>
        <w:jc w:val="both"/>
        <w:rPr>
          <w:noProof/>
        </w:rPr>
      </w:pPr>
      <w:r>
        <w:rPr>
          <w:noProof/>
        </w:rPr>
        <w:t>This report, which covers the year 2024, is the seventh annual report on energy subsidies and progress towards phasing out fossil-fuel subsidies</w:t>
      </w:r>
      <w:r>
        <w:rPr>
          <w:rStyle w:val="FootnoteReference"/>
          <w:rFonts w:eastAsia="MS Mincho"/>
          <w:noProof/>
        </w:rPr>
        <w:footnoteReference w:id="1"/>
      </w:r>
      <w:r>
        <w:rPr>
          <w:noProof/>
        </w:rPr>
        <w:t>. It confirms a significant decline in temporary subsidies for combating the high energy prices which resulted from the 2022 energy crisis, a rebound in renewable energy subsidies, increased support for energy efficiency and infrastructure and an overall reduction in fossil fuel subsidies compared to 2023</w:t>
      </w:r>
      <w:r>
        <w:rPr>
          <w:rStyle w:val="FootnoteReference"/>
          <w:rFonts w:eastAsia="MS Mincho"/>
          <w:noProof/>
        </w:rPr>
        <w:footnoteReference w:id="2"/>
      </w:r>
      <w:r>
        <w:rPr>
          <w:noProof/>
        </w:rPr>
        <w:t>. Nevertheless, Member State spending on energy subsidies, including on fossil fuels, remains high compared to the situation prior to the 2022 crisis.</w:t>
      </w:r>
    </w:p>
    <w:p>
      <w:pPr>
        <w:pStyle w:val="BodyText"/>
        <w:jc w:val="both"/>
        <w:rPr>
          <w:noProof/>
        </w:rPr>
      </w:pPr>
      <w:r>
        <w:rPr>
          <w:noProof/>
        </w:rPr>
        <w:t>The data in this report does not cover more recent developments from 2025 and 2026, including Member State responses to the conflict in the Middle East.</w:t>
      </w:r>
    </w:p>
    <w:p>
      <w:pPr>
        <w:pStyle w:val="BodyText"/>
        <w:pBdr>
          <w:top w:val="single" w:sz="4" w:space="1" w:color="auto"/>
          <w:left w:val="single" w:sz="4" w:space="4" w:color="auto"/>
          <w:bottom w:val="single" w:sz="4" w:space="1" w:color="auto"/>
          <w:right w:val="single" w:sz="4" w:space="4" w:color="auto"/>
        </w:pBdr>
        <w:jc w:val="both"/>
        <w:rPr>
          <w:b/>
          <w:bCs/>
          <w:i/>
          <w:iCs/>
          <w:noProof/>
        </w:rPr>
      </w:pPr>
      <w:bookmarkStart w:id="1" w:name="_Hlk223529024"/>
      <w:r>
        <w:rPr>
          <w:b/>
          <w:bCs/>
          <w:i/>
          <w:iCs/>
          <w:noProof/>
        </w:rPr>
        <w:t>Key findings:</w:t>
      </w:r>
    </w:p>
    <w:p>
      <w:pPr>
        <w:pStyle w:val="BodyText"/>
        <w:pBdr>
          <w:top w:val="single" w:sz="4" w:space="1" w:color="auto"/>
          <w:left w:val="single" w:sz="4" w:space="4" w:color="auto"/>
          <w:bottom w:val="single" w:sz="4" w:space="1" w:color="auto"/>
          <w:right w:val="single" w:sz="4" w:space="4" w:color="auto"/>
        </w:pBdr>
        <w:jc w:val="both"/>
        <w:rPr>
          <w:noProof/>
        </w:rPr>
      </w:pPr>
      <w:r>
        <w:rPr>
          <w:i/>
          <w:iCs/>
          <w:noProof/>
        </w:rPr>
        <w:t>Total energy subsidies</w:t>
      </w:r>
      <w:r>
        <w:rPr>
          <w:noProof/>
        </w:rPr>
        <w:t xml:space="preserve"> in the EU in 2024 were worth EUR 340 billion, a slight decrease (-5%) compared to 2023 (EUR 360 billion) and significantly lower (-25%) than 2022, at the height of the crisis (EUR 457 billion). However, they remained considerably above the historical average (EUR 190 billion in 2015-2019).</w:t>
      </w:r>
    </w:p>
    <w:p>
      <w:pPr>
        <w:pStyle w:val="BodyText"/>
        <w:pBdr>
          <w:top w:val="single" w:sz="4" w:space="1" w:color="auto"/>
          <w:left w:val="single" w:sz="4" w:space="4" w:color="auto"/>
          <w:bottom w:val="single" w:sz="4" w:space="1" w:color="auto"/>
          <w:right w:val="single" w:sz="4" w:space="4" w:color="auto"/>
        </w:pBdr>
        <w:jc w:val="both"/>
        <w:rPr>
          <w:noProof/>
        </w:rPr>
      </w:pPr>
      <w:bookmarkStart w:id="2" w:name="_Hlk223529256"/>
      <w:bookmarkEnd w:id="1"/>
      <w:r>
        <w:rPr>
          <w:noProof/>
        </w:rPr>
        <w:t xml:space="preserve">The share of </w:t>
      </w:r>
      <w:r>
        <w:rPr>
          <w:i/>
          <w:iCs/>
          <w:noProof/>
        </w:rPr>
        <w:t>non-targeted energy subsidies,</w:t>
      </w:r>
      <w:r>
        <w:rPr>
          <w:noProof/>
        </w:rPr>
        <w:t xml:space="preserve"> benefiting the use of all energy carriers across all end-users in a cross-sectoral way, </w:t>
      </w:r>
      <w:r>
        <w:rPr>
          <w:rFonts w:cs="Consolas"/>
          <w:noProof/>
        </w:rPr>
        <w:t>remained high at almost half of all energy subsidies (48%) and more than twice the historic average (21% in 2015-2019).</w:t>
      </w:r>
    </w:p>
    <w:p>
      <w:pPr>
        <w:pStyle w:val="BodyText"/>
        <w:pBdr>
          <w:top w:val="single" w:sz="4" w:space="1" w:color="auto"/>
          <w:left w:val="single" w:sz="4" w:space="4" w:color="auto"/>
          <w:bottom w:val="single" w:sz="4" w:space="1" w:color="auto"/>
          <w:right w:val="single" w:sz="4" w:space="4" w:color="auto"/>
        </w:pBdr>
        <w:jc w:val="both"/>
        <w:rPr>
          <w:noProof/>
        </w:rPr>
      </w:pPr>
      <w:r>
        <w:rPr>
          <w:i/>
          <w:iCs/>
          <w:noProof/>
        </w:rPr>
        <w:t xml:space="preserve">Temporary measures </w:t>
      </w:r>
      <w:r>
        <w:rPr>
          <w:noProof/>
        </w:rPr>
        <w:t>aimed at addressing high energy prices decreased in value by 38% (to EUR 98 billion) in 2024 compared with 2023 and were below half their value (-55%) compared with 2022 (EUR 219 billion), as Member States terminated many such support measures in response to energy prices coming down after their historic peaks in 2022 and 2023. However, this still fell short of the objective set by the Council to wind down energy crisis-related subsidies completely by 2024</w:t>
      </w:r>
      <w:r>
        <w:rPr>
          <w:rStyle w:val="FootnoteReference"/>
          <w:rFonts w:eastAsia="MS Mincho"/>
          <w:noProof/>
        </w:rPr>
        <w:footnoteReference w:id="3"/>
      </w:r>
      <w:r>
        <w:rPr>
          <w:noProof/>
        </w:rPr>
        <w:t>.</w:t>
      </w:r>
    </w:p>
    <w:p>
      <w:pPr>
        <w:pStyle w:val="BodyText"/>
        <w:pBdr>
          <w:top w:val="single" w:sz="4" w:space="1" w:color="auto"/>
          <w:left w:val="single" w:sz="4" w:space="4" w:color="auto"/>
          <w:bottom w:val="single" w:sz="4" w:space="1" w:color="auto"/>
          <w:right w:val="single" w:sz="4" w:space="4" w:color="auto"/>
        </w:pBdr>
        <w:jc w:val="both"/>
        <w:rPr>
          <w:noProof/>
        </w:rPr>
      </w:pPr>
      <w:r>
        <w:rPr>
          <w:i/>
          <w:iCs/>
          <w:noProof/>
        </w:rPr>
        <w:t>Renewable energy subsidies</w:t>
      </w:r>
      <w:r>
        <w:rPr>
          <w:noProof/>
        </w:rPr>
        <w:t xml:space="preserve"> rebounded to EUR 76 billion in 2024, representing an increase in value of 39% compared to 2023 (EUR 55 billion), while remaining around 12% below the average for the period 2015-2021 (EUR 87 billion).</w:t>
      </w:r>
    </w:p>
    <w:p>
      <w:pPr>
        <w:pStyle w:val="BodyText"/>
        <w:pBdr>
          <w:top w:val="single" w:sz="4" w:space="1" w:color="auto"/>
          <w:left w:val="single" w:sz="4" w:space="4" w:color="auto"/>
          <w:bottom w:val="single" w:sz="4" w:space="1" w:color="auto"/>
          <w:right w:val="single" w:sz="4" w:space="4" w:color="auto"/>
        </w:pBdr>
        <w:jc w:val="both"/>
        <w:rPr>
          <w:noProof/>
        </w:rPr>
      </w:pPr>
      <w:r>
        <w:rPr>
          <w:noProof/>
        </w:rPr>
        <w:lastRenderedPageBreak/>
        <w:t xml:space="preserve">In 2024, </w:t>
      </w:r>
      <w:r>
        <w:rPr>
          <w:i/>
          <w:iCs/>
          <w:noProof/>
        </w:rPr>
        <w:t>fossil fuel subsidies</w:t>
      </w:r>
      <w:r>
        <w:rPr>
          <w:noProof/>
        </w:rPr>
        <w:t xml:space="preserve"> (FFS) were worth EUR 97 billion, well in excess of the average for the period 2015-2019 of EUR 60 billion</w:t>
      </w:r>
      <w:r>
        <w:rPr>
          <w:rStyle w:val="FootnoteReference"/>
          <w:rFonts w:eastAsia="MS Mincho"/>
          <w:noProof/>
        </w:rPr>
        <w:footnoteReference w:id="4"/>
      </w:r>
      <w:r>
        <w:rPr>
          <w:noProof/>
        </w:rPr>
        <w:t>. However, in 2024, due to the phase-out of many temporary crisis measures, FFSs declined by 20% compared to 2023 (EUR 121 billion) and were down by 42% from their peak in 2022 (EUR 168 billion).</w:t>
      </w:r>
    </w:p>
    <w:p>
      <w:pPr>
        <w:pStyle w:val="BodyText"/>
        <w:pBdr>
          <w:top w:val="single" w:sz="4" w:space="1" w:color="auto"/>
          <w:left w:val="single" w:sz="4" w:space="4" w:color="auto"/>
          <w:bottom w:val="single" w:sz="4" w:space="1" w:color="auto"/>
          <w:right w:val="single" w:sz="4" w:space="4" w:color="auto"/>
        </w:pBdr>
        <w:jc w:val="both"/>
        <w:rPr>
          <w:noProof/>
        </w:rPr>
      </w:pPr>
      <w:bookmarkStart w:id="3" w:name="_Hlk223529804"/>
      <w:bookmarkEnd w:id="2"/>
      <w:r>
        <w:rPr>
          <w:noProof/>
        </w:rPr>
        <w:t xml:space="preserve">The </w:t>
      </w:r>
      <w:r>
        <w:rPr>
          <w:i/>
          <w:iCs/>
          <w:noProof/>
        </w:rPr>
        <w:t xml:space="preserve">purpose of energy subsidies </w:t>
      </w:r>
      <w:r>
        <w:rPr>
          <w:noProof/>
        </w:rPr>
        <w:t xml:space="preserve">remained first and foremost to support energy consumption (70% of total energy subsidies or </w:t>
      </w:r>
      <w:r>
        <w:rPr>
          <w:rFonts w:eastAsia="Times New Roman"/>
          <w:noProof/>
        </w:rPr>
        <w:t>EUR 238 billion in 2024)</w:t>
      </w:r>
      <w:r>
        <w:rPr>
          <w:noProof/>
        </w:rPr>
        <w:t>, and then to support energy production (24% or EUR 82 billion).</w:t>
      </w:r>
    </w:p>
    <w:bookmarkEnd w:id="3"/>
    <w:p>
      <w:pPr>
        <w:pStyle w:val="BodyText"/>
        <w:pBdr>
          <w:top w:val="single" w:sz="4" w:space="1" w:color="auto"/>
          <w:left w:val="single" w:sz="4" w:space="4" w:color="auto"/>
          <w:bottom w:val="single" w:sz="4" w:space="1" w:color="auto"/>
          <w:right w:val="single" w:sz="4" w:space="4" w:color="auto"/>
        </w:pBdr>
        <w:jc w:val="both"/>
        <w:rPr>
          <w:noProof/>
        </w:rPr>
      </w:pPr>
      <w:r>
        <w:rPr>
          <w:noProof/>
        </w:rPr>
        <w:t xml:space="preserve">In 2024, </w:t>
      </w:r>
      <w:r>
        <w:rPr>
          <w:i/>
          <w:iCs/>
          <w:noProof/>
        </w:rPr>
        <w:t>environmentally harmful subsidies</w:t>
      </w:r>
      <w:r>
        <w:rPr>
          <w:noProof/>
        </w:rPr>
        <w:t xml:space="preserve"> fell by 26% to EUR 110 billion (32% of the total), while</w:t>
      </w:r>
      <w:r>
        <w:rPr>
          <w:i/>
          <w:iCs/>
          <w:noProof/>
        </w:rPr>
        <w:t xml:space="preserve"> non-environmentally harmful energy subsidies</w:t>
      </w:r>
      <w:r>
        <w:rPr>
          <w:noProof/>
        </w:rPr>
        <w:t xml:space="preserve"> rose by 10% to EUR 230 billion (68%). The </w:t>
      </w:r>
      <w:r>
        <w:rPr>
          <w:i/>
          <w:iCs/>
          <w:noProof/>
        </w:rPr>
        <w:t>largest share of environmentally harmful subsidies</w:t>
      </w:r>
      <w:r>
        <w:rPr>
          <w:noProof/>
        </w:rPr>
        <w:t xml:space="preserve"> (EUR 89 billion or 81%) was accounted for by </w:t>
      </w:r>
      <w:r>
        <w:rPr>
          <w:i/>
          <w:iCs/>
          <w:noProof/>
        </w:rPr>
        <w:t>fossil fuels subsidies</w:t>
      </w:r>
      <w:r>
        <w:rPr>
          <w:rStyle w:val="FootnoteReference"/>
          <w:rFonts w:eastAsia="MS Mincho"/>
          <w:iCs/>
          <w:noProof/>
        </w:rPr>
        <w:footnoteReference w:id="5"/>
      </w:r>
      <w:r>
        <w:rPr>
          <w:i/>
          <w:iCs/>
          <w:noProof/>
        </w:rPr>
        <w:t>.</w:t>
      </w:r>
    </w:p>
    <w:p>
      <w:pPr>
        <w:pStyle w:val="BodyText"/>
        <w:pBdr>
          <w:top w:val="single" w:sz="4" w:space="1" w:color="auto"/>
          <w:left w:val="single" w:sz="4" w:space="4" w:color="auto"/>
          <w:bottom w:val="single" w:sz="4" w:space="1" w:color="auto"/>
          <w:right w:val="single" w:sz="4" w:space="4" w:color="auto"/>
        </w:pBdr>
        <w:jc w:val="both"/>
        <w:rPr>
          <w:noProof/>
        </w:rPr>
      </w:pPr>
      <w:bookmarkStart w:id="4" w:name="_Hlk223529821"/>
      <w:r>
        <w:rPr>
          <w:noProof/>
        </w:rPr>
        <w:t xml:space="preserve">According to the </w:t>
      </w:r>
      <w:r>
        <w:rPr>
          <w:i/>
          <w:iCs/>
          <w:noProof/>
        </w:rPr>
        <w:t>national phase-out plans communicated by Member States in 2023 and 2024</w:t>
      </w:r>
      <w:r>
        <w:rPr>
          <w:rStyle w:val="FootnoteReference"/>
          <w:rFonts w:eastAsia="MS Mincho"/>
          <w:iCs/>
          <w:noProof/>
        </w:rPr>
        <w:footnoteReference w:id="6"/>
      </w:r>
      <w:r>
        <w:rPr>
          <w:noProof/>
        </w:rPr>
        <w:t xml:space="preserve">, fewer than half (39% or EUR 38 billion) of all fossil fuel subsidies </w:t>
      </w:r>
      <w:r>
        <w:rPr>
          <w:noProof/>
          <w:szCs w:val="22"/>
        </w:rPr>
        <w:t>had a planned end-date</w:t>
      </w:r>
      <w:r>
        <w:rPr>
          <w:noProof/>
        </w:rPr>
        <w:t xml:space="preserve"> before 2025, another </w:t>
      </w:r>
      <w:r>
        <w:rPr>
          <w:rFonts w:cs="Consolas"/>
          <w:noProof/>
        </w:rPr>
        <w:t xml:space="preserve">8% (EUR 8 billion) had a planned end-date between 2026 and 2030, while </w:t>
      </w:r>
      <w:r>
        <w:rPr>
          <w:noProof/>
        </w:rPr>
        <w:t>the remaining 52% (EUR 50 billion) had either no end-date or an end-date set for after 2030.</w:t>
      </w:r>
    </w:p>
    <w:bookmarkEnd w:id="4"/>
    <w:p>
      <w:pPr>
        <w:pStyle w:val="BodyText"/>
        <w:jc w:val="both"/>
        <w:rPr>
          <w:noProof/>
        </w:rPr>
      </w:pPr>
    </w:p>
    <w:p>
      <w:pPr>
        <w:pStyle w:val="Heading1"/>
        <w:pageBreakBefore/>
        <w:rPr>
          <w:noProof/>
        </w:rPr>
      </w:pPr>
      <w:r>
        <w:rPr>
          <w:noProof/>
        </w:rPr>
        <w:lastRenderedPageBreak/>
        <w:t>Energy subsidy trends in the EU</w:t>
      </w:r>
    </w:p>
    <w:p>
      <w:pPr>
        <w:pStyle w:val="Bullet-1"/>
        <w:numPr>
          <w:ilvl w:val="0"/>
          <w:numId w:val="0"/>
        </w:numPr>
        <w:spacing w:after="200"/>
        <w:rPr>
          <w:noProof/>
          <w:sz w:val="24"/>
          <w:szCs w:val="24"/>
        </w:rPr>
      </w:pPr>
      <w:r>
        <w:rPr>
          <w:rFonts w:ascii="Times New Roman" w:eastAsia="MS Mincho" w:hAnsi="Times New Roman"/>
          <w:noProof/>
          <w:sz w:val="24"/>
          <w:szCs w:val="24"/>
        </w:rPr>
        <w:t xml:space="preserve">In 2024, the total value of </w:t>
      </w:r>
      <w:r>
        <w:rPr>
          <w:rFonts w:ascii="Times New Roman" w:eastAsia="MS Mincho" w:hAnsi="Times New Roman"/>
          <w:b/>
          <w:bCs/>
          <w:noProof/>
          <w:sz w:val="24"/>
          <w:szCs w:val="24"/>
        </w:rPr>
        <w:t xml:space="preserve">energy subsidies in the EU-27 declined </w:t>
      </w:r>
      <w:r>
        <w:rPr>
          <w:rFonts w:ascii="Times New Roman" w:eastAsia="MS Mincho" w:hAnsi="Times New Roman"/>
          <w:noProof/>
          <w:sz w:val="24"/>
          <w:szCs w:val="24"/>
        </w:rPr>
        <w:t>by 5% to EUR 340 billion compared to EUR 358 billion in 2023. This was the second year in a row in which the total value of energy subsidies had fallen, taking them 25% below their historic peak of EUR 457 billion</w:t>
      </w:r>
      <w:r>
        <w:rPr>
          <w:rFonts w:ascii="Times New Roman" w:eastAsia="MS Mincho" w:hAnsi="Times New Roman"/>
          <w:noProof/>
          <w:sz w:val="24"/>
          <w:szCs w:val="24"/>
          <w:vertAlign w:val="superscript"/>
        </w:rPr>
        <w:footnoteReference w:id="7"/>
      </w:r>
      <w:r>
        <w:rPr>
          <w:rFonts w:ascii="Times New Roman" w:eastAsia="MS Mincho" w:hAnsi="Times New Roman"/>
          <w:noProof/>
          <w:sz w:val="24"/>
          <w:szCs w:val="24"/>
        </w:rPr>
        <w:t xml:space="preserve"> reached in 2022. This decrease reflects decisions by several Member States to discontinue temporary measures for protecting households and economic activity from rising energy prices</w:t>
      </w:r>
      <w:r>
        <w:rPr>
          <w:rFonts w:ascii="Times New Roman" w:hAnsi="Times New Roman"/>
          <w:noProof/>
          <w:sz w:val="24"/>
          <w:szCs w:val="24"/>
        </w:rPr>
        <w:t xml:space="preserve"> (</w:t>
      </w:r>
      <w:r>
        <w:rPr>
          <w:rFonts w:ascii="Times New Roman" w:hAnsi="Times New Roman"/>
          <w:noProof/>
          <w:color w:val="2B579A"/>
          <w:sz w:val="24"/>
          <w:szCs w:val="24"/>
          <w:shd w:val="clear" w:color="auto" w:fill="E6E6E6"/>
        </w:rPr>
        <w:fldChar w:fldCharType="begin"/>
      </w:r>
      <w:r>
        <w:rPr>
          <w:rFonts w:ascii="Times New Roman" w:hAnsi="Times New Roman"/>
          <w:noProof/>
          <w:sz w:val="24"/>
          <w:szCs w:val="24"/>
        </w:rPr>
        <w:instrText xml:space="preserve"> REF _Ref140835769 \h </w:instrText>
      </w:r>
      <w:r>
        <w:rPr>
          <w:rFonts w:ascii="Times New Roman" w:hAnsi="Times New Roman"/>
          <w:noProof/>
          <w:color w:val="2B579A"/>
          <w:sz w:val="24"/>
          <w:szCs w:val="24"/>
          <w:shd w:val="clear" w:color="auto" w:fill="E6E6E6"/>
        </w:rPr>
        <w:instrText xml:space="preserve"> \* MERGEFORMAT </w:instrText>
      </w:r>
      <w:r>
        <w:rPr>
          <w:rFonts w:ascii="Times New Roman" w:hAnsi="Times New Roman"/>
          <w:noProof/>
          <w:color w:val="2B579A"/>
          <w:sz w:val="24"/>
          <w:szCs w:val="24"/>
          <w:shd w:val="clear" w:color="auto" w:fill="E6E6E6"/>
        </w:rPr>
      </w:r>
      <w:r>
        <w:rPr>
          <w:rFonts w:ascii="Times New Roman" w:hAnsi="Times New Roman"/>
          <w:noProof/>
          <w:color w:val="2B579A"/>
          <w:sz w:val="24"/>
          <w:szCs w:val="24"/>
          <w:shd w:val="clear" w:color="auto" w:fill="E6E6E6"/>
        </w:rPr>
        <w:fldChar w:fldCharType="separate"/>
      </w:r>
      <w:r>
        <w:rPr>
          <w:rFonts w:ascii="Times New Roman" w:hAnsi="Times New Roman"/>
          <w:noProof/>
          <w:sz w:val="24"/>
          <w:szCs w:val="24"/>
        </w:rPr>
        <w:t>Figure 1</w:t>
      </w:r>
      <w:r>
        <w:rPr>
          <w:rFonts w:ascii="Times New Roman" w:hAnsi="Times New Roman"/>
          <w:noProof/>
          <w:color w:val="2B579A"/>
          <w:sz w:val="24"/>
          <w:szCs w:val="24"/>
          <w:shd w:val="clear" w:color="auto" w:fill="E6E6E6"/>
        </w:rPr>
        <w:fldChar w:fldCharType="end"/>
      </w:r>
      <w:r>
        <w:rPr>
          <w:rFonts w:ascii="Times New Roman" w:hAnsi="Times New Roman"/>
          <w:noProof/>
          <w:sz w:val="24"/>
          <w:szCs w:val="24"/>
        </w:rPr>
        <w:t xml:space="preserve">). </w:t>
      </w:r>
      <w:r>
        <w:rPr>
          <w:rFonts w:ascii="Times New Roman" w:eastAsia="MS Mincho" w:hAnsi="Times New Roman"/>
          <w:noProof/>
          <w:sz w:val="24"/>
          <w:szCs w:val="24"/>
        </w:rPr>
        <w:t xml:space="preserve">However, the total value of energy subsidies remained well </w:t>
      </w:r>
      <w:r>
        <w:rPr>
          <w:rFonts w:ascii="Times New Roman" w:eastAsia="MS Mincho" w:hAnsi="Times New Roman"/>
          <w:b/>
          <w:bCs/>
          <w:noProof/>
          <w:sz w:val="24"/>
          <w:szCs w:val="24"/>
        </w:rPr>
        <w:t>above the historic average</w:t>
      </w:r>
      <w:r>
        <w:rPr>
          <w:rFonts w:ascii="Times New Roman" w:eastAsia="MS Mincho" w:hAnsi="Times New Roman"/>
          <w:noProof/>
          <w:sz w:val="24"/>
          <w:szCs w:val="24"/>
        </w:rPr>
        <w:t xml:space="preserve"> (EUR 190 billion, 2015-2019).</w:t>
      </w:r>
    </w:p>
    <w:p>
      <w:pPr>
        <w:pStyle w:val="BodyText"/>
        <w:spacing w:after="0"/>
        <w:jc w:val="both"/>
        <w:rPr>
          <w:noProof/>
        </w:rPr>
      </w:pPr>
    </w:p>
    <w:p>
      <w:pPr>
        <w:pStyle w:val="BodyText"/>
        <w:spacing w:after="0"/>
        <w:jc w:val="both"/>
        <w:rPr>
          <w:noProof/>
        </w:rPr>
      </w:pPr>
    </w:p>
    <w:p>
      <w:pPr>
        <w:pStyle w:val="BodyText"/>
        <w:spacing w:after="0"/>
        <w:jc w:val="both"/>
        <w:rPr>
          <w:noProof/>
        </w:rPr>
      </w:pPr>
      <w:r>
        <w:rPr>
          <w:noProof/>
        </w:rPr>
        <w:drawing>
          <wp:inline distT="0" distB="0" distL="0" distR="0">
            <wp:extent cx="5472430" cy="2326005"/>
            <wp:effectExtent l="0" t="0" r="0" b="0"/>
            <wp:docPr id="1897903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72430" cy="2326005"/>
                    </a:xfrm>
                    <a:prstGeom prst="rect">
                      <a:avLst/>
                    </a:prstGeom>
                    <a:noFill/>
                    <a:ln>
                      <a:noFill/>
                    </a:ln>
                  </pic:spPr>
                </pic:pic>
              </a:graphicData>
            </a:graphic>
          </wp:inline>
        </w:drawing>
      </w:r>
    </w:p>
    <w:p>
      <w:pPr>
        <w:pStyle w:val="Caption"/>
        <w:spacing w:after="0"/>
        <w:contextualSpacing/>
        <w:jc w:val="center"/>
        <w:rPr>
          <w:noProof/>
        </w:rPr>
      </w:pPr>
      <w:bookmarkStart w:id="5" w:name="_Ref140835769"/>
      <w:bookmarkStart w:id="6" w:name="_Toc145348065"/>
      <w:bookmarkStart w:id="7" w:name="_Ref174543588"/>
      <w:r>
        <w:rPr>
          <w:noProof/>
        </w:rPr>
        <w:t xml:space="preserve">Figure </w:t>
      </w:r>
      <w:r>
        <w:rPr>
          <w:noProof/>
          <w:color w:val="2B579A"/>
          <w:shd w:val="clear" w:color="auto" w:fill="E6E6E6"/>
        </w:rPr>
        <w:fldChar w:fldCharType="begin"/>
      </w:r>
      <w:r>
        <w:rPr>
          <w:noProof/>
        </w:rPr>
        <w:instrText xml:space="preserve"> SEQ Figure \* ARABIC </w:instrText>
      </w:r>
      <w:r>
        <w:rPr>
          <w:noProof/>
          <w:color w:val="2B579A"/>
          <w:shd w:val="clear" w:color="auto" w:fill="E6E6E6"/>
        </w:rPr>
        <w:fldChar w:fldCharType="separate"/>
      </w:r>
      <w:r>
        <w:rPr>
          <w:noProof/>
        </w:rPr>
        <w:t>1</w:t>
      </w:r>
      <w:r>
        <w:rPr>
          <w:noProof/>
          <w:color w:val="2B579A"/>
          <w:shd w:val="clear" w:color="auto" w:fill="E6E6E6"/>
        </w:rPr>
        <w:fldChar w:fldCharType="end"/>
      </w:r>
      <w:bookmarkEnd w:id="5"/>
      <w:r>
        <w:rPr>
          <w:noProof/>
        </w:rPr>
        <w:t>: Total energy subsidies in the EU-27</w:t>
      </w:r>
      <w:bookmarkEnd w:id="6"/>
      <w:bookmarkEnd w:id="7"/>
      <w:r>
        <w:rPr>
          <w:noProof/>
        </w:rPr>
        <w:t xml:space="preserve"> by energy source</w:t>
      </w:r>
    </w:p>
    <w:p>
      <w:pPr>
        <w:pStyle w:val="Caption"/>
        <w:spacing w:after="0"/>
        <w:contextualSpacing/>
        <w:jc w:val="center"/>
        <w:rPr>
          <w:noProof/>
        </w:rPr>
      </w:pPr>
      <w:r>
        <w:rPr>
          <w:rStyle w:val="SourceCar"/>
          <w:rFonts w:eastAsia="MS Mincho"/>
          <w:noProof/>
        </w:rPr>
        <w:t>Source: Enerdata, Trinomics, 2025. NB: 2024 estimates are represented with hatching</w:t>
      </w:r>
      <w:bookmarkStart w:id="8" w:name="_Hlk219971192"/>
    </w:p>
    <w:p>
      <w:pPr>
        <w:pStyle w:val="BodyText"/>
        <w:jc w:val="both"/>
        <w:rPr>
          <w:i/>
          <w:iCs/>
          <w:noProof/>
        </w:rPr>
      </w:pPr>
    </w:p>
    <w:p>
      <w:pPr>
        <w:rPr>
          <w:rFonts w:ascii="Times New Roman" w:hAnsi="Times New Roman" w:cs="Times New Roman"/>
          <w:noProof/>
          <w:sz w:val="24"/>
          <w:szCs w:val="24"/>
        </w:rPr>
      </w:pPr>
      <w:r>
        <w:rPr>
          <w:rFonts w:ascii="Times New Roman" w:hAnsi="Times New Roman" w:cs="Times New Roman"/>
          <w:noProof/>
          <w:sz w:val="24"/>
          <w:szCs w:val="24"/>
        </w:rPr>
        <w:t xml:space="preserve">In 2024, </w:t>
      </w:r>
      <w:r>
        <w:rPr>
          <w:rFonts w:ascii="Times New Roman" w:hAnsi="Times New Roman" w:cs="Times New Roman"/>
          <w:b/>
          <w:bCs/>
          <w:noProof/>
          <w:sz w:val="24"/>
          <w:szCs w:val="24"/>
        </w:rPr>
        <w:t>fossil fuel subsidies</w:t>
      </w:r>
      <w:r>
        <w:rPr>
          <w:rFonts w:ascii="Times New Roman" w:hAnsi="Times New Roman" w:cs="Times New Roman"/>
          <w:noProof/>
          <w:sz w:val="24"/>
          <w:szCs w:val="24"/>
        </w:rPr>
        <w:t xml:space="preserve"> (EUR 96 billion) </w:t>
      </w:r>
      <w:r>
        <w:rPr>
          <w:rFonts w:ascii="Times New Roman" w:hAnsi="Times New Roman" w:cs="Times New Roman"/>
          <w:b/>
          <w:bCs/>
          <w:noProof/>
          <w:sz w:val="24"/>
          <w:szCs w:val="24"/>
        </w:rPr>
        <w:t>declined</w:t>
      </w:r>
      <w:r>
        <w:rPr>
          <w:rFonts w:ascii="Times New Roman" w:hAnsi="Times New Roman" w:cs="Times New Roman"/>
          <w:noProof/>
          <w:sz w:val="24"/>
          <w:szCs w:val="24"/>
        </w:rPr>
        <w:t xml:space="preserve"> by 20% compared to 2023 (EUR 120 billion) and were down by 42% compared to their record high in 2022 (EUR 168 billion). Nevertheless, they remained 62% </w:t>
      </w:r>
      <w:r>
        <w:rPr>
          <w:rFonts w:ascii="Times New Roman" w:hAnsi="Times New Roman" w:cs="Times New Roman"/>
          <w:b/>
          <w:bCs/>
          <w:noProof/>
          <w:sz w:val="24"/>
          <w:szCs w:val="24"/>
        </w:rPr>
        <w:t>above</w:t>
      </w:r>
      <w:r>
        <w:rPr>
          <w:rFonts w:ascii="Times New Roman" w:hAnsi="Times New Roman" w:cs="Times New Roman"/>
          <w:noProof/>
          <w:sz w:val="24"/>
          <w:szCs w:val="24"/>
        </w:rPr>
        <w:t xml:space="preserve"> the 5-year </w:t>
      </w:r>
      <w:r>
        <w:rPr>
          <w:rFonts w:ascii="Times New Roman" w:hAnsi="Times New Roman" w:cs="Times New Roman"/>
          <w:b/>
          <w:bCs/>
          <w:noProof/>
          <w:sz w:val="24"/>
          <w:szCs w:val="24"/>
        </w:rPr>
        <w:t>historic average</w:t>
      </w:r>
      <w:r>
        <w:rPr>
          <w:rFonts w:ascii="Times New Roman" w:hAnsi="Times New Roman" w:cs="Times New Roman"/>
          <w:noProof/>
          <w:sz w:val="24"/>
          <w:szCs w:val="24"/>
        </w:rPr>
        <w:t xml:space="preserve"> (EUR 59 billion in 2015-2019).</w:t>
      </w:r>
    </w:p>
    <w:bookmarkEnd w:id="8"/>
    <w:p>
      <w:pPr>
        <w:pStyle w:val="BodyText"/>
        <w:jc w:val="both"/>
        <w:rPr>
          <w:noProof/>
        </w:rPr>
      </w:pPr>
      <w:r>
        <w:rPr>
          <w:b/>
          <w:bCs/>
          <w:noProof/>
        </w:rPr>
        <w:t>Renewable energy subsidies rebounded</w:t>
      </w:r>
      <w:r>
        <w:rPr>
          <w:noProof/>
        </w:rPr>
        <w:t xml:space="preserve"> to EUR 76 billion (+39%) in 2024. Implementation of EU programmes notably the Recovery and Resilience Facility, with a 27 dedicated REPowerEU chapters, has been incentivising Member States to accelerate the roll-out of renewables. However, </w:t>
      </w:r>
      <w:r>
        <w:rPr>
          <w:b/>
          <w:bCs/>
          <w:noProof/>
        </w:rPr>
        <w:t>renewable energy subsidies were</w:t>
      </w:r>
      <w:r>
        <w:rPr>
          <w:noProof/>
        </w:rPr>
        <w:t xml:space="preserve"> still 12% </w:t>
      </w:r>
      <w:r>
        <w:rPr>
          <w:b/>
          <w:bCs/>
          <w:noProof/>
        </w:rPr>
        <w:t>below their historic average</w:t>
      </w:r>
      <w:r>
        <w:rPr>
          <w:noProof/>
        </w:rPr>
        <w:t xml:space="preserve"> (EUR 86 billion in 2015-2019). Subsidies for certain renewable energy carriers rose considerably, while subsidies for all fossil fuel carriers decreased substantially. </w:t>
      </w:r>
      <w:r>
        <w:rPr>
          <w:b/>
          <w:bCs/>
          <w:noProof/>
        </w:rPr>
        <w:t>Subsidies for hydrogen were up three-fold</w:t>
      </w:r>
      <w:r>
        <w:rPr>
          <w:noProof/>
        </w:rPr>
        <w:t xml:space="preserve"> compared to 2023 and up four-fold compared to 2022, while </w:t>
      </w:r>
      <w:r>
        <w:rPr>
          <w:b/>
          <w:bCs/>
          <w:noProof/>
        </w:rPr>
        <w:t>bioenergy subsidies were worth almost twice</w:t>
      </w:r>
      <w:r>
        <w:rPr>
          <w:noProof/>
        </w:rPr>
        <w:t xml:space="preserve"> that of 2023.</w:t>
      </w:r>
    </w:p>
    <w:p>
      <w:pPr>
        <w:pStyle w:val="BodyText"/>
        <w:jc w:val="both"/>
        <w:rPr>
          <w:noProof/>
        </w:rPr>
      </w:pPr>
      <w:r>
        <w:rPr>
          <w:b/>
          <w:bCs/>
          <w:noProof/>
        </w:rPr>
        <w:t xml:space="preserve">Subsidies for coal </w:t>
      </w:r>
      <w:r>
        <w:rPr>
          <w:noProof/>
        </w:rPr>
        <w:t>saw the biggest decrease</w:t>
      </w:r>
      <w:r>
        <w:rPr>
          <w:b/>
          <w:bCs/>
          <w:noProof/>
        </w:rPr>
        <w:t xml:space="preserve"> </w:t>
      </w:r>
      <w:r>
        <w:rPr>
          <w:noProof/>
        </w:rPr>
        <w:t xml:space="preserve">(-37%), followed by </w:t>
      </w:r>
      <w:r>
        <w:rPr>
          <w:b/>
          <w:bCs/>
          <w:noProof/>
        </w:rPr>
        <w:t>natural gas</w:t>
      </w:r>
      <w:r>
        <w:rPr>
          <w:noProof/>
        </w:rPr>
        <w:t xml:space="preserve"> (-23%) then </w:t>
      </w:r>
      <w:r>
        <w:rPr>
          <w:b/>
          <w:bCs/>
          <w:noProof/>
        </w:rPr>
        <w:t>oil</w:t>
      </w:r>
      <w:r>
        <w:rPr>
          <w:noProof/>
        </w:rPr>
        <w:t xml:space="preserve"> (-10%).</w:t>
      </w:r>
    </w:p>
    <w:p>
      <w:pPr>
        <w:pStyle w:val="BodyText"/>
        <w:jc w:val="both"/>
        <w:rPr>
          <w:rFonts w:cs="Consolas"/>
          <w:noProof/>
        </w:rPr>
      </w:pPr>
      <w:r>
        <w:rPr>
          <w:b/>
          <w:bCs/>
          <w:noProof/>
        </w:rPr>
        <w:lastRenderedPageBreak/>
        <w:t xml:space="preserve">Non-targeted energy subsidies </w:t>
      </w:r>
      <w:r>
        <w:rPr>
          <w:noProof/>
        </w:rPr>
        <w:t xml:space="preserve">(‘all energies’) allocating </w:t>
      </w:r>
      <w:r>
        <w:rPr>
          <w:rFonts w:cs="Consolas"/>
          <w:noProof/>
        </w:rPr>
        <w:t xml:space="preserve">financial support to all- or multi-energy sources accounted for </w:t>
      </w:r>
      <w:r>
        <w:rPr>
          <w:rFonts w:cs="Consolas"/>
          <w:b/>
          <w:bCs/>
          <w:noProof/>
        </w:rPr>
        <w:t xml:space="preserve">almost half of all energy subsidies </w:t>
      </w:r>
      <w:r>
        <w:rPr>
          <w:rFonts w:cs="Consolas"/>
          <w:noProof/>
        </w:rPr>
        <w:t>(48%) in 2024 (</w:t>
      </w:r>
      <w:r>
        <w:rPr>
          <w:noProof/>
        </w:rPr>
        <w:t xml:space="preserve">Figure </w:t>
      </w:r>
      <w:r>
        <w:rPr>
          <w:noProof/>
          <w:color w:val="2B579A"/>
          <w:shd w:val="clear" w:color="auto" w:fill="E6E6E6"/>
        </w:rPr>
        <w:fldChar w:fldCharType="begin"/>
      </w:r>
      <w:r>
        <w:rPr>
          <w:noProof/>
        </w:rPr>
        <w:instrText xml:space="preserve"> SEQ Figure \* ARABIC </w:instrText>
      </w:r>
      <w:r>
        <w:rPr>
          <w:noProof/>
          <w:color w:val="2B579A"/>
          <w:shd w:val="clear" w:color="auto" w:fill="E6E6E6"/>
        </w:rPr>
        <w:fldChar w:fldCharType="separate"/>
      </w:r>
      <w:r>
        <w:rPr>
          <w:noProof/>
        </w:rPr>
        <w:t>2</w:t>
      </w:r>
      <w:r>
        <w:rPr>
          <w:noProof/>
          <w:color w:val="2B579A"/>
          <w:shd w:val="clear" w:color="auto" w:fill="E6E6E6"/>
        </w:rPr>
        <w:fldChar w:fldCharType="end"/>
      </w:r>
      <w:r>
        <w:rPr>
          <w:noProof/>
          <w:color w:val="2B579A"/>
          <w:shd w:val="clear" w:color="auto" w:fill="E6E6E6"/>
        </w:rPr>
        <w:t>)</w:t>
      </w:r>
      <w:r>
        <w:rPr>
          <w:rFonts w:cs="Consolas"/>
          <w:noProof/>
        </w:rPr>
        <w:t xml:space="preserve">. While year-on-year the share of non-targeted subsidies declined moderately (-2 percentage points from 50% in 2023), it was still above </w:t>
      </w:r>
      <w:r>
        <w:rPr>
          <w:rFonts w:cs="Consolas"/>
          <w:b/>
          <w:bCs/>
          <w:noProof/>
        </w:rPr>
        <w:t xml:space="preserve">twice the historic average </w:t>
      </w:r>
      <w:r>
        <w:rPr>
          <w:rFonts w:cs="Consolas"/>
          <w:noProof/>
        </w:rPr>
        <w:t>(21%), reflecting the still high value of temporary subsidies being granted by Member States to mitigate the impact of the 2022 crisis across most energy sources, categories of consumers, and sectors.</w:t>
      </w:r>
    </w:p>
    <w:p>
      <w:pPr>
        <w:pStyle w:val="BodyText"/>
        <w:jc w:val="both"/>
        <w:rPr>
          <w:rFonts w:cs="Consolas"/>
          <w:noProof/>
        </w:rPr>
      </w:pPr>
      <w:r>
        <w:rPr>
          <w:noProof/>
        </w:rPr>
        <w:drawing>
          <wp:inline distT="0" distB="0" distL="0" distR="0">
            <wp:extent cx="5731510" cy="2353945"/>
            <wp:effectExtent l="0" t="0" r="2540" b="8255"/>
            <wp:docPr id="1775141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2353945"/>
                    </a:xfrm>
                    <a:prstGeom prst="rect">
                      <a:avLst/>
                    </a:prstGeom>
                    <a:noFill/>
                    <a:ln>
                      <a:noFill/>
                    </a:ln>
                  </pic:spPr>
                </pic:pic>
              </a:graphicData>
            </a:graphic>
          </wp:inline>
        </w:drawing>
      </w:r>
    </w:p>
    <w:p>
      <w:pPr>
        <w:pStyle w:val="Caption"/>
        <w:spacing w:after="0"/>
        <w:contextualSpacing/>
        <w:jc w:val="center"/>
        <w:rPr>
          <w:noProof/>
        </w:rPr>
      </w:pPr>
      <w:r>
        <w:rPr>
          <w:noProof/>
        </w:rPr>
        <w:t xml:space="preserve">Figure </w:t>
      </w:r>
      <w:r>
        <w:rPr>
          <w:noProof/>
          <w:color w:val="2B579A"/>
          <w:shd w:val="clear" w:color="auto" w:fill="E6E6E6"/>
        </w:rPr>
        <w:t>2</w:t>
      </w:r>
      <w:r>
        <w:rPr>
          <w:noProof/>
        </w:rPr>
        <w:t>: Main energy sources as a share of total energy subsidies in the EU-27</w:t>
      </w:r>
    </w:p>
    <w:p>
      <w:pPr>
        <w:pStyle w:val="Caption"/>
        <w:spacing w:after="0"/>
        <w:contextualSpacing/>
        <w:jc w:val="center"/>
        <w:rPr>
          <w:noProof/>
        </w:rPr>
      </w:pPr>
      <w:r>
        <w:rPr>
          <w:rStyle w:val="SourceCar"/>
          <w:rFonts w:eastAsia="MS Mincho"/>
          <w:noProof/>
        </w:rPr>
        <w:t>Source: Enerdata, Trinomics, 2025. NB: 2024 estimates are represented with hatching</w:t>
      </w:r>
    </w:p>
    <w:p>
      <w:pPr>
        <w:pStyle w:val="BodyText"/>
        <w:jc w:val="both"/>
        <w:rPr>
          <w:noProof/>
        </w:rPr>
      </w:pPr>
      <w:r>
        <w:rPr>
          <w:b/>
          <w:bCs/>
          <w:i/>
          <w:iCs/>
          <w:noProof/>
        </w:rPr>
        <w:t>Subsidies</w:t>
      </w:r>
      <w:r>
        <w:rPr>
          <w:b/>
          <w:bCs/>
          <w:noProof/>
        </w:rPr>
        <w:t xml:space="preserve"> specifically aim to support fossil fuels accounted for 28% of total energy subsidies in 2024</w:t>
      </w:r>
      <w:r>
        <w:rPr>
          <w:noProof/>
        </w:rPr>
        <w:t>, down from 34% in 2023 and 37% in 2022, and below the historic average of 31%. (</w:t>
      </w:r>
      <w:r>
        <w:rPr>
          <w:noProof/>
          <w:color w:val="2B579A"/>
          <w:shd w:val="clear" w:color="auto" w:fill="E6E6E6"/>
        </w:rPr>
        <w:fldChar w:fldCharType="begin"/>
      </w:r>
      <w:r>
        <w:rPr>
          <w:noProof/>
        </w:rPr>
        <w:instrText xml:space="preserve"> REF _Ref145583430 \h </w:instrText>
      </w:r>
      <w:r>
        <w:rPr>
          <w:noProof/>
          <w:color w:val="2B579A"/>
          <w:shd w:val="clear" w:color="auto" w:fill="E6E6E6"/>
        </w:rPr>
        <w:instrText xml:space="preserve"> \* MERGEFORMAT </w:instrText>
      </w:r>
      <w:r>
        <w:rPr>
          <w:noProof/>
          <w:color w:val="2B579A"/>
          <w:shd w:val="clear" w:color="auto" w:fill="E6E6E6"/>
        </w:rPr>
      </w:r>
      <w:r>
        <w:rPr>
          <w:noProof/>
          <w:color w:val="2B579A"/>
          <w:shd w:val="clear" w:color="auto" w:fill="E6E6E6"/>
        </w:rPr>
        <w:fldChar w:fldCharType="separate"/>
      </w:r>
      <w:r>
        <w:rPr>
          <w:noProof/>
        </w:rPr>
        <w:t>Figure 3</w:t>
      </w:r>
      <w:r>
        <w:rPr>
          <w:noProof/>
          <w:color w:val="2B579A"/>
          <w:shd w:val="clear" w:color="auto" w:fill="E6E6E6"/>
        </w:rPr>
        <w:fldChar w:fldCharType="end"/>
      </w:r>
      <w:r>
        <w:rPr>
          <w:noProof/>
        </w:rPr>
        <w:t xml:space="preserve">). </w:t>
      </w:r>
      <w:r>
        <w:rPr>
          <w:b/>
          <w:bCs/>
          <w:i/>
          <w:iCs/>
          <w:noProof/>
        </w:rPr>
        <w:t>Renewable energy sources</w:t>
      </w:r>
      <w:r>
        <w:rPr>
          <w:b/>
          <w:bCs/>
          <w:noProof/>
        </w:rPr>
        <w:t xml:space="preserve"> received 22% of energy subsidies</w:t>
      </w:r>
      <w:r>
        <w:rPr>
          <w:noProof/>
        </w:rPr>
        <w:t xml:space="preserve"> in 2024 (up from 15% in 2023 and 17% in 2023) as falling market prices increased the need for financial support from dynamic market-based instruments.</w:t>
      </w:r>
    </w:p>
    <w:p>
      <w:pPr>
        <w:pStyle w:val="BodyText"/>
        <w:jc w:val="both"/>
        <w:rPr>
          <w:noProof/>
        </w:rPr>
      </w:pPr>
      <w:r>
        <w:rPr>
          <w:rFonts w:cs="Open Sans Condensed"/>
          <w:i/>
          <w:iCs/>
          <w:noProof/>
          <w:color w:val="595959" w:themeColor="text1" w:themeTint="A6"/>
          <w:sz w:val="16"/>
          <w:szCs w:val="16"/>
        </w:rPr>
        <w:drawing>
          <wp:anchor distT="0" distB="0" distL="114300" distR="114300" simplePos="0" relativeHeight="251658240" behindDoc="0" locked="0" layoutInCell="1" allowOverlap="1">
            <wp:simplePos x="0" y="0"/>
            <wp:positionH relativeFrom="margin">
              <wp:align>left</wp:align>
            </wp:positionH>
            <wp:positionV relativeFrom="paragraph">
              <wp:posOffset>1098550</wp:posOffset>
            </wp:positionV>
            <wp:extent cx="5731510" cy="1972310"/>
            <wp:effectExtent l="0" t="0" r="2540" b="8890"/>
            <wp:wrapTopAndBottom/>
            <wp:docPr id="70712624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126245" name="Imag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1972310"/>
                    </a:xfrm>
                    <a:prstGeom prst="rect">
                      <a:avLst/>
                    </a:prstGeom>
                    <a:noFill/>
                    <a:ln>
                      <a:noFill/>
                    </a:ln>
                  </pic:spPr>
                </pic:pic>
              </a:graphicData>
            </a:graphic>
          </wp:anchor>
        </w:drawing>
      </w:r>
      <w:r>
        <w:rPr>
          <w:noProof/>
        </w:rPr>
        <w:t xml:space="preserve">In terms of instruments for providing energy subsidies, </w:t>
      </w:r>
      <w:r>
        <w:rPr>
          <w:i/>
          <w:iCs/>
          <w:noProof/>
        </w:rPr>
        <w:t>income and price support</w:t>
      </w:r>
      <w:r>
        <w:rPr>
          <w:noProof/>
        </w:rPr>
        <w:t xml:space="preserve"> measures remained the most common category of subsidy, accounting for 41.5% of the total (</w:t>
      </w:r>
      <w:r>
        <w:rPr>
          <w:noProof/>
          <w:color w:val="2B579A"/>
          <w:shd w:val="clear" w:color="auto" w:fill="E6E6E6"/>
        </w:rPr>
        <w:fldChar w:fldCharType="begin"/>
      </w:r>
      <w:r>
        <w:rPr>
          <w:noProof/>
        </w:rPr>
        <w:instrText xml:space="preserve"> REF _Ref145583430 \h  \* MERGEFORMAT </w:instrText>
      </w:r>
      <w:r>
        <w:rPr>
          <w:noProof/>
          <w:color w:val="2B579A"/>
          <w:shd w:val="clear" w:color="auto" w:fill="E6E6E6"/>
        </w:rPr>
      </w:r>
      <w:r>
        <w:rPr>
          <w:noProof/>
          <w:color w:val="2B579A"/>
          <w:shd w:val="clear" w:color="auto" w:fill="E6E6E6"/>
        </w:rPr>
        <w:fldChar w:fldCharType="separate"/>
      </w:r>
      <w:r>
        <w:rPr>
          <w:noProof/>
        </w:rPr>
        <w:t>Figure 3</w:t>
      </w:r>
      <w:r>
        <w:rPr>
          <w:noProof/>
          <w:color w:val="2B579A"/>
          <w:shd w:val="clear" w:color="auto" w:fill="E6E6E6"/>
        </w:rPr>
        <w:fldChar w:fldCharType="end"/>
      </w:r>
      <w:r>
        <w:rPr>
          <w:noProof/>
        </w:rPr>
        <w:t xml:space="preserve">), followed by </w:t>
      </w:r>
      <w:r>
        <w:rPr>
          <w:i/>
          <w:iCs/>
          <w:noProof/>
        </w:rPr>
        <w:t xml:space="preserve">direct transfers </w:t>
      </w:r>
      <w:r>
        <w:rPr>
          <w:noProof/>
        </w:rPr>
        <w:t>(26.9%) then</w:t>
      </w:r>
      <w:r>
        <w:rPr>
          <w:i/>
          <w:iCs/>
          <w:noProof/>
        </w:rPr>
        <w:t xml:space="preserve"> tax measures</w:t>
      </w:r>
      <w:r>
        <w:rPr>
          <w:noProof/>
        </w:rPr>
        <w:t xml:space="preserve"> (26%)</w:t>
      </w:r>
      <w:r>
        <w:rPr>
          <w:rStyle w:val="FootnoteReference"/>
          <w:rFonts w:eastAsia="MS Mincho"/>
          <w:noProof/>
        </w:rPr>
        <w:footnoteReference w:id="8"/>
      </w:r>
      <w:r>
        <w:rPr>
          <w:noProof/>
        </w:rPr>
        <w:t>.</w:t>
      </w:r>
    </w:p>
    <w:p>
      <w:pPr>
        <w:pStyle w:val="Caption"/>
        <w:spacing w:after="0"/>
        <w:jc w:val="center"/>
        <w:rPr>
          <w:rStyle w:val="SourceCar"/>
          <w:rFonts w:ascii="Calibri" w:eastAsia="Calibri" w:hAnsi="Calibri" w:cs="Arial"/>
          <w:i/>
          <w:iCs w:val="0"/>
          <w:noProof/>
          <w:color w:val="1F497D"/>
        </w:rPr>
      </w:pPr>
      <w:bookmarkStart w:id="9" w:name="_Ref145583430"/>
      <w:r>
        <w:rPr>
          <w:noProof/>
        </w:rPr>
        <w:t xml:space="preserve">Figure </w:t>
      </w:r>
      <w:r>
        <w:rPr>
          <w:noProof/>
          <w:color w:val="2B579A"/>
          <w:shd w:val="clear" w:color="auto" w:fill="E6E6E6"/>
        </w:rPr>
        <w:fldChar w:fldCharType="begin"/>
      </w:r>
      <w:r>
        <w:rPr>
          <w:noProof/>
        </w:rPr>
        <w:instrText xml:space="preserve"> SEQ Figure \* ARABIC </w:instrText>
      </w:r>
      <w:r>
        <w:rPr>
          <w:noProof/>
          <w:color w:val="2B579A"/>
          <w:shd w:val="clear" w:color="auto" w:fill="E6E6E6"/>
        </w:rPr>
        <w:fldChar w:fldCharType="separate"/>
      </w:r>
      <w:r>
        <w:rPr>
          <w:noProof/>
        </w:rPr>
        <w:t>3</w:t>
      </w:r>
      <w:r>
        <w:rPr>
          <w:noProof/>
          <w:color w:val="2B579A"/>
          <w:shd w:val="clear" w:color="auto" w:fill="E6E6E6"/>
        </w:rPr>
        <w:fldChar w:fldCharType="end"/>
      </w:r>
      <w:bookmarkEnd w:id="9"/>
      <w:r>
        <w:rPr>
          <w:noProof/>
        </w:rPr>
        <w:t>: Subsidy distribution by category (2024)</w:t>
      </w:r>
    </w:p>
    <w:p>
      <w:pPr>
        <w:jc w:val="center"/>
        <w:rPr>
          <w:rStyle w:val="SourceCar"/>
          <w:rFonts w:eastAsia="MS Mincho"/>
          <w:noProof/>
        </w:rPr>
      </w:pPr>
      <w:r>
        <w:rPr>
          <w:rStyle w:val="SourceCar"/>
          <w:rFonts w:eastAsia="MS Mincho"/>
          <w:noProof/>
        </w:rPr>
        <w:t>Source: Enerdata, Trinomics, 2025</w:t>
      </w:r>
    </w:p>
    <w:p>
      <w:pPr>
        <w:jc w:val="center"/>
        <w:rPr>
          <w:rStyle w:val="SourceCar"/>
          <w:rFonts w:eastAsia="MS Mincho"/>
          <w:noProof/>
        </w:rPr>
      </w:pPr>
    </w:p>
    <w:p>
      <w:pPr>
        <w:pStyle w:val="Heading2"/>
        <w:rPr>
          <w:noProof/>
        </w:rPr>
      </w:pPr>
      <w:r>
        <w:rPr>
          <w:noProof/>
        </w:rPr>
        <w:t>Subsidies by energy carrier</w:t>
      </w:r>
    </w:p>
    <w:p>
      <w:pPr>
        <w:pStyle w:val="Text"/>
        <w:rPr>
          <w:rFonts w:ascii="Times New Roman" w:eastAsia="MS Mincho" w:hAnsi="Times New Roman" w:cs="Times New Roman"/>
          <w:noProof/>
          <w:sz w:val="24"/>
          <w:szCs w:val="24"/>
        </w:rPr>
      </w:pPr>
      <w:r>
        <w:rPr>
          <w:rFonts w:ascii="Times New Roman" w:eastAsia="MS Mincho" w:hAnsi="Times New Roman" w:cs="Times New Roman"/>
          <w:noProof/>
          <w:sz w:val="24"/>
          <w:szCs w:val="24"/>
        </w:rPr>
        <w:t xml:space="preserve">In 2024, </w:t>
      </w:r>
      <w:r>
        <w:rPr>
          <w:rFonts w:ascii="Times New Roman" w:eastAsia="MS Mincho" w:hAnsi="Times New Roman" w:cs="Times New Roman"/>
          <w:b/>
          <w:bCs/>
          <w:noProof/>
          <w:sz w:val="24"/>
          <w:szCs w:val="24"/>
        </w:rPr>
        <w:t xml:space="preserve">electricity remained the most heavily subsidised energy carrier </w:t>
      </w:r>
      <w:r>
        <w:rPr>
          <w:rFonts w:ascii="Times New Roman" w:eastAsia="MS Mincho" w:hAnsi="Times New Roman" w:cs="Times New Roman"/>
          <w:noProof/>
          <w:sz w:val="24"/>
          <w:szCs w:val="24"/>
        </w:rPr>
        <w:t xml:space="preserve">accounting for EUR 166 billion (close to 45%) of total energy subsides. Support for ‘all </w:t>
      </w:r>
      <w:bookmarkStart w:id="10" w:name="_Int_9iPd8PBY"/>
      <w:r>
        <w:rPr>
          <w:rFonts w:ascii="Times New Roman" w:eastAsia="MS Mincho" w:hAnsi="Times New Roman" w:cs="Times New Roman"/>
          <w:noProof/>
          <w:sz w:val="24"/>
          <w:szCs w:val="24"/>
        </w:rPr>
        <w:t>energies’</w:t>
      </w:r>
      <w:bookmarkEnd w:id="10"/>
      <w:r>
        <w:rPr>
          <w:rFonts w:ascii="Times New Roman" w:eastAsia="MS Mincho" w:hAnsi="Times New Roman" w:cs="Times New Roman"/>
          <w:noProof/>
          <w:sz w:val="24"/>
          <w:szCs w:val="24"/>
        </w:rPr>
        <w:t xml:space="preserve"> and </w:t>
      </w:r>
      <w:r>
        <w:rPr>
          <w:rFonts w:ascii="Times New Roman" w:eastAsia="MS Mincho" w:hAnsi="Times New Roman" w:cs="Times New Roman"/>
          <w:b/>
          <w:bCs/>
          <w:noProof/>
          <w:sz w:val="24"/>
          <w:szCs w:val="24"/>
        </w:rPr>
        <w:t>gas subsidies fell</w:t>
      </w:r>
      <w:r>
        <w:rPr>
          <w:rFonts w:ascii="Times New Roman" w:eastAsia="MS Mincho" w:hAnsi="Times New Roman" w:cs="Times New Roman"/>
          <w:noProof/>
          <w:sz w:val="24"/>
          <w:szCs w:val="24"/>
        </w:rPr>
        <w:t xml:space="preserve"> in 2024 to EUR 59 billion</w:t>
      </w:r>
      <w:r>
        <w:rPr>
          <w:rStyle w:val="FootnoteReference"/>
          <w:rFonts w:eastAsia="MS Mincho"/>
          <w:noProof/>
          <w:szCs w:val="24"/>
        </w:rPr>
        <w:footnoteReference w:id="9"/>
      </w:r>
      <w:r>
        <w:rPr>
          <w:rFonts w:ascii="Times New Roman" w:eastAsia="MS Mincho" w:hAnsi="Times New Roman" w:cs="Times New Roman"/>
          <w:noProof/>
          <w:sz w:val="24"/>
          <w:szCs w:val="24"/>
        </w:rPr>
        <w:t xml:space="preserve"> and EUR 42 billion (17% and 12% of total subsidies), respectively. </w:t>
      </w:r>
      <w:r>
        <w:rPr>
          <w:rFonts w:ascii="Times New Roman" w:eastAsia="MS Mincho" w:hAnsi="Times New Roman" w:cs="Times New Roman"/>
          <w:b/>
          <w:bCs/>
          <w:noProof/>
          <w:sz w:val="24"/>
          <w:szCs w:val="24"/>
        </w:rPr>
        <w:t xml:space="preserve">Support for oil was stable </w:t>
      </w:r>
      <w:r>
        <w:rPr>
          <w:rFonts w:ascii="Times New Roman" w:eastAsia="MS Mincho" w:hAnsi="Times New Roman" w:cs="Times New Roman"/>
          <w:noProof/>
          <w:sz w:val="24"/>
          <w:szCs w:val="24"/>
        </w:rPr>
        <w:t xml:space="preserve">compared with 2023 (i.e. EUR 27 billion or 8%), while </w:t>
      </w:r>
      <w:r>
        <w:rPr>
          <w:rFonts w:ascii="Times New Roman" w:eastAsia="MS Mincho" w:hAnsi="Times New Roman" w:cs="Times New Roman"/>
          <w:b/>
          <w:bCs/>
          <w:noProof/>
          <w:sz w:val="24"/>
          <w:szCs w:val="24"/>
        </w:rPr>
        <w:t>support for heat</w:t>
      </w:r>
      <w:r>
        <w:rPr>
          <w:rFonts w:ascii="Times New Roman" w:eastAsia="MS Mincho" w:hAnsi="Times New Roman" w:cs="Times New Roman"/>
          <w:noProof/>
          <w:sz w:val="24"/>
          <w:szCs w:val="24"/>
        </w:rPr>
        <w:t xml:space="preserve"> – which almost </w:t>
      </w:r>
      <w:r>
        <w:rPr>
          <w:rFonts w:ascii="Times New Roman" w:eastAsia="MS Mincho" w:hAnsi="Times New Roman" w:cs="Times New Roman"/>
          <w:b/>
          <w:bCs/>
          <w:noProof/>
          <w:sz w:val="24"/>
          <w:szCs w:val="24"/>
        </w:rPr>
        <w:t>doubled in 2023</w:t>
      </w:r>
      <w:r>
        <w:rPr>
          <w:rFonts w:ascii="Times New Roman" w:eastAsia="MS Mincho" w:hAnsi="Times New Roman" w:cs="Times New Roman"/>
          <w:noProof/>
          <w:sz w:val="24"/>
          <w:szCs w:val="24"/>
        </w:rPr>
        <w:t xml:space="preserve"> – </w:t>
      </w:r>
      <w:r>
        <w:rPr>
          <w:rFonts w:ascii="Times New Roman" w:eastAsia="MS Mincho" w:hAnsi="Times New Roman" w:cs="Times New Roman"/>
          <w:b/>
          <w:bCs/>
          <w:noProof/>
          <w:sz w:val="24"/>
          <w:szCs w:val="24"/>
        </w:rPr>
        <w:t>decreased slightly in 2024</w:t>
      </w:r>
      <w:r>
        <w:rPr>
          <w:rFonts w:ascii="Times New Roman" w:eastAsia="MS Mincho" w:hAnsi="Times New Roman" w:cs="Times New Roman"/>
          <w:noProof/>
          <w:sz w:val="24"/>
          <w:szCs w:val="24"/>
        </w:rPr>
        <w:t xml:space="preserve"> to EUR 21 billion (7%). </w:t>
      </w:r>
      <w:r>
        <w:rPr>
          <w:rFonts w:ascii="Times New Roman" w:eastAsia="MS Mincho" w:hAnsi="Times New Roman" w:cs="Times New Roman"/>
          <w:b/>
          <w:bCs/>
          <w:noProof/>
          <w:sz w:val="24"/>
          <w:szCs w:val="24"/>
        </w:rPr>
        <w:t>Support for hydrogen</w:t>
      </w:r>
      <w:r>
        <w:rPr>
          <w:rFonts w:ascii="Times New Roman" w:eastAsia="MS Mincho" w:hAnsi="Times New Roman" w:cs="Times New Roman"/>
          <w:noProof/>
          <w:sz w:val="24"/>
          <w:szCs w:val="24"/>
        </w:rPr>
        <w:t xml:space="preserve"> has grown considerably since 2022, with a </w:t>
      </w:r>
      <w:r>
        <w:rPr>
          <w:rFonts w:ascii="Times New Roman" w:eastAsia="MS Mincho" w:hAnsi="Times New Roman" w:cs="Times New Roman"/>
          <w:b/>
          <w:bCs/>
          <w:noProof/>
          <w:sz w:val="24"/>
          <w:szCs w:val="24"/>
        </w:rPr>
        <w:t>record EUR 13.5 billion</w:t>
      </w:r>
      <w:r>
        <w:rPr>
          <w:rFonts w:ascii="Times New Roman" w:eastAsia="MS Mincho" w:hAnsi="Times New Roman" w:cs="Times New Roman"/>
          <w:noProof/>
          <w:sz w:val="24"/>
          <w:szCs w:val="24"/>
        </w:rPr>
        <w:t xml:space="preserve"> allocated in 2024 (3%).</w:t>
      </w:r>
    </w:p>
    <w:p>
      <w:pPr>
        <w:pStyle w:val="BodyText"/>
        <w:jc w:val="both"/>
        <w:rPr>
          <w:noProof/>
        </w:rPr>
      </w:pPr>
      <w:r>
        <w:rPr>
          <w:noProof/>
        </w:rPr>
        <w:lastRenderedPageBreak/>
        <w:t xml:space="preserve"> </w:t>
      </w:r>
      <w:r>
        <w:rPr>
          <w:noProof/>
        </w:rPr>
        <w:drawing>
          <wp:inline distT="0" distB="0" distL="0" distR="0">
            <wp:extent cx="5731510" cy="2412365"/>
            <wp:effectExtent l="0" t="0" r="2540" b="6985"/>
            <wp:docPr id="455799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2412365"/>
                    </a:xfrm>
                    <a:prstGeom prst="rect">
                      <a:avLst/>
                    </a:prstGeom>
                    <a:noFill/>
                    <a:ln>
                      <a:noFill/>
                    </a:ln>
                  </pic:spPr>
                </pic:pic>
              </a:graphicData>
            </a:graphic>
          </wp:inline>
        </w:drawing>
      </w:r>
    </w:p>
    <w:p>
      <w:pPr>
        <w:pStyle w:val="BodyText"/>
        <w:spacing w:after="0"/>
        <w:jc w:val="center"/>
        <w:rPr>
          <w:noProof/>
        </w:rPr>
      </w:pPr>
      <w:bookmarkStart w:id="11" w:name="_Ref109033563"/>
      <w:bookmarkStart w:id="12" w:name="_Toc214884921"/>
      <w:bookmarkStart w:id="13" w:name="_Toc217052925"/>
      <w:r>
        <w:rPr>
          <w:rFonts w:eastAsia="Times New Roman"/>
          <w:i/>
          <w:noProof/>
          <w:sz w:val="22"/>
          <w:szCs w:val="20"/>
          <w:lang w:eastAsia="en-US"/>
        </w:rPr>
        <w:t xml:space="preserve">Figure </w:t>
      </w:r>
      <w:r>
        <w:rPr>
          <w:rFonts w:eastAsia="Times New Roman"/>
          <w:i/>
          <w:noProof/>
          <w:color w:val="2B579A"/>
          <w:sz w:val="22"/>
          <w:szCs w:val="20"/>
          <w:shd w:val="clear" w:color="auto" w:fill="E6E6E6"/>
          <w:lang w:eastAsia="en-US"/>
        </w:rPr>
        <w:fldChar w:fldCharType="begin"/>
      </w:r>
      <w:r>
        <w:rPr>
          <w:rFonts w:eastAsia="Times New Roman"/>
          <w:i/>
          <w:noProof/>
          <w:color w:val="2B579A"/>
          <w:sz w:val="22"/>
          <w:szCs w:val="20"/>
          <w:shd w:val="clear" w:color="auto" w:fill="E6E6E6"/>
          <w:lang w:eastAsia="en-US"/>
        </w:rPr>
        <w:instrText xml:space="preserve"> SEQ Figure \* ARABIC </w:instrText>
      </w:r>
      <w:r>
        <w:rPr>
          <w:rFonts w:eastAsia="Times New Roman"/>
          <w:i/>
          <w:noProof/>
          <w:color w:val="2B579A"/>
          <w:sz w:val="22"/>
          <w:szCs w:val="20"/>
          <w:shd w:val="clear" w:color="auto" w:fill="E6E6E6"/>
          <w:lang w:eastAsia="en-US"/>
        </w:rPr>
        <w:fldChar w:fldCharType="separate"/>
      </w:r>
      <w:r>
        <w:rPr>
          <w:rFonts w:eastAsia="Times New Roman"/>
          <w:i/>
          <w:noProof/>
          <w:color w:val="2B579A"/>
          <w:sz w:val="22"/>
          <w:szCs w:val="20"/>
          <w:shd w:val="clear" w:color="auto" w:fill="E6E6E6"/>
          <w:lang w:eastAsia="en-US"/>
        </w:rPr>
        <w:t>4</w:t>
      </w:r>
      <w:r>
        <w:rPr>
          <w:rFonts w:eastAsia="Times New Roman"/>
          <w:i/>
          <w:noProof/>
          <w:color w:val="2B579A"/>
          <w:sz w:val="22"/>
          <w:szCs w:val="20"/>
          <w:shd w:val="clear" w:color="auto" w:fill="E6E6E6"/>
          <w:lang w:eastAsia="en-US"/>
        </w:rPr>
        <w:fldChar w:fldCharType="end"/>
      </w:r>
      <w:bookmarkEnd w:id="11"/>
      <w:r>
        <w:rPr>
          <w:rFonts w:eastAsia="Times New Roman"/>
          <w:i/>
          <w:noProof/>
          <w:sz w:val="22"/>
          <w:szCs w:val="20"/>
          <w:lang w:eastAsia="en-US"/>
        </w:rPr>
        <w:t>: Energy subsidies by main energy carriers in the EU-27</w:t>
      </w:r>
      <w:bookmarkEnd w:id="12"/>
      <w:bookmarkEnd w:id="13"/>
      <w:r>
        <w:rPr>
          <w:rFonts w:eastAsia="Times New Roman"/>
          <w:i/>
          <w:noProof/>
          <w:sz w:val="22"/>
          <w:szCs w:val="20"/>
          <w:lang w:eastAsia="en-US"/>
        </w:rPr>
        <w:t xml:space="preserve"> in 2015-2024 (EUR</w:t>
      </w:r>
      <w:r>
        <w:rPr>
          <w:noProof/>
          <w:vertAlign w:val="subscript"/>
        </w:rPr>
        <w:t xml:space="preserve">2024 </w:t>
      </w:r>
      <w:r>
        <w:rPr>
          <w:rFonts w:eastAsia="Times New Roman"/>
          <w:i/>
          <w:noProof/>
          <w:sz w:val="22"/>
          <w:szCs w:val="20"/>
          <w:lang w:eastAsia="en-US"/>
        </w:rPr>
        <w:t xml:space="preserve">billion) </w:t>
      </w:r>
    </w:p>
    <w:p>
      <w:pPr>
        <w:pStyle w:val="Caption"/>
        <w:spacing w:before="0" w:after="0"/>
        <w:contextualSpacing/>
        <w:jc w:val="center"/>
        <w:rPr>
          <w:noProof/>
        </w:rPr>
      </w:pPr>
      <w:r>
        <w:rPr>
          <w:rStyle w:val="SourceCar"/>
          <w:rFonts w:eastAsia="MS Mincho"/>
          <w:noProof/>
        </w:rPr>
        <w:t>Source: Enerdata, 2025. 2024 estimates are represented with hatching</w:t>
      </w:r>
    </w:p>
    <w:p>
      <w:pPr>
        <w:pStyle w:val="BodyText"/>
        <w:jc w:val="both"/>
        <w:rPr>
          <w:i/>
          <w:iCs/>
          <w:noProof/>
        </w:rPr>
      </w:pPr>
    </w:p>
    <w:p>
      <w:pPr>
        <w:spacing w:after="0"/>
        <w:rPr>
          <w:rFonts w:ascii="Times New Roman" w:hAnsi="Times New Roman" w:cs="Times New Roman"/>
          <w:noProof/>
          <w:sz w:val="24"/>
          <w:szCs w:val="24"/>
        </w:rPr>
      </w:pPr>
      <w:r>
        <w:rPr>
          <w:rFonts w:ascii="Times New Roman" w:hAnsi="Times New Roman" w:cs="Times New Roman"/>
          <w:b/>
          <w:bCs/>
          <w:noProof/>
          <w:sz w:val="24"/>
          <w:szCs w:val="24"/>
        </w:rPr>
        <w:t>The</w:t>
      </w:r>
      <w:r>
        <w:rPr>
          <w:rFonts w:ascii="Times New Roman" w:hAnsi="Times New Roman" w:cs="Times New Roman"/>
          <w:noProof/>
          <w:sz w:val="24"/>
          <w:szCs w:val="24"/>
        </w:rPr>
        <w:t xml:space="preserve"> </w:t>
      </w:r>
      <w:r>
        <w:rPr>
          <w:rFonts w:ascii="Times New Roman" w:hAnsi="Times New Roman" w:cs="Times New Roman"/>
          <w:b/>
          <w:bCs/>
          <w:noProof/>
          <w:sz w:val="24"/>
          <w:szCs w:val="24"/>
        </w:rPr>
        <w:t xml:space="preserve">downward trend in fossil fuel subsidies continued </w:t>
      </w:r>
      <w:r>
        <w:rPr>
          <w:rFonts w:ascii="Times New Roman" w:hAnsi="Times New Roman" w:cs="Times New Roman"/>
          <w:noProof/>
          <w:sz w:val="24"/>
          <w:szCs w:val="24"/>
        </w:rPr>
        <w:t>(</w:t>
      </w:r>
      <w:r>
        <w:rPr>
          <w:rFonts w:ascii="Times New Roman" w:hAnsi="Times New Roman" w:cs="Times New Roman"/>
          <w:noProof/>
          <w:color w:val="2B579A"/>
          <w:sz w:val="24"/>
          <w:szCs w:val="24"/>
          <w:shd w:val="clear" w:color="auto" w:fill="E6E6E6"/>
        </w:rPr>
        <w:fldChar w:fldCharType="begin"/>
      </w:r>
      <w:r>
        <w:rPr>
          <w:rFonts w:ascii="Times New Roman" w:hAnsi="Times New Roman" w:cs="Times New Roman"/>
          <w:noProof/>
          <w:color w:val="2B579A"/>
          <w:sz w:val="24"/>
          <w:szCs w:val="24"/>
          <w:shd w:val="clear" w:color="auto" w:fill="E6E6E6"/>
        </w:rPr>
        <w:instrText xml:space="preserve"> REF  _Ref107090333 \h  \* MERGEFORMAT </w:instrText>
      </w:r>
      <w:r>
        <w:rPr>
          <w:rFonts w:ascii="Times New Roman" w:hAnsi="Times New Roman" w:cs="Times New Roman"/>
          <w:noProof/>
          <w:color w:val="2B579A"/>
          <w:sz w:val="24"/>
          <w:szCs w:val="24"/>
          <w:shd w:val="clear" w:color="auto" w:fill="E6E6E6"/>
        </w:rPr>
      </w:r>
      <w:r>
        <w:rPr>
          <w:rFonts w:ascii="Times New Roman" w:hAnsi="Times New Roman" w:cs="Times New Roman"/>
          <w:noProof/>
          <w:color w:val="2B579A"/>
          <w:sz w:val="24"/>
          <w:szCs w:val="24"/>
          <w:shd w:val="clear" w:color="auto" w:fill="E6E6E6"/>
        </w:rPr>
        <w:fldChar w:fldCharType="separate"/>
      </w:r>
      <w:r>
        <w:rPr>
          <w:rFonts w:ascii="Times New Roman" w:eastAsia="Times New Roman" w:hAnsi="Times New Roman" w:cs="Times New Roman"/>
          <w:noProof/>
          <w:sz w:val="24"/>
          <w:szCs w:val="24"/>
        </w:rPr>
        <w:t xml:space="preserve">Figure </w:t>
      </w:r>
      <w:r>
        <w:rPr>
          <w:rFonts w:ascii="Times New Roman" w:eastAsia="Times New Roman" w:hAnsi="Times New Roman" w:cs="Times New Roman"/>
          <w:noProof/>
          <w:color w:val="2B579A"/>
          <w:sz w:val="24"/>
          <w:szCs w:val="24"/>
          <w:shd w:val="clear" w:color="auto" w:fill="E6E6E6"/>
        </w:rPr>
        <w:t>5</w:t>
      </w:r>
      <w:r>
        <w:rPr>
          <w:rFonts w:ascii="Times New Roman" w:hAnsi="Times New Roman" w:cs="Times New Roman"/>
          <w:noProof/>
          <w:color w:val="2B579A"/>
          <w:sz w:val="24"/>
          <w:szCs w:val="24"/>
          <w:shd w:val="clear" w:color="auto" w:fill="E6E6E6"/>
        </w:rPr>
        <w:fldChar w:fldCharType="end"/>
      </w:r>
      <w:r>
        <w:rPr>
          <w:rFonts w:ascii="Times New Roman" w:hAnsi="Times New Roman" w:cs="Times New Roman"/>
          <w:noProof/>
          <w:color w:val="2B579A"/>
          <w:sz w:val="24"/>
          <w:szCs w:val="24"/>
          <w:shd w:val="clear" w:color="auto" w:fill="E6E6E6"/>
        </w:rPr>
        <w:t>)</w:t>
      </w:r>
      <w:r>
        <w:rPr>
          <w:rFonts w:ascii="Times New Roman" w:hAnsi="Times New Roman" w:cs="Times New Roman"/>
          <w:noProof/>
          <w:sz w:val="24"/>
          <w:szCs w:val="24"/>
        </w:rPr>
        <w:t xml:space="preserve">, but they were </w:t>
      </w:r>
      <w:r>
        <w:rPr>
          <w:rFonts w:ascii="Times New Roman" w:hAnsi="Times New Roman" w:cs="Times New Roman"/>
          <w:b/>
          <w:bCs/>
          <w:noProof/>
          <w:sz w:val="24"/>
          <w:szCs w:val="24"/>
        </w:rPr>
        <w:t xml:space="preserve">still </w:t>
      </w:r>
      <w:r>
        <w:rPr>
          <w:rFonts w:ascii="Times New Roman" w:hAnsi="Times New Roman" w:cs="Times New Roman"/>
          <w:noProof/>
          <w:sz w:val="24"/>
          <w:szCs w:val="24"/>
        </w:rPr>
        <w:t xml:space="preserve">64% </w:t>
      </w:r>
      <w:r>
        <w:rPr>
          <w:rFonts w:ascii="Times New Roman" w:hAnsi="Times New Roman" w:cs="Times New Roman"/>
          <w:b/>
          <w:bCs/>
          <w:noProof/>
          <w:sz w:val="24"/>
          <w:szCs w:val="24"/>
        </w:rPr>
        <w:t>above the historic</w:t>
      </w:r>
      <w:r>
        <w:rPr>
          <w:rFonts w:ascii="Times New Roman" w:hAnsi="Times New Roman" w:cs="Times New Roman"/>
          <w:noProof/>
          <w:sz w:val="24"/>
          <w:szCs w:val="24"/>
        </w:rPr>
        <w:t xml:space="preserve"> pre-crisis </w:t>
      </w:r>
      <w:r>
        <w:rPr>
          <w:rFonts w:ascii="Times New Roman" w:hAnsi="Times New Roman" w:cs="Times New Roman"/>
          <w:b/>
          <w:bCs/>
          <w:noProof/>
          <w:sz w:val="24"/>
          <w:szCs w:val="24"/>
        </w:rPr>
        <w:t xml:space="preserve">average </w:t>
      </w:r>
      <w:r>
        <w:rPr>
          <w:rFonts w:ascii="Times New Roman" w:hAnsi="Times New Roman" w:cs="Times New Roman"/>
          <w:noProof/>
          <w:sz w:val="24"/>
          <w:szCs w:val="24"/>
        </w:rPr>
        <w:t>(EUR 60 billion)</w:t>
      </w:r>
      <w:r>
        <w:rPr>
          <w:rStyle w:val="FootnoteReference"/>
          <w:rFonts w:eastAsia="MS Mincho"/>
          <w:noProof/>
          <w:szCs w:val="24"/>
        </w:rPr>
        <w:footnoteReference w:id="10"/>
      </w:r>
      <w:r>
        <w:rPr>
          <w:rFonts w:ascii="Times New Roman" w:hAnsi="Times New Roman" w:cs="Times New Roman"/>
          <w:noProof/>
          <w:sz w:val="24"/>
          <w:szCs w:val="24"/>
        </w:rPr>
        <w:t>.</w:t>
      </w:r>
    </w:p>
    <w:p>
      <w:pPr>
        <w:pStyle w:val="BodyText"/>
        <w:jc w:val="both"/>
        <w:rPr>
          <w:noProof/>
        </w:rPr>
      </w:pPr>
      <w:r>
        <w:rPr>
          <w:noProof/>
        </w:rPr>
        <w:drawing>
          <wp:inline distT="0" distB="0" distL="0" distR="0">
            <wp:extent cx="5422900" cy="2247900"/>
            <wp:effectExtent l="0" t="0" r="6350" b="0"/>
            <wp:docPr id="1123204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22900" cy="2247900"/>
                    </a:xfrm>
                    <a:prstGeom prst="rect">
                      <a:avLst/>
                    </a:prstGeom>
                    <a:noFill/>
                    <a:ln>
                      <a:noFill/>
                    </a:ln>
                  </pic:spPr>
                </pic:pic>
              </a:graphicData>
            </a:graphic>
          </wp:inline>
        </w:drawing>
      </w:r>
    </w:p>
    <w:p>
      <w:pPr>
        <w:pStyle w:val="Caption"/>
        <w:spacing w:after="0"/>
        <w:jc w:val="center"/>
        <w:rPr>
          <w:noProof/>
        </w:rPr>
      </w:pPr>
      <w:bookmarkStart w:id="14" w:name="_Ref107090333"/>
      <w:bookmarkStart w:id="15" w:name="_Toc145348068"/>
      <w:r>
        <w:rPr>
          <w:noProof/>
        </w:rPr>
        <w:t xml:space="preserve">Figure </w:t>
      </w:r>
      <w:r>
        <w:rPr>
          <w:noProof/>
          <w:color w:val="2B579A"/>
          <w:shd w:val="clear" w:color="auto" w:fill="E6E6E6"/>
        </w:rPr>
        <w:fldChar w:fldCharType="begin"/>
      </w:r>
      <w:r>
        <w:rPr>
          <w:noProof/>
          <w:color w:val="2B579A"/>
          <w:shd w:val="clear" w:color="auto" w:fill="E6E6E6"/>
        </w:rPr>
        <w:instrText xml:space="preserve"> SEQ Figure \* ARABIC </w:instrText>
      </w:r>
      <w:r>
        <w:rPr>
          <w:noProof/>
          <w:color w:val="2B579A"/>
          <w:shd w:val="clear" w:color="auto" w:fill="E6E6E6"/>
        </w:rPr>
        <w:fldChar w:fldCharType="separate"/>
      </w:r>
      <w:r>
        <w:rPr>
          <w:noProof/>
          <w:color w:val="2B579A"/>
          <w:shd w:val="clear" w:color="auto" w:fill="E6E6E6"/>
        </w:rPr>
        <w:t>5</w:t>
      </w:r>
      <w:r>
        <w:rPr>
          <w:noProof/>
          <w:color w:val="2B579A"/>
          <w:shd w:val="clear" w:color="auto" w:fill="E6E6E6"/>
        </w:rPr>
        <w:fldChar w:fldCharType="end"/>
      </w:r>
      <w:bookmarkEnd w:id="14"/>
      <w:r>
        <w:rPr>
          <w:noProof/>
        </w:rPr>
        <w:t>: Fossil fuel subsidies by energy vector (EUR</w:t>
      </w:r>
      <w:r>
        <w:rPr>
          <w:noProof/>
          <w:vertAlign w:val="subscript"/>
        </w:rPr>
        <w:t xml:space="preserve">2024 </w:t>
      </w:r>
      <w:r>
        <w:rPr>
          <w:noProof/>
        </w:rPr>
        <w:t>billion)</w:t>
      </w:r>
      <w:bookmarkEnd w:id="15"/>
    </w:p>
    <w:p>
      <w:pPr>
        <w:jc w:val="center"/>
        <w:rPr>
          <w:rStyle w:val="SourceCar"/>
          <w:rFonts w:eastAsia="MS Mincho"/>
          <w:noProof/>
        </w:rPr>
      </w:pPr>
      <w:r>
        <w:rPr>
          <w:rStyle w:val="SourceCar"/>
          <w:rFonts w:eastAsia="MS Mincho"/>
          <w:noProof/>
        </w:rPr>
        <w:t>Source: Enerdata, Trinomics, 2024. *‘Others’ includes subsidies directed to all fossil fuels, and heat from fossil sources. The figures in the graph include tax expenditures that cannot be directly compared across countries.</w:t>
      </w:r>
    </w:p>
    <w:p>
      <w:pPr>
        <w:rPr>
          <w:rFonts w:ascii="Times New Roman" w:hAnsi="Times New Roman" w:cs="Times New Roman"/>
          <w:noProof/>
          <w:sz w:val="24"/>
          <w:szCs w:val="24"/>
        </w:rPr>
      </w:pPr>
      <w:r>
        <w:rPr>
          <w:rFonts w:ascii="Times New Roman" w:hAnsi="Times New Roman" w:cs="Times New Roman"/>
          <w:b/>
          <w:bCs/>
          <w:noProof/>
          <w:sz w:val="24"/>
          <w:szCs w:val="24"/>
        </w:rPr>
        <w:t xml:space="preserve">Fossil fuel subsidies excluding ‘tax expenditure’ </w:t>
      </w:r>
      <w:r>
        <w:rPr>
          <w:rFonts w:ascii="Times New Roman" w:hAnsi="Times New Roman" w:cs="Times New Roman"/>
          <w:noProof/>
          <w:sz w:val="24"/>
          <w:szCs w:val="24"/>
        </w:rPr>
        <w:t xml:space="preserve">(EUR 43 billion) and ‘government ownership’ and ‘equity infusion’ (EUR 10 billion) accounted for 45% of the total or </w:t>
      </w:r>
      <w:r>
        <w:rPr>
          <w:rFonts w:ascii="Times New Roman" w:hAnsi="Times New Roman" w:cs="Times New Roman"/>
          <w:b/>
          <w:bCs/>
          <w:noProof/>
          <w:sz w:val="24"/>
          <w:szCs w:val="24"/>
        </w:rPr>
        <w:t>EUR 44 billion</w:t>
      </w:r>
      <w:r>
        <w:rPr>
          <w:rFonts w:ascii="Times New Roman" w:hAnsi="Times New Roman" w:cs="Times New Roman"/>
          <w:noProof/>
          <w:sz w:val="24"/>
          <w:szCs w:val="24"/>
        </w:rPr>
        <w:t xml:space="preserve"> in 2024.</w:t>
      </w:r>
    </w:p>
    <w:p>
      <w:pPr>
        <w:rPr>
          <w:noProof/>
        </w:rPr>
      </w:pPr>
      <w:r>
        <w:rPr>
          <w:noProof/>
        </w:rPr>
        <w:lastRenderedPageBreak/>
        <w:drawing>
          <wp:inline distT="0" distB="0" distL="0" distR="0">
            <wp:extent cx="5472430" cy="2520315"/>
            <wp:effectExtent l="0" t="0" r="0" b="0"/>
            <wp:docPr id="123014579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72430" cy="2520315"/>
                    </a:xfrm>
                    <a:prstGeom prst="rect">
                      <a:avLst/>
                    </a:prstGeom>
                    <a:noFill/>
                    <a:ln>
                      <a:noFill/>
                    </a:ln>
                  </pic:spPr>
                </pic:pic>
              </a:graphicData>
            </a:graphic>
          </wp:inline>
        </w:drawing>
      </w:r>
    </w:p>
    <w:p>
      <w:pPr>
        <w:pStyle w:val="Caption"/>
        <w:spacing w:after="0"/>
        <w:jc w:val="center"/>
        <w:rPr>
          <w:noProof/>
        </w:rPr>
      </w:pPr>
      <w:r>
        <w:rPr>
          <w:noProof/>
        </w:rPr>
        <w:t xml:space="preserve">Figure </w:t>
      </w:r>
      <w:r>
        <w:rPr>
          <w:noProof/>
          <w:color w:val="2B579A"/>
          <w:shd w:val="clear" w:color="auto" w:fill="E6E6E6"/>
        </w:rPr>
        <w:fldChar w:fldCharType="begin"/>
      </w:r>
      <w:r>
        <w:rPr>
          <w:noProof/>
          <w:color w:val="2B579A"/>
          <w:shd w:val="clear" w:color="auto" w:fill="E6E6E6"/>
        </w:rPr>
        <w:instrText xml:space="preserve"> SEQ Figure \* ARABIC </w:instrText>
      </w:r>
      <w:r>
        <w:rPr>
          <w:noProof/>
          <w:color w:val="2B579A"/>
          <w:shd w:val="clear" w:color="auto" w:fill="E6E6E6"/>
        </w:rPr>
        <w:fldChar w:fldCharType="separate"/>
      </w:r>
      <w:r>
        <w:rPr>
          <w:noProof/>
          <w:color w:val="2B579A"/>
          <w:shd w:val="clear" w:color="auto" w:fill="E6E6E6"/>
        </w:rPr>
        <w:t>6</w:t>
      </w:r>
      <w:r>
        <w:rPr>
          <w:noProof/>
          <w:color w:val="2B579A"/>
          <w:shd w:val="clear" w:color="auto" w:fill="E6E6E6"/>
        </w:rPr>
        <w:fldChar w:fldCharType="end"/>
      </w:r>
      <w:r>
        <w:rPr>
          <w:noProof/>
        </w:rPr>
        <w:t>: Fossil fuel subsidies excluding tax expenditures, government ownership/equity infusion by energy sources (EUR</w:t>
      </w:r>
      <w:r>
        <w:rPr>
          <w:noProof/>
          <w:vertAlign w:val="subscript"/>
        </w:rPr>
        <w:t xml:space="preserve">2024 </w:t>
      </w:r>
      <w:r>
        <w:rPr>
          <w:noProof/>
        </w:rPr>
        <w:t>billion)</w:t>
      </w:r>
    </w:p>
    <w:p>
      <w:pPr>
        <w:jc w:val="center"/>
        <w:rPr>
          <w:rStyle w:val="SourceCar"/>
          <w:rFonts w:eastAsia="MS Mincho"/>
          <w:noProof/>
        </w:rPr>
      </w:pPr>
      <w:r>
        <w:rPr>
          <w:rStyle w:val="SourceCar"/>
          <w:rFonts w:eastAsia="MS Mincho"/>
          <w:noProof/>
        </w:rPr>
        <w:t>Source: Enerdata, Trinomics, 2025. *‘Others’ includes subsidies directed to all fossil fuels, and heat from fossil sources. The figures in the graph include tax expenditures that cannot be directly compared across countries.</w:t>
      </w:r>
    </w:p>
    <w:p>
      <w:pPr>
        <w:jc w:val="both"/>
        <w:rPr>
          <w:rFonts w:ascii="Times New Roman" w:hAnsi="Times New Roman" w:cs="Times New Roman"/>
          <w:noProof/>
          <w:sz w:val="24"/>
          <w:szCs w:val="24"/>
        </w:rPr>
      </w:pPr>
      <w:r>
        <w:rPr>
          <w:rFonts w:ascii="Times New Roman" w:hAnsi="Times New Roman" w:cs="Times New Roman"/>
          <w:b/>
          <w:bCs/>
          <w:noProof/>
          <w:sz w:val="24"/>
          <w:szCs w:val="24"/>
        </w:rPr>
        <w:t>Fossil fuel subsidies addressing energy poverty</w:t>
      </w:r>
      <w:r>
        <w:rPr>
          <w:rFonts w:ascii="Times New Roman" w:hAnsi="Times New Roman" w:cs="Times New Roman"/>
          <w:noProof/>
          <w:sz w:val="24"/>
          <w:szCs w:val="24"/>
        </w:rPr>
        <w:t xml:space="preserve"> </w:t>
      </w:r>
      <w:r>
        <w:rPr>
          <w:rFonts w:ascii="Times New Roman" w:hAnsi="Times New Roman" w:cs="Times New Roman"/>
          <w:b/>
          <w:bCs/>
          <w:noProof/>
          <w:sz w:val="24"/>
          <w:szCs w:val="24"/>
        </w:rPr>
        <w:t>decreased</w:t>
      </w:r>
      <w:r>
        <w:rPr>
          <w:rFonts w:ascii="Times New Roman" w:hAnsi="Times New Roman" w:cs="Times New Roman"/>
          <w:noProof/>
          <w:sz w:val="24"/>
          <w:szCs w:val="24"/>
        </w:rPr>
        <w:t xml:space="preserve"> to EUR 1.3 billion in 2024 but remained </w:t>
      </w:r>
      <w:r>
        <w:rPr>
          <w:rFonts w:ascii="Times New Roman" w:hAnsi="Times New Roman" w:cs="Times New Roman"/>
          <w:b/>
          <w:bCs/>
          <w:noProof/>
          <w:sz w:val="24"/>
          <w:szCs w:val="24"/>
        </w:rPr>
        <w:t>above the historic average</w:t>
      </w:r>
      <w:r>
        <w:rPr>
          <w:rStyle w:val="FootnoteReference"/>
          <w:rFonts w:eastAsiaTheme="minorHAnsi"/>
          <w:b/>
          <w:bCs/>
          <w:noProof/>
        </w:rPr>
        <w:footnoteReference w:id="11"/>
      </w:r>
      <w:r>
        <w:rPr>
          <w:rFonts w:ascii="Times New Roman" w:hAnsi="Times New Roman" w:cs="Times New Roman"/>
          <w:noProof/>
          <w:sz w:val="24"/>
          <w:szCs w:val="24"/>
        </w:rPr>
        <w:t xml:space="preserve"> of around EUR 980 million annually.</w:t>
      </w:r>
    </w:p>
    <w:p>
      <w:pPr>
        <w:jc w:val="both"/>
        <w:rPr>
          <w:rFonts w:ascii="Times New Roman" w:hAnsi="Times New Roman" w:cs="Times New Roman"/>
          <w:noProof/>
          <w:sz w:val="24"/>
          <w:szCs w:val="24"/>
        </w:rPr>
      </w:pPr>
      <w:r>
        <w:rPr>
          <w:rFonts w:ascii="Times New Roman" w:hAnsi="Times New Roman" w:cs="Times New Roman"/>
          <w:b/>
          <w:bCs/>
          <w:noProof/>
          <w:sz w:val="24"/>
          <w:szCs w:val="24"/>
        </w:rPr>
        <w:t>Fossil fuel subsidies aimed at enhancing supply security</w:t>
      </w:r>
      <w:r>
        <w:rPr>
          <w:rFonts w:ascii="Times New Roman" w:hAnsi="Times New Roman" w:cs="Times New Roman"/>
          <w:noProof/>
          <w:sz w:val="24"/>
          <w:szCs w:val="24"/>
        </w:rPr>
        <w:t xml:space="preserve"> – which fell to EUR 15 billion in 2023 – declined again in 2024, to EUR 11 billion. Nevertheless, they remained </w:t>
      </w:r>
      <w:r>
        <w:rPr>
          <w:rFonts w:ascii="Times New Roman" w:hAnsi="Times New Roman" w:cs="Times New Roman"/>
          <w:b/>
          <w:bCs/>
          <w:noProof/>
          <w:sz w:val="24"/>
          <w:szCs w:val="24"/>
        </w:rPr>
        <w:t>far above pre-crisis levels</w:t>
      </w:r>
      <w:r>
        <w:rPr>
          <w:rStyle w:val="FootnoteReference"/>
          <w:rFonts w:eastAsiaTheme="minorHAnsi"/>
          <w:b/>
          <w:bCs/>
          <w:noProof/>
        </w:rPr>
        <w:footnoteReference w:id="12"/>
      </w:r>
      <w:r>
        <w:rPr>
          <w:rFonts w:ascii="Times New Roman" w:hAnsi="Times New Roman" w:cs="Times New Roman"/>
          <w:noProof/>
          <w:sz w:val="24"/>
          <w:szCs w:val="24"/>
        </w:rPr>
        <w:t xml:space="preserve"> of around EUR 1 billion.</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In 2024, </w:t>
      </w:r>
      <w:r>
        <w:rPr>
          <w:rFonts w:ascii="Times New Roman" w:hAnsi="Times New Roman" w:cs="Times New Roman"/>
          <w:b/>
          <w:bCs/>
          <w:noProof/>
          <w:sz w:val="24"/>
          <w:szCs w:val="24"/>
        </w:rPr>
        <w:t>subsidies for renewable energy sources</w:t>
      </w:r>
      <w:r>
        <w:rPr>
          <w:rFonts w:ascii="Times New Roman" w:hAnsi="Times New Roman" w:cs="Times New Roman"/>
          <w:noProof/>
          <w:sz w:val="24"/>
          <w:szCs w:val="24"/>
        </w:rPr>
        <w:t xml:space="preserve"> </w:t>
      </w:r>
      <w:r>
        <w:rPr>
          <w:rFonts w:ascii="Times New Roman" w:hAnsi="Times New Roman" w:cs="Times New Roman"/>
          <w:b/>
          <w:bCs/>
          <w:noProof/>
          <w:sz w:val="24"/>
          <w:szCs w:val="24"/>
        </w:rPr>
        <w:t>rebounded</w:t>
      </w:r>
      <w:r>
        <w:rPr>
          <w:rFonts w:ascii="Times New Roman" w:hAnsi="Times New Roman" w:cs="Times New Roman"/>
          <w:noProof/>
          <w:sz w:val="24"/>
          <w:szCs w:val="24"/>
        </w:rPr>
        <w:t xml:space="preserve"> to EUR 76 billion, an increase of 39% compared with 2023 when they reached their lowest level since 2015 (EUR 55 billion). However, they </w:t>
      </w:r>
      <w:r>
        <w:rPr>
          <w:rFonts w:ascii="Times New Roman" w:hAnsi="Times New Roman" w:cs="Times New Roman"/>
          <w:b/>
          <w:bCs/>
          <w:noProof/>
          <w:sz w:val="24"/>
          <w:szCs w:val="24"/>
        </w:rPr>
        <w:t xml:space="preserve">were </w:t>
      </w:r>
      <w:r>
        <w:rPr>
          <w:rFonts w:ascii="Times New Roman" w:hAnsi="Times New Roman" w:cs="Times New Roman"/>
          <w:noProof/>
          <w:sz w:val="24"/>
          <w:szCs w:val="24"/>
        </w:rPr>
        <w:t>still 12%</w:t>
      </w:r>
      <w:r>
        <w:rPr>
          <w:rFonts w:ascii="Times New Roman" w:hAnsi="Times New Roman" w:cs="Times New Roman"/>
          <w:b/>
          <w:bCs/>
          <w:noProof/>
          <w:sz w:val="24"/>
          <w:szCs w:val="24"/>
        </w:rPr>
        <w:t xml:space="preserve"> below the historic average</w:t>
      </w:r>
      <w:r>
        <w:rPr>
          <w:rFonts w:ascii="Times New Roman" w:hAnsi="Times New Roman" w:cs="Times New Roman"/>
          <w:noProof/>
          <w:sz w:val="24"/>
          <w:szCs w:val="24"/>
        </w:rPr>
        <w:t xml:space="preserve"> for the period 2015-2019 of around EUR 86 billion per year.</w:t>
      </w:r>
    </w:p>
    <w:p>
      <w:pPr>
        <w:pStyle w:val="BodyText"/>
        <w:jc w:val="both"/>
        <w:rPr>
          <w:noProof/>
        </w:rPr>
      </w:pPr>
    </w:p>
    <w:p>
      <w:pPr>
        <w:pStyle w:val="BodyText"/>
        <w:jc w:val="both"/>
        <w:rPr>
          <w:noProof/>
        </w:rPr>
      </w:pPr>
      <w:r>
        <w:rPr>
          <w:noProof/>
        </w:rPr>
        <w:drawing>
          <wp:inline distT="0" distB="0" distL="0" distR="0">
            <wp:extent cx="4965700" cy="2171700"/>
            <wp:effectExtent l="0" t="0" r="6350" b="0"/>
            <wp:docPr id="9523982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65700" cy="2171700"/>
                    </a:xfrm>
                    <a:prstGeom prst="rect">
                      <a:avLst/>
                    </a:prstGeom>
                    <a:noFill/>
                    <a:ln>
                      <a:noFill/>
                    </a:ln>
                  </pic:spPr>
                </pic:pic>
              </a:graphicData>
            </a:graphic>
          </wp:inline>
        </w:drawing>
      </w:r>
    </w:p>
    <w:p>
      <w:pPr>
        <w:pStyle w:val="Caption"/>
        <w:spacing w:after="0"/>
        <w:jc w:val="center"/>
        <w:rPr>
          <w:noProof/>
        </w:rPr>
      </w:pPr>
      <w:bookmarkStart w:id="16" w:name="_Ref141343568"/>
      <w:bookmarkStart w:id="17" w:name="_Ref77327975"/>
      <w:bookmarkStart w:id="18" w:name="_Ref80805197"/>
      <w:bookmarkStart w:id="19" w:name="_Toc80799168"/>
      <w:bookmarkStart w:id="20" w:name="_Toc145348073"/>
      <w:r>
        <w:rPr>
          <w:noProof/>
        </w:rPr>
        <w:lastRenderedPageBreak/>
        <w:t xml:space="preserve">Figure </w:t>
      </w:r>
      <w:r>
        <w:rPr>
          <w:noProof/>
          <w:color w:val="2B579A"/>
          <w:shd w:val="clear" w:color="auto" w:fill="E6E6E6"/>
        </w:rPr>
        <w:fldChar w:fldCharType="begin"/>
      </w:r>
      <w:r>
        <w:rPr>
          <w:noProof/>
        </w:rPr>
        <w:instrText xml:space="preserve"> SEQ Figure \* ARABIC </w:instrText>
      </w:r>
      <w:r>
        <w:rPr>
          <w:noProof/>
          <w:color w:val="2B579A"/>
          <w:shd w:val="clear" w:color="auto" w:fill="E6E6E6"/>
        </w:rPr>
        <w:fldChar w:fldCharType="separate"/>
      </w:r>
      <w:r>
        <w:rPr>
          <w:noProof/>
        </w:rPr>
        <w:t>7</w:t>
      </w:r>
      <w:r>
        <w:rPr>
          <w:noProof/>
          <w:color w:val="2B579A"/>
          <w:shd w:val="clear" w:color="auto" w:fill="E6E6E6"/>
        </w:rPr>
        <w:fldChar w:fldCharType="end"/>
      </w:r>
      <w:bookmarkEnd w:id="16"/>
      <w:bookmarkEnd w:id="17"/>
      <w:bookmarkEnd w:id="18"/>
      <w:r>
        <w:rPr>
          <w:noProof/>
        </w:rPr>
        <w:t xml:space="preserve">: </w:t>
      </w:r>
      <w:bookmarkStart w:id="21" w:name="_Ref108018998"/>
      <w:r>
        <w:rPr>
          <w:noProof/>
        </w:rPr>
        <w:t>Renewable subsidies by technology (EUR</w:t>
      </w:r>
      <w:r>
        <w:rPr>
          <w:noProof/>
          <w:vertAlign w:val="subscript"/>
        </w:rPr>
        <w:t xml:space="preserve">2024 </w:t>
      </w:r>
      <w:r>
        <w:rPr>
          <w:noProof/>
        </w:rPr>
        <w:t>billion)</w:t>
      </w:r>
      <w:bookmarkEnd w:id="19"/>
      <w:bookmarkEnd w:id="20"/>
      <w:bookmarkEnd w:id="21"/>
    </w:p>
    <w:p>
      <w:pPr>
        <w:pStyle w:val="Source"/>
        <w:rPr>
          <w:noProof/>
        </w:rPr>
      </w:pPr>
      <w:r>
        <w:rPr>
          <w:noProof/>
        </w:rPr>
        <w:t>Source: Enerdata, 2025. NB: 2024 estimates are represented with light colour</w:t>
      </w:r>
    </w:p>
    <w:p>
      <w:pPr>
        <w:pStyle w:val="Source"/>
        <w:rPr>
          <w:noProof/>
        </w:rPr>
      </w:pPr>
    </w:p>
    <w:p>
      <w:pPr>
        <w:pStyle w:val="BodyText"/>
        <w:jc w:val="both"/>
        <w:rPr>
          <w:noProof/>
        </w:rPr>
      </w:pPr>
      <w:r>
        <w:rPr>
          <w:b/>
          <w:bCs/>
          <w:noProof/>
        </w:rPr>
        <w:t>Solar energy received by far the largest share of subsidies</w:t>
      </w:r>
      <w:r>
        <w:rPr>
          <w:noProof/>
        </w:rPr>
        <w:t xml:space="preserve"> in 2024 (39% or an estimated EUR 30 billion), </w:t>
      </w:r>
      <w:r>
        <w:rPr>
          <w:b/>
          <w:bCs/>
          <w:noProof/>
        </w:rPr>
        <w:t xml:space="preserve">followed by bioenergy </w:t>
      </w:r>
      <w:r>
        <w:rPr>
          <w:noProof/>
        </w:rPr>
        <w:t xml:space="preserve">(20% or an estimated EUR 15 billion) and </w:t>
      </w:r>
      <w:r>
        <w:rPr>
          <w:b/>
          <w:bCs/>
          <w:noProof/>
        </w:rPr>
        <w:t xml:space="preserve">wind </w:t>
      </w:r>
      <w:r>
        <w:rPr>
          <w:noProof/>
        </w:rPr>
        <w:t>(12% or an estimated EUR 9 billion) (</w:t>
      </w:r>
      <w:r>
        <w:rPr>
          <w:noProof/>
        </w:rPr>
        <w:fldChar w:fldCharType="begin"/>
      </w:r>
      <w:r>
        <w:rPr>
          <w:noProof/>
        </w:rPr>
        <w:instrText xml:space="preserve"> REF _Ref141343568 \h  \* MERGEFORMAT </w:instrText>
      </w:r>
      <w:r>
        <w:rPr>
          <w:noProof/>
        </w:rPr>
      </w:r>
      <w:r>
        <w:rPr>
          <w:noProof/>
        </w:rPr>
        <w:fldChar w:fldCharType="separate"/>
      </w:r>
      <w:r>
        <w:rPr>
          <w:noProof/>
        </w:rPr>
        <w:t>Figure 8</w:t>
      </w:r>
      <w:r>
        <w:rPr>
          <w:noProof/>
        </w:rPr>
        <w:fldChar w:fldCharType="end"/>
      </w:r>
      <w:r>
        <w:rPr>
          <w:noProof/>
        </w:rPr>
        <w:t xml:space="preserve">). In 2024, </w:t>
      </w:r>
      <w:r>
        <w:rPr>
          <w:b/>
          <w:bCs/>
          <w:noProof/>
        </w:rPr>
        <w:t>subsidies for all major renewable energy sources increased</w:t>
      </w:r>
      <w:r>
        <w:rPr>
          <w:noProof/>
        </w:rPr>
        <w:t>: by 75% for wind, 19% for solar and 51% for all other sources (bioenergy, hydro, others/multi-RES). Compared to the historic 5-year average (2015-2019), subsidies for all renewables were down by between 12% (solar) and 53% (wind) with the exception of multi-renewable subsidies (+132%).</w:t>
      </w:r>
    </w:p>
    <w:p>
      <w:pPr>
        <w:pStyle w:val="BodyText"/>
        <w:jc w:val="both"/>
        <w:rPr>
          <w:noProof/>
        </w:rPr>
      </w:pPr>
      <w:r>
        <w:rPr>
          <w:noProof/>
        </w:rPr>
        <w:drawing>
          <wp:inline distT="0" distB="0" distL="0" distR="0">
            <wp:extent cx="5472430" cy="2239010"/>
            <wp:effectExtent l="0" t="0" r="0" b="8890"/>
            <wp:docPr id="12636248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72430" cy="2239010"/>
                    </a:xfrm>
                    <a:prstGeom prst="rect">
                      <a:avLst/>
                    </a:prstGeom>
                    <a:noFill/>
                    <a:ln>
                      <a:noFill/>
                    </a:ln>
                  </pic:spPr>
                </pic:pic>
              </a:graphicData>
            </a:graphic>
          </wp:inline>
        </w:drawing>
      </w:r>
    </w:p>
    <w:p>
      <w:pPr>
        <w:pStyle w:val="Caption"/>
        <w:spacing w:after="0"/>
        <w:jc w:val="center"/>
        <w:rPr>
          <w:noProof/>
        </w:rPr>
      </w:pPr>
      <w:r>
        <w:rPr>
          <w:noProof/>
        </w:rPr>
        <w:t xml:space="preserve">Figure </w:t>
      </w:r>
      <w:r>
        <w:rPr>
          <w:noProof/>
          <w:color w:val="2B579A"/>
          <w:shd w:val="clear" w:color="auto" w:fill="E6E6E6"/>
        </w:rPr>
        <w:fldChar w:fldCharType="begin"/>
      </w:r>
      <w:r>
        <w:rPr>
          <w:noProof/>
        </w:rPr>
        <w:instrText xml:space="preserve"> SEQ Figure \* ARABIC </w:instrText>
      </w:r>
      <w:r>
        <w:rPr>
          <w:noProof/>
          <w:color w:val="2B579A"/>
          <w:shd w:val="clear" w:color="auto" w:fill="E6E6E6"/>
        </w:rPr>
        <w:fldChar w:fldCharType="separate"/>
      </w:r>
      <w:r>
        <w:rPr>
          <w:noProof/>
        </w:rPr>
        <w:t>8</w:t>
      </w:r>
      <w:r>
        <w:rPr>
          <w:noProof/>
          <w:color w:val="2B579A"/>
          <w:shd w:val="clear" w:color="auto" w:fill="E6E6E6"/>
        </w:rPr>
        <w:fldChar w:fldCharType="end"/>
      </w:r>
      <w:r>
        <w:rPr>
          <w:noProof/>
        </w:rPr>
        <w:t>: Renewable subsidies by instrument (EUR</w:t>
      </w:r>
      <w:r>
        <w:rPr>
          <w:noProof/>
          <w:vertAlign w:val="subscript"/>
        </w:rPr>
        <w:t xml:space="preserve">2024 </w:t>
      </w:r>
      <w:r>
        <w:rPr>
          <w:noProof/>
        </w:rPr>
        <w:t>billion)</w:t>
      </w:r>
    </w:p>
    <w:p>
      <w:pPr>
        <w:pStyle w:val="Source"/>
        <w:rPr>
          <w:noProof/>
        </w:rPr>
      </w:pPr>
      <w:r>
        <w:rPr>
          <w:noProof/>
        </w:rPr>
        <w:t>Source: Enerdata, 2025. NB: 2024 estimates are represented with light colour</w:t>
      </w:r>
    </w:p>
    <w:p>
      <w:pPr>
        <w:pStyle w:val="BodyText"/>
        <w:jc w:val="both"/>
        <w:rPr>
          <w:noProof/>
        </w:rPr>
      </w:pPr>
    </w:p>
    <w:p>
      <w:pPr>
        <w:pStyle w:val="Text"/>
        <w:rPr>
          <w:rFonts w:ascii="Times New Roman" w:hAnsi="Times New Roman" w:cs="Times New Roman"/>
          <w:bCs/>
          <w:noProof/>
          <w:sz w:val="24"/>
          <w:szCs w:val="24"/>
        </w:rPr>
      </w:pPr>
      <w:r>
        <w:rPr>
          <w:rFonts w:ascii="Times New Roman" w:hAnsi="Times New Roman" w:cs="Times New Roman"/>
          <w:bCs/>
          <w:noProof/>
          <w:sz w:val="24"/>
          <w:szCs w:val="24"/>
        </w:rPr>
        <w:t>Support for different renewable technologies varied significantly between Member States, reflecting different energy policy priorities and local renewables potential (</w:t>
      </w:r>
      <w:r>
        <w:rPr>
          <w:rFonts w:ascii="Times New Roman" w:hAnsi="Times New Roman" w:cs="Times New Roman"/>
          <w:bCs/>
          <w:noProof/>
          <w:sz w:val="24"/>
          <w:szCs w:val="24"/>
        </w:rPr>
        <w:fldChar w:fldCharType="begin"/>
      </w:r>
      <w:r>
        <w:rPr>
          <w:rFonts w:ascii="Times New Roman" w:hAnsi="Times New Roman" w:cs="Times New Roman"/>
          <w:bCs/>
          <w:noProof/>
          <w:sz w:val="24"/>
          <w:szCs w:val="24"/>
        </w:rPr>
        <w:instrText xml:space="preserve"> REF _Ref139457743 \h  \* MERGEFORMAT </w:instrText>
      </w:r>
      <w:r>
        <w:rPr>
          <w:rFonts w:ascii="Times New Roman" w:hAnsi="Times New Roman" w:cs="Times New Roman"/>
          <w:bCs/>
          <w:noProof/>
          <w:sz w:val="24"/>
          <w:szCs w:val="24"/>
        </w:rPr>
      </w:r>
      <w:r>
        <w:rPr>
          <w:rFonts w:ascii="Times New Roman" w:hAnsi="Times New Roman" w:cs="Times New Roman"/>
          <w:bCs/>
          <w:noProof/>
          <w:sz w:val="24"/>
          <w:szCs w:val="24"/>
        </w:rPr>
        <w:fldChar w:fldCharType="separate"/>
      </w:r>
      <w:r>
        <w:rPr>
          <w:rFonts w:ascii="Times New Roman" w:hAnsi="Times New Roman" w:cs="Times New Roman"/>
          <w:bCs/>
          <w:noProof/>
          <w:sz w:val="24"/>
          <w:szCs w:val="24"/>
        </w:rPr>
        <w:t>Figure 10</w:t>
      </w:r>
      <w:r>
        <w:rPr>
          <w:rFonts w:ascii="Times New Roman" w:hAnsi="Times New Roman" w:cs="Times New Roman"/>
          <w:bCs/>
          <w:noProof/>
          <w:sz w:val="24"/>
          <w:szCs w:val="24"/>
        </w:rPr>
        <w:fldChar w:fldCharType="end"/>
      </w:r>
      <w:r>
        <w:rPr>
          <w:rFonts w:ascii="Times New Roman" w:hAnsi="Times New Roman" w:cs="Times New Roman"/>
          <w:bCs/>
          <w:noProof/>
          <w:sz w:val="24"/>
          <w:szCs w:val="24"/>
        </w:rPr>
        <w:t xml:space="preserve">). Countries with high solar irradiation, such as Malta, Greece, Cyprus, Italy and Spain, preferred to grant support for </w:t>
      </w:r>
      <w:r>
        <w:rPr>
          <w:rFonts w:ascii="Times New Roman" w:hAnsi="Times New Roman" w:cs="Times New Roman"/>
          <w:bCs/>
          <w:i/>
          <w:iCs/>
          <w:noProof/>
          <w:sz w:val="24"/>
          <w:szCs w:val="24"/>
        </w:rPr>
        <w:t>solar energy</w:t>
      </w:r>
      <w:r>
        <w:rPr>
          <w:rFonts w:ascii="Times New Roman" w:hAnsi="Times New Roman" w:cs="Times New Roman"/>
          <w:bCs/>
          <w:noProof/>
          <w:sz w:val="24"/>
          <w:szCs w:val="24"/>
        </w:rPr>
        <w:t xml:space="preserve">, while countries with more forest cover, such as Croatia, Finland and Sweden, granted more support for </w:t>
      </w:r>
      <w:r>
        <w:rPr>
          <w:rFonts w:ascii="Times New Roman" w:hAnsi="Times New Roman" w:cs="Times New Roman"/>
          <w:bCs/>
          <w:i/>
          <w:iCs/>
          <w:noProof/>
          <w:sz w:val="24"/>
          <w:szCs w:val="24"/>
        </w:rPr>
        <w:t>bioenergy</w:t>
      </w:r>
      <w:r>
        <w:rPr>
          <w:rFonts w:ascii="Times New Roman" w:hAnsi="Times New Roman" w:cs="Times New Roman"/>
          <w:bCs/>
          <w:noProof/>
          <w:sz w:val="24"/>
          <w:szCs w:val="24"/>
        </w:rPr>
        <w:t xml:space="preserve">. </w:t>
      </w:r>
      <w:r>
        <w:rPr>
          <w:rFonts w:ascii="Times New Roman" w:hAnsi="Times New Roman" w:cs="Times New Roman"/>
          <w:bCs/>
          <w:i/>
          <w:iCs/>
          <w:noProof/>
          <w:sz w:val="24"/>
          <w:szCs w:val="24"/>
        </w:rPr>
        <w:t>Wind</w:t>
      </w:r>
      <w:r>
        <w:rPr>
          <w:rFonts w:ascii="Times New Roman" w:hAnsi="Times New Roman" w:cs="Times New Roman"/>
          <w:bCs/>
          <w:noProof/>
          <w:sz w:val="24"/>
          <w:szCs w:val="24"/>
        </w:rPr>
        <w:t xml:space="preserve"> (offshore) accounted for a substantial proportion of renewable subsidies in Poland and Belgium. </w:t>
      </w:r>
      <w:r>
        <w:rPr>
          <w:rFonts w:ascii="Times New Roman" w:hAnsi="Times New Roman" w:cs="Times New Roman"/>
          <w:bCs/>
          <w:i/>
          <w:iCs/>
          <w:noProof/>
          <w:sz w:val="24"/>
          <w:szCs w:val="24"/>
        </w:rPr>
        <w:t>Balanced technology-neutral</w:t>
      </w:r>
      <w:r>
        <w:rPr>
          <w:rFonts w:ascii="Times New Roman" w:hAnsi="Times New Roman" w:cs="Times New Roman"/>
          <w:bCs/>
          <w:noProof/>
          <w:sz w:val="24"/>
          <w:szCs w:val="24"/>
        </w:rPr>
        <w:t xml:space="preserve"> spending across various renewables was the preferred approach in countries such as Germany, France, Slovakia, Czechia, Slovenia and Latvia</w:t>
      </w:r>
      <w:r>
        <w:rPr>
          <w:noProof/>
        </w:rPr>
        <w:t>.</w:t>
      </w:r>
    </w:p>
    <w:p>
      <w:pPr>
        <w:pStyle w:val="BodyText"/>
        <w:jc w:val="both"/>
        <w:rPr>
          <w:noProof/>
        </w:rPr>
      </w:pPr>
      <w:r>
        <w:rPr>
          <w:noProof/>
        </w:rPr>
        <w:lastRenderedPageBreak/>
        <w:drawing>
          <wp:inline distT="0" distB="0" distL="0" distR="0">
            <wp:extent cx="5232400" cy="2794000"/>
            <wp:effectExtent l="0" t="0" r="6350" b="6350"/>
            <wp:docPr id="8281643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32400" cy="2794000"/>
                    </a:xfrm>
                    <a:prstGeom prst="rect">
                      <a:avLst/>
                    </a:prstGeom>
                    <a:noFill/>
                    <a:ln>
                      <a:noFill/>
                    </a:ln>
                  </pic:spPr>
                </pic:pic>
              </a:graphicData>
            </a:graphic>
          </wp:inline>
        </w:drawing>
      </w:r>
    </w:p>
    <w:p>
      <w:pPr>
        <w:pStyle w:val="Caption"/>
        <w:spacing w:after="0"/>
        <w:jc w:val="center"/>
        <w:rPr>
          <w:noProof/>
        </w:rPr>
      </w:pPr>
      <w:bookmarkStart w:id="22" w:name="_Ref77336392"/>
      <w:bookmarkStart w:id="23" w:name="_Ref109228329"/>
      <w:bookmarkStart w:id="24" w:name="_Ref139457743"/>
      <w:bookmarkStart w:id="25" w:name="_Toc80799171"/>
      <w:bookmarkStart w:id="26" w:name="_Toc81236957"/>
      <w:bookmarkStart w:id="27" w:name="_Toc145348076"/>
      <w:r>
        <w:rPr>
          <w:noProof/>
        </w:rPr>
        <w:t xml:space="preserve">Figure </w:t>
      </w:r>
      <w:r>
        <w:rPr>
          <w:noProof/>
          <w:color w:val="2B579A"/>
          <w:shd w:val="clear" w:color="auto" w:fill="E6E6E6"/>
        </w:rPr>
        <w:fldChar w:fldCharType="begin"/>
      </w:r>
      <w:r>
        <w:rPr>
          <w:noProof/>
        </w:rPr>
        <w:instrText xml:space="preserve"> SEQ Figure \* ARABIC </w:instrText>
      </w:r>
      <w:r>
        <w:rPr>
          <w:noProof/>
          <w:color w:val="2B579A"/>
          <w:shd w:val="clear" w:color="auto" w:fill="E6E6E6"/>
        </w:rPr>
        <w:fldChar w:fldCharType="separate"/>
      </w:r>
      <w:r>
        <w:rPr>
          <w:noProof/>
        </w:rPr>
        <w:t>9</w:t>
      </w:r>
      <w:r>
        <w:rPr>
          <w:noProof/>
          <w:color w:val="2B579A"/>
          <w:shd w:val="clear" w:color="auto" w:fill="E6E6E6"/>
        </w:rPr>
        <w:fldChar w:fldCharType="end"/>
      </w:r>
      <w:bookmarkEnd w:id="22"/>
      <w:bookmarkEnd w:id="23"/>
      <w:bookmarkEnd w:id="24"/>
      <w:r>
        <w:rPr>
          <w:noProof/>
        </w:rPr>
        <w:t>: Share of RES subsidies by technology and Member State (%)</w:t>
      </w:r>
      <w:bookmarkEnd w:id="25"/>
      <w:bookmarkEnd w:id="26"/>
      <w:bookmarkEnd w:id="27"/>
    </w:p>
    <w:p>
      <w:pPr>
        <w:jc w:val="center"/>
        <w:rPr>
          <w:noProof/>
        </w:rPr>
      </w:pPr>
      <w:r>
        <w:rPr>
          <w:rStyle w:val="SourceCar"/>
          <w:rFonts w:eastAsia="MS Mincho"/>
          <w:noProof/>
        </w:rPr>
        <w:t>Source: Enerdata, Trinomics, 2025</w:t>
      </w:r>
    </w:p>
    <w:p>
      <w:pPr>
        <w:pStyle w:val="BodyText"/>
        <w:jc w:val="both"/>
        <w:rPr>
          <w:noProof/>
        </w:rPr>
      </w:pPr>
    </w:p>
    <w:p>
      <w:pPr>
        <w:pStyle w:val="Heading2"/>
        <w:rPr>
          <w:noProof/>
        </w:rPr>
      </w:pPr>
      <w:r>
        <w:rPr>
          <w:noProof/>
        </w:rPr>
        <w:t>Subsidies by economic purpose</w:t>
      </w:r>
    </w:p>
    <w:p>
      <w:pPr>
        <w:rPr>
          <w:rFonts w:ascii="Times New Roman" w:hAnsi="Times New Roman" w:cs="Times New Roman"/>
          <w:noProof/>
          <w:sz w:val="24"/>
          <w:szCs w:val="24"/>
        </w:rPr>
      </w:pPr>
      <w:r>
        <w:rPr>
          <w:rFonts w:ascii="Times New Roman" w:hAnsi="Times New Roman" w:cs="Times New Roman"/>
          <w:b/>
          <w:bCs/>
          <w:noProof/>
          <w:sz w:val="24"/>
          <w:szCs w:val="24"/>
        </w:rPr>
        <w:t>Subsidies supporting energy demand</w:t>
      </w:r>
      <w:r>
        <w:rPr>
          <w:rFonts w:ascii="Times New Roman" w:hAnsi="Times New Roman" w:cs="Times New Roman"/>
          <w:noProof/>
          <w:sz w:val="24"/>
          <w:szCs w:val="24"/>
        </w:rPr>
        <w:t xml:space="preserve"> have been the main economic purpose for granting subsidies since 2021, accounting for EUR 163 billion (48% of the total)</w:t>
      </w:r>
      <w:r>
        <w:rPr>
          <w:rFonts w:ascii="Times New Roman" w:hAnsi="Times New Roman" w:cs="Times New Roman"/>
          <w:b/>
          <w:bCs/>
          <w:noProof/>
          <w:sz w:val="24"/>
          <w:szCs w:val="24"/>
        </w:rPr>
        <w:t xml:space="preserve"> </w:t>
      </w:r>
      <w:r>
        <w:rPr>
          <w:rFonts w:ascii="Times New Roman" w:hAnsi="Times New Roman" w:cs="Times New Roman"/>
          <w:noProof/>
          <w:sz w:val="24"/>
          <w:szCs w:val="24"/>
        </w:rPr>
        <w:t>in 2024. Such subsidies are aimed at reducing the cost of energy consumption by means of, for example, lower tax rates on energy products or direct price support.</w:t>
      </w:r>
    </w:p>
    <w:p>
      <w:pPr>
        <w:rPr>
          <w:noProof/>
        </w:rPr>
      </w:pPr>
      <w:r>
        <w:rPr>
          <w:noProof/>
        </w:rPr>
        <w:drawing>
          <wp:inline distT="0" distB="0" distL="0" distR="0">
            <wp:extent cx="5472430" cy="2195195"/>
            <wp:effectExtent l="0" t="0" r="0" b="0"/>
            <wp:docPr id="121686120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72430" cy="2195195"/>
                    </a:xfrm>
                    <a:prstGeom prst="rect">
                      <a:avLst/>
                    </a:prstGeom>
                    <a:noFill/>
                    <a:ln>
                      <a:noFill/>
                    </a:ln>
                  </pic:spPr>
                </pic:pic>
              </a:graphicData>
            </a:graphic>
          </wp:inline>
        </w:drawing>
      </w:r>
    </w:p>
    <w:p>
      <w:pPr>
        <w:spacing w:after="0"/>
        <w:jc w:val="center"/>
        <w:rPr>
          <w:rStyle w:val="SourceCar"/>
          <w:rFonts w:eastAsia="MS Mincho"/>
          <w:noProof/>
        </w:rPr>
      </w:pPr>
      <w:bookmarkStart w:id="28" w:name="_Ref107099227"/>
      <w:bookmarkStart w:id="29" w:name="_Ref175576596"/>
      <w:bookmarkStart w:id="30" w:name="_Ref139365854"/>
      <w:bookmarkStart w:id="31" w:name="_Ref106288803"/>
      <w:bookmarkStart w:id="32" w:name="_Ref107253300"/>
      <w:bookmarkStart w:id="33" w:name="_Toc80799174"/>
      <w:bookmarkStart w:id="34" w:name="_Ref106892037"/>
      <w:bookmarkStart w:id="35" w:name="_Toc145348080"/>
      <w:r>
        <w:rPr>
          <w:rFonts w:ascii="Times New Roman" w:eastAsia="Times New Roman" w:hAnsi="Times New Roman" w:cs="Times New Roman"/>
          <w:i/>
          <w:noProof/>
          <w:szCs w:val="20"/>
        </w:rPr>
        <w:t>Figure</w:t>
      </w:r>
      <w:bookmarkEnd w:id="28"/>
      <w:r>
        <w:rPr>
          <w:rFonts w:ascii="Times New Roman" w:eastAsia="Times New Roman" w:hAnsi="Times New Roman" w:cs="Times New Roman"/>
          <w:i/>
          <w:noProof/>
          <w:szCs w:val="20"/>
        </w:rPr>
        <w:t xml:space="preserve"> </w:t>
      </w:r>
      <w:r>
        <w:rPr>
          <w:rFonts w:ascii="Times New Roman" w:eastAsia="Times New Roman" w:hAnsi="Times New Roman" w:cs="Times New Roman"/>
          <w:i/>
          <w:noProof/>
          <w:szCs w:val="20"/>
        </w:rPr>
        <w:fldChar w:fldCharType="begin"/>
      </w:r>
      <w:r>
        <w:rPr>
          <w:rFonts w:ascii="Times New Roman" w:eastAsia="Times New Roman" w:hAnsi="Times New Roman" w:cs="Times New Roman"/>
          <w:i/>
          <w:noProof/>
          <w:szCs w:val="20"/>
        </w:rPr>
        <w:instrText xml:space="preserve"> SEQ Figure \* ARABIC </w:instrText>
      </w:r>
      <w:r>
        <w:rPr>
          <w:rFonts w:ascii="Times New Roman" w:eastAsia="Times New Roman" w:hAnsi="Times New Roman" w:cs="Times New Roman"/>
          <w:i/>
          <w:noProof/>
          <w:szCs w:val="20"/>
        </w:rPr>
        <w:fldChar w:fldCharType="separate"/>
      </w:r>
      <w:r>
        <w:rPr>
          <w:rFonts w:ascii="Times New Roman" w:eastAsia="Times New Roman" w:hAnsi="Times New Roman" w:cs="Times New Roman"/>
          <w:i/>
          <w:noProof/>
          <w:szCs w:val="20"/>
        </w:rPr>
        <w:t>10</w:t>
      </w:r>
      <w:r>
        <w:rPr>
          <w:rFonts w:ascii="Times New Roman" w:eastAsia="Times New Roman" w:hAnsi="Times New Roman" w:cs="Times New Roman"/>
          <w:i/>
          <w:noProof/>
          <w:szCs w:val="20"/>
        </w:rPr>
        <w:fldChar w:fldCharType="end"/>
      </w:r>
      <w:r>
        <w:rPr>
          <w:rFonts w:ascii="Times New Roman" w:eastAsia="Times New Roman" w:hAnsi="Times New Roman" w:cs="Times New Roman"/>
          <w:i/>
          <w:noProof/>
          <w:szCs w:val="20"/>
        </w:rPr>
        <w:fldChar w:fldCharType="begin"/>
      </w:r>
      <w:bookmarkEnd w:id="29"/>
      <w:bookmarkEnd w:id="30"/>
      <w:bookmarkEnd w:id="31"/>
      <w:bookmarkEnd w:id="32"/>
      <w:r>
        <w:rPr>
          <w:rFonts w:ascii="Times New Roman" w:eastAsia="Times New Roman" w:hAnsi="Times New Roman" w:cs="Times New Roman"/>
          <w:i/>
          <w:noProof/>
          <w:szCs w:val="20"/>
        </w:rPr>
        <w:fldChar w:fldCharType="separate"/>
      </w:r>
      <w:r>
        <w:rPr>
          <w:rFonts w:ascii="Times New Roman" w:eastAsia="Times New Roman" w:hAnsi="Times New Roman" w:cs="Times New Roman"/>
          <w:i/>
          <w:noProof/>
          <w:szCs w:val="20"/>
        </w:rPr>
        <w:t>16</w:t>
      </w:r>
      <w:r>
        <w:rPr>
          <w:rFonts w:ascii="Times New Roman" w:eastAsia="Times New Roman" w:hAnsi="Times New Roman" w:cs="Times New Roman"/>
          <w:i/>
          <w:noProof/>
          <w:szCs w:val="20"/>
        </w:rPr>
        <w:fldChar w:fldCharType="end"/>
      </w:r>
      <w:r>
        <w:rPr>
          <w:rFonts w:ascii="Times New Roman" w:eastAsia="Times New Roman" w:hAnsi="Times New Roman" w:cs="Times New Roman"/>
          <w:i/>
          <w:noProof/>
          <w:szCs w:val="20"/>
        </w:rPr>
        <w:t>: Energy subsidies by economic purpose (EUR</w:t>
      </w:r>
      <w:r>
        <w:rPr>
          <w:noProof/>
          <w:vertAlign w:val="subscript"/>
        </w:rPr>
        <w:t xml:space="preserve">2024 </w:t>
      </w:r>
      <w:r>
        <w:rPr>
          <w:rFonts w:ascii="Times New Roman" w:eastAsia="Times New Roman" w:hAnsi="Times New Roman" w:cs="Times New Roman"/>
          <w:i/>
          <w:noProof/>
          <w:szCs w:val="20"/>
        </w:rPr>
        <w:t>billion)</w:t>
      </w:r>
      <w:bookmarkEnd w:id="33"/>
      <w:bookmarkEnd w:id="34"/>
      <w:bookmarkEnd w:id="35"/>
    </w:p>
    <w:p>
      <w:pPr>
        <w:spacing w:after="0"/>
        <w:jc w:val="center"/>
        <w:rPr>
          <w:rStyle w:val="SourceCar"/>
          <w:rFonts w:eastAsia="MS Mincho"/>
          <w:noProof/>
        </w:rPr>
      </w:pPr>
      <w:r>
        <w:rPr>
          <w:rStyle w:val="SourceCar"/>
          <w:rFonts w:eastAsia="MS Mincho"/>
          <w:noProof/>
        </w:rPr>
        <w:t>Source: Enerdata, Trinomics, 2025. NB: 2024 estimates are represented with hatching</w:t>
      </w:r>
    </w:p>
    <w:p>
      <w:pPr>
        <w:pStyle w:val="BodyText"/>
        <w:jc w:val="both"/>
        <w:rPr>
          <w:noProof/>
        </w:rPr>
      </w:pPr>
    </w:p>
    <w:p>
      <w:pPr>
        <w:pStyle w:val="BodyText"/>
        <w:jc w:val="both"/>
        <w:rPr>
          <w:noProof/>
        </w:rPr>
      </w:pPr>
      <w:r>
        <w:rPr>
          <w:b/>
          <w:bCs/>
          <w:noProof/>
        </w:rPr>
        <w:t>Fossil fuel subsidies supporting energy demand</w:t>
      </w:r>
      <w:r>
        <w:rPr>
          <w:noProof/>
        </w:rPr>
        <w:t xml:space="preserve"> accounted for a share of between 63-75% of the total value of fossil fuel subsidies over the period 2015-2024 (Figure </w:t>
      </w:r>
      <w:r>
        <w:rPr>
          <w:noProof/>
          <w:color w:val="2B579A"/>
          <w:shd w:val="clear" w:color="auto" w:fill="E6E6E6"/>
        </w:rPr>
        <w:fldChar w:fldCharType="begin"/>
      </w:r>
      <w:r>
        <w:rPr>
          <w:noProof/>
        </w:rPr>
        <w:instrText xml:space="preserve"> SEQ Figure \* ARABIC </w:instrText>
      </w:r>
      <w:r>
        <w:rPr>
          <w:noProof/>
          <w:color w:val="2B579A"/>
          <w:shd w:val="clear" w:color="auto" w:fill="E6E6E6"/>
        </w:rPr>
        <w:fldChar w:fldCharType="separate"/>
      </w:r>
      <w:r>
        <w:rPr>
          <w:noProof/>
        </w:rPr>
        <w:t>11</w:t>
      </w:r>
      <w:r>
        <w:rPr>
          <w:noProof/>
          <w:color w:val="2B579A"/>
          <w:shd w:val="clear" w:color="auto" w:fill="E6E6E6"/>
        </w:rPr>
        <w:fldChar w:fldCharType="end"/>
      </w:r>
      <w:r>
        <w:rPr>
          <w:noProof/>
        </w:rPr>
        <w:t>).</w:t>
      </w:r>
    </w:p>
    <w:p>
      <w:pPr>
        <w:pStyle w:val="BodyText"/>
        <w:jc w:val="both"/>
        <w:rPr>
          <w:noProof/>
        </w:rPr>
      </w:pPr>
    </w:p>
    <w:p>
      <w:pPr>
        <w:pStyle w:val="BodyText"/>
        <w:jc w:val="both"/>
        <w:rPr>
          <w:noProof/>
        </w:rPr>
      </w:pPr>
      <w:r>
        <w:rPr>
          <w:noProof/>
        </w:rPr>
        <w:lastRenderedPageBreak/>
        <w:drawing>
          <wp:inline distT="0" distB="0" distL="0" distR="0">
            <wp:extent cx="5472430" cy="2138045"/>
            <wp:effectExtent l="0" t="0" r="0" b="0"/>
            <wp:docPr id="20046473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72430" cy="2138045"/>
                    </a:xfrm>
                    <a:prstGeom prst="rect">
                      <a:avLst/>
                    </a:prstGeom>
                    <a:noFill/>
                    <a:ln>
                      <a:noFill/>
                    </a:ln>
                  </pic:spPr>
                </pic:pic>
              </a:graphicData>
            </a:graphic>
          </wp:inline>
        </w:drawing>
      </w:r>
    </w:p>
    <w:p>
      <w:pPr>
        <w:pStyle w:val="Caption"/>
        <w:spacing w:after="0"/>
        <w:jc w:val="center"/>
        <w:rPr>
          <w:noProof/>
        </w:rPr>
      </w:pPr>
      <w:bookmarkStart w:id="36" w:name="_Ref106291386"/>
      <w:bookmarkStart w:id="37" w:name="_Ref109228410"/>
      <w:bookmarkStart w:id="38" w:name="_Toc145348081"/>
      <w:r>
        <w:rPr>
          <w:noProof/>
        </w:rPr>
        <w:t xml:space="preserve">Figure </w:t>
      </w:r>
      <w:bookmarkEnd w:id="36"/>
      <w:bookmarkEnd w:id="37"/>
      <w:r>
        <w:rPr>
          <w:noProof/>
          <w:color w:val="2B579A"/>
          <w:shd w:val="clear" w:color="auto" w:fill="E6E6E6"/>
        </w:rPr>
        <w:t>11:</w:t>
      </w:r>
      <w:r>
        <w:rPr>
          <w:noProof/>
        </w:rPr>
        <w:t xml:space="preserve"> Fossil fuel subsidies in the EU-27 by purpose</w:t>
      </w:r>
      <w:bookmarkEnd w:id="38"/>
    </w:p>
    <w:p>
      <w:pPr>
        <w:jc w:val="center"/>
        <w:rPr>
          <w:rStyle w:val="SourceCar"/>
          <w:rFonts w:eastAsia="MS Mincho"/>
          <w:noProof/>
        </w:rPr>
      </w:pPr>
      <w:r>
        <w:rPr>
          <w:rStyle w:val="SourceCar"/>
          <w:rFonts w:eastAsia="MS Mincho"/>
          <w:noProof/>
        </w:rPr>
        <w:t xml:space="preserve">Source: Enerdata, Trinomics, 2025. </w:t>
      </w:r>
      <w:r>
        <w:rPr>
          <w:rStyle w:val="SourceCar"/>
          <w:rFonts w:eastAsiaTheme="minorHAnsi"/>
          <w:noProof/>
        </w:rPr>
        <w:t>NB: 2023 estimates are represented with hatching.</w:t>
      </w:r>
    </w:p>
    <w:p>
      <w:pPr>
        <w:pStyle w:val="Heading2"/>
        <w:rPr>
          <w:noProof/>
        </w:rPr>
      </w:pPr>
      <w:r>
        <w:rPr>
          <w:noProof/>
        </w:rPr>
        <w:t>Subsidies linked to the energy crisis in 2022</w:t>
      </w:r>
    </w:p>
    <w:p>
      <w:pPr>
        <w:jc w:val="both"/>
        <w:rPr>
          <w:rFonts w:ascii="Times New Roman" w:hAnsi="Times New Roman" w:cs="Times New Roman"/>
          <w:noProof/>
          <w:sz w:val="24"/>
          <w:szCs w:val="24"/>
        </w:rPr>
      </w:pPr>
      <w:r>
        <w:rPr>
          <w:rFonts w:ascii="Times New Roman" w:hAnsi="Times New Roman" w:cs="Times New Roman"/>
          <w:noProof/>
          <w:sz w:val="24"/>
          <w:szCs w:val="24"/>
        </w:rPr>
        <w:t>Energy price rises caused by the short-lived economic recovery following the COVID-19 pandemic in 2021 and the energy crisis which resulted from Russia’s full-scale invasion of Ukraine in 2022 led the Commission and Member States to take action. In addition to EU-level policies, each Member State adopted specific national measures to shield their citizens and their economy from the effects of the energy price rises and price volatility. Since prices began falling in 2023 and 2024, crisis support has decreased significantly (to EUR 98 billion, -38%), with most crisis measures now phased out.</w:t>
      </w:r>
    </w:p>
    <w:p>
      <w:pPr>
        <w:pStyle w:val="BodyText"/>
        <w:jc w:val="both"/>
        <w:rPr>
          <w:noProof/>
        </w:rPr>
      </w:pPr>
      <w:r>
        <w:rPr>
          <w:noProof/>
        </w:rPr>
        <w:drawing>
          <wp:inline distT="0" distB="0" distL="0" distR="0">
            <wp:extent cx="5472430" cy="2032000"/>
            <wp:effectExtent l="0" t="0" r="0" b="6350"/>
            <wp:docPr id="12009793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72430" cy="2032000"/>
                    </a:xfrm>
                    <a:prstGeom prst="rect">
                      <a:avLst/>
                    </a:prstGeom>
                    <a:noFill/>
                    <a:ln>
                      <a:noFill/>
                    </a:ln>
                  </pic:spPr>
                </pic:pic>
              </a:graphicData>
            </a:graphic>
          </wp:inline>
        </w:drawing>
      </w:r>
    </w:p>
    <w:p>
      <w:pPr>
        <w:pStyle w:val="Caption"/>
        <w:spacing w:after="0"/>
        <w:jc w:val="center"/>
        <w:rPr>
          <w:noProof/>
        </w:rPr>
      </w:pPr>
      <w:bookmarkStart w:id="39" w:name="_Ref139457779"/>
      <w:bookmarkStart w:id="40" w:name="_Ref138844831"/>
      <w:bookmarkStart w:id="41" w:name="_Toc145348083"/>
      <w:r>
        <w:rPr>
          <w:noProof/>
        </w:rPr>
        <w:t xml:space="preserve">Figure </w:t>
      </w:r>
      <w:r>
        <w:rPr>
          <w:noProof/>
          <w:color w:val="2B579A"/>
          <w:shd w:val="clear" w:color="auto" w:fill="E6E6E6"/>
        </w:rPr>
        <w:fldChar w:fldCharType="begin"/>
      </w:r>
      <w:r>
        <w:rPr>
          <w:noProof/>
        </w:rPr>
        <w:instrText xml:space="preserve"> SEQ Figure \* ARABIC </w:instrText>
      </w:r>
      <w:r>
        <w:rPr>
          <w:noProof/>
          <w:color w:val="2B579A"/>
          <w:shd w:val="clear" w:color="auto" w:fill="E6E6E6"/>
        </w:rPr>
        <w:fldChar w:fldCharType="separate"/>
      </w:r>
      <w:r>
        <w:rPr>
          <w:noProof/>
        </w:rPr>
        <w:t>12</w:t>
      </w:r>
      <w:r>
        <w:rPr>
          <w:noProof/>
          <w:color w:val="2B579A"/>
          <w:shd w:val="clear" w:color="auto" w:fill="E6E6E6"/>
        </w:rPr>
        <w:fldChar w:fldCharType="end"/>
      </w:r>
      <w:bookmarkEnd w:id="39"/>
      <w:bookmarkEnd w:id="40"/>
      <w:r>
        <w:rPr>
          <w:noProof/>
          <w:color w:val="2B579A"/>
          <w:shd w:val="clear" w:color="auto" w:fill="E6E6E6"/>
        </w:rPr>
        <w:fldChar w:fldCharType="begin"/>
      </w:r>
      <w:r>
        <w:rPr>
          <w:noProof/>
          <w:color w:val="2B579A"/>
          <w:shd w:val="clear" w:color="auto" w:fill="E6E6E6"/>
        </w:rPr>
        <w:fldChar w:fldCharType="end"/>
      </w:r>
      <w:r>
        <w:rPr>
          <w:noProof/>
        </w:rPr>
        <w:t>: Structural and energy crisis-related subsidies</w:t>
      </w:r>
      <w:bookmarkEnd w:id="41"/>
      <w:r>
        <w:rPr>
          <w:noProof/>
        </w:rPr>
        <w:t>; share of crisis subsidies in total energy subsidies</w:t>
      </w:r>
    </w:p>
    <w:p>
      <w:pPr>
        <w:jc w:val="center"/>
        <w:rPr>
          <w:noProof/>
        </w:rPr>
      </w:pPr>
      <w:r>
        <w:rPr>
          <w:rStyle w:val="SourceCar"/>
          <w:rFonts w:eastAsia="Calibri"/>
          <w:noProof/>
        </w:rPr>
        <w:t>Source: Enerdata, Trinomics, 2025.</w:t>
      </w:r>
    </w:p>
    <w:p>
      <w:pPr>
        <w:pStyle w:val="Heading2"/>
        <w:rPr>
          <w:noProof/>
        </w:rPr>
      </w:pPr>
      <w:r>
        <w:rPr>
          <w:noProof/>
        </w:rPr>
        <w:t>Subsidies by economic sector</w:t>
      </w:r>
    </w:p>
    <w:p>
      <w:pPr>
        <w:pStyle w:val="BodyText"/>
        <w:jc w:val="both"/>
        <w:rPr>
          <w:noProof/>
        </w:rPr>
      </w:pPr>
      <w:r>
        <w:rPr>
          <w:noProof/>
        </w:rPr>
        <w:t xml:space="preserve">In 2024, the </w:t>
      </w:r>
      <w:r>
        <w:rPr>
          <w:b/>
          <w:bCs/>
          <w:noProof/>
        </w:rPr>
        <w:t>energy industry</w:t>
      </w:r>
      <w:r>
        <w:rPr>
          <w:noProof/>
        </w:rPr>
        <w:t xml:space="preserve"> became the sector which </w:t>
      </w:r>
      <w:r>
        <w:rPr>
          <w:b/>
          <w:bCs/>
          <w:noProof/>
        </w:rPr>
        <w:t>received the highest levels of targeted subsidies</w:t>
      </w:r>
      <w:r>
        <w:rPr>
          <w:noProof/>
        </w:rPr>
        <w:t xml:space="preserve">, worth EUR 114 billion (33% of the total), </w:t>
      </w:r>
      <w:r>
        <w:rPr>
          <w:b/>
          <w:bCs/>
          <w:noProof/>
        </w:rPr>
        <w:t>followed by households</w:t>
      </w:r>
      <w:r>
        <w:rPr>
          <w:noProof/>
        </w:rPr>
        <w:t xml:space="preserve"> (EUR 64 billion, 19%) (</w:t>
      </w:r>
      <w:r>
        <w:rPr>
          <w:noProof/>
          <w:color w:val="2B579A"/>
          <w:shd w:val="clear" w:color="auto" w:fill="E6E6E6"/>
        </w:rPr>
        <w:fldChar w:fldCharType="begin"/>
      </w:r>
      <w:r>
        <w:rPr>
          <w:noProof/>
        </w:rPr>
        <w:instrText xml:space="preserve"> REF _Ref139457866 \h  \* MERGEFORMAT </w:instrText>
      </w:r>
      <w:r>
        <w:rPr>
          <w:noProof/>
          <w:color w:val="2B579A"/>
          <w:shd w:val="clear" w:color="auto" w:fill="E6E6E6"/>
        </w:rPr>
      </w:r>
      <w:r>
        <w:rPr>
          <w:noProof/>
          <w:color w:val="2B579A"/>
          <w:shd w:val="clear" w:color="auto" w:fill="E6E6E6"/>
        </w:rPr>
        <w:fldChar w:fldCharType="separate"/>
      </w:r>
      <w:r>
        <w:rPr>
          <w:noProof/>
        </w:rPr>
        <w:t>Figure 15</w:t>
      </w:r>
      <w:r>
        <w:rPr>
          <w:noProof/>
          <w:color w:val="2B579A"/>
          <w:shd w:val="clear" w:color="auto" w:fill="E6E6E6"/>
        </w:rPr>
        <w:fldChar w:fldCharType="end"/>
      </w:r>
      <w:r>
        <w:rPr>
          <w:noProof/>
        </w:rPr>
        <w:t xml:space="preserve">). Since 2021, </w:t>
      </w:r>
      <w:r>
        <w:rPr>
          <w:b/>
          <w:bCs/>
          <w:noProof/>
        </w:rPr>
        <w:t>subsidies</w:t>
      </w:r>
      <w:r>
        <w:rPr>
          <w:noProof/>
        </w:rPr>
        <w:t xml:space="preserve"> </w:t>
      </w:r>
      <w:r>
        <w:rPr>
          <w:b/>
          <w:bCs/>
          <w:noProof/>
        </w:rPr>
        <w:t>targeting multiple sectors or</w:t>
      </w:r>
      <w:r>
        <w:rPr>
          <w:noProof/>
        </w:rPr>
        <w:t xml:space="preserve"> </w:t>
      </w:r>
      <w:r>
        <w:rPr>
          <w:b/>
          <w:bCs/>
          <w:noProof/>
        </w:rPr>
        <w:t>not targeted at any specific sectors</w:t>
      </w:r>
      <w:r>
        <w:rPr>
          <w:noProof/>
        </w:rPr>
        <w:t xml:space="preserve"> (i.e. cross-sector subsidies) have </w:t>
      </w:r>
      <w:r>
        <w:rPr>
          <w:b/>
          <w:bCs/>
          <w:noProof/>
        </w:rPr>
        <w:t>jumped</w:t>
      </w:r>
      <w:r>
        <w:rPr>
          <w:noProof/>
        </w:rPr>
        <w:t>, reaching EUR 88 billion (26% of the total) in 2024. Subsidies were lower for industrial sectors</w:t>
      </w:r>
      <w:r>
        <w:rPr>
          <w:rStyle w:val="FootnoteReference"/>
          <w:rFonts w:eastAsia="MS Mincho"/>
          <w:noProof/>
        </w:rPr>
        <w:footnoteReference w:id="13"/>
      </w:r>
      <w:r>
        <w:rPr>
          <w:noProof/>
        </w:rPr>
        <w:t xml:space="preserve"> and transport, at EUR 40 billion </w:t>
      </w:r>
      <w:r>
        <w:rPr>
          <w:noProof/>
        </w:rPr>
        <w:lastRenderedPageBreak/>
        <w:t>(12%) and EUR 19 billion (6%), respectively, while the tertiary sector</w:t>
      </w:r>
      <w:r>
        <w:rPr>
          <w:rStyle w:val="FootnoteReference"/>
          <w:rFonts w:eastAsia="MS Mincho"/>
          <w:noProof/>
        </w:rPr>
        <w:footnoteReference w:id="14"/>
      </w:r>
      <w:r>
        <w:rPr>
          <w:noProof/>
        </w:rPr>
        <w:t xml:space="preserve"> and agriculture received the least, at EUR 9 billion (3%) and EUR 7 billion (2%), respectively.</w:t>
      </w:r>
    </w:p>
    <w:p>
      <w:pPr>
        <w:pStyle w:val="BodyText"/>
        <w:jc w:val="both"/>
        <w:rPr>
          <w:noProof/>
        </w:rPr>
      </w:pPr>
      <w:r>
        <w:rPr>
          <w:noProof/>
        </w:rPr>
        <w:drawing>
          <wp:inline distT="0" distB="0" distL="0" distR="0">
            <wp:extent cx="5472430" cy="2253615"/>
            <wp:effectExtent l="0" t="0" r="0" b="0"/>
            <wp:docPr id="11923358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72430" cy="2253615"/>
                    </a:xfrm>
                    <a:prstGeom prst="rect">
                      <a:avLst/>
                    </a:prstGeom>
                    <a:noFill/>
                    <a:ln>
                      <a:noFill/>
                    </a:ln>
                  </pic:spPr>
                </pic:pic>
              </a:graphicData>
            </a:graphic>
          </wp:inline>
        </w:drawing>
      </w:r>
    </w:p>
    <w:p>
      <w:pPr>
        <w:pStyle w:val="Caption"/>
        <w:spacing w:before="0" w:after="0"/>
        <w:jc w:val="center"/>
        <w:rPr>
          <w:noProof/>
        </w:rPr>
      </w:pPr>
      <w:bookmarkStart w:id="42" w:name="_Ref106965075"/>
      <w:bookmarkStart w:id="43" w:name="_Ref108708328"/>
      <w:bookmarkStart w:id="44" w:name="_Ref139457866"/>
      <w:bookmarkStart w:id="45" w:name="_Ref138923563"/>
      <w:bookmarkStart w:id="46" w:name="_Ref138923600"/>
      <w:bookmarkStart w:id="47" w:name="_Toc145348087"/>
      <w:bookmarkStart w:id="48" w:name="_Ref77353810"/>
      <w:bookmarkStart w:id="49" w:name="_Ref80878928"/>
      <w:bookmarkStart w:id="50" w:name="_Toc80799176"/>
      <w:r>
        <w:rPr>
          <w:noProof/>
        </w:rPr>
        <w:t xml:space="preserve">Figure </w:t>
      </w:r>
      <w:r>
        <w:rPr>
          <w:noProof/>
        </w:rPr>
        <w:fldChar w:fldCharType="begin"/>
      </w:r>
      <w:r>
        <w:rPr>
          <w:noProof/>
        </w:rPr>
        <w:instrText xml:space="preserve"> SEQ Figure \* ARABIC </w:instrText>
      </w:r>
      <w:r>
        <w:rPr>
          <w:noProof/>
        </w:rPr>
        <w:fldChar w:fldCharType="separate"/>
      </w:r>
      <w:r>
        <w:rPr>
          <w:noProof/>
        </w:rPr>
        <w:t>13</w:t>
      </w:r>
      <w:r>
        <w:rPr>
          <w:noProof/>
        </w:rPr>
        <w:fldChar w:fldCharType="end"/>
      </w:r>
      <w:bookmarkEnd w:id="42"/>
      <w:bookmarkEnd w:id="43"/>
      <w:bookmarkEnd w:id="44"/>
      <w:r>
        <w:rPr>
          <w:noProof/>
        </w:rPr>
        <w:fldChar w:fldCharType="begin"/>
      </w:r>
      <w:r>
        <w:rPr>
          <w:noProof/>
        </w:rPr>
        <w:fldChar w:fldCharType="end"/>
      </w:r>
      <w:r>
        <w:rPr>
          <w:noProof/>
        </w:rPr>
        <w:t>: Energy subsidies by economic sector (EUR</w:t>
      </w:r>
      <w:r>
        <w:rPr>
          <w:noProof/>
          <w:vertAlign w:val="subscript"/>
        </w:rPr>
        <w:t xml:space="preserve">2024 </w:t>
      </w:r>
      <w:r>
        <w:rPr>
          <w:noProof/>
        </w:rPr>
        <w:t>billion)</w:t>
      </w:r>
      <w:bookmarkEnd w:id="45"/>
      <w:bookmarkEnd w:id="46"/>
      <w:bookmarkEnd w:id="47"/>
    </w:p>
    <w:bookmarkEnd w:id="48"/>
    <w:bookmarkEnd w:id="49"/>
    <w:bookmarkEnd w:id="50"/>
    <w:p>
      <w:pPr>
        <w:jc w:val="center"/>
        <w:rPr>
          <w:rStyle w:val="SourceCar"/>
          <w:rFonts w:eastAsia="MS Mincho"/>
          <w:noProof/>
        </w:rPr>
      </w:pPr>
      <w:r>
        <w:rPr>
          <w:rStyle w:val="SourceCar"/>
          <w:rFonts w:eastAsiaTheme="minorHAnsi"/>
          <w:noProof/>
        </w:rPr>
        <w:t>Source: Enerdata, 2025. NB: 2024 estimates are represented with light colour</w:t>
      </w:r>
    </w:p>
    <w:p>
      <w:pPr>
        <w:pStyle w:val="Heading2"/>
        <w:rPr>
          <w:noProof/>
        </w:rPr>
      </w:pPr>
      <w:bookmarkStart w:id="51" w:name="_Toc145348051"/>
      <w:bookmarkStart w:id="52" w:name="_Ref183430904"/>
      <w:r>
        <w:rPr>
          <w:noProof/>
        </w:rPr>
        <w:t>Subsidies by environmental impact</w:t>
      </w:r>
      <w:bookmarkEnd w:id="51"/>
      <w:bookmarkEnd w:id="52"/>
    </w:p>
    <w:p>
      <w:pPr>
        <w:pStyle w:val="BodyText"/>
        <w:jc w:val="both"/>
        <w:rPr>
          <w:noProof/>
        </w:rPr>
      </w:pPr>
      <w:r>
        <w:rPr>
          <w:noProof/>
        </w:rPr>
        <w:t xml:space="preserve">A further aim of this report is to provide a comprehensive assessment of the environmental impact of </w:t>
      </w:r>
      <w:r>
        <w:rPr>
          <w:i/>
          <w:iCs/>
          <w:noProof/>
        </w:rPr>
        <w:t>energy subsidies</w:t>
      </w:r>
      <w:r>
        <w:rPr>
          <w:noProof/>
        </w:rPr>
        <w:t xml:space="preserve"> in the EU.</w:t>
      </w:r>
      <w:r>
        <w:rPr>
          <w:rFonts w:eastAsia="Calibri"/>
          <w:noProof/>
        </w:rPr>
        <w:t xml:space="preserve"> </w:t>
      </w:r>
      <w:r>
        <w:rPr>
          <w:noProof/>
        </w:rPr>
        <w:t>In this context, the following definition was used:</w:t>
      </w:r>
    </w:p>
    <w:p>
      <w:pPr>
        <w:jc w:val="both"/>
        <w:rPr>
          <w:noProof/>
        </w:rPr>
      </w:pPr>
      <w:r>
        <w:rPr>
          <w:rFonts w:ascii="Times New Roman" w:hAnsi="Times New Roman" w:cs="Times New Roman"/>
          <w:i/>
          <w:iCs/>
          <w:noProof/>
          <w:sz w:val="24"/>
          <w:szCs w:val="24"/>
        </w:rPr>
        <w:t>Energy subsidies are environmentally harmful if the price or cost reduction that they bring about incentivises maintaining or increasing the availability of energy sources and/or using energy sources that cause significantly increased negative environmental impacts</w:t>
      </w:r>
      <w:r>
        <w:rPr>
          <w:rStyle w:val="FootnoteReference"/>
          <w:rFonts w:eastAsiaTheme="minorHAnsi"/>
          <w:iCs/>
          <w:noProof/>
        </w:rPr>
        <w:footnoteReference w:id="15"/>
      </w:r>
      <w:r>
        <w:rPr>
          <w:i/>
          <w:iCs/>
          <w:noProof/>
        </w:rPr>
        <w:t>.</w:t>
      </w:r>
    </w:p>
    <w:p>
      <w:pPr>
        <w:jc w:val="both"/>
        <w:rPr>
          <w:rStyle w:val="normaltextrun"/>
          <w:rFonts w:ascii="Times New Roman" w:hAnsi="Times New Roman" w:cs="Times New Roman"/>
          <w:noProof/>
          <w:color w:val="000000"/>
          <w:sz w:val="24"/>
          <w:szCs w:val="24"/>
          <w:shd w:val="clear" w:color="auto" w:fill="FFFFFF"/>
        </w:rPr>
      </w:pPr>
      <w:r>
        <w:rPr>
          <w:rFonts w:ascii="Times New Roman" w:hAnsi="Times New Roman" w:cs="Times New Roman"/>
          <w:b/>
          <w:bCs/>
          <w:noProof/>
          <w:sz w:val="24"/>
          <w:szCs w:val="24"/>
        </w:rPr>
        <w:t>Most energy subsidies</w:t>
      </w:r>
      <w:r>
        <w:rPr>
          <w:rFonts w:ascii="Times New Roman" w:hAnsi="Times New Roman" w:cs="Times New Roman"/>
          <w:noProof/>
          <w:sz w:val="24"/>
          <w:szCs w:val="24"/>
        </w:rPr>
        <w:t xml:space="preserve"> in 2024 (EUR 230 billion or 68% of the total) were classified as </w:t>
      </w:r>
      <w:r>
        <w:rPr>
          <w:rFonts w:ascii="Times New Roman" w:hAnsi="Times New Roman" w:cs="Times New Roman"/>
          <w:b/>
          <w:bCs/>
          <w:i/>
          <w:iCs/>
          <w:noProof/>
          <w:sz w:val="24"/>
          <w:szCs w:val="24"/>
        </w:rPr>
        <w:t>non-environmentally harmful</w:t>
      </w:r>
      <w:r>
        <w:rPr>
          <w:rFonts w:ascii="Times New Roman" w:hAnsi="Times New Roman" w:cs="Times New Roman"/>
          <w:noProof/>
          <w:sz w:val="24"/>
          <w:szCs w:val="24"/>
        </w:rPr>
        <w:t xml:space="preserve">. Meanwhile, the share of </w:t>
      </w:r>
      <w:r>
        <w:rPr>
          <w:rFonts w:ascii="Times New Roman" w:hAnsi="Times New Roman" w:cs="Times New Roman"/>
          <w:b/>
          <w:bCs/>
          <w:i/>
          <w:iCs/>
          <w:noProof/>
          <w:sz w:val="24"/>
          <w:szCs w:val="24"/>
        </w:rPr>
        <w:t>environmentally harmful</w:t>
      </w:r>
      <w:r>
        <w:rPr>
          <w:rFonts w:ascii="Times New Roman" w:hAnsi="Times New Roman" w:cs="Times New Roman"/>
          <w:b/>
          <w:bCs/>
          <w:noProof/>
          <w:sz w:val="24"/>
          <w:szCs w:val="24"/>
        </w:rPr>
        <w:t xml:space="preserve"> </w:t>
      </w:r>
      <w:r>
        <w:rPr>
          <w:rFonts w:ascii="Times New Roman" w:hAnsi="Times New Roman" w:cs="Times New Roman"/>
          <w:b/>
          <w:bCs/>
          <w:i/>
          <w:iCs/>
          <w:noProof/>
          <w:sz w:val="24"/>
          <w:szCs w:val="24"/>
        </w:rPr>
        <w:t>energy subsidies</w:t>
      </w:r>
      <w:r>
        <w:rPr>
          <w:rFonts w:ascii="Times New Roman" w:hAnsi="Times New Roman" w:cs="Times New Roman"/>
          <w:noProof/>
          <w:sz w:val="24"/>
          <w:szCs w:val="24"/>
        </w:rPr>
        <w:t xml:space="preserve"> </w:t>
      </w:r>
      <w:r>
        <w:rPr>
          <w:rFonts w:ascii="Times New Roman" w:eastAsia="Calibri" w:hAnsi="Times New Roman" w:cs="Times New Roman"/>
          <w:noProof/>
          <w:sz w:val="24"/>
          <w:szCs w:val="24"/>
        </w:rPr>
        <w:t xml:space="preserve">was estimated at </w:t>
      </w:r>
      <w:r>
        <w:rPr>
          <w:rFonts w:ascii="Times New Roman" w:eastAsia="Calibri" w:hAnsi="Times New Roman" w:cs="Times New Roman"/>
          <w:b/>
          <w:bCs/>
          <w:noProof/>
          <w:sz w:val="24"/>
          <w:szCs w:val="24"/>
        </w:rPr>
        <w:t>EUR 110 billion</w:t>
      </w:r>
      <w:r>
        <w:rPr>
          <w:rFonts w:ascii="Times New Roman" w:eastAsia="Calibri" w:hAnsi="Times New Roman" w:cs="Times New Roman"/>
          <w:noProof/>
          <w:sz w:val="24"/>
          <w:szCs w:val="24"/>
        </w:rPr>
        <w:t xml:space="preserve"> (or 32% of the total)</w:t>
      </w:r>
      <w:r>
        <w:rPr>
          <w:rStyle w:val="FootnoteReference"/>
          <w:rFonts w:eastAsia="Calibri"/>
          <w:noProof/>
          <w:szCs w:val="24"/>
        </w:rPr>
        <w:footnoteReference w:id="16"/>
      </w:r>
      <w:r>
        <w:rPr>
          <w:rFonts w:ascii="Times New Roman" w:eastAsia="Calibri" w:hAnsi="Times New Roman" w:cs="Times New Roman"/>
          <w:noProof/>
          <w:sz w:val="24"/>
          <w:szCs w:val="24"/>
        </w:rPr>
        <w:t xml:space="preserve">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REF _Ref138344643 \h  \* MERGEFORMAT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Figure 14</w:t>
      </w:r>
      <w:r>
        <w:rPr>
          <w:rFonts w:ascii="Times New Roman" w:hAnsi="Times New Roman" w:cs="Times New Roman"/>
          <w:noProof/>
          <w:sz w:val="24"/>
          <w:szCs w:val="24"/>
        </w:rPr>
        <w:fldChar w:fldCharType="end"/>
      </w:r>
      <w:r>
        <w:rPr>
          <w:rFonts w:ascii="Times New Roman" w:hAnsi="Times New Roman" w:cs="Times New Roman"/>
          <w:noProof/>
          <w:sz w:val="24"/>
          <w:szCs w:val="24"/>
        </w:rPr>
        <w:t>)</w:t>
      </w:r>
      <w:r>
        <w:rPr>
          <w:rFonts w:ascii="Times New Roman" w:eastAsia="Calibri" w:hAnsi="Times New Roman" w:cs="Times New Roman"/>
          <w:noProof/>
          <w:sz w:val="24"/>
          <w:szCs w:val="24"/>
        </w:rPr>
        <w:t xml:space="preserve">. The share of </w:t>
      </w:r>
      <w:r>
        <w:rPr>
          <w:rFonts w:ascii="Times New Roman" w:eastAsia="Calibri" w:hAnsi="Times New Roman" w:cs="Times New Roman"/>
          <w:i/>
          <w:iCs/>
          <w:noProof/>
          <w:sz w:val="24"/>
          <w:szCs w:val="24"/>
        </w:rPr>
        <w:t xml:space="preserve">non-environmentally harmful </w:t>
      </w:r>
      <w:r>
        <w:rPr>
          <w:rFonts w:ascii="Times New Roman" w:eastAsia="Calibri" w:hAnsi="Times New Roman" w:cs="Times New Roman"/>
          <w:noProof/>
          <w:sz w:val="24"/>
          <w:szCs w:val="24"/>
        </w:rPr>
        <w:t>energy subsidies increased by 10% in 2024 compared to 2023.</w:t>
      </w:r>
      <w:r>
        <w:rPr>
          <w:rFonts w:ascii="Times New Roman" w:eastAsia="Calibri" w:hAnsi="Times New Roman" w:cs="Times New Roman"/>
          <w:b/>
          <w:bCs/>
          <w:noProof/>
          <w:sz w:val="24"/>
          <w:szCs w:val="24"/>
        </w:rPr>
        <w:t xml:space="preserve"> </w:t>
      </w:r>
      <w:r>
        <w:rPr>
          <w:rFonts w:ascii="Times New Roman" w:eastAsia="Calibri" w:hAnsi="Times New Roman" w:cs="Times New Roman"/>
          <w:noProof/>
          <w:sz w:val="24"/>
          <w:szCs w:val="24"/>
        </w:rPr>
        <w:t xml:space="preserve">By contrast, </w:t>
      </w:r>
      <w:r>
        <w:rPr>
          <w:rStyle w:val="normaltextrun"/>
          <w:rFonts w:ascii="Times New Roman" w:hAnsi="Times New Roman" w:cs="Times New Roman"/>
          <w:noProof/>
          <w:color w:val="000000"/>
          <w:sz w:val="24"/>
          <w:szCs w:val="24"/>
          <w:shd w:val="clear" w:color="auto" w:fill="FFFFFF"/>
        </w:rPr>
        <w:t xml:space="preserve">the total share of </w:t>
      </w:r>
      <w:r>
        <w:rPr>
          <w:rFonts w:ascii="Times New Roman" w:eastAsia="Calibri" w:hAnsi="Times New Roman" w:cs="Times New Roman"/>
          <w:noProof/>
          <w:sz w:val="24"/>
          <w:szCs w:val="24"/>
        </w:rPr>
        <w:t>environmentally harmful</w:t>
      </w:r>
      <w:r>
        <w:rPr>
          <w:rFonts w:ascii="Times New Roman" w:eastAsia="Calibri" w:hAnsi="Times New Roman" w:cs="Times New Roman"/>
          <w:i/>
          <w:iCs/>
          <w:noProof/>
          <w:sz w:val="24"/>
          <w:szCs w:val="24"/>
        </w:rPr>
        <w:t xml:space="preserve"> </w:t>
      </w:r>
      <w:r>
        <w:rPr>
          <w:rFonts w:ascii="Times New Roman" w:eastAsia="Calibri" w:hAnsi="Times New Roman" w:cs="Times New Roman"/>
          <w:noProof/>
          <w:sz w:val="24"/>
          <w:szCs w:val="24"/>
        </w:rPr>
        <w:t>energy subsidies</w:t>
      </w:r>
      <w:r>
        <w:rPr>
          <w:rStyle w:val="normaltextrun"/>
          <w:rFonts w:ascii="Times New Roman" w:hAnsi="Times New Roman" w:cs="Times New Roman"/>
          <w:noProof/>
          <w:color w:val="000000"/>
          <w:sz w:val="24"/>
          <w:szCs w:val="24"/>
          <w:shd w:val="clear" w:color="auto" w:fill="FFFFFF"/>
        </w:rPr>
        <w:t xml:space="preserve"> decreased by 26% in 2024 compared to 2023, i.e. at a faster rate than total energy subsidies, which decreased by 5% in 2024 compared to 2023.</w:t>
      </w:r>
    </w:p>
    <w:p>
      <w:pPr>
        <w:rPr>
          <w:rFonts w:cs="Consolas"/>
          <w:noProof/>
        </w:rPr>
      </w:pPr>
      <w:r>
        <w:rPr>
          <w:rFonts w:ascii="Times New Roman" w:hAnsi="Times New Roman" w:cs="Times New Roman"/>
          <w:noProof/>
          <w:sz w:val="24"/>
          <w:szCs w:val="24"/>
        </w:rPr>
        <w:lastRenderedPageBreak/>
        <w:t xml:space="preserve">The largest share of </w:t>
      </w:r>
      <w:r>
        <w:rPr>
          <w:rFonts w:ascii="Times New Roman" w:hAnsi="Times New Roman" w:cs="Times New Roman"/>
          <w:i/>
          <w:iCs/>
          <w:noProof/>
          <w:sz w:val="24"/>
          <w:szCs w:val="24"/>
        </w:rPr>
        <w:t>environmentally harmful energy subsidies</w:t>
      </w:r>
      <w:r>
        <w:rPr>
          <w:rFonts w:ascii="Times New Roman" w:hAnsi="Times New Roman" w:cs="Times New Roman"/>
          <w:noProof/>
          <w:sz w:val="24"/>
          <w:szCs w:val="24"/>
        </w:rPr>
        <w:t xml:space="preserve"> (81%, EUR 89 billion) was granted for fossil fuels, followed by ‘all energies’ (15%)</w:t>
      </w:r>
      <w:r>
        <w:rPr>
          <w:noProof/>
        </w:rPr>
        <w:t> (</w:t>
      </w:r>
      <w:r>
        <w:rPr>
          <w:rStyle w:val="FootnoteReference"/>
          <w:rFonts w:eastAsiaTheme="minorHAnsi" w:cs="Consolas"/>
          <w:noProof/>
        </w:rPr>
        <w:footnoteReference w:id="17"/>
      </w:r>
      <w:r>
        <w:rPr>
          <w:noProof/>
        </w:rPr>
        <w:t>)</w:t>
      </w:r>
      <w:r>
        <w:rPr>
          <w:rFonts w:cs="Consolas"/>
          <w:noProof/>
        </w:rPr>
        <w:t xml:space="preserve">, </w:t>
      </w:r>
      <w:r>
        <w:rPr>
          <w:rFonts w:ascii="Times New Roman" w:hAnsi="Times New Roman" w:cs="Times New Roman"/>
          <w:noProof/>
          <w:sz w:val="24"/>
          <w:szCs w:val="24"/>
        </w:rPr>
        <w:t>while 3% was granted for electricity and less than 1% for heat generation</w:t>
      </w:r>
      <w:r>
        <w:rPr>
          <w:rStyle w:val="FootnoteReference"/>
          <w:rFonts w:eastAsiaTheme="minorHAnsi"/>
          <w:noProof/>
        </w:rPr>
        <w:footnoteReference w:id="18"/>
      </w:r>
      <w:r>
        <w:rPr>
          <w:rFonts w:cs="Consolas"/>
          <w:noProof/>
        </w:rPr>
        <w:t>.</w:t>
      </w:r>
    </w:p>
    <w:p>
      <w:pPr>
        <w:pStyle w:val="BodyText"/>
        <w:jc w:val="both"/>
        <w:rPr>
          <w:rFonts w:eastAsia="Calibri"/>
          <w:noProof/>
        </w:rPr>
      </w:pPr>
      <w:r>
        <w:rPr>
          <w:noProof/>
        </w:rPr>
        <w:drawing>
          <wp:inline distT="0" distB="0" distL="0" distR="0">
            <wp:extent cx="5472430" cy="2844165"/>
            <wp:effectExtent l="0" t="0" r="0" b="0"/>
            <wp:docPr id="9137885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72430" cy="2844165"/>
                    </a:xfrm>
                    <a:prstGeom prst="rect">
                      <a:avLst/>
                    </a:prstGeom>
                    <a:noFill/>
                    <a:ln>
                      <a:noFill/>
                    </a:ln>
                  </pic:spPr>
                </pic:pic>
              </a:graphicData>
            </a:graphic>
          </wp:inline>
        </w:drawing>
      </w:r>
    </w:p>
    <w:p>
      <w:pPr>
        <w:pStyle w:val="Caption"/>
        <w:spacing w:before="0" w:after="0"/>
        <w:jc w:val="center"/>
        <w:rPr>
          <w:i w:val="0"/>
          <w:iCs/>
          <w:noProof/>
        </w:rPr>
      </w:pPr>
      <w:bookmarkStart w:id="53" w:name="_Ref138344643"/>
      <w:bookmarkStart w:id="54" w:name="_Toc145348094"/>
      <w:r>
        <w:rPr>
          <w:noProof/>
        </w:rPr>
        <w:t xml:space="preserve">Figure </w:t>
      </w:r>
      <w:r>
        <w:rPr>
          <w:noProof/>
          <w:color w:val="2B579A"/>
          <w:shd w:val="clear" w:color="auto" w:fill="E6E6E6"/>
        </w:rPr>
        <w:fldChar w:fldCharType="begin"/>
      </w:r>
      <w:r>
        <w:rPr>
          <w:noProof/>
        </w:rPr>
        <w:instrText xml:space="preserve"> SEQ Figure \* ARABIC </w:instrText>
      </w:r>
      <w:r>
        <w:rPr>
          <w:noProof/>
          <w:color w:val="2B579A"/>
          <w:shd w:val="clear" w:color="auto" w:fill="E6E6E6"/>
        </w:rPr>
        <w:fldChar w:fldCharType="separate"/>
      </w:r>
      <w:r>
        <w:rPr>
          <w:noProof/>
        </w:rPr>
        <w:t>14</w:t>
      </w:r>
      <w:r>
        <w:rPr>
          <w:noProof/>
          <w:color w:val="2B579A"/>
          <w:shd w:val="clear" w:color="auto" w:fill="E6E6E6"/>
        </w:rPr>
        <w:fldChar w:fldCharType="end"/>
      </w:r>
      <w:bookmarkEnd w:id="53"/>
      <w:r>
        <w:rPr>
          <w:noProof/>
        </w:rPr>
        <w:t>: Energy subsidies by environmental impact (EUR</w:t>
      </w:r>
      <w:r>
        <w:rPr>
          <w:noProof/>
          <w:vertAlign w:val="subscript"/>
        </w:rPr>
        <w:t xml:space="preserve">2024 </w:t>
      </w:r>
      <w:r>
        <w:rPr>
          <w:noProof/>
        </w:rPr>
        <w:t>billion)</w:t>
      </w:r>
      <w:bookmarkEnd w:id="54"/>
    </w:p>
    <w:p>
      <w:pPr>
        <w:jc w:val="center"/>
        <w:rPr>
          <w:rStyle w:val="SourceCar"/>
          <w:rFonts w:eastAsia="MS Mincho"/>
          <w:noProof/>
        </w:rPr>
      </w:pPr>
      <w:r>
        <w:rPr>
          <w:rStyle w:val="SourceCar"/>
          <w:rFonts w:eastAsia="MS Mincho"/>
          <w:noProof/>
        </w:rPr>
        <w:t xml:space="preserve">Source: Enerdata, Trinomics, 2025. </w:t>
      </w:r>
      <w:r>
        <w:rPr>
          <w:rStyle w:val="SourceCar"/>
          <w:rFonts w:eastAsia="Calibri"/>
          <w:noProof/>
        </w:rPr>
        <w:t xml:space="preserve">NB: </w:t>
      </w:r>
      <w:r>
        <w:rPr>
          <w:rStyle w:val="SourceCar"/>
          <w:rFonts w:eastAsia="MS Mincho"/>
          <w:noProof/>
        </w:rPr>
        <w:t>2024 estimates are represented with hatching</w:t>
      </w:r>
    </w:p>
    <w:p>
      <w:pPr>
        <w:jc w:val="center"/>
        <w:rPr>
          <w:rStyle w:val="SourceCar"/>
          <w:rFonts w:eastAsia="MS Mincho"/>
          <w:noProof/>
        </w:rPr>
      </w:pPr>
    </w:p>
    <w:p>
      <w:pPr>
        <w:pStyle w:val="Heading2"/>
        <w:rPr>
          <w:noProof/>
        </w:rPr>
      </w:pPr>
      <w:bookmarkStart w:id="55" w:name="_Ref176964143"/>
      <w:r>
        <w:rPr>
          <w:noProof/>
        </w:rPr>
        <w:t>National plans on fossil fuel subsidies</w:t>
      </w:r>
      <w:bookmarkEnd w:id="55"/>
    </w:p>
    <w:p>
      <w:pPr>
        <w:spacing w:after="120"/>
        <w:textAlignment w:val="baseline"/>
        <w:rPr>
          <w:noProof/>
        </w:rPr>
      </w:pPr>
      <w:r>
        <w:rPr>
          <w:rFonts w:ascii="Times New Roman" w:hAnsi="Times New Roman" w:cs="Times New Roman"/>
          <w:noProof/>
          <w:sz w:val="24"/>
          <w:szCs w:val="24"/>
        </w:rPr>
        <w:t>In 2024, the value of fossil fuel subsidies</w:t>
      </w:r>
      <w:r>
        <w:rPr>
          <w:rStyle w:val="FootnoteReference"/>
          <w:rFonts w:eastAsiaTheme="minorHAnsi" w:cs="Consolas"/>
          <w:noProof/>
        </w:rPr>
        <w:footnoteReference w:id="19"/>
      </w:r>
      <w:r>
        <w:rPr>
          <w:rFonts w:cs="Consolas"/>
          <w:noProof/>
        </w:rPr>
        <w:t xml:space="preserve"> </w:t>
      </w:r>
      <w:r>
        <w:rPr>
          <w:rFonts w:ascii="Times New Roman" w:hAnsi="Times New Roman" w:cs="Times New Roman"/>
          <w:noProof/>
          <w:sz w:val="24"/>
          <w:szCs w:val="24"/>
        </w:rPr>
        <w:t>in the EU-27 reached EUR 97 billion or 0.5% of EU GDP. Of those subsidies, 39% (EUR 38</w:t>
      </w:r>
      <w:r>
        <w:rPr>
          <w:rFonts w:ascii="Times New Roman" w:hAnsi="Times New Roman" w:cs="Times New Roman"/>
          <w:noProof/>
          <w:sz w:val="24"/>
          <w:szCs w:val="24"/>
        </w:rPr>
        <w:fldChar w:fldCharType="begin"/>
      </w:r>
      <w:r>
        <w:rPr>
          <w:rFonts w:ascii="Times New Roman" w:hAnsi="Times New Roman" w:cs="Times New Roman"/>
          <w:noProof/>
          <w:sz w:val="24"/>
          <w:szCs w:val="24"/>
        </w:rPr>
        <w:fldChar w:fldCharType="separate"/>
      </w:r>
      <w:r>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billion) have a planned end-date in 2025, 8% (EUR 8 billion) have an end-date between 2026 and 2030, and the remaining 52% (EUR 50 billion) have either no end-date yet or an end-date set for after the year 2030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REF _Ref141370935 \h  \* MERGEFORMAT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Figure 15</w:t>
      </w:r>
      <w:r>
        <w:rPr>
          <w:rFonts w:ascii="Times New Roman" w:hAnsi="Times New Roman" w:cs="Times New Roman"/>
          <w:noProof/>
          <w:sz w:val="24"/>
          <w:szCs w:val="24"/>
        </w:rPr>
        <w:fldChar w:fldCharType="end"/>
      </w:r>
      <w:r>
        <w:rPr>
          <w:rFonts w:ascii="Times New Roman" w:hAnsi="Times New Roman" w:cs="Times New Roman"/>
          <w:noProof/>
          <w:sz w:val="24"/>
          <w:szCs w:val="24"/>
        </w:rPr>
        <w:t>)</w:t>
      </w:r>
      <w:bookmarkStart w:id="56" w:name="_Ref138835695"/>
      <w:r>
        <w:rPr>
          <w:rStyle w:val="FootnoteReference"/>
          <w:rFonts w:eastAsiaTheme="minorHAnsi"/>
          <w:noProof/>
        </w:rPr>
        <w:footnoteReference w:id="20"/>
      </w:r>
      <w:r>
        <w:rPr>
          <w:noProof/>
        </w:rPr>
        <w:t>.</w:t>
      </w:r>
    </w:p>
    <w:p>
      <w:pPr>
        <w:spacing w:after="120"/>
        <w:textAlignment w:val="baseline"/>
        <w:rPr>
          <w:noProof/>
        </w:rPr>
      </w:pPr>
    </w:p>
    <w:p>
      <w:pPr>
        <w:spacing w:after="120"/>
        <w:textAlignment w:val="baseline"/>
        <w:rPr>
          <w:noProof/>
        </w:rPr>
      </w:pPr>
      <w:r>
        <w:rPr>
          <w:noProof/>
        </w:rPr>
        <w:lastRenderedPageBreak/>
        <w:drawing>
          <wp:inline distT="0" distB="0" distL="0" distR="0">
            <wp:extent cx="5472430" cy="3218180"/>
            <wp:effectExtent l="0" t="0" r="0" b="1270"/>
            <wp:docPr id="18887679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72430" cy="3218180"/>
                    </a:xfrm>
                    <a:prstGeom prst="rect">
                      <a:avLst/>
                    </a:prstGeom>
                    <a:noFill/>
                    <a:ln>
                      <a:noFill/>
                    </a:ln>
                  </pic:spPr>
                </pic:pic>
              </a:graphicData>
            </a:graphic>
          </wp:inline>
        </w:drawing>
      </w:r>
    </w:p>
    <w:p>
      <w:pPr>
        <w:pStyle w:val="Caption"/>
        <w:spacing w:before="0" w:after="0"/>
        <w:jc w:val="center"/>
        <w:rPr>
          <w:noProof/>
        </w:rPr>
      </w:pPr>
      <w:bookmarkStart w:id="57" w:name="_Ref141370935"/>
      <w:bookmarkStart w:id="58" w:name="_Ref145576888"/>
      <w:bookmarkStart w:id="59" w:name="_Toc145348098"/>
      <w:bookmarkStart w:id="60" w:name="_Ref145576883"/>
      <w:r>
        <w:rPr>
          <w:noProof/>
        </w:rPr>
        <w:t xml:space="preserve">Figure </w:t>
      </w:r>
      <w:r>
        <w:rPr>
          <w:noProof/>
          <w:color w:val="2B579A"/>
          <w:shd w:val="clear" w:color="auto" w:fill="E6E6E6"/>
        </w:rPr>
        <w:fldChar w:fldCharType="begin"/>
      </w:r>
      <w:r>
        <w:rPr>
          <w:noProof/>
        </w:rPr>
        <w:instrText xml:space="preserve"> SEQ Figure \* ARABIC </w:instrText>
      </w:r>
      <w:r>
        <w:rPr>
          <w:noProof/>
          <w:color w:val="2B579A"/>
          <w:shd w:val="clear" w:color="auto" w:fill="E6E6E6"/>
        </w:rPr>
        <w:fldChar w:fldCharType="separate"/>
      </w:r>
      <w:r>
        <w:rPr>
          <w:noProof/>
        </w:rPr>
        <w:t>15</w:t>
      </w:r>
      <w:r>
        <w:rPr>
          <w:noProof/>
          <w:color w:val="2B579A"/>
          <w:shd w:val="clear" w:color="auto" w:fill="E6E6E6"/>
        </w:rPr>
        <w:fldChar w:fldCharType="end"/>
      </w:r>
      <w:bookmarkEnd w:id="57"/>
      <w:bookmarkEnd w:id="58"/>
      <w:r>
        <w:rPr>
          <w:noProof/>
        </w:rPr>
        <w:t>: Weight of FFS by end-date per unit of GDP and share of FFS in total energy subsidies</w:t>
      </w:r>
      <w:bookmarkEnd w:id="59"/>
      <w:bookmarkEnd w:id="60"/>
    </w:p>
    <w:p>
      <w:pPr>
        <w:spacing w:after="0"/>
        <w:jc w:val="center"/>
        <w:rPr>
          <w:rStyle w:val="SourceCar"/>
          <w:rFonts w:eastAsia="MS Mincho"/>
          <w:noProof/>
        </w:rPr>
      </w:pPr>
      <w:r>
        <w:rPr>
          <w:rStyle w:val="SourceCar"/>
          <w:rFonts w:eastAsia="MS Mincho"/>
          <w:noProof/>
        </w:rPr>
        <w:t>Source: Enerdata, Trinomics, 2025</w:t>
      </w:r>
    </w:p>
    <w:bookmarkEnd w:id="56"/>
    <w:p>
      <w:pPr>
        <w:rPr>
          <w:rFonts w:ascii="Times New Roman" w:eastAsia="MS Mincho" w:hAnsi="Times New Roman" w:cs="Times New Roman"/>
          <w:noProof/>
          <w:sz w:val="24"/>
          <w:szCs w:val="24"/>
          <w:lang w:eastAsia="en-GB"/>
        </w:rPr>
      </w:pPr>
      <w:r>
        <w:rPr>
          <w:rFonts w:ascii="Times New Roman" w:eastAsia="MS Mincho" w:hAnsi="Times New Roman" w:cs="Times New Roman"/>
          <w:noProof/>
          <w:sz w:val="24"/>
          <w:szCs w:val="24"/>
          <w:lang w:eastAsia="en-GB"/>
        </w:rPr>
        <w:t>Almost all EU Member States intend to move away from fossil fuels. However, only eight Member States</w:t>
      </w:r>
      <w:r>
        <w:rPr>
          <w:rStyle w:val="FootnoteReference"/>
          <w:rFonts w:eastAsiaTheme="minorHAnsi"/>
          <w:noProof/>
        </w:rPr>
        <w:footnoteReference w:id="21"/>
      </w:r>
      <w:r>
        <w:rPr>
          <w:noProof/>
        </w:rPr>
        <w:t xml:space="preserve"> </w:t>
      </w:r>
      <w:r>
        <w:rPr>
          <w:rFonts w:ascii="Times New Roman" w:eastAsia="MS Mincho" w:hAnsi="Times New Roman" w:cs="Times New Roman"/>
          <w:noProof/>
          <w:sz w:val="24"/>
          <w:szCs w:val="24"/>
          <w:lang w:eastAsia="en-GB"/>
        </w:rPr>
        <w:t>have expressed an intention or made plans to phase out FFS from their economy entirely</w:t>
      </w:r>
      <w:r>
        <w:rPr>
          <w:rStyle w:val="FootnoteReference"/>
          <w:rFonts w:eastAsiaTheme="minorHAnsi"/>
          <w:noProof/>
        </w:rPr>
        <w:footnoteReference w:id="22"/>
      </w:r>
      <w:r>
        <w:rPr>
          <w:noProof/>
        </w:rPr>
        <w:t xml:space="preserve">. </w:t>
      </w:r>
      <w:r>
        <w:rPr>
          <w:rFonts w:ascii="Times New Roman" w:eastAsia="MS Mincho" w:hAnsi="Times New Roman" w:cs="Times New Roman"/>
          <w:noProof/>
          <w:sz w:val="24"/>
          <w:szCs w:val="24"/>
          <w:lang w:eastAsia="en-GB"/>
        </w:rPr>
        <w:t>Concrete end-dates, policies and measures remain absent, as confirmed by the Commission’s analysis of the Member States’ most recent National Energy and Climate Progress Reports in 2025</w:t>
      </w:r>
      <w:r>
        <w:rPr>
          <w:rStyle w:val="FootnoteReference"/>
          <w:rFonts w:eastAsiaTheme="minorHAnsi"/>
          <w:noProof/>
          <w:lang w:eastAsia="en-GB"/>
        </w:rPr>
        <w:footnoteReference w:id="23"/>
      </w:r>
      <w:r>
        <w:rPr>
          <w:rFonts w:ascii="Times New Roman" w:eastAsia="MS Mincho" w:hAnsi="Times New Roman" w:cs="Times New Roman"/>
          <w:noProof/>
          <w:sz w:val="24"/>
          <w:szCs w:val="24"/>
          <w:lang w:eastAsia="en-GB"/>
        </w:rPr>
        <w:t>.</w:t>
      </w:r>
    </w:p>
    <w:p>
      <w:pPr>
        <w:pStyle w:val="Heading1"/>
        <w:rPr>
          <w:noProof/>
        </w:rPr>
      </w:pPr>
      <w:r>
        <w:rPr>
          <w:noProof/>
        </w:rPr>
        <w:t>Conclusions</w:t>
      </w:r>
    </w:p>
    <w:p>
      <w:pPr>
        <w:pStyle w:val="BodyText"/>
        <w:jc w:val="both"/>
        <w:rPr>
          <w:noProof/>
        </w:rPr>
      </w:pPr>
      <w:r>
        <w:rPr>
          <w:noProof/>
        </w:rPr>
        <w:t>In 2024, energy subsidies, including for fossil fuels, decreased moderately compared to 2023 but were down considerably from 2022, the height of the energy crisis. Nevertheless, they remained high when compared to historic levels.</w:t>
      </w:r>
    </w:p>
    <w:p>
      <w:pPr>
        <w:pStyle w:val="BodyText"/>
        <w:jc w:val="both"/>
        <w:rPr>
          <w:noProof/>
        </w:rPr>
      </w:pPr>
      <w:r>
        <w:rPr>
          <w:noProof/>
        </w:rPr>
        <w:t>The share of overall subsidies corresponding to renewables support increased while remaining significantly below the historic average, indicating an increase in the competitiveness of renewables. In addition, there were fewer temporary subsidies for tackling the 2022 crisis, while half of fossil fuel subsidies had a planned end date in 2025 or by 2030. Subsidies for transport and oil began to fall again in 2024, almost reaching their levels from 2021. The share of environmentally harmful energy subsidies decreased, while the share of non-environmentally harmful energy subsidies increased.</w:t>
      </w:r>
    </w:p>
    <w:p>
      <w:pPr>
        <w:pStyle w:val="BodyText"/>
        <w:jc w:val="both"/>
        <w:rPr>
          <w:noProof/>
        </w:rPr>
      </w:pPr>
      <w:r>
        <w:rPr>
          <w:noProof/>
        </w:rPr>
        <w:lastRenderedPageBreak/>
        <w:t>Despite some positive trends, fossil fuel subsidies remained considerably above the historic average</w:t>
      </w:r>
      <w:r>
        <w:rPr>
          <w:rStyle w:val="FootnoteReference"/>
          <w:rFonts w:eastAsia="MS Mincho"/>
          <w:noProof/>
        </w:rPr>
        <w:footnoteReference w:id="24"/>
      </w:r>
      <w:r>
        <w:rPr>
          <w:noProof/>
        </w:rPr>
        <w:t>, while the share of non-targeted subsidies was also still high. Furthermore, fossil fuel subsidies to support energy consumption, which account for the majority of fossil fuel subsidies, were not specifically used to address energy poverty, supply security or competitiveness.</w:t>
      </w:r>
    </w:p>
    <w:p>
      <w:pPr>
        <w:pStyle w:val="BodyText"/>
        <w:jc w:val="both"/>
        <w:rPr>
          <w:noProof/>
          <w:szCs w:val="22"/>
        </w:rPr>
      </w:pPr>
      <w:r>
        <w:rPr>
          <w:noProof/>
        </w:rPr>
        <w:t>Importantly, no progress was observed regarding national fossil fuel phase-out plans in 2024. The number of countries committed to phasing out fossil fuel subsidies remained unchanged compared to 2023. C</w:t>
      </w:r>
      <w:r>
        <w:rPr>
          <w:noProof/>
          <w:szCs w:val="22"/>
        </w:rPr>
        <w:t>oncrete final end-dates, policies and measures were missing even for Member States committed to phasing out fossil fuels. Therefore, much more still needs to be done by Member States in this regard if the EU is to meet its political aim to phase out fossil fuel subsidies and make Europe climate neutral by 2050.</w:t>
      </w:r>
    </w:p>
    <w:p>
      <w:pPr>
        <w:pStyle w:val="BodyText"/>
        <w:jc w:val="both"/>
        <w:rPr>
          <w:noProof/>
        </w:rPr>
      </w:pPr>
      <w:r>
        <w:rPr>
          <w:noProof/>
        </w:rPr>
        <w:t>Reforming, reducing and ultimately eliminating fossil fuel subsidies is a priority for the European Commission in accordance with the EU’s commitments under the Paris Agreement</w:t>
      </w:r>
      <w:bookmarkStart w:id="61" w:name="_Hlk183451322"/>
      <w:r>
        <w:rPr>
          <w:noProof/>
        </w:rPr>
        <w:t>, the European Climate Law and the 8</w:t>
      </w:r>
      <w:r>
        <w:rPr>
          <w:noProof/>
          <w:vertAlign w:val="superscript"/>
        </w:rPr>
        <w:t>th</w:t>
      </w:r>
      <w:r>
        <w:rPr>
          <w:noProof/>
        </w:rPr>
        <w:t xml:space="preserve"> Environmental Action Programme. In President von der Leyen’s mission letters to both the Energy and Housing Commissioner and the Climate, Net Zero and Clean Growth Commissioner, she issued a mandate </w:t>
      </w:r>
      <w:bookmarkEnd w:id="61"/>
      <w:r>
        <w:rPr>
          <w:noProof/>
        </w:rPr>
        <w:t>for creating a framework to further scale down and phase out the use of fossil fuel subsidies</w:t>
      </w:r>
      <w:r>
        <w:rPr>
          <w:rStyle w:val="FootnoteReference"/>
          <w:rFonts w:eastAsia="MS Mincho"/>
          <w:noProof/>
        </w:rPr>
        <w:footnoteReference w:id="25"/>
      </w:r>
      <w:r>
        <w:rPr>
          <w:noProof/>
        </w:rPr>
        <w:t>.</w:t>
      </w:r>
    </w:p>
    <w:p>
      <w:pPr>
        <w:pStyle w:val="BodyText"/>
        <w:jc w:val="both"/>
        <w:rPr>
          <w:noProof/>
        </w:rPr>
      </w:pPr>
      <w:r>
        <w:rPr>
          <w:noProof/>
        </w:rPr>
        <w:t>As mentioned in the AccelerateEU communication</w:t>
      </w:r>
      <w:r>
        <w:rPr>
          <w:rStyle w:val="FootnoteReference"/>
          <w:rFonts w:eastAsia="MS Mincho"/>
          <w:noProof/>
        </w:rPr>
        <w:footnoteReference w:id="26"/>
      </w:r>
      <w:r>
        <w:rPr>
          <w:noProof/>
        </w:rPr>
        <w:t>, the 2026 conflict in the Middle East may call for further timely, targeted and temporary measures to protect the most vulnerable consumers, to accelerate the clean energy transition and electrification, and to safeguard the competitiveness of European industry. However, any short-term relief measures must not detract from the long-term objective of phasing out fossil fuel subsidies</w:t>
      </w:r>
      <w:r>
        <w:rPr>
          <w:rStyle w:val="FootnoteReference"/>
          <w:rFonts w:eastAsia="MS Mincho"/>
          <w:noProof/>
        </w:rPr>
        <w:footnoteReference w:id="27"/>
      </w:r>
      <w:r>
        <w:rPr>
          <w:noProof/>
        </w:rPr>
        <w:t>.</w:t>
      </w:r>
    </w:p>
    <w:p>
      <w:pPr>
        <w:pStyle w:val="BodyText"/>
        <w:jc w:val="both"/>
        <w:rPr>
          <w:noProof/>
        </w:rPr>
      </w:pPr>
      <w:r>
        <w:rPr>
          <w:noProof/>
        </w:rPr>
        <w:t>Accordingly, the Commission intends to adopt by the end of 2026 a proposal to update the Governance of the Energy Union and Climate Action, which will cover the phase-out of fossil fuels subsidies</w:t>
      </w:r>
      <w:r>
        <w:rPr>
          <w:rStyle w:val="FootnoteReference"/>
          <w:rFonts w:eastAsia="MS Mincho"/>
          <w:noProof/>
        </w:rPr>
        <w:footnoteReference w:id="28"/>
      </w:r>
      <w:r>
        <w:rPr>
          <w:noProof/>
        </w:rPr>
        <w:t>.</w:t>
      </w:r>
    </w:p>
    <w:p>
      <w:pPr>
        <w:rPr>
          <w:rFonts w:eastAsia="MS Mincho"/>
          <w:noProof/>
          <w:szCs w:val="24"/>
          <w:lang w:eastAsia="en-GB"/>
        </w:rPr>
      </w:pPr>
      <w:r>
        <w:rPr>
          <w:rFonts w:eastAsia="MS Mincho"/>
          <w:noProof/>
          <w:szCs w:val="24"/>
          <w:lang w:eastAsia="en-GB"/>
        </w:rPr>
        <w:br w:type="page"/>
      </w:r>
    </w:p>
    <w:sectPr>
      <w:headerReference w:type="even" r:id="rId33"/>
      <w:headerReference w:type="default" r:id="rId34"/>
      <w:footerReference w:type="even" r:id="rId35"/>
      <w:footerReference w:type="default" r:id="rId36"/>
      <w:headerReference w:type="first" r:id="rId37"/>
      <w:footerReference w:type="first" r:id="rId3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altName w:val="Calibri"/>
    <w:charset w:val="00"/>
    <w:family w:val="swiss"/>
    <w:pitch w:val="variable"/>
    <w:sig w:usb0="2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Open Sans Condensed">
    <w:altName w:val="Segoe UI"/>
    <w:charset w:val="00"/>
    <w:family w:val="swiss"/>
    <w:pitch w:val="variable"/>
    <w:sig w:usb0="E00002EF" w:usb1="4000205B" w:usb2="00000028" w:usb3="00000000" w:csb0="0000019F"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360" w:hanging="360"/>
      </w:pPr>
      <w:r>
        <w:rPr>
          <w:rStyle w:val="FootnoteReference"/>
          <w:szCs w:val="16"/>
        </w:rPr>
        <w:footnoteRef/>
      </w:r>
      <w:r>
        <w:tab/>
        <w:t xml:space="preserve">Article 35, point (n), of Regulation (EU) 2018/1999 of the European Parliament and of the Council of 11 December 2018 on the Governance of the Energy Union and Climate Action (OJ L 328, 21.12.2018, p. 1, ELI: </w:t>
      </w:r>
      <w:hyperlink r:id="rId1" w:history="1">
        <w:r>
          <w:rPr>
            <w:rStyle w:val="Hyperlink"/>
          </w:rPr>
          <w:t>http://data.europa.eu/eli/reg/2018/1999/oj</w:t>
        </w:r>
      </w:hyperlink>
      <w:r>
        <w:t>).</w:t>
      </w:r>
    </w:p>
  </w:footnote>
  <w:footnote w:id="2">
    <w:p>
      <w:pPr>
        <w:pStyle w:val="FootnoteText"/>
      </w:pPr>
      <w:r>
        <w:rPr>
          <w:rStyle w:val="FootnoteReference"/>
        </w:rPr>
        <w:footnoteRef/>
      </w:r>
      <w:r>
        <w:tab/>
        <w:t>The methodology applied to data collection and analysis is outlined in the Annex to this report.</w:t>
      </w:r>
    </w:p>
  </w:footnote>
  <w:footnote w:id="3">
    <w:p>
      <w:pPr>
        <w:pStyle w:val="FootnoteText"/>
      </w:pPr>
      <w:r>
        <w:rPr>
          <w:rStyle w:val="FootnoteReference"/>
        </w:rPr>
        <w:footnoteRef/>
      </w:r>
      <w:r>
        <w:tab/>
        <w:t xml:space="preserve">Council Recommendation of 12 April 2024 on the economic policy of the euro area, ST/6316/2024/INIT (OJ C, C/2024/2807, 23.4.2024. ELI: </w:t>
      </w:r>
      <w:hyperlink r:id="rId2" w:history="1">
        <w:r>
          <w:rPr>
            <w:rStyle w:val="Hyperlink"/>
          </w:rPr>
          <w:t>http://data.europa.eu/eli/C/2024/2807/oj</w:t>
        </w:r>
      </w:hyperlink>
      <w:r>
        <w:t>).</w:t>
      </w:r>
    </w:p>
  </w:footnote>
  <w:footnote w:id="4">
    <w:p>
      <w:pPr>
        <w:pStyle w:val="FootnoteText"/>
        <w:spacing w:after="0"/>
      </w:pPr>
      <w:r>
        <w:rPr>
          <w:rStyle w:val="FootnoteReference"/>
          <w:szCs w:val="16"/>
        </w:rPr>
        <w:footnoteRef/>
      </w:r>
      <w:r>
        <w:tab/>
        <w:t>These figures include tax expenditure (EUR 43 billion in 2024) that cannot be directly compared across countries, as well as government ownership/equity infusion measures (EUR 10 billion in 2024) which have grown in significance since the energy crisis in 2022.</w:t>
      </w:r>
    </w:p>
  </w:footnote>
  <w:footnote w:id="5">
    <w:p>
      <w:pPr>
        <w:pStyle w:val="FootnoteText"/>
      </w:pPr>
      <w:r>
        <w:rPr>
          <w:rStyle w:val="FootnoteReference"/>
        </w:rPr>
        <w:footnoteRef/>
      </w:r>
      <w:r>
        <w:tab/>
        <w:t>Examples of subsidies that are not qualified as environmentally harmful include subsidies for renewable energy sources, electrification and investments in the energy transition, supply security or the protection of vulnerable consumers, even if given over to fossil fuels. Examples of environmentally harmful subsidies not attributed to fossil fuels include subsidies for hydrogen, heat and electricity not produced from RES or not targeting energy efficiency and non-targeted subsidies, where the renewable share could not be identified.</w:t>
      </w:r>
    </w:p>
  </w:footnote>
  <w:footnote w:id="6">
    <w:p>
      <w:pPr>
        <w:pStyle w:val="FootnoteText"/>
      </w:pPr>
      <w:r>
        <w:rPr>
          <w:rStyle w:val="FootnoteReference"/>
        </w:rPr>
        <w:footnoteRef/>
      </w:r>
      <w:r>
        <w:tab/>
        <w:t>Plans to phase out fossil fuel subsidies from 2024 onward.</w:t>
      </w:r>
    </w:p>
  </w:footnote>
  <w:footnote w:id="7">
    <w:p>
      <w:pPr>
        <w:pStyle w:val="FootnoteText"/>
      </w:pPr>
      <w:r>
        <w:rPr>
          <w:rStyle w:val="FootnoteReference"/>
        </w:rPr>
        <w:footnoteRef/>
      </w:r>
      <w:r>
        <w:tab/>
        <w:t>All monetary values in this study are expressed in 2024-euro prices. Figures from previous editions were adjusted for inflation.</w:t>
      </w:r>
    </w:p>
  </w:footnote>
  <w:footnote w:id="8">
    <w:p>
      <w:pPr>
        <w:pStyle w:val="FootnoteText"/>
        <w:rPr>
          <w:lang w:val="en-IE"/>
        </w:rPr>
      </w:pPr>
      <w:r>
        <w:rPr>
          <w:rStyle w:val="FootnoteReference"/>
        </w:rPr>
        <w:footnoteRef/>
      </w:r>
      <w:r>
        <w:t xml:space="preserve">    </w:t>
      </w:r>
      <w:r>
        <w:rPr>
          <w:lang w:val="en-IE"/>
        </w:rPr>
        <w:t xml:space="preserve">RD&amp;D: Research, Development and Demonstration. </w:t>
      </w:r>
    </w:p>
  </w:footnote>
  <w:footnote w:id="9">
    <w:p>
      <w:pPr>
        <w:pStyle w:val="FootnoteText"/>
      </w:pPr>
      <w:r>
        <w:rPr>
          <w:rStyle w:val="FootnoteReference"/>
        </w:rPr>
        <w:footnoteRef/>
      </w:r>
      <w:r>
        <w:tab/>
        <w:t>If ‘all fossil fuels’ are counted, the amount and proportion is higher.</w:t>
      </w:r>
    </w:p>
  </w:footnote>
  <w:footnote w:id="10">
    <w:p>
      <w:pPr>
        <w:pStyle w:val="FootnoteText"/>
      </w:pPr>
      <w:r>
        <w:rPr>
          <w:rStyle w:val="FootnoteReference"/>
        </w:rPr>
        <w:footnoteRef/>
      </w:r>
      <w:r>
        <w:tab/>
        <w:t>Historic (pre-crisis) level refers to the average for 2015-2019.</w:t>
      </w:r>
    </w:p>
  </w:footnote>
  <w:footnote w:id="11">
    <w:p>
      <w:pPr>
        <w:pStyle w:val="FootnoteText"/>
      </w:pPr>
      <w:r>
        <w:rPr>
          <w:rStyle w:val="FootnoteReference"/>
        </w:rPr>
        <w:footnoteRef/>
      </w:r>
      <w:r>
        <w:t xml:space="preserve">    2015-2019.</w:t>
      </w:r>
    </w:p>
  </w:footnote>
  <w:footnote w:id="12">
    <w:p>
      <w:pPr>
        <w:pStyle w:val="FootnoteText"/>
      </w:pPr>
      <w:r>
        <w:rPr>
          <w:rStyle w:val="FootnoteReference"/>
        </w:rPr>
        <w:footnoteRef/>
      </w:r>
      <w:r>
        <w:t xml:space="preserve">     In 2015-2017, annual expenditures were stable at around EUR 300 million. They increased to around EUR 1.1 billion in 2018-2021.</w:t>
      </w:r>
    </w:p>
  </w:footnote>
  <w:footnote w:id="13">
    <w:p>
      <w:pPr>
        <w:pStyle w:val="FootnoteText"/>
        <w:ind w:left="360" w:hanging="360"/>
      </w:pPr>
      <w:r>
        <w:rPr>
          <w:rStyle w:val="FootnoteReference"/>
        </w:rPr>
        <w:footnoteRef/>
      </w:r>
      <w:r>
        <w:t xml:space="preserve">     Industrial sectors cover industry, mining and construction.</w:t>
      </w:r>
    </w:p>
  </w:footnote>
  <w:footnote w:id="14">
    <w:p>
      <w:pPr>
        <w:pStyle w:val="FootnoteText"/>
        <w:ind w:left="360" w:hanging="360"/>
      </w:pPr>
      <w:r>
        <w:rPr>
          <w:rStyle w:val="FootnoteReference"/>
        </w:rPr>
        <w:footnoteRef/>
      </w:r>
      <w:r>
        <w:t xml:space="preserve">    Tertiary sector covers services, public and business sectors.</w:t>
      </w:r>
    </w:p>
  </w:footnote>
  <w:footnote w:id="15">
    <w:p>
      <w:pPr>
        <w:pStyle w:val="FootnoteText"/>
      </w:pPr>
      <w:r>
        <w:rPr>
          <w:rStyle w:val="FootnoteReference"/>
        </w:rPr>
        <w:footnoteRef/>
      </w:r>
      <w:r>
        <w:tab/>
        <w:t>The term ‘</w:t>
      </w:r>
      <w:r>
        <w:rPr>
          <w:i/>
          <w:iCs/>
        </w:rPr>
        <w:t>significantly increased negative environmental impacts</w:t>
      </w:r>
      <w:r>
        <w:t>’ is aligned with the EU Taxonomy Regulation and adapted to the energy sector by focusing on two environmental objectives of that Regulation which are related to climate, namely (i) climate change mitigation, and (ii) climate change adaptation. T</w:t>
      </w:r>
      <w:r>
        <w:rPr>
          <w:rFonts w:eastAsia="Calibri" w:cs="Consolas"/>
        </w:rPr>
        <w:t>he focus of the background study was on energy subsidies, although it was not deemed possible to assess the environmental impact of energy subsidies on all six environmental objectives as this would require a case-by-case assessment.</w:t>
      </w:r>
    </w:p>
  </w:footnote>
  <w:footnote w:id="16">
    <w:p>
      <w:pPr>
        <w:pStyle w:val="FootnoteText"/>
        <w:spacing w:after="0"/>
        <w:ind w:left="360" w:hanging="360"/>
      </w:pPr>
      <w:r>
        <w:rPr>
          <w:rStyle w:val="FootnoteReference"/>
        </w:rPr>
        <w:footnoteRef/>
      </w:r>
      <w:r>
        <w:tab/>
      </w:r>
      <w:r>
        <w:rPr>
          <w:rFonts w:eastAsia="Calibri" w:cs="Consolas"/>
        </w:rPr>
        <w:t>Of which EUR 17 billion are estimates based on 2023 data.</w:t>
      </w:r>
    </w:p>
  </w:footnote>
  <w:footnote w:id="17">
    <w:p>
      <w:pPr>
        <w:pStyle w:val="FootnoteText"/>
        <w:spacing w:after="0"/>
        <w:ind w:left="360" w:hanging="360"/>
      </w:pPr>
      <w:r>
        <w:rPr>
          <w:rStyle w:val="FootnoteReference"/>
        </w:rPr>
        <w:footnoteRef/>
      </w:r>
      <w:r>
        <w:rPr>
          <w:sz w:val="16"/>
          <w:szCs w:val="16"/>
        </w:rPr>
        <w:tab/>
      </w:r>
      <w:r>
        <w:t xml:space="preserve">For energy subsidies not targeting any specific energy carrier (i.e. ‘all energies’), the weight of fossil fuels in each Member States’ energy mix, expressed as a % and based on Eurostat data for 2022 (from dataset </w:t>
      </w:r>
      <w:hyperlink r:id="rId3" w:history="1">
        <w:r>
          <w:rPr>
            <w:rStyle w:val="Hyperlink"/>
          </w:rPr>
          <w:t>[nrg_bal_c]</w:t>
        </w:r>
      </w:hyperlink>
      <w:r>
        <w:t>), was used to determine the environmentally harmful share.</w:t>
      </w:r>
    </w:p>
  </w:footnote>
  <w:footnote w:id="18">
    <w:p>
      <w:pPr>
        <w:pStyle w:val="FootnoteText"/>
        <w:spacing w:after="0"/>
        <w:ind w:left="360" w:hanging="360"/>
      </w:pPr>
      <w:r>
        <w:rPr>
          <w:rStyle w:val="FootnoteReference"/>
        </w:rPr>
        <w:footnoteRef/>
      </w:r>
      <w:r>
        <w:tab/>
        <w:t>The majority of subsidies for electricity are not considered harmful. The exception is where subsidies are clearly linked to electricity generated from fossil fuel sources.</w:t>
      </w:r>
    </w:p>
  </w:footnote>
  <w:footnote w:id="19">
    <w:p>
      <w:pPr>
        <w:pStyle w:val="FootnoteText"/>
        <w:spacing w:after="0"/>
        <w:ind w:left="360" w:hanging="360"/>
      </w:pPr>
      <w:r>
        <w:rPr>
          <w:rStyle w:val="FootnoteReference"/>
        </w:rPr>
        <w:footnoteRef/>
      </w:r>
      <w:r>
        <w:tab/>
        <w:t>Including subsidies for which no data was available and estimated to be worth EUR 3 billion based on 2023 levels.</w:t>
      </w:r>
    </w:p>
  </w:footnote>
  <w:footnote w:id="20">
    <w:p>
      <w:pPr>
        <w:pStyle w:val="FootnoteText"/>
        <w:spacing w:after="0"/>
        <w:ind w:left="360" w:hanging="360"/>
      </w:pPr>
      <w:r>
        <w:rPr>
          <w:rStyle w:val="FootnoteReference"/>
        </w:rPr>
        <w:footnoteRef/>
      </w:r>
      <w:r>
        <w:tab/>
        <w:t>The analysis is based on Annexes VIII and XV of the 2025 NECPRs and publicly available updates or announcements.</w:t>
      </w:r>
    </w:p>
  </w:footnote>
  <w:footnote w:id="21">
    <w:p>
      <w:pPr>
        <w:pStyle w:val="FootnoteText"/>
        <w:spacing w:after="0"/>
      </w:pPr>
      <w:r>
        <w:rPr>
          <w:rStyle w:val="FootnoteReference"/>
        </w:rPr>
        <w:footnoteRef/>
      </w:r>
      <w:r>
        <w:t xml:space="preserve">    </w:t>
      </w:r>
      <w:r>
        <w:rPr>
          <w:rFonts w:cs="Consolas"/>
        </w:rPr>
        <w:t>Belgium, France, Germany, Italy, Latvia, Lithuania, Luxembourg and Portugal.</w:t>
      </w:r>
    </w:p>
  </w:footnote>
  <w:footnote w:id="22">
    <w:p>
      <w:pPr>
        <w:spacing w:after="0"/>
        <w:jc w:val="both"/>
      </w:pPr>
      <w:r>
        <w:rPr>
          <w:rStyle w:val="FootnoteReference"/>
          <w:rFonts w:eastAsiaTheme="minorHAnsi"/>
        </w:rPr>
        <w:footnoteRef/>
      </w:r>
      <w:r>
        <w:t xml:space="preserve">     </w:t>
      </w:r>
      <w:r>
        <w:rPr>
          <w:rFonts w:ascii="Times New Roman" w:eastAsia="Times New Roman" w:hAnsi="Times New Roman" w:cs="Consolas"/>
          <w:sz w:val="20"/>
          <w:szCs w:val="20"/>
        </w:rPr>
        <w:t>Commission Implementing Regulation (EU) 2022/2299 requires Member States to report every two years on the progress achieved towards the implementation of the integrated national energy and climate plans in national energy and climate progress reports (NECPRs). NECPRs were due by 15 March 2025.</w:t>
      </w:r>
    </w:p>
  </w:footnote>
  <w:footnote w:id="23">
    <w:p>
      <w:pPr>
        <w:pStyle w:val="FootnoteText"/>
        <w:spacing w:after="0"/>
      </w:pPr>
      <w:r>
        <w:rPr>
          <w:rStyle w:val="FootnoteReference"/>
        </w:rPr>
        <w:footnoteRef/>
      </w:r>
      <w:r>
        <w:rPr>
          <w:rStyle w:val="FootnoteReference"/>
        </w:rPr>
        <w:t xml:space="preserve"> </w:t>
      </w:r>
      <w:r>
        <w:t xml:space="preserve">   EU-wide assessment of the final updated national energy and climate plans Delivering the Union's 2030 energy and climate objective, Brussels, 27.5.2025 COM(2025) 274 final.</w:t>
      </w:r>
    </w:p>
  </w:footnote>
  <w:footnote w:id="24">
    <w:p>
      <w:pPr>
        <w:pStyle w:val="FootnoteText"/>
      </w:pPr>
      <w:r>
        <w:rPr>
          <w:rStyle w:val="FootnoteReference"/>
        </w:rPr>
        <w:footnoteRef/>
      </w:r>
      <w:r>
        <w:tab/>
        <w:t>Average for 2015-2019, i.e. before the COVID-19 pandemic and Russia’s war of aggression against Ukraine which affected energy prices in atypical ways making them less representative for analysis.</w:t>
      </w:r>
    </w:p>
  </w:footnote>
  <w:footnote w:id="25">
    <w:p>
      <w:pPr>
        <w:pStyle w:val="FootnoteText"/>
        <w:ind w:left="360" w:hanging="360"/>
        <w:rPr>
          <w:sz w:val="16"/>
          <w:szCs w:val="16"/>
        </w:rPr>
      </w:pPr>
      <w:r>
        <w:rPr>
          <w:rStyle w:val="FootnoteReference"/>
        </w:rPr>
        <w:footnoteRef/>
      </w:r>
      <w:r>
        <w:tab/>
      </w:r>
      <w:hyperlink r:id="rId4" w:history="1">
        <w:r>
          <w:rPr>
            <w:rStyle w:val="Hyperlink"/>
          </w:rPr>
          <w:t>Mission letter to Dan Jørgensen, Commissioner for Energy and Housing</w:t>
        </w:r>
      </w:hyperlink>
      <w:r>
        <w:t xml:space="preserve">; </w:t>
      </w:r>
      <w:hyperlink r:id="rId5" w:history="1">
        <w:r>
          <w:rPr>
            <w:rStyle w:val="Hyperlink"/>
          </w:rPr>
          <w:t>eab354d1-64d2-450f-8ed4-eb3d42661974_en</w:t>
        </w:r>
      </w:hyperlink>
      <w:r>
        <w:t>.</w:t>
      </w:r>
    </w:p>
  </w:footnote>
  <w:footnote w:id="26">
    <w:p>
      <w:pPr>
        <w:pStyle w:val="FootnoteText"/>
      </w:pPr>
      <w:r>
        <w:rPr>
          <w:rStyle w:val="FootnoteReference"/>
        </w:rPr>
        <w:footnoteRef/>
      </w:r>
      <w:r>
        <w:t xml:space="preserve">    COM (2026) 370 final, 22.4.2026.</w:t>
      </w:r>
    </w:p>
  </w:footnote>
  <w:footnote w:id="27">
    <w:p>
      <w:pPr>
        <w:pStyle w:val="FootnoteText"/>
      </w:pPr>
      <w:r>
        <w:rPr>
          <w:rStyle w:val="FootnoteReference"/>
        </w:rPr>
        <w:footnoteRef/>
      </w:r>
      <w:r>
        <w:t xml:space="preserve">   See recommendations in  2025 European Semester - Spring package, Brussels, 4.6.2025 COM(2025) 200 final.</w:t>
      </w:r>
    </w:p>
  </w:footnote>
  <w:footnote w:id="28">
    <w:p>
      <w:pPr>
        <w:pStyle w:val="FootnoteText"/>
      </w:pPr>
      <w:r>
        <w:rPr>
          <w:rStyle w:val="FootnoteReference"/>
        </w:rPr>
        <w:footnoteRef/>
      </w:r>
      <w:r>
        <w:tab/>
        <w:t xml:space="preserve">2026 Work Programme of the European Commission, Annex I, New Initiatives, initiative 8. </w:t>
      </w:r>
      <w:hyperlink r:id="rId6" w:history="1">
        <w:r>
          <w:rPr>
            <w:rStyle w:val="Hyperlink"/>
          </w:rPr>
          <w:t>Commission work programme 2026 - European Commission</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900F7"/>
    <w:multiLevelType w:val="multilevel"/>
    <w:tmpl w:val="FA9CBA30"/>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4040267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45F0597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3798270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6ABADF2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5798EC78"/>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8756638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8A34F5E"/>
    <w:multiLevelType w:val="hybridMultilevel"/>
    <w:tmpl w:val="18F60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7B624F"/>
    <w:multiLevelType w:val="multilevel"/>
    <w:tmpl w:val="B8C6257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5C23C87"/>
    <w:multiLevelType w:val="multilevel"/>
    <w:tmpl w:val="1E506A44"/>
    <w:name w:val="Anx122"/>
    <w:lvl w:ilvl="0">
      <w:start w:val="1"/>
      <w:numFmt w:val="upperLetter"/>
      <w:pStyle w:val="Anx1"/>
      <w:lvlText w:val="%1."/>
      <w:lvlJc w:val="left"/>
      <w:pPr>
        <w:ind w:left="644" w:hanging="360"/>
      </w:pPr>
      <w:rPr>
        <w:rFonts w:hint="default"/>
      </w:rPr>
    </w:lvl>
    <w:lvl w:ilvl="1">
      <w:start w:val="1"/>
      <w:numFmt w:val="decimal"/>
      <w:pStyle w:val="Anx2"/>
      <w:lvlText w:val="%1.%2."/>
      <w:lvlJc w:val="left"/>
      <w:pPr>
        <w:ind w:left="708" w:hanging="708"/>
      </w:pPr>
      <w:rPr>
        <w:rFonts w:hint="default"/>
        <w:b/>
        <w:bCs/>
        <w:i w:val="0"/>
        <w:iCs w:val="0"/>
        <w:caps w:val="0"/>
        <w:smallCaps w:val="0"/>
        <w:strike w:val="0"/>
        <w:dstrike w:val="0"/>
        <w:vanish w:val="0"/>
        <w:color w:val="E97132" w:themeColor="accent2"/>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pStyle w:val="Anx3"/>
      <w:lvlText w:val="%1.%2.%3."/>
      <w:lvlJc w:val="left"/>
      <w:pPr>
        <w:ind w:left="1417" w:hanging="708"/>
      </w:pPr>
      <w:rPr>
        <w:rFonts w:hint="default"/>
        <w:b/>
        <w:bCs/>
        <w:i w:val="0"/>
        <w:iCs w:val="0"/>
        <w:caps w:val="0"/>
        <w:smallCaps w:val="0"/>
        <w:strike w:val="0"/>
        <w:dstrike w:val="0"/>
        <w:vanish w:val="0"/>
        <w:color w:val="0E2841" w:themeColor="text2"/>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Anx4"/>
      <w:lvlText w:val="%1.%2.%3.%4."/>
      <w:lvlJc w:val="left"/>
      <w:pPr>
        <w:ind w:left="2835" w:hanging="708"/>
      </w:pPr>
      <w:rPr>
        <w:rFonts w:hint="default"/>
      </w:rPr>
    </w:lvl>
    <w:lvl w:ilvl="4">
      <w:start w:val="1"/>
      <w:numFmt w:val="decimal"/>
      <w:lvlText w:val="%1.%2.%3.%4.%5."/>
      <w:lvlJc w:val="left"/>
      <w:pPr>
        <w:ind w:left="3539" w:hanging="708"/>
      </w:pPr>
      <w:rPr>
        <w:rFonts w:hint="default"/>
      </w:rPr>
    </w:lvl>
    <w:lvl w:ilvl="5">
      <w:start w:val="1"/>
      <w:numFmt w:val="decimal"/>
      <w:lvlText w:val="%1.%2.%3.%4.%5.%6."/>
      <w:lvlJc w:val="left"/>
      <w:pPr>
        <w:ind w:left="4247" w:hanging="708"/>
      </w:pPr>
      <w:rPr>
        <w:rFonts w:hint="default"/>
      </w:rPr>
    </w:lvl>
    <w:lvl w:ilvl="6">
      <w:start w:val="1"/>
      <w:numFmt w:val="decimal"/>
      <w:lvlText w:val="%1.%2.%3.%4.%5.%6.%7."/>
      <w:lvlJc w:val="left"/>
      <w:pPr>
        <w:ind w:left="4955" w:hanging="708"/>
      </w:pPr>
      <w:rPr>
        <w:rFonts w:hint="default"/>
      </w:rPr>
    </w:lvl>
    <w:lvl w:ilvl="7">
      <w:start w:val="1"/>
      <w:numFmt w:val="decimal"/>
      <w:lvlText w:val="%1.%2.%3.%4.%5.%6.%7.%8."/>
      <w:lvlJc w:val="left"/>
      <w:pPr>
        <w:ind w:left="5663" w:hanging="708"/>
      </w:pPr>
      <w:rPr>
        <w:rFonts w:hint="default"/>
      </w:rPr>
    </w:lvl>
    <w:lvl w:ilvl="8">
      <w:start w:val="1"/>
      <w:numFmt w:val="decimal"/>
      <w:lvlText w:val="%1.%2.%3.%4.%5.%6.%7.%8.%9."/>
      <w:lvlJc w:val="left"/>
      <w:pPr>
        <w:ind w:left="6371" w:hanging="708"/>
      </w:pPr>
      <w:rPr>
        <w:rFonts w:hint="default"/>
      </w:rPr>
    </w:lvl>
  </w:abstractNum>
  <w:abstractNum w:abstractNumId="10" w15:restartNumberingAfterBreak="0">
    <w:nsid w:val="2C8DFDF8"/>
    <w:multiLevelType w:val="multilevel"/>
    <w:tmpl w:val="B0565F9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19EA6AC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463485E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25359E4"/>
    <w:multiLevelType w:val="hybridMultilevel"/>
    <w:tmpl w:val="B50AD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324F1E"/>
    <w:multiLevelType w:val="multilevel"/>
    <w:tmpl w:val="32AC763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7CB1E1C"/>
    <w:multiLevelType w:val="multilevel"/>
    <w:tmpl w:val="5EE28F6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A7730C4"/>
    <w:multiLevelType w:val="multilevel"/>
    <w:tmpl w:val="C9C0754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29E662A"/>
    <w:multiLevelType w:val="multilevel"/>
    <w:tmpl w:val="B56678C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6F556DD"/>
    <w:multiLevelType w:val="hybridMultilevel"/>
    <w:tmpl w:val="53D2F236"/>
    <w:lvl w:ilvl="0" w:tplc="91B0A804">
      <w:start w:val="1"/>
      <w:numFmt w:val="decimal"/>
      <w:pStyle w:val="Annex111"/>
      <w:lvlText w:val="%1."/>
      <w:lvlJc w:val="left"/>
      <w:pPr>
        <w:ind w:left="3905" w:hanging="360"/>
      </w:pPr>
    </w:lvl>
    <w:lvl w:ilvl="1" w:tplc="08090019" w:tentative="1">
      <w:start w:val="1"/>
      <w:numFmt w:val="lowerLetter"/>
      <w:lvlText w:val="%2."/>
      <w:lvlJc w:val="left"/>
      <w:pPr>
        <w:ind w:left="4625" w:hanging="360"/>
      </w:pPr>
    </w:lvl>
    <w:lvl w:ilvl="2" w:tplc="0809001B">
      <w:start w:val="1"/>
      <w:numFmt w:val="lowerRoman"/>
      <w:pStyle w:val="Annex111"/>
      <w:lvlText w:val="%3."/>
      <w:lvlJc w:val="right"/>
      <w:pPr>
        <w:ind w:left="5345" w:hanging="180"/>
      </w:pPr>
    </w:lvl>
    <w:lvl w:ilvl="3" w:tplc="0809000F" w:tentative="1">
      <w:start w:val="1"/>
      <w:numFmt w:val="decimal"/>
      <w:lvlText w:val="%4."/>
      <w:lvlJc w:val="left"/>
      <w:pPr>
        <w:ind w:left="6065" w:hanging="360"/>
      </w:pPr>
    </w:lvl>
    <w:lvl w:ilvl="4" w:tplc="08090019" w:tentative="1">
      <w:start w:val="1"/>
      <w:numFmt w:val="lowerLetter"/>
      <w:lvlText w:val="%5."/>
      <w:lvlJc w:val="left"/>
      <w:pPr>
        <w:ind w:left="6785" w:hanging="360"/>
      </w:pPr>
    </w:lvl>
    <w:lvl w:ilvl="5" w:tplc="0809001B" w:tentative="1">
      <w:start w:val="1"/>
      <w:numFmt w:val="lowerRoman"/>
      <w:lvlText w:val="%6."/>
      <w:lvlJc w:val="right"/>
      <w:pPr>
        <w:ind w:left="7505" w:hanging="180"/>
      </w:pPr>
    </w:lvl>
    <w:lvl w:ilvl="6" w:tplc="0809000F" w:tentative="1">
      <w:start w:val="1"/>
      <w:numFmt w:val="decimal"/>
      <w:lvlText w:val="%7."/>
      <w:lvlJc w:val="left"/>
      <w:pPr>
        <w:ind w:left="8225" w:hanging="360"/>
      </w:pPr>
    </w:lvl>
    <w:lvl w:ilvl="7" w:tplc="08090019" w:tentative="1">
      <w:start w:val="1"/>
      <w:numFmt w:val="lowerLetter"/>
      <w:lvlText w:val="%8."/>
      <w:lvlJc w:val="left"/>
      <w:pPr>
        <w:ind w:left="8945" w:hanging="360"/>
      </w:pPr>
    </w:lvl>
    <w:lvl w:ilvl="8" w:tplc="0809001B" w:tentative="1">
      <w:start w:val="1"/>
      <w:numFmt w:val="lowerRoman"/>
      <w:lvlText w:val="%9."/>
      <w:lvlJc w:val="right"/>
      <w:pPr>
        <w:ind w:left="9665" w:hanging="180"/>
      </w:pPr>
    </w:lvl>
  </w:abstractNum>
  <w:abstractNum w:abstractNumId="19" w15:restartNumberingAfterBreak="0">
    <w:nsid w:val="4C174643"/>
    <w:multiLevelType w:val="hybridMultilevel"/>
    <w:tmpl w:val="FBFC9F6E"/>
    <w:lvl w:ilvl="0" w:tplc="0850681E">
      <w:start w:val="1"/>
      <w:numFmt w:val="bullet"/>
      <w:lvlText w:val=""/>
      <w:lvlJc w:val="left"/>
      <w:pPr>
        <w:ind w:left="720" w:hanging="360"/>
      </w:pPr>
      <w:rPr>
        <w:rFonts w:ascii="Wingdings" w:hAnsi="Wingdings" w:hint="default"/>
        <w:b/>
        <w:i w:val="0"/>
        <w:color w:val="E97132"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E1A63DF"/>
    <w:multiLevelType w:val="multilevel"/>
    <w:tmpl w:val="7B08866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982C"/>
    <w:multiLevelType w:val="multilevel"/>
    <w:tmpl w:val="318E639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72619B"/>
    <w:multiLevelType w:val="multilevel"/>
    <w:tmpl w:val="D30ABD5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9B52"/>
    <w:multiLevelType w:val="multilevel"/>
    <w:tmpl w:val="BB92404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6977472E"/>
    <w:multiLevelType w:val="multilevel"/>
    <w:tmpl w:val="388A6B1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6F3F1BE7"/>
    <w:multiLevelType w:val="hybridMultilevel"/>
    <w:tmpl w:val="1F4E41FE"/>
    <w:lvl w:ilvl="0" w:tplc="FFFFFFFF">
      <w:start w:val="1"/>
      <w:numFmt w:val="bullet"/>
      <w:pStyle w:val="Bullet-1"/>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711927D6"/>
    <w:multiLevelType w:val="hybridMultilevel"/>
    <w:tmpl w:val="05C26312"/>
    <w:lvl w:ilvl="0" w:tplc="17BC0D08">
      <w:start w:val="1"/>
      <w:numFmt w:val="bullet"/>
      <w:lvlText w:val=""/>
      <w:lvlJc w:val="left"/>
      <w:pPr>
        <w:ind w:left="1440" w:hanging="360"/>
      </w:pPr>
      <w:rPr>
        <w:rFonts w:ascii="Symbol" w:hAnsi="Symbol"/>
      </w:rPr>
    </w:lvl>
    <w:lvl w:ilvl="1" w:tplc="49828EDA">
      <w:start w:val="1"/>
      <w:numFmt w:val="bullet"/>
      <w:lvlText w:val=""/>
      <w:lvlJc w:val="left"/>
      <w:pPr>
        <w:ind w:left="1440" w:hanging="360"/>
      </w:pPr>
      <w:rPr>
        <w:rFonts w:ascii="Symbol" w:hAnsi="Symbol"/>
      </w:rPr>
    </w:lvl>
    <w:lvl w:ilvl="2" w:tplc="CCC2E606">
      <w:start w:val="1"/>
      <w:numFmt w:val="bullet"/>
      <w:lvlText w:val=""/>
      <w:lvlJc w:val="left"/>
      <w:pPr>
        <w:ind w:left="1440" w:hanging="360"/>
      </w:pPr>
      <w:rPr>
        <w:rFonts w:ascii="Symbol" w:hAnsi="Symbol"/>
      </w:rPr>
    </w:lvl>
    <w:lvl w:ilvl="3" w:tplc="F0544AEA">
      <w:start w:val="1"/>
      <w:numFmt w:val="bullet"/>
      <w:lvlText w:val=""/>
      <w:lvlJc w:val="left"/>
      <w:pPr>
        <w:ind w:left="1440" w:hanging="360"/>
      </w:pPr>
      <w:rPr>
        <w:rFonts w:ascii="Symbol" w:hAnsi="Symbol"/>
      </w:rPr>
    </w:lvl>
    <w:lvl w:ilvl="4" w:tplc="85662576">
      <w:start w:val="1"/>
      <w:numFmt w:val="bullet"/>
      <w:lvlText w:val=""/>
      <w:lvlJc w:val="left"/>
      <w:pPr>
        <w:ind w:left="1440" w:hanging="360"/>
      </w:pPr>
      <w:rPr>
        <w:rFonts w:ascii="Symbol" w:hAnsi="Symbol"/>
      </w:rPr>
    </w:lvl>
    <w:lvl w:ilvl="5" w:tplc="7D2EE0DA">
      <w:start w:val="1"/>
      <w:numFmt w:val="bullet"/>
      <w:lvlText w:val=""/>
      <w:lvlJc w:val="left"/>
      <w:pPr>
        <w:ind w:left="1440" w:hanging="360"/>
      </w:pPr>
      <w:rPr>
        <w:rFonts w:ascii="Symbol" w:hAnsi="Symbol"/>
      </w:rPr>
    </w:lvl>
    <w:lvl w:ilvl="6" w:tplc="B4500BF2">
      <w:start w:val="1"/>
      <w:numFmt w:val="bullet"/>
      <w:lvlText w:val=""/>
      <w:lvlJc w:val="left"/>
      <w:pPr>
        <w:ind w:left="1440" w:hanging="360"/>
      </w:pPr>
      <w:rPr>
        <w:rFonts w:ascii="Symbol" w:hAnsi="Symbol"/>
      </w:rPr>
    </w:lvl>
    <w:lvl w:ilvl="7" w:tplc="96663886">
      <w:start w:val="1"/>
      <w:numFmt w:val="bullet"/>
      <w:lvlText w:val=""/>
      <w:lvlJc w:val="left"/>
      <w:pPr>
        <w:ind w:left="1440" w:hanging="360"/>
      </w:pPr>
      <w:rPr>
        <w:rFonts w:ascii="Symbol" w:hAnsi="Symbol"/>
      </w:rPr>
    </w:lvl>
    <w:lvl w:ilvl="8" w:tplc="C4125822">
      <w:start w:val="1"/>
      <w:numFmt w:val="bullet"/>
      <w:lvlText w:val=""/>
      <w:lvlJc w:val="left"/>
      <w:pPr>
        <w:ind w:left="1440" w:hanging="360"/>
      </w:pPr>
      <w:rPr>
        <w:rFonts w:ascii="Symbol" w:hAnsi="Symbol"/>
      </w:rPr>
    </w:lvl>
  </w:abstractNum>
  <w:abstractNum w:abstractNumId="2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5"/>
  </w:num>
  <w:num w:numId="2">
    <w:abstractNumId w:val="0"/>
  </w:num>
  <w:num w:numId="3">
    <w:abstractNumId w:val="14"/>
  </w:num>
  <w:num w:numId="4">
    <w:abstractNumId w:val="8"/>
  </w:num>
  <w:num w:numId="5">
    <w:abstractNumId w:val="15"/>
  </w:num>
  <w:num w:numId="6">
    <w:abstractNumId w:val="22"/>
  </w:num>
  <w:num w:numId="7">
    <w:abstractNumId w:val="24"/>
  </w:num>
  <w:num w:numId="8">
    <w:abstractNumId w:val="1"/>
  </w:num>
  <w:num w:numId="9">
    <w:abstractNumId w:val="6"/>
  </w:num>
  <w:num w:numId="10">
    <w:abstractNumId w:val="17"/>
  </w:num>
  <w:num w:numId="11">
    <w:abstractNumId w:val="2"/>
  </w:num>
  <w:num w:numId="12">
    <w:abstractNumId w:val="4"/>
  </w:num>
  <w:num w:numId="13">
    <w:abstractNumId w:val="5"/>
  </w:num>
  <w:num w:numId="14">
    <w:abstractNumId w:val="10"/>
  </w:num>
  <w:num w:numId="15">
    <w:abstractNumId w:val="16"/>
  </w:num>
  <w:num w:numId="16">
    <w:abstractNumId w:val="21"/>
  </w:num>
  <w:num w:numId="17">
    <w:abstractNumId w:val="11"/>
  </w:num>
  <w:num w:numId="18">
    <w:abstractNumId w:val="12"/>
  </w:num>
  <w:num w:numId="19">
    <w:abstractNumId w:val="27"/>
  </w:num>
  <w:num w:numId="20">
    <w:abstractNumId w:val="20"/>
  </w:num>
  <w:num w:numId="21">
    <w:abstractNumId w:val="23"/>
  </w:num>
  <w:num w:numId="22">
    <w:abstractNumId w:val="3"/>
  </w:num>
  <w:num w:numId="23">
    <w:abstractNumId w:val="18"/>
  </w:num>
  <w:num w:numId="24">
    <w:abstractNumId w:val="7"/>
  </w:num>
  <w:num w:numId="25">
    <w:abstractNumId w:val="9"/>
  </w:num>
  <w:num w:numId="26">
    <w:abstractNumId w:val="13"/>
  </w:num>
  <w:num w:numId="27">
    <w:abstractNumId w:val="19"/>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553C0070-B059-470F-9E46-4C44334AFACF"/>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energy subsidies in the EU"/>
    <w:docVar w:name="LW_TYPE.DOC.CP" w:val="REPORT FROM THE COMMISSION TO THE EUROPEAN PARLIAMENT AND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AE0F3B20-A60F-4712-98B0-C5CDE1E58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5"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5" w:unhideWhenUsed="1"/>
    <w:lsdException w:name="List Bullet 3" w:semiHidden="1" w:uiPriority="35" w:unhideWhenUsed="1"/>
    <w:lsdException w:name="List Bullet 4" w:semiHidden="1" w:uiPriority="35" w:unhideWhenUsed="1"/>
    <w:lsdException w:name="List Bullet 5" w:semiHidden="1" w:unhideWhenUsed="1"/>
    <w:lsdException w:name="List Number 2" w:semiHidden="1" w:uiPriority="30" w:unhideWhenUsed="1"/>
    <w:lsdException w:name="List Number 3" w:semiHidden="1" w:uiPriority="30" w:unhideWhenUsed="1"/>
    <w:lsdException w:name="List Number 4" w:semiHidden="1" w:uiPriority="30" w:unhideWhenUsed="1"/>
    <w:lsdException w:name="List Number 5" w:semiHidden="1" w:unhideWhenUsed="1"/>
    <w:lsdException w:name="Title" w:uiPriority="4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10"/>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0"/>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0"/>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0"/>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Pr>
      <w:rFonts w:eastAsiaTheme="majorEastAsia" w:cstheme="majorBidi"/>
      <w:i/>
      <w:iCs/>
      <w:color w:val="0F4761" w:themeColor="accent1" w:themeShade="BF"/>
    </w:rPr>
  </w:style>
  <w:style w:type="character" w:customStyle="1" w:styleId="Heading5Char">
    <w:name w:val="Heading 5 Char"/>
    <w:basedOn w:val="DefaultParagraphFont"/>
    <w:link w:val="Heading5"/>
    <w:rPr>
      <w:rFonts w:eastAsiaTheme="majorEastAsia" w:cstheme="majorBidi"/>
      <w:color w:val="0F4761" w:themeColor="accent1" w:themeShade="BF"/>
    </w:rPr>
  </w:style>
  <w:style w:type="character" w:customStyle="1" w:styleId="Heading6Char">
    <w:name w:val="Heading 6 Char"/>
    <w:basedOn w:val="DefaultParagraphFont"/>
    <w:link w:val="Heading6"/>
    <w:rPr>
      <w:rFonts w:eastAsiaTheme="majorEastAsia" w:cstheme="majorBidi"/>
      <w:i/>
      <w:iCs/>
      <w:color w:val="595959" w:themeColor="text1" w:themeTint="A6"/>
    </w:rPr>
  </w:style>
  <w:style w:type="character" w:customStyle="1" w:styleId="Heading7Char">
    <w:name w:val="Heading 7 Char"/>
    <w:basedOn w:val="DefaultParagraphFont"/>
    <w:link w:val="Heading7"/>
    <w:rPr>
      <w:rFonts w:eastAsiaTheme="majorEastAsia" w:cstheme="majorBidi"/>
      <w:color w:val="595959" w:themeColor="text1" w:themeTint="A6"/>
    </w:rPr>
  </w:style>
  <w:style w:type="character" w:customStyle="1" w:styleId="Heading8Char">
    <w:name w:val="Heading 8 Char"/>
    <w:basedOn w:val="DefaultParagraphFont"/>
    <w:link w:val="Heading8"/>
    <w:rPr>
      <w:rFonts w:eastAsiaTheme="majorEastAsia" w:cstheme="majorBidi"/>
      <w:i/>
      <w:iCs/>
      <w:color w:val="272727" w:themeColor="text1" w:themeTint="D8"/>
    </w:rPr>
  </w:style>
  <w:style w:type="character" w:customStyle="1" w:styleId="Heading9Char">
    <w:name w:val="Heading 9 Char"/>
    <w:basedOn w:val="DefaultParagraphFont"/>
    <w:link w:val="Heading9"/>
    <w:rPr>
      <w:rFonts w:eastAsiaTheme="majorEastAsia" w:cstheme="majorBidi"/>
      <w:color w:val="272727" w:themeColor="text1" w:themeTint="D8"/>
    </w:rPr>
  </w:style>
  <w:style w:type="paragraph" w:styleId="Title">
    <w:name w:val="Title"/>
    <w:basedOn w:val="Normal"/>
    <w:next w:val="Normal"/>
    <w:link w:val="TitleChar"/>
    <w:uiPriority w:val="4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Pr>
      <w:rFonts w:eastAsiaTheme="majorEastAsia" w:cstheme="majorBidi"/>
      <w:color w:val="595959" w:themeColor="text1" w:themeTint="A6"/>
      <w:spacing w:val="15"/>
      <w:sz w:val="28"/>
      <w:szCs w:val="28"/>
    </w:rPr>
  </w:style>
  <w:style w:type="paragraph" w:styleId="Quote">
    <w:name w:val="Quote"/>
    <w:basedOn w:val="Normal"/>
    <w:next w:val="Normal"/>
    <w:link w:val="QuoteChar"/>
    <w:qFormat/>
    <w:pPr>
      <w:spacing w:before="160"/>
      <w:jc w:val="center"/>
    </w:pPr>
    <w:rPr>
      <w:i/>
      <w:iCs/>
      <w:color w:val="404040" w:themeColor="text1" w:themeTint="BF"/>
    </w:rPr>
  </w:style>
  <w:style w:type="character" w:customStyle="1" w:styleId="QuoteChar">
    <w:name w:val="Quote Char"/>
    <w:basedOn w:val="DefaultParagraphFont"/>
    <w:link w:val="Quote"/>
    <w:rPr>
      <w:i/>
      <w:iCs/>
      <w:color w:val="404040" w:themeColor="text1" w:themeTint="BF"/>
    </w:rPr>
  </w:style>
  <w:style w:type="paragraph" w:styleId="ListParagraph">
    <w:name w:val="List Paragraph"/>
    <w:aliases w:val="1st elvel bullet green,Numbered Para 1,Dot pt,No Spacing1,List Paragraph Char Char Char,Indicator Text,Bullet 1,List Paragraph1,Bullet Points,MAIN CONTENT,List Paragraph12,F5 List Paragraph,Heading 2_sj,Report Para,WinDForce-Letter,H"/>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 w:type="character" w:customStyle="1" w:styleId="FootnoteTextChar">
    <w:name w:val="Footnote Text Char"/>
    <w:aliases w:val="Footnote Text Char Char Char,Footnote text Char,Geneva 9 Char,Font: Geneva 9 Char,Boston 10 Char,f Char,Footnote Char,Fußnote Char,Fußnote Char Char Char Char1,Fußnote Char Char Char1,Fußnote Char Char Char Char Char Char Char,fn Char"/>
    <w:uiPriority w:val="99"/>
    <w:qFormat/>
    <w:rPr>
      <w:sz w:val="20"/>
    </w:rPr>
  </w:style>
  <w:style w:type="paragraph" w:customStyle="1" w:styleId="CharCharChar">
    <w:name w:val="Char Char Char"/>
    <w:basedOn w:val="Normal"/>
    <w:link w:val="FootnoteReference"/>
    <w:pPr>
      <w:spacing w:line="240" w:lineRule="exact"/>
    </w:pPr>
    <w:rPr>
      <w:rFonts w:ascii="Times New Roman" w:eastAsia="Times New Roman" w:hAnsi="Times New Roman" w:cs="Times New Roman"/>
      <w:sz w:val="24"/>
      <w:szCs w:val="20"/>
      <w:vertAlign w:val="superscript"/>
    </w:rPr>
  </w:style>
  <w:style w:type="character" w:styleId="Hyperlink">
    <w:name w:val="Hyperlink"/>
    <w:aliases w:val=" Znak Znak Znak,Znak Znak Znak"/>
    <w:rPr>
      <w:color w:val="0000FF"/>
      <w:u w:val="single"/>
    </w:rPr>
  </w:style>
  <w:style w:type="paragraph" w:styleId="BalloonText">
    <w:name w:val="Balloon Text"/>
    <w:basedOn w:val="Normal"/>
    <w:link w:val="BalloonTextChar"/>
    <w:pPr>
      <w:spacing w:after="0"/>
    </w:pPr>
    <w:rPr>
      <w:rFonts w:ascii="Segoe UI" w:eastAsia="MS Mincho" w:hAnsi="Segoe UI" w:cs="Segoe UI"/>
      <w:sz w:val="18"/>
      <w:szCs w:val="18"/>
      <w:lang w:eastAsia="en-GB"/>
    </w:rPr>
  </w:style>
  <w:style w:type="character" w:customStyle="1" w:styleId="BalloonTextChar">
    <w:name w:val="Balloon Text Char"/>
    <w:basedOn w:val="DefaultParagraphFont"/>
    <w:link w:val="BalloonText"/>
    <w:rPr>
      <w:rFonts w:ascii="Segoe UI" w:eastAsia="MS Mincho" w:hAnsi="Segoe UI" w:cs="Segoe UI"/>
      <w:sz w:val="18"/>
      <w:szCs w:val="18"/>
      <w:lang w:val="en-GB" w:eastAsia="en-GB"/>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rFonts w:ascii="Calibri" w:eastAsia="Calibri" w:hAnsi="Calibri" w:cs="Arial"/>
      <w:sz w:val="20"/>
      <w:szCs w:val="20"/>
      <w:lang w:eastAsia="en-GB"/>
    </w:rPr>
  </w:style>
  <w:style w:type="character" w:customStyle="1" w:styleId="CommentTextChar">
    <w:name w:val="Comment Text Char"/>
    <w:basedOn w:val="DefaultParagraphFont"/>
    <w:link w:val="CommentText"/>
    <w:uiPriority w:val="99"/>
    <w:rPr>
      <w:rFonts w:ascii="Calibri" w:eastAsia="Calibri" w:hAnsi="Calibri" w:cs="Arial"/>
      <w:sz w:val="20"/>
      <w:szCs w:val="20"/>
      <w:lang w:val="en-GB"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Calibri" w:eastAsia="Calibri" w:hAnsi="Calibri" w:cs="Arial"/>
      <w:b/>
      <w:bCs/>
      <w:sz w:val="20"/>
      <w:szCs w:val="20"/>
      <w:lang w:val="en-GB" w:eastAsia="en-GB"/>
    </w:rPr>
  </w:style>
  <w:style w:type="character" w:styleId="FollowedHyperlink">
    <w:name w:val="FollowedHyperlink"/>
    <w:rPr>
      <w:color w:val="800080"/>
      <w:u w:val="single"/>
    </w:rPr>
  </w:style>
  <w:style w:type="paragraph" w:styleId="Revision">
    <w:name w:val="Revision"/>
    <w:hidden/>
    <w:pPr>
      <w:spacing w:after="0" w:line="240" w:lineRule="auto"/>
    </w:pPr>
    <w:rPr>
      <w:rFonts w:ascii="Calibri" w:eastAsia="Calibri" w:hAnsi="Calibri" w:cs="Arial"/>
      <w:lang w:val="en-GB" w:eastAsia="en-GB"/>
    </w:rPr>
  </w:style>
  <w:style w:type="character" w:customStyle="1" w:styleId="CaptionChar">
    <w:name w:val="Caption Char"/>
    <w:aliases w:val="Caption-tables Char,Tasks Char,Beschriftung Char2 Char,Beschriftung Char1 Char1 Char,Beschriftung Char Char Char1 Char,Beschriftung Char1 Char Char Char,Beschriftung Char Char Char Char Char,Beschriftung Char Char1 Char Char,Eco Char"/>
    <w:rPr>
      <w:i/>
      <w:sz w:val="22"/>
    </w:rPr>
  </w:style>
  <w:style w:type="paragraph" w:customStyle="1" w:styleId="Source">
    <w:name w:val="Source"/>
    <w:basedOn w:val="Normal"/>
    <w:link w:val="SourceCar"/>
    <w:uiPriority w:val="1"/>
    <w:qFormat/>
    <w:pPr>
      <w:spacing w:after="0" w:line="280" w:lineRule="exact"/>
      <w:jc w:val="center"/>
    </w:pPr>
    <w:rPr>
      <w:rFonts w:ascii="EC Square Sans Pro" w:eastAsia="Times New Roman" w:hAnsi="EC Square Sans Pro" w:cs="Times New Roman"/>
      <w:i/>
      <w:iCs/>
      <w:color w:val="989393"/>
      <w:sz w:val="18"/>
      <w:szCs w:val="18"/>
      <w:lang w:eastAsia="en-GB"/>
    </w:rPr>
  </w:style>
  <w:style w:type="character" w:customStyle="1" w:styleId="SourceCar">
    <w:name w:val="Source Car"/>
    <w:link w:val="Source"/>
    <w:uiPriority w:val="1"/>
    <w:rPr>
      <w:rFonts w:ascii="EC Square Sans Pro" w:eastAsia="Times New Roman" w:hAnsi="EC Square Sans Pro" w:cs="Times New Roman"/>
      <w:i/>
      <w:iCs/>
      <w:color w:val="989393"/>
      <w:sz w:val="18"/>
      <w:szCs w:val="18"/>
      <w:lang w:val="en-GB" w:eastAsia="en-GB"/>
    </w:rPr>
  </w:style>
  <w:style w:type="paragraph" w:customStyle="1" w:styleId="Text">
    <w:name w:val="Text"/>
    <w:basedOn w:val="PlainText"/>
    <w:link w:val="TextCar"/>
    <w:uiPriority w:val="1"/>
    <w:qFormat/>
    <w:pPr>
      <w:spacing w:after="200" w:line="280" w:lineRule="exact"/>
      <w:jc w:val="both"/>
    </w:pPr>
    <w:rPr>
      <w:rFonts w:ascii="EC Square Sans Pro" w:eastAsia="Times New Roman" w:hAnsi="EC Square Sans Pro" w:cs="Consolas"/>
    </w:rPr>
  </w:style>
  <w:style w:type="character" w:customStyle="1" w:styleId="TextCar">
    <w:name w:val="Text Car"/>
    <w:link w:val="Text"/>
    <w:uiPriority w:val="1"/>
    <w:rPr>
      <w:rFonts w:ascii="EC Square Sans Pro" w:eastAsia="Times New Roman" w:hAnsi="EC Square Sans Pro" w:cs="Consolas"/>
      <w:sz w:val="21"/>
      <w:szCs w:val="21"/>
      <w:lang w:val="en-GB" w:eastAsia="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qFormat/>
    <w:pPr>
      <w:spacing w:line="240" w:lineRule="exact"/>
    </w:pPr>
    <w:rPr>
      <w:rFonts w:ascii="EC Square Sans Pro" w:eastAsia="Times New Roman" w:hAnsi="EC Square Sans Pro" w:cs="Times New Roman"/>
      <w:vertAlign w:val="superscript"/>
      <w:lang w:eastAsia="en-GB"/>
    </w:rPr>
  </w:style>
  <w:style w:type="paragraph" w:styleId="PlainText">
    <w:name w:val="Plain Text"/>
    <w:basedOn w:val="Normal"/>
    <w:link w:val="PlainTextChar"/>
    <w:pPr>
      <w:spacing w:after="0"/>
    </w:pPr>
    <w:rPr>
      <w:rFonts w:ascii="Consolas" w:eastAsia="MS Mincho" w:hAnsi="Consolas" w:cs="Arial"/>
      <w:sz w:val="21"/>
      <w:szCs w:val="21"/>
      <w:lang w:eastAsia="en-GB"/>
    </w:rPr>
  </w:style>
  <w:style w:type="character" w:customStyle="1" w:styleId="PlainTextChar">
    <w:name w:val="Plain Text Char"/>
    <w:basedOn w:val="DefaultParagraphFont"/>
    <w:link w:val="PlainText"/>
    <w:rPr>
      <w:rFonts w:ascii="Consolas" w:eastAsia="MS Mincho" w:hAnsi="Consolas" w:cs="Arial"/>
      <w:sz w:val="21"/>
      <w:szCs w:val="21"/>
      <w:lang w:val="en-GB" w:eastAsia="en-GB"/>
    </w:rPr>
  </w:style>
  <w:style w:type="paragraph" w:styleId="BodyText">
    <w:name w:val="Body Text"/>
    <w:basedOn w:val="Normal"/>
    <w:link w:val="BodyTextChar"/>
    <w:rPr>
      <w:rFonts w:ascii="Times New Roman" w:eastAsia="MS Mincho" w:hAnsi="Times New Roman" w:cs="Times New Roman"/>
      <w:sz w:val="24"/>
      <w:szCs w:val="24"/>
      <w:lang w:eastAsia="en-GB"/>
    </w:rPr>
  </w:style>
  <w:style w:type="character" w:customStyle="1" w:styleId="BodyTextChar">
    <w:name w:val="Body Text Char"/>
    <w:basedOn w:val="DefaultParagraphFont"/>
    <w:link w:val="BodyText"/>
    <w:rPr>
      <w:rFonts w:ascii="Times New Roman" w:eastAsia="MS Mincho" w:hAnsi="Times New Roman" w:cs="Times New Roman"/>
      <w:sz w:val="24"/>
      <w:szCs w:val="24"/>
      <w:lang w:val="en-GB" w:eastAsia="en-GB"/>
    </w:rPr>
  </w:style>
  <w:style w:type="paragraph" w:styleId="BodyText2">
    <w:name w:val="Body Text 2"/>
    <w:basedOn w:val="Normal"/>
    <w:link w:val="BodyText2Char"/>
    <w:pPr>
      <w:spacing w:after="120"/>
    </w:pPr>
    <w:rPr>
      <w:rFonts w:ascii="Calibri" w:eastAsia="Calibri" w:hAnsi="Calibri" w:cs="Arial"/>
      <w:lang w:eastAsia="en-GB"/>
    </w:rPr>
  </w:style>
  <w:style w:type="character" w:customStyle="1" w:styleId="BodyText2Char">
    <w:name w:val="Body Text 2 Char"/>
    <w:basedOn w:val="DefaultParagraphFont"/>
    <w:link w:val="BodyText2"/>
    <w:rPr>
      <w:rFonts w:ascii="Calibri" w:eastAsia="Calibri" w:hAnsi="Calibri" w:cs="Arial"/>
      <w:lang w:val="en-GB" w:eastAsia="en-GB"/>
    </w:rPr>
  </w:style>
  <w:style w:type="character" w:customStyle="1" w:styleId="ListParagraphChar">
    <w:name w:val="List Paragraph Char"/>
    <w:aliases w:val="1st elvel bullet green Char,Numbered Para 1 Char,Dot pt Char,No Spacing1 Char,List Paragraph Char Char Char Char,Indicator Text Char,Bullet 1 Char,List Paragraph1 Char,Bullet Points Char,MAIN CONTENT Char,List Paragraph12 Char,H Char"/>
    <w:link w:val="ListParagraph"/>
    <w:uiPriority w:val="34"/>
    <w:qFormat/>
  </w:style>
  <w:style w:type="paragraph" w:customStyle="1" w:styleId="foonote">
    <w:name w:val="foonote"/>
    <w:basedOn w:val="FootnoteText"/>
    <w:link w:val="foonoteChar"/>
    <w:pPr>
      <w:spacing w:after="0" w:line="259" w:lineRule="auto"/>
      <w:ind w:left="0" w:firstLine="0"/>
      <w:contextualSpacing/>
      <w:jc w:val="left"/>
    </w:pPr>
    <w:rPr>
      <w:rFonts w:ascii="EC Square Sans Pro" w:eastAsia="Verdana" w:hAnsi="EC Square Sans Pro" w:cs="Open Sans Condensed"/>
      <w:color w:val="000000"/>
      <w:sz w:val="16"/>
      <w:szCs w:val="16"/>
      <w:lang w:eastAsia="en-GB"/>
    </w:rPr>
  </w:style>
  <w:style w:type="character" w:customStyle="1" w:styleId="foonoteChar">
    <w:name w:val="foonote Char"/>
    <w:link w:val="foonote"/>
    <w:rPr>
      <w:rFonts w:ascii="EC Square Sans Pro" w:eastAsia="Verdana" w:hAnsi="EC Square Sans Pro" w:cs="Open Sans Condensed"/>
      <w:color w:val="000000"/>
      <w:sz w:val="16"/>
      <w:szCs w:val="16"/>
      <w:lang w:val="en-GB" w:eastAsia="en-GB"/>
    </w:rPr>
  </w:style>
  <w:style w:type="paragraph" w:customStyle="1" w:styleId="Bullet-1">
    <w:name w:val="Bullet-1"/>
    <w:basedOn w:val="Normal"/>
    <w:link w:val="Bullet-1Car"/>
    <w:uiPriority w:val="1"/>
    <w:qFormat/>
    <w:pPr>
      <w:numPr>
        <w:numId w:val="1"/>
      </w:numPr>
      <w:spacing w:after="120" w:line="280" w:lineRule="exact"/>
      <w:ind w:left="0" w:firstLine="0"/>
      <w:jc w:val="both"/>
    </w:pPr>
    <w:rPr>
      <w:rFonts w:ascii="EC Square Sans Pro" w:eastAsia="Verdana" w:hAnsi="EC Square Sans Pro" w:cs="Times New Roman"/>
      <w:lang w:eastAsia="en-GB"/>
    </w:rPr>
  </w:style>
  <w:style w:type="character" w:customStyle="1" w:styleId="Bullet-1Car">
    <w:name w:val="Bullet-1 Car"/>
    <w:link w:val="Bullet-1"/>
    <w:uiPriority w:val="1"/>
    <w:rPr>
      <w:rFonts w:ascii="EC Square Sans Pro" w:eastAsia="Verdana" w:hAnsi="EC Square Sans Pro" w:cs="Times New Roman"/>
      <w:lang w:val="en-GB" w:eastAsia="en-GB"/>
    </w:rPr>
  </w:style>
  <w:style w:type="paragraph" w:customStyle="1" w:styleId="FooterLandscape">
    <w:name w:val="FooterLandscape"/>
    <w:basedOn w:val="Normal"/>
    <w:pPr>
      <w:tabs>
        <w:tab w:val="center" w:pos="7285"/>
        <w:tab w:val="center" w:pos="10913"/>
        <w:tab w:val="right" w:pos="15137"/>
      </w:tabs>
      <w:spacing w:before="360" w:after="0"/>
      <w:ind w:left="-567" w:right="-567"/>
    </w:pPr>
    <w:rPr>
      <w:rFonts w:ascii="Times New Roman" w:eastAsia="MS Mincho" w:hAnsi="Times New Roman" w:cs="Times New Roman"/>
      <w:sz w:val="24"/>
      <w:szCs w:val="24"/>
      <w:lang w:eastAsia="en-GB"/>
    </w:rPr>
  </w:style>
  <w:style w:type="paragraph" w:customStyle="1" w:styleId="HeaderLandscape">
    <w:name w:val="HeaderLandscape"/>
    <w:basedOn w:val="Normal"/>
    <w:pPr>
      <w:tabs>
        <w:tab w:val="center" w:pos="7285"/>
        <w:tab w:val="right" w:pos="14003"/>
      </w:tabs>
      <w:spacing w:after="120"/>
      <w:jc w:val="both"/>
    </w:pPr>
    <w:rPr>
      <w:rFonts w:ascii="Times New Roman" w:eastAsia="MS Mincho" w:hAnsi="Times New Roman" w:cs="Times New Roman"/>
      <w:sz w:val="24"/>
      <w:szCs w:val="24"/>
      <w:lang w:eastAsia="en-GB"/>
    </w:rPr>
  </w:style>
  <w:style w:type="character" w:customStyle="1" w:styleId="Marker2">
    <w:name w:val="Marker2"/>
    <w:rPr>
      <w:color w:val="FF0000"/>
      <w:shd w:val="clear" w:color="auto" w:fill="auto"/>
    </w:rPr>
  </w:style>
  <w:style w:type="paragraph" w:customStyle="1" w:styleId="Confidentialit">
    <w:name w:val="Confidentialité"/>
    <w:basedOn w:val="Normal"/>
    <w:next w:val="TypedudocumentPagedecouverture"/>
    <w:pPr>
      <w:spacing w:before="240" w:after="240"/>
      <w:ind w:left="5103"/>
    </w:pPr>
    <w:rPr>
      <w:rFonts w:ascii="Times New Roman" w:eastAsia="Calibri" w:hAnsi="Times New Roman" w:cs="Times New Roman"/>
      <w:i/>
      <w:iCs/>
      <w:sz w:val="32"/>
      <w:szCs w:val="32"/>
      <w:lang w:eastAsia="en-GB"/>
    </w:rPr>
  </w:style>
  <w:style w:type="paragraph" w:customStyle="1" w:styleId="Emission">
    <w:name w:val="Emission"/>
    <w:basedOn w:val="Normal"/>
    <w:next w:val="Rfrenceinstitutionnelle"/>
    <w:pPr>
      <w:spacing w:after="0"/>
      <w:ind w:left="5103"/>
    </w:pPr>
    <w:rPr>
      <w:rFonts w:ascii="Times New Roman" w:eastAsia="Calibri" w:hAnsi="Times New Roman" w:cs="Times New Roman"/>
      <w:sz w:val="24"/>
      <w:szCs w:val="24"/>
      <w:lang w:eastAsia="en-GB"/>
    </w:rPr>
  </w:style>
  <w:style w:type="paragraph" w:customStyle="1" w:styleId="Nomdelinstitution">
    <w:name w:val="Nom de l'institution"/>
    <w:basedOn w:val="Normal"/>
    <w:next w:val="Emission"/>
    <w:pPr>
      <w:spacing w:after="0"/>
    </w:pPr>
    <w:rPr>
      <w:rFonts w:ascii="Arial" w:eastAsia="Calibri" w:hAnsi="Arial" w:cs="Arial"/>
      <w:sz w:val="24"/>
      <w:szCs w:val="24"/>
      <w:lang w:eastAsia="en-GB"/>
    </w:rPr>
  </w:style>
  <w:style w:type="paragraph" w:customStyle="1" w:styleId="Rfrenceinstitutionnelle">
    <w:name w:val="Référence institutionnelle"/>
    <w:basedOn w:val="Normal"/>
    <w:next w:val="Confidentialit"/>
    <w:pPr>
      <w:spacing w:after="240"/>
      <w:ind w:left="5103"/>
    </w:pPr>
    <w:rPr>
      <w:rFonts w:ascii="Times New Roman" w:eastAsia="Calibri" w:hAnsi="Times New Roman" w:cs="Times New Roman"/>
      <w:sz w:val="24"/>
      <w:szCs w:val="24"/>
      <w:lang w:eastAsia="en-GB"/>
    </w:rPr>
  </w:style>
  <w:style w:type="paragraph" w:customStyle="1" w:styleId="TitreobjetPagedecouverture">
    <w:name w:val="Titre objet (Page de couverture)"/>
    <w:basedOn w:val="Normal"/>
    <w:next w:val="Normal"/>
    <w:pPr>
      <w:spacing w:before="360" w:after="360"/>
      <w:jc w:val="center"/>
    </w:pPr>
    <w:rPr>
      <w:rFonts w:ascii="Times New Roman" w:eastAsia="Calibri" w:hAnsi="Times New Roman" w:cs="Times New Roman"/>
      <w:b/>
      <w:bCs/>
      <w:sz w:val="24"/>
      <w:szCs w:val="24"/>
      <w:lang w:eastAsia="en-GB"/>
    </w:rPr>
  </w:style>
  <w:style w:type="paragraph" w:customStyle="1" w:styleId="TypedudocumentPagedecouverture">
    <w:name w:val="Type du document (Page de couverture)"/>
    <w:basedOn w:val="Normal"/>
    <w:next w:val="TitreobjetPagedecouverture"/>
    <w:pPr>
      <w:spacing w:before="360" w:after="0"/>
      <w:jc w:val="center"/>
    </w:pPr>
    <w:rPr>
      <w:rFonts w:ascii="Times New Roman" w:eastAsia="Calibri" w:hAnsi="Times New Roman" w:cs="Times New Roman"/>
      <w:b/>
      <w:bCs/>
      <w:sz w:val="24"/>
      <w:szCs w:val="24"/>
      <w:lang w:eastAsia="en-GB"/>
    </w:rPr>
  </w:style>
  <w:style w:type="character" w:customStyle="1" w:styleId="EndnoteTextChar">
    <w:name w:val="Endnote Text Char"/>
    <w:rPr>
      <w:sz w:val="20"/>
    </w:rPr>
  </w:style>
  <w:style w:type="character" w:customStyle="1" w:styleId="UnresolvedMention1">
    <w:name w:val="Unresolved Mention1"/>
    <w:rPr>
      <w:color w:val="605E5C"/>
      <w:shd w:val="clear" w:color="auto" w:fill="E1DFDD"/>
    </w:rPr>
  </w:style>
  <w:style w:type="paragraph" w:styleId="Index3">
    <w:name w:val="index 3"/>
    <w:basedOn w:val="Normal"/>
    <w:next w:val="Normal"/>
    <w:autoRedefine/>
    <w:pPr>
      <w:spacing w:after="240" w:line="240" w:lineRule="auto"/>
      <w:ind w:left="720" w:hanging="240"/>
      <w:jc w:val="both"/>
    </w:pPr>
    <w:rPr>
      <w:rFonts w:ascii="Times New Roman" w:eastAsia="Times New Roman" w:hAnsi="Times New Roman" w:cs="Times New Roman"/>
      <w:sz w:val="24"/>
      <w:szCs w:val="20"/>
      <w:lang w:eastAsia="en-GB"/>
    </w:rPr>
  </w:style>
  <w:style w:type="character" w:customStyle="1" w:styleId="Mention1">
    <w:name w:val="Mention1"/>
    <w:rPr>
      <w:color w:val="2B579A"/>
      <w:shd w:val="clear" w:color="auto" w:fill="E6E6E6"/>
    </w:rPr>
  </w:style>
  <w:style w:type="paragraph" w:customStyle="1" w:styleId="Bullet-1noSpace">
    <w:name w:val="Bullet-1_no_Space"/>
    <w:basedOn w:val="Bullet-1"/>
    <w:link w:val="Bullet-1noSpaceCar"/>
    <w:qFormat/>
    <w:pPr>
      <w:ind w:left="709" w:hanging="357"/>
      <w:contextualSpacing/>
    </w:pPr>
    <w:rPr>
      <w:iCs/>
      <w:szCs w:val="20"/>
    </w:rPr>
  </w:style>
  <w:style w:type="character" w:customStyle="1" w:styleId="Bullet-1noSpaceCar">
    <w:name w:val="Bullet-1_no_Space Car"/>
    <w:link w:val="Bullet-1noSpace"/>
    <w:rPr>
      <w:rFonts w:ascii="EC Square Sans Pro" w:eastAsia="Verdana" w:hAnsi="EC Square Sans Pro" w:cs="Times New Roman"/>
      <w:iCs/>
      <w:szCs w:val="20"/>
      <w:lang w:val="en-GB" w:eastAsia="en-G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SUPERS,Odwołanie przypisu,Times 10 Point,Exposant 3 Point,Footnote symbol,Footnote reference number,number,Footnote Reference Superscript,stylish,Знак сноски-FN,Ciae niinee-FN,Знак сноски 1,(Footnote Reference), Exposant 3 Point"/>
    <w:link w:val="CharCharChar"/>
    <w:qFormat/>
    <w:rPr>
      <w:rFonts w:ascii="Times New Roman" w:eastAsia="Times New Roman" w:hAnsi="Times New Roman" w:cs="Times New Roman"/>
      <w:sz w:val="24"/>
      <w:szCs w:val="20"/>
      <w:vertAlign w:val="superscript"/>
      <w:lang w:val="en-GB"/>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pPr>
      <w:spacing w:after="0" w:line="240" w:lineRule="auto"/>
    </w:pPr>
    <w:rPr>
      <w:rFonts w:ascii="Times New Roman" w:eastAsia="Times New Roman" w:hAnsi="Times New Roman" w:cs="Times New Roman"/>
      <w:sz w:val="4"/>
      <w:szCs w:val="20"/>
      <w:lang w:val="en-GB"/>
    </w:rPr>
  </w:style>
  <w:style w:type="paragraph" w:customStyle="1" w:styleId="AnnexTitle">
    <w:name w:val="AnnexTitle"/>
    <w:basedOn w:val="Normal"/>
    <w:next w:val="Normal"/>
    <w:uiPriority w:val="45"/>
    <w:qFormat/>
    <w:pPr>
      <w:pageBreakBefore/>
      <w:numPr>
        <w:numId w:val="19"/>
      </w:numPr>
      <w:tabs>
        <w:tab w:val="clear" w:pos="2268"/>
      </w:tabs>
      <w:spacing w:after="480" w:line="240" w:lineRule="auto"/>
      <w:ind w:left="0" w:firstLine="0"/>
      <w:jc w:val="both"/>
      <w:outlineLvl w:val="0"/>
    </w:pPr>
    <w:rPr>
      <w:rFonts w:ascii="Times New Roman" w:eastAsia="Times New Roman" w:hAnsi="Times New Roman" w:cs="Times New Roman"/>
      <w:b/>
      <w:sz w:val="32"/>
      <w:szCs w:val="20"/>
    </w:rPr>
  </w:style>
  <w:style w:type="paragraph" w:styleId="Caption">
    <w:name w:val="caption"/>
    <w:aliases w:val="Caption-tables,Tasks,Beschriftung Char2,Beschriftung Char1 Char1,Beschriftung Char Char Char1,Beschriftung Char1 Char Char,Beschriftung Char Char Char Char,Beschriftung Char Char1 Char,Beschriftung Char Char2,Beschriftung Char1 Cha...,Eco,Legend"/>
    <w:basedOn w:val="Normal"/>
    <w:next w:val="Normal"/>
    <w:qFormat/>
    <w:pPr>
      <w:spacing w:before="160" w:after="240" w:line="240" w:lineRule="auto"/>
      <w:jc w:val="both"/>
    </w:pPr>
    <w:rPr>
      <w:rFonts w:ascii="Times New Roman" w:eastAsia="Times New Roman" w:hAnsi="Times New Roman" w:cs="Times New Roman"/>
      <w:i/>
      <w:szCs w:val="20"/>
    </w:rPr>
  </w:style>
  <w:style w:type="paragraph" w:customStyle="1" w:styleId="ChapterTitle">
    <w:name w:val="ChapterTitle"/>
    <w:basedOn w:val="Normal"/>
    <w:next w:val="SectionTitle"/>
    <w:uiPriority w:val="43"/>
    <w:qFormat/>
    <w:pPr>
      <w:keepNext/>
      <w:spacing w:after="480" w:line="240" w:lineRule="auto"/>
      <w:jc w:val="center"/>
      <w:outlineLvl w:val="0"/>
    </w:pPr>
    <w:rPr>
      <w:rFonts w:ascii="Times New Roman" w:eastAsia="Times New Roman" w:hAnsi="Times New Roman" w:cs="Times New Roman"/>
      <w:b/>
      <w:sz w:val="32"/>
      <w:szCs w:val="20"/>
    </w:rPr>
  </w:style>
  <w:style w:type="paragraph" w:customStyle="1" w:styleId="ConfidentialUE">
    <w:name w:val="Confidential UE"/>
    <w:basedOn w:val="Normal"/>
    <w:semiHidden/>
    <w:pPr>
      <w:spacing w:after="0" w:line="240" w:lineRule="auto"/>
      <w:jc w:val="center"/>
    </w:pPr>
    <w:rPr>
      <w:rFonts w:ascii="Times New Roman" w:eastAsia="Times New Roman" w:hAnsi="Times New Roman" w:cs="Times New Roman"/>
      <w:b/>
      <w:caps/>
      <w:sz w:val="32"/>
      <w:szCs w:val="20"/>
      <w:bdr w:val="single" w:sz="18" w:space="0" w:color="auto"/>
    </w:rPr>
  </w:style>
  <w:style w:type="paragraph" w:customStyle="1" w:styleId="Contact">
    <w:name w:val="Contact"/>
    <w:basedOn w:val="Normal"/>
    <w:semiHidden/>
    <w:pPr>
      <w:spacing w:before="480" w:after="0" w:line="240" w:lineRule="auto"/>
      <w:ind w:left="567" w:hanging="567"/>
      <w:contextualSpacing/>
    </w:pPr>
    <w:rPr>
      <w:rFonts w:ascii="Times New Roman" w:eastAsia="Times New Roman" w:hAnsi="Times New Roman" w:cs="Times New Roman"/>
      <w:sz w:val="24"/>
      <w:szCs w:val="20"/>
    </w:rPr>
  </w:style>
  <w:style w:type="paragraph" w:customStyle="1" w:styleId="ContNum">
    <w:name w:val="ContNum"/>
    <w:basedOn w:val="Normal"/>
    <w:uiPriority w:val="20"/>
    <w:qFormat/>
    <w:pPr>
      <w:numPr>
        <w:numId w:val="18"/>
      </w:numPr>
      <w:tabs>
        <w:tab w:val="clear" w:pos="476"/>
      </w:tabs>
      <w:spacing w:after="240" w:line="240" w:lineRule="auto"/>
      <w:ind w:left="0" w:firstLine="0"/>
      <w:jc w:val="both"/>
    </w:pPr>
    <w:rPr>
      <w:rFonts w:ascii="Times New Roman" w:eastAsia="Times New Roman" w:hAnsi="Times New Roman" w:cs="Times New Roman"/>
      <w:sz w:val="24"/>
      <w:szCs w:val="20"/>
    </w:rPr>
  </w:style>
  <w:style w:type="paragraph" w:customStyle="1" w:styleId="ContNumLevel2">
    <w:name w:val="ContNum (Level 2)"/>
    <w:basedOn w:val="Normal"/>
    <w:uiPriority w:val="20"/>
    <w:pPr>
      <w:numPr>
        <w:ilvl w:val="1"/>
        <w:numId w:val="18"/>
      </w:numPr>
      <w:tabs>
        <w:tab w:val="clear" w:pos="952"/>
      </w:tabs>
      <w:spacing w:after="240" w:line="240" w:lineRule="auto"/>
      <w:ind w:left="0" w:firstLine="0"/>
      <w:jc w:val="both"/>
    </w:pPr>
    <w:rPr>
      <w:rFonts w:ascii="Times New Roman" w:eastAsia="Times New Roman" w:hAnsi="Times New Roman" w:cs="Times New Roman"/>
      <w:sz w:val="24"/>
      <w:szCs w:val="20"/>
    </w:rPr>
  </w:style>
  <w:style w:type="paragraph" w:customStyle="1" w:styleId="ContNumLevel3">
    <w:name w:val="ContNum (Level 3)"/>
    <w:basedOn w:val="Normal"/>
    <w:uiPriority w:val="20"/>
    <w:pPr>
      <w:numPr>
        <w:ilvl w:val="2"/>
        <w:numId w:val="18"/>
      </w:numPr>
      <w:tabs>
        <w:tab w:val="clear" w:pos="1429"/>
      </w:tabs>
      <w:spacing w:after="240" w:line="240" w:lineRule="auto"/>
      <w:ind w:left="0" w:firstLine="0"/>
      <w:jc w:val="both"/>
    </w:pPr>
    <w:rPr>
      <w:rFonts w:ascii="Times New Roman" w:eastAsia="Times New Roman" w:hAnsi="Times New Roman" w:cs="Times New Roman"/>
      <w:sz w:val="24"/>
      <w:szCs w:val="20"/>
    </w:rPr>
  </w:style>
  <w:style w:type="paragraph" w:styleId="Date">
    <w:name w:val="Date"/>
    <w:basedOn w:val="Normal"/>
    <w:next w:val="References"/>
    <w:link w:val="DateChar"/>
    <w:semiHidden/>
    <w:pPr>
      <w:spacing w:after="0" w:line="240" w:lineRule="auto"/>
      <w:ind w:left="5102" w:right="-567"/>
    </w:pPr>
    <w:rPr>
      <w:rFonts w:ascii="Times New Roman" w:eastAsia="Times New Roman" w:hAnsi="Times New Roman" w:cs="Times New Roman"/>
      <w:sz w:val="24"/>
      <w:szCs w:val="20"/>
    </w:rPr>
  </w:style>
  <w:style w:type="character" w:customStyle="1" w:styleId="DateChar">
    <w:name w:val="Date Char"/>
    <w:basedOn w:val="DefaultParagraphFont"/>
    <w:link w:val="Date"/>
    <w:semiHidden/>
    <w:rPr>
      <w:rFonts w:ascii="Times New Roman" w:eastAsia="Times New Roman" w:hAnsi="Times New Roman" w:cs="Times New Roman"/>
      <w:sz w:val="24"/>
      <w:szCs w:val="20"/>
      <w:lang w:val="en-GB"/>
    </w:rPr>
  </w:style>
  <w:style w:type="paragraph" w:customStyle="1" w:styleId="Designator">
    <w:name w:val="Designator"/>
    <w:basedOn w:val="Normal"/>
    <w:semiHidden/>
    <w:pPr>
      <w:spacing w:after="0" w:line="240" w:lineRule="auto"/>
      <w:jc w:val="center"/>
    </w:pPr>
    <w:rPr>
      <w:rFonts w:ascii="Times New Roman" w:eastAsia="Times New Roman" w:hAnsi="Times New Roman" w:cs="Times New Roman"/>
      <w:b/>
      <w:caps/>
      <w:sz w:val="32"/>
      <w:szCs w:val="20"/>
    </w:rPr>
  </w:style>
  <w:style w:type="paragraph" w:customStyle="1" w:styleId="DoubSign">
    <w:name w:val="DoubSign"/>
    <w:basedOn w:val="Normal"/>
    <w:semiHidden/>
    <w:pPr>
      <w:spacing w:before="1200" w:after="0" w:line="240" w:lineRule="auto"/>
    </w:pPr>
    <w:rPr>
      <w:rFonts w:ascii="Times New Roman" w:eastAsia="Times New Roman" w:hAnsi="Times New Roman" w:cs="Times New Roman"/>
      <w:sz w:val="24"/>
      <w:szCs w:val="20"/>
    </w:rPr>
  </w:style>
  <w:style w:type="paragraph" w:customStyle="1" w:styleId="EmptyParagraph">
    <w:name w:val="Empty Paragraph"/>
    <w:basedOn w:val="Normal"/>
    <w:next w:val="Normal"/>
    <w:semiHidden/>
    <w:pPr>
      <w:spacing w:before="240" w:after="240" w:line="240" w:lineRule="auto"/>
      <w:jc w:val="both"/>
    </w:pPr>
    <w:rPr>
      <w:rFonts w:ascii="Times New Roman" w:eastAsia="Times New Roman" w:hAnsi="Times New Roman" w:cs="Times New Roman"/>
      <w:sz w:val="24"/>
      <w:szCs w:val="20"/>
    </w:rPr>
  </w:style>
  <w:style w:type="paragraph" w:styleId="EndnoteText">
    <w:name w:val="endnote text"/>
    <w:basedOn w:val="Normal"/>
    <w:link w:val="EndnoteTextChar1"/>
    <w:semiHidden/>
    <w:pPr>
      <w:spacing w:after="120" w:line="240" w:lineRule="auto"/>
      <w:ind w:left="357" w:hanging="357"/>
      <w:jc w:val="both"/>
    </w:pPr>
    <w:rPr>
      <w:rFonts w:ascii="Times New Roman" w:eastAsia="Times New Roman" w:hAnsi="Times New Roman" w:cs="Times New Roman"/>
      <w:sz w:val="20"/>
      <w:szCs w:val="20"/>
    </w:rPr>
  </w:style>
  <w:style w:type="character" w:customStyle="1" w:styleId="EndnoteTextChar1">
    <w:name w:val="Endnote Text Char1"/>
    <w:basedOn w:val="DefaultParagraphFont"/>
    <w:link w:val="EndnoteText"/>
    <w:semiHidden/>
    <w:rPr>
      <w:rFonts w:ascii="Times New Roman" w:eastAsia="Times New Roman" w:hAnsi="Times New Roman" w:cs="Times New Roman"/>
      <w:sz w:val="20"/>
      <w:szCs w:val="20"/>
      <w:lang w:val="en-GB"/>
    </w:rPr>
  </w:style>
  <w:style w:type="paragraph" w:customStyle="1" w:styleId="FigureBody">
    <w:name w:val="Figure Body"/>
    <w:basedOn w:val="Normal"/>
    <w:next w:val="FigureSource"/>
    <w:uiPriority w:val="99"/>
    <w:semiHidden/>
    <w:unhideWhenUsed/>
    <w:pPr>
      <w:keepNext/>
      <w:spacing w:after="40" w:line="240" w:lineRule="auto"/>
      <w:jc w:val="both"/>
    </w:pPr>
    <w:rPr>
      <w:rFonts w:ascii="Times New Roman" w:eastAsia="Times New Roman" w:hAnsi="Times New Roman" w:cs="Times New Roman"/>
      <w:sz w:val="24"/>
      <w:szCs w:val="20"/>
    </w:r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pPr>
      <w:spacing w:after="240" w:line="240" w:lineRule="auto"/>
      <w:jc w:val="both"/>
    </w:pPr>
    <w:rPr>
      <w:rFonts w:ascii="Times New Roman" w:eastAsia="Times New Roman" w:hAnsi="Times New Roman" w:cs="Times New Roman"/>
      <w:sz w:val="20"/>
      <w:szCs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line="240" w:lineRule="auto"/>
      <w:jc w:val="both"/>
    </w:pPr>
    <w:rPr>
      <w:rFonts w:ascii="Times New Roman" w:eastAsia="Times New Roman" w:hAnsi="Times New Roman" w:cs="Times New Roman"/>
      <w:b/>
      <w:i/>
      <w:sz w:val="24"/>
      <w:szCs w:val="20"/>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customStyle="1" w:styleId="FooterLine">
    <w:name w:val="Footer Line"/>
    <w:basedOn w:val="Footer"/>
    <w:next w:val="Footer"/>
    <w:semiHidden/>
    <w:pPr>
      <w:tabs>
        <w:tab w:val="clear" w:pos="4513"/>
        <w:tab w:val="clear" w:pos="9026"/>
        <w:tab w:val="right" w:pos="8646"/>
      </w:tabs>
      <w:spacing w:before="120" w:line="264" w:lineRule="auto"/>
      <w:jc w:val="both"/>
    </w:pPr>
    <w:rPr>
      <w:rFonts w:ascii="Times New Roman" w:eastAsia="Times New Roman" w:hAnsi="Times New Roman" w:cs="Times New Roman"/>
      <w:sz w:val="16"/>
      <w:szCs w:val="20"/>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RSK-FT,o"/>
    <w:basedOn w:val="Normal"/>
    <w:uiPriority w:val="99"/>
    <w:qFormat/>
    <w:pPr>
      <w:spacing w:after="120" w:line="240" w:lineRule="auto"/>
      <w:ind w:left="357" w:hanging="357"/>
      <w:jc w:val="both"/>
    </w:pPr>
    <w:rPr>
      <w:rFonts w:ascii="Times New Roman" w:eastAsia="Times New Roman" w:hAnsi="Times New Roman" w:cs="Times New Roman"/>
      <w:sz w:val="20"/>
      <w:szCs w:val="20"/>
    </w:rPr>
  </w:style>
  <w:style w:type="character" w:customStyle="1" w:styleId="FootnoteTextChar1">
    <w:name w:val="Footnote Text Char1"/>
    <w:aliases w:val="Fußnotentextf Char,Fußnotentextr Char,stile 1 Char,Footnote Char1,Footnote1 Char,Footnote2 Char,Footnote3 Char,Footnote4 Char,Footnote5 Char,Footnote6 Char,Footnote7 Char,Footnote8 Char,Footnote9 Char,Footnote10 Char,Footnote11 Char"/>
    <w:basedOn w:val="DefaultParagraphFont"/>
    <w:uiPriority w:val="99"/>
    <w:rPr>
      <w:rFonts w:ascii="Times New Roman" w:eastAsia="Times New Roman" w:hAnsi="Times New Roman" w:cs="Times New Roman"/>
      <w:sz w:val="20"/>
      <w:szCs w:val="20"/>
      <w:lang w:val="en-GB"/>
    </w:rPr>
  </w:style>
  <w:style w:type="paragraph" w:customStyle="1" w:styleId="HistoryTable">
    <w:name w:val="HistoryTable"/>
    <w:basedOn w:val="Normal"/>
    <w:semiHidden/>
    <w:pPr>
      <w:spacing w:before="60" w:after="60" w:line="240" w:lineRule="auto"/>
    </w:pPr>
    <w:rPr>
      <w:rFonts w:ascii="Times New Roman" w:eastAsia="Times New Roman" w:hAnsi="Times New Roman" w:cs="Times New Roman"/>
      <w:sz w:val="20"/>
      <w:szCs w:val="20"/>
    </w:rPr>
  </w:style>
  <w:style w:type="paragraph" w:customStyle="1" w:styleId="HistTableHeading">
    <w:name w:val="HistTableHeading"/>
    <w:basedOn w:val="Normal"/>
    <w:next w:val="HistoryTable"/>
    <w:semiHidden/>
    <w:pPr>
      <w:spacing w:before="240" w:after="240" w:line="240" w:lineRule="auto"/>
      <w:jc w:val="center"/>
    </w:pPr>
    <w:rPr>
      <w:rFonts w:ascii="Times New Roman Bold" w:eastAsia="Times New Roman" w:hAnsi="Times New Roman Bold" w:cs="Times New Roman"/>
      <w:b/>
      <w:caps/>
      <w:sz w:val="24"/>
      <w:szCs w:val="20"/>
    </w:rPr>
  </w:style>
  <w:style w:type="paragraph" w:customStyle="1" w:styleId="LegalNumPar">
    <w:name w:val="LegalNumPar"/>
    <w:basedOn w:val="Normal"/>
    <w:uiPriority w:val="20"/>
    <w:qFormat/>
    <w:pPr>
      <w:numPr>
        <w:numId w:val="17"/>
      </w:numPr>
      <w:tabs>
        <w:tab w:val="clear" w:pos="476"/>
      </w:tabs>
      <w:spacing w:after="240" w:line="360" w:lineRule="auto"/>
      <w:ind w:left="0" w:firstLine="0"/>
      <w:jc w:val="both"/>
    </w:pPr>
    <w:rPr>
      <w:rFonts w:ascii="Times New Roman" w:eastAsia="Times New Roman" w:hAnsi="Times New Roman" w:cs="Times New Roman"/>
      <w:sz w:val="24"/>
      <w:szCs w:val="20"/>
    </w:rPr>
  </w:style>
  <w:style w:type="paragraph" w:customStyle="1" w:styleId="LegalNumPar2">
    <w:name w:val="LegalNumPar2"/>
    <w:basedOn w:val="Normal"/>
    <w:uiPriority w:val="20"/>
    <w:pPr>
      <w:numPr>
        <w:ilvl w:val="1"/>
        <w:numId w:val="17"/>
      </w:numPr>
      <w:tabs>
        <w:tab w:val="clear" w:pos="952"/>
      </w:tabs>
      <w:spacing w:after="240" w:line="360" w:lineRule="auto"/>
      <w:ind w:left="0" w:firstLine="0"/>
      <w:jc w:val="both"/>
    </w:pPr>
    <w:rPr>
      <w:rFonts w:ascii="Times New Roman" w:eastAsia="Times New Roman" w:hAnsi="Times New Roman" w:cs="Times New Roman"/>
      <w:sz w:val="24"/>
      <w:szCs w:val="20"/>
    </w:rPr>
  </w:style>
  <w:style w:type="paragraph" w:customStyle="1" w:styleId="LegalNumPar3">
    <w:name w:val="LegalNumPar3"/>
    <w:basedOn w:val="Normal"/>
    <w:uiPriority w:val="20"/>
    <w:pPr>
      <w:numPr>
        <w:ilvl w:val="2"/>
        <w:numId w:val="17"/>
      </w:numPr>
      <w:tabs>
        <w:tab w:val="clear" w:pos="1429"/>
      </w:tabs>
      <w:spacing w:after="240" w:line="360" w:lineRule="auto"/>
      <w:ind w:left="0" w:firstLine="0"/>
      <w:jc w:val="both"/>
    </w:pPr>
    <w:rPr>
      <w:rFonts w:ascii="Times New Roman" w:eastAsia="Times New Roman" w:hAnsi="Times New Roman" w:cs="Times New Roman"/>
      <w:sz w:val="24"/>
      <w:szCs w:val="20"/>
    </w:rPr>
  </w:style>
  <w:style w:type="paragraph" w:styleId="ListBullet">
    <w:name w:val="List Bullet"/>
    <w:basedOn w:val="Normal"/>
    <w:uiPriority w:val="35"/>
    <w:pPr>
      <w:numPr>
        <w:numId w:val="16"/>
      </w:numPr>
      <w:tabs>
        <w:tab w:val="clear" w:pos="283"/>
      </w:tabs>
      <w:spacing w:after="240" w:line="240" w:lineRule="auto"/>
      <w:ind w:left="0" w:firstLine="0"/>
      <w:jc w:val="both"/>
    </w:pPr>
    <w:rPr>
      <w:rFonts w:ascii="Times New Roman" w:eastAsia="Times New Roman" w:hAnsi="Times New Roman" w:cs="Times New Roman"/>
      <w:sz w:val="24"/>
      <w:szCs w:val="20"/>
    </w:rPr>
  </w:style>
  <w:style w:type="paragraph" w:customStyle="1" w:styleId="ListBulletLevel2">
    <w:name w:val="List Bullet (Level 2)"/>
    <w:basedOn w:val="Normal"/>
    <w:uiPriority w:val="35"/>
    <w:semiHidden/>
    <w:unhideWhenUsed/>
    <w:pPr>
      <w:numPr>
        <w:ilvl w:val="1"/>
        <w:numId w:val="16"/>
      </w:numPr>
      <w:tabs>
        <w:tab w:val="clear" w:pos="567"/>
      </w:tabs>
      <w:spacing w:after="240" w:line="240" w:lineRule="auto"/>
      <w:ind w:left="0" w:firstLine="0"/>
      <w:jc w:val="both"/>
    </w:pPr>
    <w:rPr>
      <w:rFonts w:ascii="Times New Roman" w:eastAsia="Times New Roman" w:hAnsi="Times New Roman" w:cs="Times New Roman"/>
      <w:sz w:val="24"/>
      <w:szCs w:val="20"/>
    </w:rPr>
  </w:style>
  <w:style w:type="paragraph" w:customStyle="1" w:styleId="ListBulletLevel3">
    <w:name w:val="List Bullet (Level 3)"/>
    <w:basedOn w:val="Normal"/>
    <w:uiPriority w:val="35"/>
    <w:semiHidden/>
    <w:unhideWhenUsed/>
    <w:pPr>
      <w:numPr>
        <w:ilvl w:val="2"/>
        <w:numId w:val="16"/>
      </w:numPr>
      <w:tabs>
        <w:tab w:val="clear" w:pos="850"/>
      </w:tabs>
      <w:spacing w:after="240" w:line="240" w:lineRule="auto"/>
      <w:ind w:left="0" w:firstLine="0"/>
      <w:jc w:val="both"/>
    </w:pPr>
    <w:rPr>
      <w:rFonts w:ascii="Times New Roman" w:eastAsia="Times New Roman" w:hAnsi="Times New Roman" w:cs="Times New Roman"/>
      <w:sz w:val="24"/>
      <w:szCs w:val="20"/>
    </w:rPr>
  </w:style>
  <w:style w:type="paragraph" w:customStyle="1" w:styleId="ListBulletLevel4">
    <w:name w:val="List Bullet (Level 4)"/>
    <w:basedOn w:val="Normal"/>
    <w:uiPriority w:val="35"/>
    <w:semiHidden/>
    <w:unhideWhenUsed/>
    <w:pPr>
      <w:numPr>
        <w:ilvl w:val="3"/>
        <w:numId w:val="16"/>
      </w:numPr>
      <w:tabs>
        <w:tab w:val="clear" w:pos="1134"/>
      </w:tabs>
      <w:spacing w:after="240" w:line="240" w:lineRule="auto"/>
      <w:ind w:left="0" w:firstLine="0"/>
      <w:jc w:val="both"/>
    </w:pPr>
    <w:rPr>
      <w:rFonts w:ascii="Times New Roman" w:eastAsia="Times New Roman" w:hAnsi="Times New Roman" w:cs="Times New Roman"/>
      <w:sz w:val="24"/>
      <w:szCs w:val="20"/>
    </w:rPr>
  </w:style>
  <w:style w:type="paragraph" w:customStyle="1" w:styleId="ListBullet1">
    <w:name w:val="List Bullet 1"/>
    <w:basedOn w:val="Text1"/>
    <w:uiPriority w:val="35"/>
    <w:pPr>
      <w:numPr>
        <w:numId w:val="15"/>
      </w:numPr>
      <w:tabs>
        <w:tab w:val="clear" w:pos="765"/>
      </w:tabs>
      <w:ind w:left="0" w:firstLine="0"/>
    </w:pPr>
  </w:style>
  <w:style w:type="paragraph" w:customStyle="1" w:styleId="ListBullet1Level2">
    <w:name w:val="List Bullet 1 (Level 2)"/>
    <w:basedOn w:val="Text1"/>
    <w:uiPriority w:val="35"/>
    <w:semiHidden/>
    <w:unhideWhenUsed/>
    <w:pPr>
      <w:numPr>
        <w:ilvl w:val="1"/>
        <w:numId w:val="15"/>
      </w:numPr>
      <w:tabs>
        <w:tab w:val="clear" w:pos="1049"/>
      </w:tabs>
      <w:ind w:left="0" w:firstLine="0"/>
    </w:pPr>
  </w:style>
  <w:style w:type="paragraph" w:customStyle="1" w:styleId="ListBullet1Level3">
    <w:name w:val="List Bullet 1 (Level 3)"/>
    <w:basedOn w:val="Text1"/>
    <w:uiPriority w:val="35"/>
    <w:semiHidden/>
    <w:unhideWhenUsed/>
    <w:pPr>
      <w:numPr>
        <w:ilvl w:val="2"/>
        <w:numId w:val="15"/>
      </w:numPr>
      <w:tabs>
        <w:tab w:val="clear" w:pos="1332"/>
      </w:tabs>
      <w:ind w:left="0" w:firstLine="0"/>
    </w:pPr>
  </w:style>
  <w:style w:type="paragraph" w:customStyle="1" w:styleId="ListBullet1Level4">
    <w:name w:val="List Bullet 1 (Level 4)"/>
    <w:basedOn w:val="Text1"/>
    <w:uiPriority w:val="35"/>
    <w:semiHidden/>
    <w:unhideWhenUsed/>
    <w:pPr>
      <w:numPr>
        <w:ilvl w:val="3"/>
        <w:numId w:val="15"/>
      </w:numPr>
      <w:tabs>
        <w:tab w:val="clear" w:pos="1616"/>
      </w:tabs>
      <w:ind w:left="0" w:firstLine="0"/>
    </w:pPr>
  </w:style>
  <w:style w:type="paragraph" w:styleId="ListBullet2">
    <w:name w:val="List Bullet 2"/>
    <w:basedOn w:val="Text2"/>
    <w:uiPriority w:val="35"/>
    <w:pPr>
      <w:numPr>
        <w:numId w:val="14"/>
      </w:numPr>
      <w:tabs>
        <w:tab w:val="clear" w:pos="1485"/>
      </w:tabs>
      <w:ind w:left="0" w:firstLine="0"/>
    </w:pPr>
  </w:style>
  <w:style w:type="paragraph" w:customStyle="1" w:styleId="ListBullet2Level2">
    <w:name w:val="List Bullet 2 (Level 2)"/>
    <w:basedOn w:val="Text2"/>
    <w:uiPriority w:val="35"/>
    <w:semiHidden/>
    <w:unhideWhenUsed/>
    <w:pPr>
      <w:numPr>
        <w:ilvl w:val="1"/>
        <w:numId w:val="14"/>
      </w:numPr>
      <w:tabs>
        <w:tab w:val="clear" w:pos="1769"/>
      </w:tabs>
      <w:ind w:left="0" w:firstLine="0"/>
    </w:pPr>
  </w:style>
  <w:style w:type="paragraph" w:customStyle="1" w:styleId="ListBullet2Level3">
    <w:name w:val="List Bullet 2 (Level 3)"/>
    <w:basedOn w:val="Text2"/>
    <w:uiPriority w:val="35"/>
    <w:semiHidden/>
    <w:unhideWhenUsed/>
    <w:pPr>
      <w:numPr>
        <w:ilvl w:val="2"/>
        <w:numId w:val="14"/>
      </w:numPr>
      <w:tabs>
        <w:tab w:val="clear" w:pos="2052"/>
      </w:tabs>
      <w:ind w:left="0" w:firstLine="0"/>
    </w:pPr>
  </w:style>
  <w:style w:type="paragraph" w:customStyle="1" w:styleId="ListBullet2Level4">
    <w:name w:val="List Bullet 2 (Level 4)"/>
    <w:basedOn w:val="Text2"/>
    <w:uiPriority w:val="35"/>
    <w:semiHidden/>
    <w:unhideWhenUsed/>
    <w:pPr>
      <w:numPr>
        <w:ilvl w:val="3"/>
        <w:numId w:val="14"/>
      </w:numPr>
      <w:tabs>
        <w:tab w:val="clear" w:pos="2336"/>
      </w:tabs>
      <w:ind w:left="0" w:firstLine="0"/>
    </w:pPr>
  </w:style>
  <w:style w:type="paragraph" w:styleId="ListBullet3">
    <w:name w:val="List Bullet 3"/>
    <w:basedOn w:val="Text3"/>
    <w:uiPriority w:val="35"/>
    <w:pPr>
      <w:numPr>
        <w:numId w:val="13"/>
      </w:numPr>
      <w:tabs>
        <w:tab w:val="clear" w:pos="1485"/>
      </w:tabs>
      <w:ind w:left="0" w:firstLine="0"/>
    </w:pPr>
  </w:style>
  <w:style w:type="paragraph" w:customStyle="1" w:styleId="ListBullet3Level2">
    <w:name w:val="List Bullet 3 (Level 2)"/>
    <w:basedOn w:val="Text3"/>
    <w:uiPriority w:val="35"/>
    <w:semiHidden/>
    <w:unhideWhenUsed/>
    <w:pPr>
      <w:numPr>
        <w:ilvl w:val="1"/>
        <w:numId w:val="13"/>
      </w:numPr>
      <w:tabs>
        <w:tab w:val="clear" w:pos="1769"/>
      </w:tabs>
      <w:ind w:left="0" w:firstLine="0"/>
    </w:pPr>
  </w:style>
  <w:style w:type="paragraph" w:customStyle="1" w:styleId="ListBullet3Level3">
    <w:name w:val="List Bullet 3 (Level 3)"/>
    <w:basedOn w:val="Text3"/>
    <w:uiPriority w:val="35"/>
    <w:semiHidden/>
    <w:unhideWhenUsed/>
    <w:pPr>
      <w:numPr>
        <w:ilvl w:val="2"/>
        <w:numId w:val="13"/>
      </w:numPr>
      <w:tabs>
        <w:tab w:val="clear" w:pos="2052"/>
      </w:tabs>
      <w:ind w:left="0" w:firstLine="0"/>
    </w:pPr>
  </w:style>
  <w:style w:type="paragraph" w:customStyle="1" w:styleId="ListBullet3Level4">
    <w:name w:val="List Bullet 3 (Level 4)"/>
    <w:basedOn w:val="Text3"/>
    <w:uiPriority w:val="35"/>
    <w:semiHidden/>
    <w:unhideWhenUsed/>
    <w:pPr>
      <w:numPr>
        <w:ilvl w:val="3"/>
        <w:numId w:val="13"/>
      </w:numPr>
      <w:tabs>
        <w:tab w:val="clear" w:pos="2336"/>
      </w:tabs>
      <w:ind w:left="0" w:firstLine="0"/>
    </w:pPr>
  </w:style>
  <w:style w:type="paragraph" w:styleId="ListBullet4">
    <w:name w:val="List Bullet 4"/>
    <w:basedOn w:val="Text4"/>
    <w:uiPriority w:val="35"/>
    <w:pPr>
      <w:numPr>
        <w:numId w:val="12"/>
      </w:numPr>
      <w:tabs>
        <w:tab w:val="clear" w:pos="1485"/>
      </w:tabs>
      <w:ind w:left="0" w:firstLine="0"/>
    </w:pPr>
  </w:style>
  <w:style w:type="paragraph" w:customStyle="1" w:styleId="ListBullet4Level2">
    <w:name w:val="List Bullet 4 (Level 2)"/>
    <w:basedOn w:val="Text4"/>
    <w:uiPriority w:val="35"/>
    <w:semiHidden/>
    <w:unhideWhenUsed/>
    <w:pPr>
      <w:numPr>
        <w:ilvl w:val="1"/>
        <w:numId w:val="12"/>
      </w:numPr>
      <w:tabs>
        <w:tab w:val="clear" w:pos="1769"/>
      </w:tabs>
      <w:ind w:left="0" w:firstLine="0"/>
    </w:pPr>
  </w:style>
  <w:style w:type="paragraph" w:customStyle="1" w:styleId="ListBullet4Level3">
    <w:name w:val="List Bullet 4 (Level 3)"/>
    <w:basedOn w:val="Text4"/>
    <w:uiPriority w:val="35"/>
    <w:semiHidden/>
    <w:unhideWhenUsed/>
    <w:pPr>
      <w:numPr>
        <w:ilvl w:val="2"/>
        <w:numId w:val="12"/>
      </w:numPr>
      <w:tabs>
        <w:tab w:val="clear" w:pos="2052"/>
      </w:tabs>
      <w:ind w:left="0" w:firstLine="0"/>
    </w:pPr>
  </w:style>
  <w:style w:type="paragraph" w:customStyle="1" w:styleId="ListBullet4Level4">
    <w:name w:val="List Bullet 4 (Level 4)"/>
    <w:basedOn w:val="Text4"/>
    <w:uiPriority w:val="35"/>
    <w:semiHidden/>
    <w:unhideWhenUsed/>
    <w:pPr>
      <w:numPr>
        <w:ilvl w:val="3"/>
        <w:numId w:val="12"/>
      </w:numPr>
      <w:tabs>
        <w:tab w:val="clear" w:pos="2336"/>
      </w:tabs>
      <w:ind w:left="0" w:firstLine="0"/>
    </w:pPr>
  </w:style>
  <w:style w:type="paragraph" w:customStyle="1" w:styleId="ListDash">
    <w:name w:val="List Dash"/>
    <w:basedOn w:val="Normal"/>
    <w:uiPriority w:val="35"/>
    <w:pPr>
      <w:numPr>
        <w:numId w:val="6"/>
      </w:numPr>
      <w:tabs>
        <w:tab w:val="clear" w:pos="283"/>
      </w:tabs>
      <w:spacing w:after="240" w:line="240" w:lineRule="auto"/>
      <w:ind w:left="0" w:firstLine="0"/>
      <w:jc w:val="both"/>
    </w:pPr>
    <w:rPr>
      <w:rFonts w:ascii="Times New Roman" w:eastAsia="Times New Roman" w:hAnsi="Times New Roman" w:cs="Times New Roman"/>
      <w:sz w:val="24"/>
      <w:szCs w:val="20"/>
    </w:rPr>
  </w:style>
  <w:style w:type="paragraph" w:customStyle="1" w:styleId="ListDashLevel2">
    <w:name w:val="List Dash (Level 2)"/>
    <w:basedOn w:val="Normal"/>
    <w:semiHidden/>
    <w:unhideWhenUsed/>
    <w:pPr>
      <w:numPr>
        <w:ilvl w:val="1"/>
        <w:numId w:val="6"/>
      </w:numPr>
      <w:tabs>
        <w:tab w:val="clear" w:pos="567"/>
      </w:tabs>
      <w:spacing w:after="240" w:line="240" w:lineRule="auto"/>
      <w:ind w:left="0" w:firstLine="0"/>
      <w:jc w:val="both"/>
    </w:pPr>
    <w:rPr>
      <w:rFonts w:ascii="Times New Roman" w:eastAsia="Times New Roman" w:hAnsi="Times New Roman" w:cs="Times New Roman"/>
      <w:sz w:val="24"/>
      <w:szCs w:val="20"/>
    </w:rPr>
  </w:style>
  <w:style w:type="paragraph" w:customStyle="1" w:styleId="ListDashLevel3">
    <w:name w:val="List Dash (Level 3)"/>
    <w:basedOn w:val="Normal"/>
    <w:semiHidden/>
    <w:unhideWhenUsed/>
    <w:pPr>
      <w:numPr>
        <w:ilvl w:val="2"/>
        <w:numId w:val="6"/>
      </w:numPr>
      <w:tabs>
        <w:tab w:val="clear" w:pos="850"/>
      </w:tabs>
      <w:spacing w:after="240" w:line="240" w:lineRule="auto"/>
      <w:ind w:left="0" w:firstLine="0"/>
      <w:jc w:val="both"/>
    </w:pPr>
    <w:rPr>
      <w:rFonts w:ascii="Times New Roman" w:eastAsia="Times New Roman" w:hAnsi="Times New Roman" w:cs="Times New Roman"/>
      <w:sz w:val="24"/>
      <w:szCs w:val="20"/>
    </w:rPr>
  </w:style>
  <w:style w:type="paragraph" w:customStyle="1" w:styleId="ListDashLevel4">
    <w:name w:val="List Dash (Level 4)"/>
    <w:basedOn w:val="Normal"/>
    <w:semiHidden/>
    <w:unhideWhenUsed/>
    <w:pPr>
      <w:numPr>
        <w:ilvl w:val="3"/>
        <w:numId w:val="6"/>
      </w:numPr>
      <w:tabs>
        <w:tab w:val="clear" w:pos="1134"/>
      </w:tabs>
      <w:spacing w:after="240" w:line="240" w:lineRule="auto"/>
      <w:ind w:left="0" w:firstLine="0"/>
      <w:jc w:val="both"/>
    </w:pPr>
    <w:rPr>
      <w:rFonts w:ascii="Times New Roman" w:eastAsia="Times New Roman" w:hAnsi="Times New Roman" w:cs="Times New Roman"/>
      <w:sz w:val="24"/>
      <w:szCs w:val="20"/>
    </w:rPr>
  </w:style>
  <w:style w:type="paragraph" w:customStyle="1" w:styleId="ListDash1">
    <w:name w:val="List Dash 1"/>
    <w:basedOn w:val="Text1"/>
    <w:uiPriority w:val="35"/>
    <w:pPr>
      <w:numPr>
        <w:numId w:val="5"/>
      </w:numPr>
      <w:tabs>
        <w:tab w:val="clear" w:pos="765"/>
      </w:tabs>
      <w:ind w:left="0" w:firstLine="0"/>
    </w:pPr>
  </w:style>
  <w:style w:type="paragraph" w:customStyle="1" w:styleId="ListDash1Level2">
    <w:name w:val="List Dash 1 (Level 2)"/>
    <w:basedOn w:val="Text1"/>
    <w:uiPriority w:val="35"/>
    <w:semiHidden/>
    <w:unhideWhenUsed/>
    <w:pPr>
      <w:numPr>
        <w:ilvl w:val="1"/>
        <w:numId w:val="5"/>
      </w:numPr>
      <w:tabs>
        <w:tab w:val="clear" w:pos="1049"/>
      </w:tabs>
      <w:ind w:left="0" w:firstLine="0"/>
    </w:pPr>
  </w:style>
  <w:style w:type="paragraph" w:customStyle="1" w:styleId="ListDash1Level3">
    <w:name w:val="List Dash 1 (Level 3)"/>
    <w:basedOn w:val="Text1"/>
    <w:uiPriority w:val="35"/>
    <w:semiHidden/>
    <w:unhideWhenUsed/>
    <w:pPr>
      <w:numPr>
        <w:ilvl w:val="2"/>
        <w:numId w:val="5"/>
      </w:numPr>
      <w:tabs>
        <w:tab w:val="clear" w:pos="1332"/>
      </w:tabs>
      <w:ind w:left="0" w:firstLine="0"/>
    </w:pPr>
  </w:style>
  <w:style w:type="paragraph" w:customStyle="1" w:styleId="ListDash1Level4">
    <w:name w:val="List Dash 1 (Level 4)"/>
    <w:basedOn w:val="Text1"/>
    <w:uiPriority w:val="35"/>
    <w:semiHidden/>
    <w:unhideWhenUsed/>
    <w:pPr>
      <w:numPr>
        <w:ilvl w:val="3"/>
        <w:numId w:val="5"/>
      </w:numPr>
      <w:tabs>
        <w:tab w:val="clear" w:pos="1616"/>
      </w:tabs>
      <w:ind w:left="0" w:firstLine="0"/>
    </w:pPr>
  </w:style>
  <w:style w:type="paragraph" w:customStyle="1" w:styleId="ListDash2">
    <w:name w:val="List Dash 2"/>
    <w:basedOn w:val="Text2"/>
    <w:uiPriority w:val="35"/>
    <w:pPr>
      <w:numPr>
        <w:numId w:val="4"/>
      </w:numPr>
      <w:tabs>
        <w:tab w:val="clear" w:pos="1485"/>
      </w:tabs>
      <w:ind w:left="0" w:firstLine="0"/>
    </w:pPr>
  </w:style>
  <w:style w:type="paragraph" w:customStyle="1" w:styleId="ListDash2Level2">
    <w:name w:val="List Dash 2 (Level 2)"/>
    <w:basedOn w:val="Text2"/>
    <w:uiPriority w:val="35"/>
    <w:semiHidden/>
    <w:unhideWhenUsed/>
    <w:pPr>
      <w:numPr>
        <w:ilvl w:val="1"/>
        <w:numId w:val="4"/>
      </w:numPr>
      <w:tabs>
        <w:tab w:val="clear" w:pos="1769"/>
      </w:tabs>
      <w:ind w:left="0" w:firstLine="0"/>
    </w:pPr>
  </w:style>
  <w:style w:type="paragraph" w:customStyle="1" w:styleId="ListDash2Level3">
    <w:name w:val="List Dash 2 (Level 3)"/>
    <w:basedOn w:val="Text2"/>
    <w:uiPriority w:val="35"/>
    <w:semiHidden/>
    <w:unhideWhenUsed/>
    <w:pPr>
      <w:numPr>
        <w:ilvl w:val="2"/>
        <w:numId w:val="4"/>
      </w:numPr>
      <w:tabs>
        <w:tab w:val="clear" w:pos="2052"/>
      </w:tabs>
      <w:ind w:left="0" w:firstLine="0"/>
    </w:pPr>
  </w:style>
  <w:style w:type="paragraph" w:customStyle="1" w:styleId="ListDash2Level4">
    <w:name w:val="List Dash 2 (Level 4)"/>
    <w:basedOn w:val="Text2"/>
    <w:uiPriority w:val="35"/>
    <w:semiHidden/>
    <w:unhideWhenUsed/>
    <w:pPr>
      <w:numPr>
        <w:ilvl w:val="3"/>
        <w:numId w:val="4"/>
      </w:numPr>
      <w:tabs>
        <w:tab w:val="clear" w:pos="2336"/>
      </w:tabs>
      <w:ind w:left="0" w:firstLine="0"/>
    </w:pPr>
  </w:style>
  <w:style w:type="paragraph" w:customStyle="1" w:styleId="ListDash3">
    <w:name w:val="List Dash 3"/>
    <w:basedOn w:val="Text3"/>
    <w:uiPriority w:val="35"/>
    <w:pPr>
      <w:numPr>
        <w:numId w:val="3"/>
      </w:numPr>
      <w:tabs>
        <w:tab w:val="clear" w:pos="1485"/>
      </w:tabs>
      <w:ind w:left="0" w:firstLine="0"/>
    </w:pPr>
  </w:style>
  <w:style w:type="paragraph" w:customStyle="1" w:styleId="ListDash3Level2">
    <w:name w:val="List Dash 3 (Level 2)"/>
    <w:basedOn w:val="Text3"/>
    <w:uiPriority w:val="35"/>
    <w:semiHidden/>
    <w:unhideWhenUsed/>
    <w:pPr>
      <w:numPr>
        <w:ilvl w:val="1"/>
        <w:numId w:val="3"/>
      </w:numPr>
      <w:tabs>
        <w:tab w:val="clear" w:pos="1769"/>
      </w:tabs>
      <w:ind w:left="0" w:firstLine="0"/>
    </w:pPr>
  </w:style>
  <w:style w:type="paragraph" w:customStyle="1" w:styleId="ListDash3Level3">
    <w:name w:val="List Dash 3 (Level 3)"/>
    <w:basedOn w:val="Text3"/>
    <w:uiPriority w:val="35"/>
    <w:semiHidden/>
    <w:unhideWhenUsed/>
    <w:pPr>
      <w:numPr>
        <w:ilvl w:val="2"/>
        <w:numId w:val="3"/>
      </w:numPr>
      <w:tabs>
        <w:tab w:val="clear" w:pos="2052"/>
      </w:tabs>
      <w:ind w:left="0" w:firstLine="0"/>
    </w:pPr>
  </w:style>
  <w:style w:type="paragraph" w:customStyle="1" w:styleId="ListDash3Level4">
    <w:name w:val="List Dash 3 (Level 4)"/>
    <w:basedOn w:val="Text3"/>
    <w:uiPriority w:val="35"/>
    <w:semiHidden/>
    <w:unhideWhenUsed/>
    <w:pPr>
      <w:numPr>
        <w:ilvl w:val="3"/>
        <w:numId w:val="3"/>
      </w:numPr>
      <w:tabs>
        <w:tab w:val="clear" w:pos="2336"/>
      </w:tabs>
      <w:ind w:left="0" w:firstLine="0"/>
    </w:pPr>
  </w:style>
  <w:style w:type="paragraph" w:customStyle="1" w:styleId="ListDash4">
    <w:name w:val="List Dash 4"/>
    <w:basedOn w:val="Text4"/>
    <w:uiPriority w:val="35"/>
    <w:pPr>
      <w:numPr>
        <w:numId w:val="2"/>
      </w:numPr>
      <w:tabs>
        <w:tab w:val="clear" w:pos="1485"/>
      </w:tabs>
      <w:ind w:left="0" w:firstLine="0"/>
    </w:pPr>
  </w:style>
  <w:style w:type="paragraph" w:customStyle="1" w:styleId="ListDash4Level2">
    <w:name w:val="List Dash 4 (Level 2)"/>
    <w:basedOn w:val="Text4"/>
    <w:uiPriority w:val="35"/>
    <w:semiHidden/>
    <w:unhideWhenUsed/>
    <w:pPr>
      <w:numPr>
        <w:ilvl w:val="1"/>
        <w:numId w:val="2"/>
      </w:numPr>
      <w:tabs>
        <w:tab w:val="clear" w:pos="1769"/>
      </w:tabs>
      <w:ind w:left="0" w:firstLine="0"/>
    </w:pPr>
  </w:style>
  <w:style w:type="paragraph" w:customStyle="1" w:styleId="ListDash4Level3">
    <w:name w:val="List Dash 4 (Level 3)"/>
    <w:basedOn w:val="Text4"/>
    <w:uiPriority w:val="35"/>
    <w:semiHidden/>
    <w:unhideWhenUsed/>
    <w:pPr>
      <w:numPr>
        <w:ilvl w:val="2"/>
        <w:numId w:val="2"/>
      </w:numPr>
      <w:tabs>
        <w:tab w:val="clear" w:pos="2052"/>
      </w:tabs>
      <w:ind w:left="0" w:firstLine="0"/>
    </w:pPr>
  </w:style>
  <w:style w:type="paragraph" w:customStyle="1" w:styleId="ListDash4Level4">
    <w:name w:val="List Dash 4 (Level 4)"/>
    <w:basedOn w:val="Text4"/>
    <w:uiPriority w:val="35"/>
    <w:semiHidden/>
    <w:unhideWhenUsed/>
    <w:pPr>
      <w:numPr>
        <w:ilvl w:val="3"/>
        <w:numId w:val="2"/>
      </w:numPr>
      <w:tabs>
        <w:tab w:val="clear" w:pos="2336"/>
      </w:tabs>
      <w:ind w:left="0" w:firstLine="0"/>
    </w:pPr>
  </w:style>
  <w:style w:type="paragraph" w:styleId="ListNumber">
    <w:name w:val="List Number"/>
    <w:basedOn w:val="Normal"/>
    <w:uiPriority w:val="30"/>
    <w:pPr>
      <w:numPr>
        <w:numId w:val="11"/>
      </w:numPr>
      <w:tabs>
        <w:tab w:val="clear" w:pos="709"/>
      </w:tabs>
      <w:spacing w:after="240" w:line="240" w:lineRule="auto"/>
      <w:ind w:left="0" w:firstLine="0"/>
      <w:jc w:val="both"/>
    </w:pPr>
    <w:rPr>
      <w:rFonts w:ascii="Times New Roman" w:eastAsia="Times New Roman" w:hAnsi="Times New Roman" w:cs="Times New Roman"/>
      <w:sz w:val="24"/>
      <w:szCs w:val="20"/>
    </w:rPr>
  </w:style>
  <w:style w:type="paragraph" w:customStyle="1" w:styleId="ListNumberLevel2">
    <w:name w:val="List Number (Level 2)"/>
    <w:basedOn w:val="Normal"/>
    <w:uiPriority w:val="30"/>
    <w:pPr>
      <w:numPr>
        <w:ilvl w:val="1"/>
        <w:numId w:val="11"/>
      </w:numPr>
      <w:tabs>
        <w:tab w:val="clear" w:pos="1417"/>
      </w:tabs>
      <w:spacing w:after="240" w:line="240" w:lineRule="auto"/>
      <w:ind w:left="0" w:firstLine="0"/>
      <w:jc w:val="both"/>
    </w:pPr>
    <w:rPr>
      <w:rFonts w:ascii="Times New Roman" w:eastAsia="Times New Roman" w:hAnsi="Times New Roman" w:cs="Times New Roman"/>
      <w:sz w:val="24"/>
      <w:szCs w:val="20"/>
    </w:rPr>
  </w:style>
  <w:style w:type="paragraph" w:customStyle="1" w:styleId="ListNumberLevel3">
    <w:name w:val="List Number (Level 3)"/>
    <w:basedOn w:val="Normal"/>
    <w:uiPriority w:val="30"/>
    <w:pPr>
      <w:numPr>
        <w:ilvl w:val="2"/>
        <w:numId w:val="11"/>
      </w:numPr>
      <w:tabs>
        <w:tab w:val="clear" w:pos="2126"/>
      </w:tabs>
      <w:spacing w:after="240" w:line="240" w:lineRule="auto"/>
      <w:ind w:left="0" w:firstLine="0"/>
      <w:jc w:val="both"/>
    </w:pPr>
    <w:rPr>
      <w:rFonts w:ascii="Times New Roman" w:eastAsia="Times New Roman" w:hAnsi="Times New Roman" w:cs="Times New Roman"/>
      <w:sz w:val="24"/>
      <w:szCs w:val="20"/>
    </w:rPr>
  </w:style>
  <w:style w:type="paragraph" w:customStyle="1" w:styleId="ListNumberLevel4">
    <w:name w:val="List Number (Level 4)"/>
    <w:basedOn w:val="Normal"/>
    <w:uiPriority w:val="30"/>
    <w:pPr>
      <w:numPr>
        <w:ilvl w:val="3"/>
        <w:numId w:val="11"/>
      </w:numPr>
      <w:tabs>
        <w:tab w:val="clear" w:pos="2835"/>
      </w:tabs>
      <w:spacing w:after="240" w:line="240" w:lineRule="auto"/>
      <w:ind w:left="0" w:firstLine="0"/>
      <w:jc w:val="both"/>
    </w:pPr>
    <w:rPr>
      <w:rFonts w:ascii="Times New Roman" w:eastAsia="Times New Roman" w:hAnsi="Times New Roman" w:cs="Times New Roman"/>
      <w:sz w:val="24"/>
      <w:szCs w:val="20"/>
    </w:rPr>
  </w:style>
  <w:style w:type="paragraph" w:customStyle="1" w:styleId="ListNumber1">
    <w:name w:val="List Number 1"/>
    <w:basedOn w:val="Text1"/>
    <w:uiPriority w:val="30"/>
    <w:pPr>
      <w:numPr>
        <w:numId w:val="10"/>
      </w:numPr>
      <w:tabs>
        <w:tab w:val="clear" w:pos="1191"/>
      </w:tabs>
      <w:ind w:left="0" w:firstLine="0"/>
    </w:pPr>
  </w:style>
  <w:style w:type="paragraph" w:customStyle="1" w:styleId="ListNumber1Level2">
    <w:name w:val="List Number 1 (Level 2)"/>
    <w:basedOn w:val="Text1"/>
    <w:uiPriority w:val="30"/>
    <w:semiHidden/>
    <w:unhideWhenUsed/>
    <w:pPr>
      <w:numPr>
        <w:ilvl w:val="1"/>
        <w:numId w:val="10"/>
      </w:numPr>
      <w:tabs>
        <w:tab w:val="clear" w:pos="1899"/>
      </w:tabs>
      <w:ind w:left="0" w:firstLine="0"/>
    </w:pPr>
  </w:style>
  <w:style w:type="paragraph" w:customStyle="1" w:styleId="ListNumber1Level3">
    <w:name w:val="List Number 1 (Level 3)"/>
    <w:basedOn w:val="Text1"/>
    <w:uiPriority w:val="30"/>
    <w:semiHidden/>
    <w:unhideWhenUsed/>
    <w:pPr>
      <w:numPr>
        <w:ilvl w:val="2"/>
        <w:numId w:val="10"/>
      </w:numPr>
      <w:tabs>
        <w:tab w:val="clear" w:pos="2608"/>
      </w:tabs>
      <w:ind w:left="0" w:firstLine="0"/>
    </w:pPr>
  </w:style>
  <w:style w:type="paragraph" w:customStyle="1" w:styleId="ListNumber1Level4">
    <w:name w:val="List Number 1 (Level 4)"/>
    <w:basedOn w:val="Text1"/>
    <w:uiPriority w:val="30"/>
    <w:semiHidden/>
    <w:unhideWhenUsed/>
    <w:pPr>
      <w:numPr>
        <w:ilvl w:val="3"/>
        <w:numId w:val="10"/>
      </w:numPr>
      <w:tabs>
        <w:tab w:val="clear" w:pos="3317"/>
      </w:tabs>
      <w:ind w:left="0" w:firstLine="0"/>
    </w:pPr>
  </w:style>
  <w:style w:type="paragraph" w:styleId="ListNumber2">
    <w:name w:val="List Number 2"/>
    <w:basedOn w:val="Text2"/>
    <w:uiPriority w:val="30"/>
    <w:pPr>
      <w:numPr>
        <w:numId w:val="9"/>
      </w:numPr>
      <w:tabs>
        <w:tab w:val="clear" w:pos="1911"/>
      </w:tabs>
      <w:ind w:left="0" w:firstLine="0"/>
    </w:pPr>
  </w:style>
  <w:style w:type="paragraph" w:customStyle="1" w:styleId="ListNumber2Level2">
    <w:name w:val="List Number 2 (Level 2)"/>
    <w:basedOn w:val="Text2"/>
    <w:uiPriority w:val="30"/>
    <w:semiHidden/>
    <w:unhideWhenUsed/>
    <w:pPr>
      <w:numPr>
        <w:ilvl w:val="1"/>
        <w:numId w:val="9"/>
      </w:numPr>
      <w:tabs>
        <w:tab w:val="clear" w:pos="2619"/>
      </w:tabs>
      <w:ind w:left="0" w:firstLine="0"/>
    </w:pPr>
  </w:style>
  <w:style w:type="paragraph" w:customStyle="1" w:styleId="ListNumber2Level3">
    <w:name w:val="List Number 2 (Level 3)"/>
    <w:basedOn w:val="Text2"/>
    <w:uiPriority w:val="30"/>
    <w:semiHidden/>
    <w:unhideWhenUsed/>
    <w:pPr>
      <w:numPr>
        <w:ilvl w:val="2"/>
        <w:numId w:val="9"/>
      </w:numPr>
      <w:tabs>
        <w:tab w:val="clear" w:pos="3328"/>
      </w:tabs>
      <w:ind w:left="0" w:firstLine="0"/>
    </w:pPr>
  </w:style>
  <w:style w:type="paragraph" w:customStyle="1" w:styleId="ListNumber2Level4">
    <w:name w:val="List Number 2 (Level 4)"/>
    <w:basedOn w:val="Text2"/>
    <w:uiPriority w:val="30"/>
    <w:semiHidden/>
    <w:unhideWhenUsed/>
    <w:pPr>
      <w:numPr>
        <w:ilvl w:val="3"/>
        <w:numId w:val="9"/>
      </w:numPr>
      <w:tabs>
        <w:tab w:val="clear" w:pos="4037"/>
      </w:tabs>
      <w:ind w:left="0" w:firstLine="0"/>
    </w:pPr>
  </w:style>
  <w:style w:type="paragraph" w:styleId="ListNumber3">
    <w:name w:val="List Number 3"/>
    <w:basedOn w:val="Text3"/>
    <w:uiPriority w:val="30"/>
    <w:pPr>
      <w:numPr>
        <w:numId w:val="8"/>
      </w:numPr>
      <w:tabs>
        <w:tab w:val="clear" w:pos="1911"/>
      </w:tabs>
      <w:ind w:left="0" w:firstLine="0"/>
    </w:pPr>
  </w:style>
  <w:style w:type="paragraph" w:customStyle="1" w:styleId="ListNumber3Level2">
    <w:name w:val="List Number 3 (Level 2)"/>
    <w:basedOn w:val="Text3"/>
    <w:uiPriority w:val="30"/>
    <w:semiHidden/>
    <w:unhideWhenUsed/>
    <w:pPr>
      <w:numPr>
        <w:ilvl w:val="1"/>
        <w:numId w:val="8"/>
      </w:numPr>
      <w:tabs>
        <w:tab w:val="clear" w:pos="2619"/>
      </w:tabs>
      <w:ind w:left="0" w:firstLine="0"/>
    </w:pPr>
  </w:style>
  <w:style w:type="paragraph" w:customStyle="1" w:styleId="ListNumber3Level3">
    <w:name w:val="List Number 3 (Level 3)"/>
    <w:basedOn w:val="Text3"/>
    <w:uiPriority w:val="30"/>
    <w:semiHidden/>
    <w:unhideWhenUsed/>
    <w:pPr>
      <w:numPr>
        <w:ilvl w:val="2"/>
        <w:numId w:val="8"/>
      </w:numPr>
      <w:tabs>
        <w:tab w:val="clear" w:pos="3328"/>
      </w:tabs>
      <w:ind w:left="0" w:firstLine="0"/>
    </w:pPr>
  </w:style>
  <w:style w:type="paragraph" w:customStyle="1" w:styleId="ListNumber3Level4">
    <w:name w:val="List Number 3 (Level 4)"/>
    <w:basedOn w:val="Text3"/>
    <w:uiPriority w:val="30"/>
    <w:semiHidden/>
    <w:unhideWhenUsed/>
    <w:pPr>
      <w:numPr>
        <w:ilvl w:val="3"/>
        <w:numId w:val="8"/>
      </w:numPr>
      <w:tabs>
        <w:tab w:val="clear" w:pos="4037"/>
      </w:tabs>
      <w:ind w:left="0" w:firstLine="0"/>
    </w:pPr>
  </w:style>
  <w:style w:type="paragraph" w:styleId="ListNumber4">
    <w:name w:val="List Number 4"/>
    <w:basedOn w:val="Text4"/>
    <w:uiPriority w:val="30"/>
    <w:pPr>
      <w:numPr>
        <w:numId w:val="7"/>
      </w:numPr>
      <w:tabs>
        <w:tab w:val="clear" w:pos="1911"/>
      </w:tabs>
      <w:ind w:left="0" w:firstLine="0"/>
    </w:pPr>
  </w:style>
  <w:style w:type="paragraph" w:customStyle="1" w:styleId="ListNumber4Level2">
    <w:name w:val="List Number 4 (Level 2)"/>
    <w:basedOn w:val="Text4"/>
    <w:uiPriority w:val="30"/>
    <w:semiHidden/>
    <w:unhideWhenUsed/>
    <w:pPr>
      <w:numPr>
        <w:ilvl w:val="1"/>
        <w:numId w:val="7"/>
      </w:numPr>
      <w:tabs>
        <w:tab w:val="clear" w:pos="2619"/>
      </w:tabs>
      <w:ind w:left="0" w:firstLine="0"/>
    </w:pPr>
  </w:style>
  <w:style w:type="paragraph" w:customStyle="1" w:styleId="ListNumber4Level3">
    <w:name w:val="List Number 4 (Level 3)"/>
    <w:basedOn w:val="Text4"/>
    <w:uiPriority w:val="30"/>
    <w:semiHidden/>
    <w:unhideWhenUsed/>
    <w:pPr>
      <w:numPr>
        <w:ilvl w:val="2"/>
        <w:numId w:val="7"/>
      </w:numPr>
      <w:tabs>
        <w:tab w:val="clear" w:pos="3328"/>
      </w:tabs>
      <w:ind w:left="0" w:firstLine="0"/>
    </w:pPr>
  </w:style>
  <w:style w:type="paragraph" w:customStyle="1" w:styleId="ListNumber4Level4">
    <w:name w:val="List Number 4 (Level 4)"/>
    <w:basedOn w:val="Text4"/>
    <w:uiPriority w:val="30"/>
    <w:semiHidden/>
    <w:unhideWhenUsed/>
    <w:pPr>
      <w:numPr>
        <w:ilvl w:val="3"/>
        <w:numId w:val="7"/>
      </w:numPr>
      <w:tabs>
        <w:tab w:val="clear" w:pos="4037"/>
      </w:tabs>
      <w:ind w:left="0" w:firstLine="0"/>
    </w:pPr>
  </w:style>
  <w:style w:type="paragraph" w:customStyle="1" w:styleId="Marking">
    <w:name w:val="Marking"/>
    <w:basedOn w:val="Normal"/>
    <w:semiHidden/>
    <w:pPr>
      <w:spacing w:after="240" w:line="240" w:lineRule="auto"/>
      <w:ind w:left="5102" w:right="-680"/>
      <w:contextualSpacing/>
    </w:pPr>
    <w:rPr>
      <w:rFonts w:ascii="Times New Roman" w:eastAsia="Times New Roman" w:hAnsi="Times New Roman" w:cs="Times New Roman"/>
      <w:sz w:val="28"/>
      <w:szCs w:val="20"/>
    </w:rPr>
  </w:style>
  <w:style w:type="paragraph" w:customStyle="1" w:styleId="NumPar1">
    <w:name w:val="NumPar 1"/>
    <w:basedOn w:val="Heading1"/>
    <w:uiPriority w:val="20"/>
    <w:qFormat/>
    <w:pPr>
      <w:keepNext w:val="0"/>
      <w:keepLines w:val="0"/>
      <w:spacing w:before="0" w:after="240" w:line="240" w:lineRule="auto"/>
      <w:jc w:val="both"/>
      <w:outlineLvl w:val="9"/>
    </w:pPr>
    <w:rPr>
      <w:rFonts w:ascii="Times New Roman" w:eastAsia="Times New Roman" w:hAnsi="Times New Roman" w:cs="Times New Roman"/>
      <w:color w:val="auto"/>
      <w:sz w:val="24"/>
      <w:szCs w:val="20"/>
    </w:rPr>
  </w:style>
  <w:style w:type="paragraph" w:customStyle="1" w:styleId="NumPar2">
    <w:name w:val="NumPar 2"/>
    <w:basedOn w:val="Heading2"/>
    <w:uiPriority w:val="20"/>
    <w:qFormat/>
    <w:pPr>
      <w:keepNext w:val="0"/>
      <w:keepLines w:val="0"/>
      <w:spacing w:before="0" w:after="240" w:line="240" w:lineRule="auto"/>
      <w:jc w:val="both"/>
      <w:outlineLvl w:val="9"/>
    </w:pPr>
    <w:rPr>
      <w:rFonts w:ascii="Times New Roman" w:eastAsia="Times New Roman" w:hAnsi="Times New Roman" w:cs="Times New Roman"/>
      <w:color w:val="auto"/>
      <w:sz w:val="24"/>
      <w:szCs w:val="20"/>
    </w:rPr>
  </w:style>
  <w:style w:type="paragraph" w:customStyle="1" w:styleId="NumPar3">
    <w:name w:val="NumPar 3"/>
    <w:basedOn w:val="Heading3"/>
    <w:uiPriority w:val="20"/>
    <w:qFormat/>
    <w:pPr>
      <w:keepNext w:val="0"/>
      <w:keepLines w:val="0"/>
      <w:spacing w:before="0" w:after="240" w:line="240" w:lineRule="auto"/>
      <w:jc w:val="both"/>
      <w:outlineLvl w:val="9"/>
    </w:pPr>
    <w:rPr>
      <w:rFonts w:ascii="Times New Roman" w:eastAsia="Times New Roman" w:hAnsi="Times New Roman" w:cs="Times New Roman"/>
      <w:color w:val="auto"/>
      <w:sz w:val="24"/>
      <w:szCs w:val="20"/>
    </w:rPr>
  </w:style>
  <w:style w:type="paragraph" w:customStyle="1" w:styleId="NumPar4">
    <w:name w:val="NumPar 4"/>
    <w:basedOn w:val="Heading4"/>
    <w:uiPriority w:val="20"/>
    <w:qFormat/>
    <w:pPr>
      <w:keepNext w:val="0"/>
      <w:keepLines w:val="0"/>
      <w:spacing w:before="0" w:after="240" w:line="240" w:lineRule="auto"/>
      <w:jc w:val="both"/>
      <w:outlineLvl w:val="9"/>
    </w:pPr>
    <w:rPr>
      <w:rFonts w:ascii="Times New Roman" w:eastAsia="Times New Roman" w:hAnsi="Times New Roman" w:cs="Times New Roman"/>
      <w:i w:val="0"/>
      <w:iCs w:val="0"/>
      <w:color w:val="auto"/>
      <w:sz w:val="24"/>
      <w:szCs w:val="20"/>
    </w:rPr>
  </w:style>
  <w:style w:type="paragraph" w:customStyle="1" w:styleId="PartTitle">
    <w:name w:val="PartTitle"/>
    <w:basedOn w:val="Normal"/>
    <w:next w:val="ChapterTitle"/>
    <w:uiPriority w:val="42"/>
    <w:qFormat/>
    <w:pPr>
      <w:keepNext/>
      <w:pageBreakBefore/>
      <w:spacing w:after="480" w:line="240" w:lineRule="auto"/>
      <w:jc w:val="center"/>
      <w:outlineLvl w:val="0"/>
    </w:pPr>
    <w:rPr>
      <w:rFonts w:ascii="Times New Roman" w:eastAsia="Times New Roman" w:hAnsi="Times New Roman" w:cs="Times New Roman"/>
      <w:b/>
      <w:sz w:val="36"/>
      <w:szCs w:val="20"/>
    </w:rPr>
  </w:style>
  <w:style w:type="paragraph" w:customStyle="1" w:styleId="References">
    <w:name w:val="References"/>
    <w:basedOn w:val="Normal"/>
    <w:semiHidden/>
    <w:pPr>
      <w:spacing w:after="240" w:line="240" w:lineRule="auto"/>
      <w:ind w:left="5102" w:right="-567"/>
      <w:contextualSpacing/>
    </w:pPr>
    <w:rPr>
      <w:rFonts w:ascii="Times New Roman" w:eastAsia="Times New Roman" w:hAnsi="Times New Roman" w:cs="Times New Roman"/>
      <w:sz w:val="20"/>
      <w:szCs w:val="20"/>
    </w:rPr>
  </w:style>
  <w:style w:type="paragraph" w:customStyle="1" w:styleId="Releasable">
    <w:name w:val="Releasable"/>
    <w:basedOn w:val="Normal"/>
    <w:semiHidden/>
    <w:pPr>
      <w:spacing w:after="0" w:line="240" w:lineRule="auto"/>
      <w:jc w:val="center"/>
    </w:pPr>
    <w:rPr>
      <w:rFonts w:ascii="Times New Roman" w:eastAsia="Times New Roman" w:hAnsi="Times New Roman" w:cs="Times New Roman"/>
      <w:b/>
      <w:caps/>
      <w:sz w:val="32"/>
      <w:szCs w:val="20"/>
    </w:rPr>
  </w:style>
  <w:style w:type="paragraph" w:customStyle="1" w:styleId="RUE">
    <w:name w:val="RUE"/>
    <w:basedOn w:val="Normal"/>
    <w:semiHidden/>
    <w:pPr>
      <w:spacing w:after="0" w:line="240" w:lineRule="auto"/>
      <w:jc w:val="center"/>
    </w:pPr>
    <w:rPr>
      <w:rFonts w:ascii="Times New Roman" w:eastAsia="Times New Roman" w:hAnsi="Times New Roman" w:cs="Times New Roman"/>
      <w:b/>
      <w:caps/>
      <w:sz w:val="32"/>
      <w:szCs w:val="20"/>
      <w:bdr w:val="single" w:sz="18" w:space="0" w:color="auto"/>
    </w:rPr>
  </w:style>
  <w:style w:type="paragraph" w:customStyle="1" w:styleId="SecretUE">
    <w:name w:val="Secret UE"/>
    <w:basedOn w:val="Normal"/>
    <w:semiHidden/>
    <w:pPr>
      <w:spacing w:after="0" w:line="240" w:lineRule="auto"/>
      <w:jc w:val="center"/>
    </w:pPr>
    <w:rPr>
      <w:rFonts w:ascii="Times New Roman" w:eastAsia="Times New Roman" w:hAnsi="Times New Roman" w:cs="Times New Roman"/>
      <w:b/>
      <w:caps/>
      <w:color w:val="FF0000"/>
      <w:sz w:val="32"/>
      <w:szCs w:val="20"/>
      <w:bdr w:val="single" w:sz="18" w:space="0" w:color="FF0000"/>
    </w:rPr>
  </w:style>
  <w:style w:type="paragraph" w:customStyle="1" w:styleId="SectionTitle">
    <w:name w:val="SectionTitle"/>
    <w:basedOn w:val="Normal"/>
    <w:next w:val="Heading1"/>
    <w:uiPriority w:val="44"/>
    <w:qFormat/>
    <w:pPr>
      <w:keepNext/>
      <w:spacing w:after="480" w:line="240" w:lineRule="auto"/>
      <w:jc w:val="center"/>
      <w:outlineLvl w:val="0"/>
    </w:pPr>
    <w:rPr>
      <w:rFonts w:ascii="Times New Roman" w:eastAsia="Times New Roman" w:hAnsi="Times New Roman" w:cs="Times New Roman"/>
      <w:b/>
      <w:smallCaps/>
      <w:sz w:val="28"/>
      <w:szCs w:val="20"/>
    </w:rPr>
  </w:style>
  <w:style w:type="paragraph" w:styleId="Signature">
    <w:name w:val="Signature"/>
    <w:basedOn w:val="Normal"/>
    <w:link w:val="SignatureChar"/>
    <w:semiHidden/>
    <w:pPr>
      <w:spacing w:before="1200" w:after="0" w:line="240" w:lineRule="auto"/>
      <w:ind w:left="5102"/>
      <w:jc w:val="center"/>
    </w:pPr>
    <w:rPr>
      <w:rFonts w:ascii="Times New Roman" w:eastAsia="Times New Roman" w:hAnsi="Times New Roman" w:cs="Times New Roman"/>
      <w:sz w:val="24"/>
      <w:szCs w:val="20"/>
    </w:rPr>
  </w:style>
  <w:style w:type="character" w:customStyle="1" w:styleId="SignatureChar">
    <w:name w:val="Signature Char"/>
    <w:basedOn w:val="DefaultParagraphFont"/>
    <w:link w:val="Signature"/>
    <w:semiHidden/>
    <w:rPr>
      <w:rFonts w:ascii="Times New Roman" w:eastAsia="Times New Roman" w:hAnsi="Times New Roman" w:cs="Times New Roman"/>
      <w:sz w:val="24"/>
      <w:szCs w:val="20"/>
      <w:lang w:val="en-GB"/>
    </w:rPr>
  </w:style>
  <w:style w:type="paragraph" w:customStyle="1" w:styleId="SignatureL">
    <w:name w:val="SignatureL"/>
    <w:basedOn w:val="Normal"/>
    <w:semiHidden/>
    <w:pPr>
      <w:spacing w:before="1200" w:after="0" w:line="240" w:lineRule="auto"/>
    </w:pPr>
    <w:rPr>
      <w:rFonts w:ascii="Times New Roman" w:eastAsia="Times New Roman" w:hAnsi="Times New Roman" w:cs="Times New Roman"/>
      <w:sz w:val="24"/>
      <w:szCs w:val="20"/>
    </w:rPr>
  </w:style>
  <w:style w:type="paragraph" w:customStyle="1" w:styleId="SubTitle1">
    <w:name w:val="SubTitle 1"/>
    <w:basedOn w:val="Normal"/>
    <w:next w:val="SubTitle2"/>
    <w:uiPriority w:val="41"/>
    <w:qFormat/>
    <w:pPr>
      <w:spacing w:after="240" w:line="240" w:lineRule="auto"/>
      <w:jc w:val="center"/>
    </w:pPr>
    <w:rPr>
      <w:rFonts w:ascii="Times New Roman" w:eastAsia="Times New Roman" w:hAnsi="Times New Roman" w:cs="Times New Roman"/>
      <w:b/>
      <w:sz w:val="40"/>
      <w:szCs w:val="20"/>
    </w:rPr>
  </w:style>
  <w:style w:type="paragraph" w:customStyle="1" w:styleId="SubTitle2">
    <w:name w:val="SubTitle 2"/>
    <w:basedOn w:val="Normal"/>
    <w:uiPriority w:val="41"/>
    <w:qFormat/>
    <w:pPr>
      <w:spacing w:after="240" w:line="240" w:lineRule="auto"/>
      <w:jc w:val="center"/>
    </w:pPr>
    <w:rPr>
      <w:rFonts w:ascii="Times New Roman" w:eastAsia="Times New Roman" w:hAnsi="Times New Roman" w:cs="Times New Roman"/>
      <w:b/>
      <w:sz w:val="32"/>
      <w:szCs w:val="20"/>
    </w:rPr>
  </w:style>
  <w:style w:type="paragraph" w:customStyle="1" w:styleId="TableListBullet">
    <w:name w:val="Table List Bullet"/>
    <w:basedOn w:val="TableText"/>
    <w:uiPriority w:val="55"/>
    <w:pPr>
      <w:numPr>
        <w:numId w:val="20"/>
      </w:numPr>
      <w:tabs>
        <w:tab w:val="clear" w:pos="283"/>
      </w:tabs>
      <w:ind w:left="0" w:firstLine="0"/>
    </w:pPr>
  </w:style>
  <w:style w:type="paragraph" w:customStyle="1" w:styleId="TableListBulletLevel2">
    <w:name w:val="Table List Bullet (Level 2)"/>
    <w:basedOn w:val="TableText"/>
    <w:uiPriority w:val="55"/>
    <w:semiHidden/>
    <w:unhideWhenUsed/>
    <w:pPr>
      <w:numPr>
        <w:ilvl w:val="1"/>
        <w:numId w:val="20"/>
      </w:numPr>
      <w:tabs>
        <w:tab w:val="clear" w:pos="567"/>
      </w:tabs>
      <w:ind w:left="0" w:firstLine="0"/>
    </w:pPr>
  </w:style>
  <w:style w:type="paragraph" w:customStyle="1" w:styleId="TableListBulletLevel3">
    <w:name w:val="Table List Bullet (Level 3)"/>
    <w:basedOn w:val="TableText"/>
    <w:uiPriority w:val="55"/>
    <w:semiHidden/>
    <w:unhideWhenUsed/>
    <w:pPr>
      <w:numPr>
        <w:ilvl w:val="2"/>
        <w:numId w:val="20"/>
      </w:numPr>
      <w:tabs>
        <w:tab w:val="clear" w:pos="850"/>
      </w:tabs>
      <w:ind w:left="0" w:firstLine="0"/>
    </w:pPr>
  </w:style>
  <w:style w:type="paragraph" w:customStyle="1" w:styleId="TableListBulletLevel4">
    <w:name w:val="Table List Bullet (Level 4)"/>
    <w:basedOn w:val="TableText"/>
    <w:uiPriority w:val="55"/>
    <w:semiHidden/>
    <w:unhideWhenUsed/>
    <w:pPr>
      <w:numPr>
        <w:ilvl w:val="3"/>
        <w:numId w:val="20"/>
      </w:numPr>
      <w:tabs>
        <w:tab w:val="clear" w:pos="1134"/>
      </w:tabs>
      <w:ind w:left="0" w:firstLine="0"/>
    </w:pPr>
  </w:style>
  <w:style w:type="paragraph" w:customStyle="1" w:styleId="TableListDash">
    <w:name w:val="Table List Dash"/>
    <w:basedOn w:val="TableText"/>
    <w:uiPriority w:val="55"/>
    <w:pPr>
      <w:numPr>
        <w:numId w:val="21"/>
      </w:numPr>
      <w:tabs>
        <w:tab w:val="clear" w:pos="283"/>
      </w:tabs>
      <w:ind w:left="0" w:firstLine="0"/>
    </w:pPr>
  </w:style>
  <w:style w:type="paragraph" w:customStyle="1" w:styleId="TableListDashLevel2">
    <w:name w:val="Table List Dash (Level 2)"/>
    <w:basedOn w:val="TableText"/>
    <w:uiPriority w:val="55"/>
    <w:semiHidden/>
    <w:unhideWhenUsed/>
    <w:pPr>
      <w:numPr>
        <w:ilvl w:val="1"/>
        <w:numId w:val="21"/>
      </w:numPr>
      <w:tabs>
        <w:tab w:val="clear" w:pos="567"/>
      </w:tabs>
      <w:ind w:left="0" w:firstLine="0"/>
    </w:pPr>
  </w:style>
  <w:style w:type="paragraph" w:customStyle="1" w:styleId="TableListDashLevel3">
    <w:name w:val="Table List Dash (Level 3)"/>
    <w:basedOn w:val="TableText"/>
    <w:uiPriority w:val="55"/>
    <w:semiHidden/>
    <w:unhideWhenUsed/>
    <w:pPr>
      <w:numPr>
        <w:ilvl w:val="2"/>
        <w:numId w:val="21"/>
      </w:numPr>
      <w:tabs>
        <w:tab w:val="clear" w:pos="850"/>
      </w:tabs>
      <w:ind w:left="0" w:firstLine="0"/>
    </w:pPr>
  </w:style>
  <w:style w:type="paragraph" w:customStyle="1" w:styleId="TableListDashLevel4">
    <w:name w:val="Table List Dash (Level 4)"/>
    <w:basedOn w:val="TableText"/>
    <w:uiPriority w:val="55"/>
    <w:semiHidden/>
    <w:unhideWhenUsed/>
    <w:pPr>
      <w:numPr>
        <w:ilvl w:val="3"/>
        <w:numId w:val="21"/>
      </w:numPr>
      <w:tabs>
        <w:tab w:val="clear" w:pos="1134"/>
      </w:tabs>
      <w:ind w:left="0" w:firstLine="0"/>
    </w:pPr>
  </w:style>
  <w:style w:type="paragraph" w:customStyle="1" w:styleId="TableListNumber">
    <w:name w:val="Table List Number"/>
    <w:basedOn w:val="TableText"/>
    <w:uiPriority w:val="55"/>
    <w:pPr>
      <w:numPr>
        <w:numId w:val="22"/>
      </w:numPr>
      <w:tabs>
        <w:tab w:val="clear" w:pos="454"/>
      </w:tabs>
      <w:ind w:left="0" w:firstLine="0"/>
    </w:pPr>
  </w:style>
  <w:style w:type="paragraph" w:customStyle="1" w:styleId="TableListNumberLevel2">
    <w:name w:val="Table List Number (Level 2)"/>
    <w:basedOn w:val="TableText"/>
    <w:uiPriority w:val="55"/>
    <w:semiHidden/>
    <w:unhideWhenUsed/>
    <w:pPr>
      <w:numPr>
        <w:ilvl w:val="1"/>
        <w:numId w:val="22"/>
      </w:numPr>
      <w:tabs>
        <w:tab w:val="clear" w:pos="907"/>
      </w:tabs>
      <w:ind w:left="0" w:firstLine="0"/>
    </w:pPr>
  </w:style>
  <w:style w:type="paragraph" w:customStyle="1" w:styleId="TableListNumberLevel3">
    <w:name w:val="Table List Number (Level 3)"/>
    <w:basedOn w:val="TableText"/>
    <w:uiPriority w:val="55"/>
    <w:semiHidden/>
    <w:unhideWhenUsed/>
    <w:pPr>
      <w:numPr>
        <w:ilvl w:val="2"/>
        <w:numId w:val="22"/>
      </w:numPr>
      <w:tabs>
        <w:tab w:val="clear" w:pos="1361"/>
      </w:tabs>
      <w:ind w:left="0" w:firstLine="0"/>
    </w:pPr>
  </w:style>
  <w:style w:type="paragraph" w:customStyle="1" w:styleId="TableListNumberLevel4">
    <w:name w:val="Table List Number (Level 4)"/>
    <w:basedOn w:val="TableText"/>
    <w:uiPriority w:val="55"/>
    <w:semiHidden/>
    <w:unhideWhenUsed/>
    <w:pPr>
      <w:numPr>
        <w:ilvl w:val="3"/>
        <w:numId w:val="22"/>
      </w:numPr>
      <w:tabs>
        <w:tab w:val="clear" w:pos="1814"/>
      </w:tabs>
      <w:ind w:left="0" w:firstLine="0"/>
    </w:pPr>
  </w:style>
  <w:style w:type="paragraph" w:customStyle="1" w:styleId="TableSource">
    <w:name w:val="Table Source"/>
    <w:basedOn w:val="Normal"/>
    <w:next w:val="Normal"/>
    <w:uiPriority w:val="99"/>
    <w:semiHidden/>
    <w:unhideWhenUsed/>
    <w:pPr>
      <w:spacing w:after="240" w:line="240" w:lineRule="auto"/>
      <w:jc w:val="both"/>
    </w:pPr>
    <w:rPr>
      <w:rFonts w:ascii="Times New Roman" w:eastAsia="Times New Roman" w:hAnsi="Times New Roman" w:cs="Times New Roman"/>
      <w:sz w:val="20"/>
      <w:szCs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line="240" w:lineRule="auto"/>
    </w:pPr>
    <w:rPr>
      <w:rFonts w:ascii="Times New Roman" w:eastAsia="Times New Roman" w:hAnsi="Times New Roman" w:cs="Times New Roman"/>
      <w:sz w:val="24"/>
      <w:szCs w:val="20"/>
    </w:rPr>
  </w:style>
  <w:style w:type="paragraph" w:customStyle="1" w:styleId="TableTitle">
    <w:name w:val="Table Title"/>
    <w:basedOn w:val="Normal"/>
    <w:uiPriority w:val="99"/>
    <w:semiHidden/>
    <w:unhideWhenUsed/>
    <w:pPr>
      <w:keepNext/>
      <w:spacing w:after="120" w:line="240" w:lineRule="auto"/>
      <w:jc w:val="both"/>
    </w:pPr>
    <w:rPr>
      <w:rFonts w:ascii="Times New Roman" w:eastAsia="Times New Roman" w:hAnsi="Times New Roman" w:cs="Times New Roman"/>
      <w:b/>
      <w:i/>
      <w:sz w:val="24"/>
      <w:szCs w:val="20"/>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spacing w:after="240" w:line="240" w:lineRule="auto"/>
      <w:ind w:left="482"/>
      <w:jc w:val="both"/>
    </w:pPr>
    <w:rPr>
      <w:rFonts w:ascii="Times New Roman" w:eastAsia="Times New Roman" w:hAnsi="Times New Roman" w:cs="Times New Roman"/>
      <w:sz w:val="24"/>
      <w:szCs w:val="20"/>
    </w:rPr>
  </w:style>
  <w:style w:type="paragraph" w:customStyle="1" w:styleId="Text2">
    <w:name w:val="Text 2"/>
    <w:basedOn w:val="Normal"/>
    <w:qFormat/>
    <w:pPr>
      <w:spacing w:after="240" w:line="240" w:lineRule="auto"/>
      <w:ind w:left="1202"/>
      <w:jc w:val="both"/>
    </w:pPr>
    <w:rPr>
      <w:rFonts w:ascii="Times New Roman" w:eastAsia="Times New Roman" w:hAnsi="Times New Roman" w:cs="Times New Roman"/>
      <w:sz w:val="24"/>
      <w:szCs w:val="20"/>
    </w:rPr>
  </w:style>
  <w:style w:type="paragraph" w:customStyle="1" w:styleId="Text3">
    <w:name w:val="Text 3"/>
    <w:basedOn w:val="Normal"/>
    <w:qFormat/>
    <w:pPr>
      <w:spacing w:after="240" w:line="240" w:lineRule="auto"/>
      <w:ind w:left="1202"/>
      <w:jc w:val="both"/>
    </w:pPr>
    <w:rPr>
      <w:rFonts w:ascii="Times New Roman" w:eastAsia="Times New Roman" w:hAnsi="Times New Roman" w:cs="Times New Roman"/>
      <w:sz w:val="24"/>
      <w:szCs w:val="20"/>
    </w:rPr>
  </w:style>
  <w:style w:type="paragraph" w:customStyle="1" w:styleId="Text4">
    <w:name w:val="Text 4"/>
    <w:basedOn w:val="Normal"/>
    <w:qFormat/>
    <w:pPr>
      <w:spacing w:after="240" w:line="240" w:lineRule="auto"/>
      <w:ind w:left="1202"/>
      <w:jc w:val="both"/>
    </w:pPr>
    <w:rPr>
      <w:rFonts w:ascii="Times New Roman" w:eastAsia="Times New Roman" w:hAnsi="Times New Roman" w:cs="Times New Roman"/>
      <w:sz w:val="24"/>
      <w:szCs w:val="20"/>
    </w:rPr>
  </w:style>
  <w:style w:type="paragraph" w:styleId="TOC1">
    <w:name w:val="toc 1"/>
    <w:basedOn w:val="Normal"/>
    <w:next w:val="Normal"/>
    <w:semiHidden/>
    <w:pPr>
      <w:tabs>
        <w:tab w:val="right" w:leader="dot" w:pos="8640"/>
      </w:tabs>
      <w:spacing w:before="120" w:after="120" w:line="240" w:lineRule="auto"/>
      <w:ind w:left="482" w:right="720" w:hanging="482"/>
      <w:jc w:val="both"/>
    </w:pPr>
    <w:rPr>
      <w:rFonts w:ascii="Times New Roman" w:eastAsia="Times New Roman" w:hAnsi="Times New Roman" w:cs="Times New Roman"/>
      <w:sz w:val="24"/>
      <w:szCs w:val="20"/>
    </w:rPr>
  </w:style>
  <w:style w:type="paragraph" w:styleId="TOC2">
    <w:name w:val="toc 2"/>
    <w:basedOn w:val="Normal"/>
    <w:next w:val="Normal"/>
    <w:semiHidden/>
    <w:pPr>
      <w:tabs>
        <w:tab w:val="right" w:leader="dot" w:pos="8640"/>
      </w:tabs>
      <w:spacing w:before="60" w:after="60" w:line="240" w:lineRule="auto"/>
      <w:ind w:left="1077" w:right="720" w:hanging="595"/>
      <w:jc w:val="both"/>
    </w:pPr>
    <w:rPr>
      <w:rFonts w:ascii="Times New Roman" w:eastAsia="Times New Roman" w:hAnsi="Times New Roman" w:cs="Times New Roman"/>
      <w:noProof/>
      <w:sz w:val="24"/>
      <w:szCs w:val="20"/>
    </w:rPr>
  </w:style>
  <w:style w:type="paragraph" w:styleId="TOC3">
    <w:name w:val="toc 3"/>
    <w:basedOn w:val="Normal"/>
    <w:next w:val="Normal"/>
    <w:semiHidden/>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rPr>
  </w:style>
  <w:style w:type="paragraph" w:styleId="TOC4">
    <w:name w:val="toc 4"/>
    <w:basedOn w:val="Normal"/>
    <w:next w:val="Normal"/>
    <w:semiHidden/>
    <w:pPr>
      <w:tabs>
        <w:tab w:val="right" w:leader="dot" w:pos="8640"/>
      </w:tabs>
      <w:spacing w:before="60" w:after="60" w:line="240" w:lineRule="auto"/>
      <w:ind w:left="2880" w:right="720" w:hanging="964"/>
      <w:jc w:val="both"/>
    </w:pPr>
    <w:rPr>
      <w:rFonts w:ascii="Times New Roman" w:eastAsia="Times New Roman" w:hAnsi="Times New Roman" w:cs="Times New Roman"/>
      <w:noProof/>
      <w:sz w:val="24"/>
      <w:szCs w:val="20"/>
    </w:rPr>
  </w:style>
  <w:style w:type="paragraph" w:styleId="TOC5">
    <w:name w:val="toc 5"/>
    <w:basedOn w:val="Normal"/>
    <w:next w:val="Normal"/>
    <w:semiHidden/>
    <w:pPr>
      <w:tabs>
        <w:tab w:val="right" w:leader="dot" w:pos="8640"/>
      </w:tabs>
      <w:spacing w:before="240" w:after="120" w:line="240" w:lineRule="auto"/>
      <w:ind w:right="720"/>
      <w:jc w:val="both"/>
    </w:pPr>
    <w:rPr>
      <w:rFonts w:ascii="Times New Roman" w:eastAsia="Times New Roman" w:hAnsi="Times New Roman" w:cs="Times New Roman"/>
      <w:caps/>
      <w:sz w:val="24"/>
      <w:szCs w:val="20"/>
    </w:rPr>
  </w:style>
  <w:style w:type="paragraph" w:styleId="TOC6">
    <w:name w:val="toc 6"/>
    <w:basedOn w:val="Normal"/>
    <w:next w:val="Normal"/>
    <w:semiHidden/>
    <w:pPr>
      <w:tabs>
        <w:tab w:val="right" w:leader="dot" w:pos="8640"/>
        <w:tab w:val="left" w:pos="2880"/>
      </w:tabs>
      <w:spacing w:before="120" w:after="120" w:line="240" w:lineRule="auto"/>
      <w:ind w:left="1916" w:right="720" w:hanging="1916"/>
      <w:jc w:val="both"/>
    </w:pPr>
    <w:rPr>
      <w:rFonts w:ascii="Times New Roman" w:eastAsia="Times New Roman" w:hAnsi="Times New Roman" w:cs="Times New Roman"/>
      <w:caps/>
      <w:sz w:val="24"/>
      <w:szCs w:val="20"/>
    </w:rPr>
  </w:style>
  <w:style w:type="paragraph" w:styleId="TOC7">
    <w:name w:val="toc 7"/>
    <w:basedOn w:val="Normal"/>
    <w:next w:val="Normal"/>
    <w:semiHidden/>
    <w:pPr>
      <w:tabs>
        <w:tab w:val="right" w:leader="dot" w:pos="8640"/>
      </w:tabs>
      <w:spacing w:after="240" w:line="240" w:lineRule="auto"/>
      <w:jc w:val="both"/>
    </w:pPr>
    <w:rPr>
      <w:rFonts w:ascii="Times New Roman" w:eastAsia="Times New Roman" w:hAnsi="Times New Roman" w:cs="Times New Roman"/>
      <w:sz w:val="24"/>
      <w:szCs w:val="20"/>
    </w:rPr>
  </w:style>
  <w:style w:type="paragraph" w:styleId="TOC8">
    <w:name w:val="toc 8"/>
    <w:basedOn w:val="Normal"/>
    <w:next w:val="Normal"/>
    <w:semiHidden/>
    <w:pPr>
      <w:tabs>
        <w:tab w:val="right" w:leader="dot" w:pos="8640"/>
      </w:tabs>
      <w:spacing w:after="240" w:line="240" w:lineRule="auto"/>
      <w:jc w:val="both"/>
    </w:pPr>
    <w:rPr>
      <w:rFonts w:ascii="Times New Roman" w:eastAsia="Times New Roman" w:hAnsi="Times New Roman" w:cs="Times New Roman"/>
      <w:sz w:val="24"/>
      <w:szCs w:val="20"/>
    </w:rPr>
  </w:style>
  <w:style w:type="paragraph" w:styleId="TOC9">
    <w:name w:val="toc 9"/>
    <w:basedOn w:val="Normal"/>
    <w:next w:val="Normal"/>
    <w:semiHidden/>
    <w:pPr>
      <w:tabs>
        <w:tab w:val="right" w:leader="dot" w:pos="8640"/>
      </w:tabs>
      <w:spacing w:after="240" w:line="240" w:lineRule="auto"/>
      <w:jc w:val="both"/>
    </w:pPr>
    <w:rPr>
      <w:rFonts w:ascii="Times New Roman" w:eastAsia="Times New Roman" w:hAnsi="Times New Roman" w:cs="Times New Roman"/>
      <w:sz w:val="24"/>
      <w:szCs w:val="20"/>
    </w:rPr>
  </w:style>
  <w:style w:type="paragraph" w:styleId="TOCHeading">
    <w:name w:val="TOC Heading"/>
    <w:basedOn w:val="Normal"/>
    <w:next w:val="Normal"/>
    <w:semiHidden/>
    <w:pPr>
      <w:spacing w:before="240" w:after="240" w:line="240" w:lineRule="auto"/>
      <w:jc w:val="center"/>
    </w:pPr>
    <w:rPr>
      <w:rFonts w:ascii="Times New Roman Bold" w:eastAsia="Times New Roman" w:hAnsi="Times New Roman Bold" w:cs="Times New Roman"/>
      <w:b/>
      <w:caps/>
      <w:sz w:val="24"/>
      <w:szCs w:val="20"/>
    </w:rPr>
  </w:style>
  <w:style w:type="paragraph" w:customStyle="1" w:styleId="TrsSecretUE">
    <w:name w:val="Très Secret UE"/>
    <w:basedOn w:val="Normal"/>
    <w:semiHidden/>
    <w:pPr>
      <w:spacing w:after="0" w:line="240" w:lineRule="auto"/>
      <w:jc w:val="center"/>
    </w:pPr>
    <w:rPr>
      <w:rFonts w:ascii="Times New Roman" w:eastAsia="Times New Roman" w:hAnsi="Times New Roman" w:cs="Times New Roman"/>
      <w:b/>
      <w:caps/>
      <w:color w:val="FF0000"/>
      <w:sz w:val="32"/>
      <w:szCs w:val="20"/>
      <w:bdr w:val="single" w:sz="18" w:space="0" w:color="FF0000"/>
    </w:rPr>
  </w:style>
  <w:style w:type="paragraph" w:customStyle="1" w:styleId="ZCom">
    <w:name w:val="Z_Com"/>
    <w:basedOn w:val="Normal"/>
    <w:next w:val="ZDGName"/>
    <w:semiHidden/>
    <w:pPr>
      <w:widowControl w:val="0"/>
      <w:spacing w:before="90" w:after="0" w:line="240" w:lineRule="auto"/>
      <w:ind w:right="85"/>
    </w:pPr>
    <w:rPr>
      <w:rFonts w:ascii="Times New Roman" w:eastAsia="Times New Roman" w:hAnsi="Times New Roman" w:cs="Times New Roman"/>
      <w:sz w:val="24"/>
      <w:szCs w:val="20"/>
    </w:rPr>
  </w:style>
  <w:style w:type="paragraph" w:customStyle="1" w:styleId="ZDGName">
    <w:name w:val="Z_DGName"/>
    <w:basedOn w:val="Normal"/>
    <w:semiHidden/>
    <w:pPr>
      <w:widowControl w:val="0"/>
      <w:spacing w:after="0" w:line="240" w:lineRule="auto"/>
      <w:ind w:right="85"/>
    </w:pPr>
    <w:rPr>
      <w:rFonts w:ascii="Times New Roman" w:eastAsia="Times New Roman" w:hAnsi="Times New Roman" w:cs="Times New Roman"/>
      <w:sz w:val="16"/>
      <w:szCs w:val="20"/>
    </w:rPr>
  </w:style>
  <w:style w:type="paragraph" w:customStyle="1" w:styleId="ZFlag">
    <w:name w:val="Z_Flag"/>
    <w:basedOn w:val="Normal"/>
    <w:next w:val="Normal"/>
    <w:semiHidden/>
    <w:pPr>
      <w:widowControl w:val="0"/>
      <w:spacing w:after="0" w:line="240" w:lineRule="auto"/>
      <w:ind w:right="85"/>
      <w:jc w:val="both"/>
    </w:pPr>
    <w:rPr>
      <w:rFonts w:ascii="Times New Roman" w:eastAsia="Times New Roman" w:hAnsi="Times New Roman" w:cs="Times New Roman"/>
      <w:sz w:val="24"/>
      <w:szCs w:val="20"/>
    </w:rPr>
  </w:style>
  <w:style w:type="table" w:customStyle="1" w:styleId="EurolookClassicBlue">
    <w:name w:val="Eurolook Classic Blue"/>
    <w:basedOn w:val="TableNormal"/>
    <w:uiPriority w:val="80"/>
    <w:pPr>
      <w:spacing w:after="240" w:line="240" w:lineRule="auto"/>
    </w:pPr>
    <w:rPr>
      <w:rFonts w:ascii="Times New Roman" w:eastAsia="Times New Roman" w:hAnsi="Times New Roman" w:cs="Times New Roman"/>
      <w:sz w:val="24"/>
      <w:szCs w:val="20"/>
      <w:lang w:val="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line="240" w:lineRule="auto"/>
    </w:pPr>
    <w:rPr>
      <w:rFonts w:ascii="Times New Roman" w:eastAsia="Times New Roman" w:hAnsi="Times New Roman" w:cs="Times New Roman"/>
      <w:sz w:val="24"/>
      <w:szCs w:val="20"/>
      <w:lang w:val="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line="240" w:lineRule="auto"/>
    </w:pPr>
    <w:rPr>
      <w:rFonts w:ascii="Times New Roman" w:eastAsia="Times New Roman" w:hAnsi="Times New Roman" w:cs="Times New Roman"/>
      <w:sz w:val="24"/>
      <w:szCs w:val="20"/>
      <w:lang w:val="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line="240" w:lineRule="auto"/>
    </w:pPr>
    <w:rPr>
      <w:rFonts w:ascii="Times New Roman" w:eastAsia="Times New Roman" w:hAnsi="Times New Roman" w:cs="Times New Roman"/>
      <w:sz w:val="24"/>
      <w:szCs w:val="20"/>
      <w:lang w:val="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line="240" w:lineRule="auto"/>
    </w:pPr>
    <w:rPr>
      <w:rFonts w:ascii="Times New Roman" w:eastAsia="Times New Roman" w:hAnsi="Times New Roman" w:cs="Times New Roman"/>
      <w:sz w:val="24"/>
      <w:szCs w:val="20"/>
      <w:lang w:val="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line="240" w:lineRule="auto"/>
    </w:pPr>
    <w:rPr>
      <w:rFonts w:ascii="Times New Roman" w:eastAsia="Times New Roman" w:hAnsi="Times New Roman" w:cs="Times New Roman"/>
      <w:sz w:val="24"/>
      <w:szCs w:val="20"/>
      <w:lang w:val="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line="240" w:lineRule="auto"/>
    </w:pPr>
    <w:rPr>
      <w:rFonts w:ascii="Times New Roman" w:eastAsia="Times New Roman" w:hAnsi="Times New Roman" w:cs="Times New Roman"/>
      <w:sz w:val="24"/>
      <w:szCs w:val="20"/>
      <w:lang w:val="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line="240" w:lineRule="auto"/>
    </w:pPr>
    <w:rPr>
      <w:rFonts w:ascii="Times New Roman" w:eastAsia="Times New Roman" w:hAnsi="Times New Roman" w:cs="Times New Roman"/>
      <w:sz w:val="24"/>
      <w:szCs w:val="20"/>
      <w:lang w:val="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line="240" w:lineRule="auto"/>
    </w:pPr>
    <w:rPr>
      <w:rFonts w:ascii="Times New Roman" w:eastAsia="Times New Roman" w:hAnsi="Times New Roman" w:cs="Times New Roman"/>
      <w:sz w:val="24"/>
      <w:szCs w:val="20"/>
      <w:lang w:val="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line="240" w:lineRule="auto"/>
    </w:pPr>
    <w:rPr>
      <w:rFonts w:ascii="Times New Roman" w:eastAsia="Times New Roman" w:hAnsi="Times New Roman" w:cs="Times New Roman"/>
      <w:sz w:val="24"/>
      <w:szCs w:val="20"/>
      <w:lang w:val="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line="240" w:lineRule="auto"/>
    </w:pPr>
    <w:rPr>
      <w:rFonts w:ascii="Times New Roman" w:eastAsia="Times New Roman" w:hAnsi="Times New Roman" w:cs="Times New Roman"/>
      <w:sz w:val="24"/>
      <w:szCs w:val="20"/>
      <w:lang w:val="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line="240" w:lineRule="auto"/>
    </w:pPr>
    <w:rPr>
      <w:rFonts w:ascii="Times New Roman" w:eastAsia="Times New Roman" w:hAnsi="Times New Roman" w:cs="Times New Roman"/>
      <w:sz w:val="24"/>
      <w:szCs w:val="20"/>
      <w:lang w:val="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line="240" w:lineRule="auto"/>
    </w:pPr>
    <w:rPr>
      <w:rFonts w:ascii="Times New Roman" w:eastAsia="Times New Roman" w:hAnsi="Times New Roman" w:cs="Times New Roman"/>
      <w:sz w:val="24"/>
      <w:szCs w:val="20"/>
      <w:lang w:val="en-GB"/>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pPr>
      <w:spacing w:after="0" w:line="240" w:lineRule="auto"/>
    </w:pPr>
    <w:rPr>
      <w:rFonts w:ascii="Times New Roman" w:eastAsia="Times New Roman" w:hAnsi="Times New Roman" w:cs="Times New Roman"/>
      <w:sz w:val="24"/>
      <w:szCs w:val="20"/>
      <w:lang w:val="en-GB"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pPr>
      <w:spacing w:after="0" w:line="240" w:lineRule="auto"/>
    </w:pPr>
    <w:rPr>
      <w:rFonts w:ascii="Times New Roman" w:eastAsia="Times New Roman" w:hAnsi="Times New Roman" w:cs="Times New Roman"/>
      <w:sz w:val="24"/>
      <w:szCs w:val="20"/>
      <w:lang w:val="en-GB"/>
    </w:rPr>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pPr>
      <w:spacing w:after="0" w:line="240" w:lineRule="auto"/>
    </w:pPr>
    <w:rPr>
      <w:rFonts w:ascii="Times New Roman" w:eastAsia="Times New Roman" w:hAnsi="Times New Roman" w:cs="Times New Roman"/>
      <w:sz w:val="24"/>
      <w:szCs w:val="20"/>
      <w:lang w:val="en-GB"/>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rFonts w:ascii="Times New Roman" w:eastAsia="Times New Roman" w:hAnsi="Times New Roman" w:cs="Times New Roman"/>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pPr>
      <w:spacing w:after="0" w:line="240" w:lineRule="auto"/>
    </w:pPr>
    <w:rPr>
      <w:rFonts w:ascii="Times New Roman" w:eastAsia="Times New Roman" w:hAnsi="Times New Roman" w:cs="Times New Roman"/>
      <w:sz w:val="24"/>
      <w:szCs w:val="20"/>
      <w:lang w:val="en-GB"/>
    </w:rPr>
    <w:tblPr>
      <w:tblCellMar>
        <w:left w:w="0" w:type="dxa"/>
        <w:bottom w:w="340" w:type="dxa"/>
        <w:right w:w="0" w:type="dxa"/>
      </w:tblCellMar>
    </w:tblPr>
  </w:style>
  <w:style w:type="paragraph" w:customStyle="1" w:styleId="Annex111">
    <w:name w:val="Annex1.1.1"/>
    <w:basedOn w:val="Heading3"/>
    <w:uiPriority w:val="1"/>
    <w:pPr>
      <w:keepLines w:val="0"/>
      <w:numPr>
        <w:ilvl w:val="2"/>
        <w:numId w:val="23"/>
      </w:numPr>
      <w:spacing w:before="240" w:after="60" w:line="280" w:lineRule="exact"/>
      <w:ind w:left="0" w:firstLine="0"/>
      <w:jc w:val="both"/>
    </w:pPr>
    <w:rPr>
      <w:rFonts w:ascii="EC Square Sans Pro" w:eastAsia="Arial Unicode MS" w:hAnsi="EC Square Sans Pro" w:cs="Open Sans Condensed"/>
      <w:b/>
      <w:color w:val="156082" w:themeColor="accent1"/>
      <w:sz w:val="24"/>
      <w:szCs w:val="22"/>
      <w:lang w:eastAsia="de-DE"/>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Anx4">
    <w:name w:val="Anx4"/>
    <w:basedOn w:val="Heading4"/>
    <w:link w:val="Anx4Car"/>
    <w:uiPriority w:val="1"/>
    <w:qFormat/>
    <w:pPr>
      <w:keepLines w:val="0"/>
      <w:numPr>
        <w:ilvl w:val="3"/>
        <w:numId w:val="25"/>
      </w:numPr>
      <w:spacing w:before="240" w:after="60" w:line="280" w:lineRule="exact"/>
      <w:ind w:left="0" w:firstLine="0"/>
      <w:jc w:val="both"/>
    </w:pPr>
    <w:rPr>
      <w:rFonts w:ascii="EC Square Sans Pro" w:eastAsia="Arial Unicode MS" w:hAnsi="EC Square Sans Pro" w:cs="Open Sans Condensed"/>
      <w:b/>
      <w:bCs/>
      <w:i w:val="0"/>
      <w:iCs w:val="0"/>
      <w:noProof/>
      <w:szCs w:val="20"/>
      <w:lang w:eastAsia="de-DE"/>
    </w:rPr>
  </w:style>
  <w:style w:type="paragraph" w:customStyle="1" w:styleId="Anx1">
    <w:name w:val="Anx1"/>
    <w:basedOn w:val="Heading1"/>
    <w:uiPriority w:val="1"/>
    <w:qFormat/>
    <w:pPr>
      <w:keepNext w:val="0"/>
      <w:keepLines w:val="0"/>
      <w:numPr>
        <w:numId w:val="25"/>
      </w:numPr>
      <w:tabs>
        <w:tab w:val="left" w:pos="426"/>
        <w:tab w:val="right" w:leader="dot" w:pos="9629"/>
      </w:tabs>
      <w:spacing w:before="240" w:after="240" w:line="240" w:lineRule="auto"/>
      <w:ind w:left="0" w:firstLine="0"/>
      <w:contextualSpacing/>
    </w:pPr>
    <w:rPr>
      <w:rFonts w:ascii="EC Square Sans Pro" w:eastAsia="Times New Roman" w:hAnsi="EC Square Sans Pro" w:cs="Open Sans Condensed"/>
      <w:b/>
      <w:bCs/>
      <w:noProof/>
      <w:color w:val="156082" w:themeColor="accent1"/>
      <w:lang w:eastAsia="fr-FR"/>
    </w:rPr>
  </w:style>
  <w:style w:type="paragraph" w:customStyle="1" w:styleId="Anx2">
    <w:name w:val="Anx2"/>
    <w:basedOn w:val="Heading2"/>
    <w:uiPriority w:val="1"/>
    <w:qFormat/>
    <w:pPr>
      <w:keepLines w:val="0"/>
      <w:numPr>
        <w:ilvl w:val="1"/>
        <w:numId w:val="25"/>
      </w:numPr>
      <w:spacing w:before="240" w:after="120" w:line="280" w:lineRule="exact"/>
      <w:ind w:left="0" w:firstLine="0"/>
      <w:contextualSpacing/>
    </w:pPr>
    <w:rPr>
      <w:rFonts w:ascii="EC Square Sans Pro" w:eastAsia="Arial Unicode MS" w:hAnsi="EC Square Sans Pro" w:cs="Open Sans Condensed"/>
      <w:b/>
      <w:color w:val="E97132" w:themeColor="accent2"/>
      <w:sz w:val="26"/>
      <w:szCs w:val="24"/>
      <w:lang w:eastAsia="de-DE"/>
    </w:rPr>
  </w:style>
  <w:style w:type="paragraph" w:customStyle="1" w:styleId="Anx3">
    <w:name w:val="Anx3"/>
    <w:basedOn w:val="Heading3"/>
    <w:uiPriority w:val="1"/>
    <w:qFormat/>
    <w:pPr>
      <w:keepLines w:val="0"/>
      <w:numPr>
        <w:ilvl w:val="2"/>
        <w:numId w:val="25"/>
      </w:numPr>
      <w:spacing w:before="240" w:after="60" w:line="280" w:lineRule="exact"/>
      <w:ind w:left="0" w:firstLine="0"/>
      <w:jc w:val="both"/>
    </w:pPr>
    <w:rPr>
      <w:rFonts w:ascii="EC Square Sans Pro" w:eastAsia="Arial Unicode MS" w:hAnsi="EC Square Sans Pro" w:cs="Open Sans Condensed"/>
      <w:b/>
      <w:bCs/>
      <w:color w:val="156082" w:themeColor="accent1"/>
      <w:sz w:val="24"/>
      <w:szCs w:val="22"/>
      <w:lang w:eastAsia="de-DE"/>
    </w:rPr>
  </w:style>
  <w:style w:type="character" w:customStyle="1" w:styleId="texttitle1">
    <w:name w:val="texttitle1"/>
    <w:basedOn w:val="DefaultParagraphFont"/>
    <w:rPr>
      <w:b/>
      <w:bCs/>
      <w:color w:val="006699"/>
    </w:rPr>
  </w:style>
  <w:style w:type="character" w:customStyle="1" w:styleId="Anx4Car">
    <w:name w:val="Anx4 Car"/>
    <w:basedOn w:val="Heading4Char"/>
    <w:link w:val="Anx4"/>
    <w:uiPriority w:val="1"/>
    <w:rPr>
      <w:rFonts w:ascii="EC Square Sans Pro" w:eastAsia="Arial Unicode MS" w:hAnsi="EC Square Sans Pro" w:cs="Open Sans Condensed"/>
      <w:b/>
      <w:bCs/>
      <w:i w:val="0"/>
      <w:iCs w:val="0"/>
      <w:noProof/>
      <w:color w:val="0F4761" w:themeColor="accent1" w:themeShade="BF"/>
      <w:szCs w:val="20"/>
      <w:lang w:val="en-GB" w:eastAsia="de-DE"/>
    </w:rPr>
  </w:style>
  <w:style w:type="paragraph" w:customStyle="1" w:styleId="Graphtablesub-title">
    <w:name w:val="Graph/table sub-title"/>
    <w:basedOn w:val="Caption"/>
    <w:link w:val="Graphtablesub-titleCar"/>
    <w:autoRedefine/>
    <w:qFormat/>
    <w:pPr>
      <w:keepNext/>
      <w:spacing w:before="0" w:after="0" w:line="240" w:lineRule="exact"/>
      <w:contextualSpacing/>
      <w:jc w:val="left"/>
    </w:pPr>
    <w:rPr>
      <w:rFonts w:ascii="EC Square Sans Pro" w:hAnsi="EC Square Sans Pro" w:cs="Open Sans Condensed"/>
      <w:i w:val="0"/>
      <w:noProof/>
      <w:color w:val="595959" w:themeColor="text1" w:themeTint="A6"/>
      <w:sz w:val="16"/>
      <w:szCs w:val="16"/>
      <w:lang w:eastAsia="de-DE"/>
    </w:rPr>
  </w:style>
  <w:style w:type="character" w:customStyle="1" w:styleId="Graphtablesub-titleCar">
    <w:name w:val="Graph/table sub-title Car"/>
    <w:basedOn w:val="DefaultParagraphFont"/>
    <w:link w:val="Graphtablesub-title"/>
    <w:rPr>
      <w:rFonts w:ascii="EC Square Sans Pro" w:eastAsia="Times New Roman" w:hAnsi="EC Square Sans Pro" w:cs="Open Sans Condensed"/>
      <w:noProof/>
      <w:color w:val="595959" w:themeColor="text1" w:themeTint="A6"/>
      <w:sz w:val="16"/>
      <w:szCs w:val="16"/>
      <w:lang w:val="en-GB" w:eastAsia="de-DE"/>
    </w:rPr>
  </w:style>
  <w:style w:type="paragraph" w:customStyle="1" w:styleId="Box">
    <w:name w:val="Box"/>
    <w:basedOn w:val="Normal"/>
    <w:link w:val="BoxCar"/>
    <w:qFormat/>
    <w:pPr>
      <w:pBdr>
        <w:top w:val="single" w:sz="4" w:space="1" w:color="auto"/>
        <w:left w:val="single" w:sz="4" w:space="4" w:color="auto"/>
        <w:bottom w:val="single" w:sz="4" w:space="1" w:color="auto"/>
        <w:right w:val="single" w:sz="4" w:space="4" w:color="auto"/>
      </w:pBdr>
      <w:shd w:val="clear" w:color="auto" w:fill="DDF4FF"/>
      <w:overflowPunct w:val="0"/>
      <w:autoSpaceDE w:val="0"/>
      <w:autoSpaceDN w:val="0"/>
      <w:adjustRightInd w:val="0"/>
      <w:spacing w:before="240" w:after="0" w:line="280" w:lineRule="exact"/>
      <w:ind w:right="6"/>
      <w:textAlignment w:val="baseline"/>
    </w:pPr>
    <w:rPr>
      <w:rFonts w:ascii="EC Square Sans Pro" w:eastAsia="Times New Roman" w:hAnsi="EC Square Sans Pro" w:cs="Consolas"/>
      <w:sz w:val="21"/>
      <w:szCs w:val="21"/>
      <w:lang w:eastAsia="de-DE"/>
    </w:rPr>
  </w:style>
  <w:style w:type="character" w:customStyle="1" w:styleId="BoxCar">
    <w:name w:val="Box Car"/>
    <w:basedOn w:val="TextCar"/>
    <w:link w:val="Box"/>
    <w:rPr>
      <w:rFonts w:ascii="EC Square Sans Pro" w:eastAsia="Times New Roman" w:hAnsi="EC Square Sans Pro" w:cs="Consolas"/>
      <w:sz w:val="21"/>
      <w:szCs w:val="21"/>
      <w:shd w:val="clear" w:color="auto" w:fill="DDF4FF"/>
      <w:lang w:val="en-GB" w:eastAsia="de-DE"/>
    </w:rPr>
  </w:style>
  <w:style w:type="character" w:customStyle="1" w:styleId="normaltextrun">
    <w:name w:val="normaltextrun"/>
    <w:basedOn w:val="DefaultParagraphFont"/>
  </w:style>
  <w:style w:type="character" w:styleId="EndnoteReference">
    <w:name w:val="endnote reference"/>
    <w:basedOn w:val="DefaultParagraphFont"/>
    <w:uiPriority w:val="99"/>
    <w:semiHidden/>
    <w:rPr>
      <w:vertAlign w:val="superscript"/>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image" Target="media/image10.emf"/><Relationship Id="rId39" Type="http://schemas.openxmlformats.org/officeDocument/2006/relationships/fontTable" Target="fontTable.xml"/><Relationship Id="rId21" Type="http://schemas.openxmlformats.org/officeDocument/2006/relationships/image" Target="media/image5.emf"/><Relationship Id="rId34"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emf"/><Relationship Id="rId33" Type="http://schemas.openxmlformats.org/officeDocument/2006/relationships/header" Target="header4.xml"/><Relationship Id="rId38"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29"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emf"/><Relationship Id="rId32" Type="http://schemas.openxmlformats.org/officeDocument/2006/relationships/image" Target="media/image16.emf"/><Relationship Id="rId37" Type="http://schemas.openxmlformats.org/officeDocument/2006/relationships/header" Target="header6.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emf"/><Relationship Id="rId28" Type="http://schemas.openxmlformats.org/officeDocument/2006/relationships/image" Target="media/image12.emf"/><Relationship Id="rId36"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emf"/><Relationship Id="rId31" Type="http://schemas.openxmlformats.org/officeDocument/2006/relationships/image" Target="media/image1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emf"/><Relationship Id="rId27" Type="http://schemas.openxmlformats.org/officeDocument/2006/relationships/image" Target="media/image11.emf"/><Relationship Id="rId30" Type="http://schemas.openxmlformats.org/officeDocument/2006/relationships/image" Target="media/image14.emf"/><Relationship Id="rId35"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databrowser/view/nrg_bal_c/default/table?lang=en&amp;category=nrg.nrg_quant.nrg_quanta.nrg_bal" TargetMode="External"/><Relationship Id="rId2" Type="http://schemas.openxmlformats.org/officeDocument/2006/relationships/hyperlink" Target="http://data.europa.eu/eli/C/2024/2807/oj" TargetMode="External"/><Relationship Id="rId1" Type="http://schemas.openxmlformats.org/officeDocument/2006/relationships/hyperlink" Target="http://data.europa.eu/eli/reg/2018/1999/oj" TargetMode="External"/><Relationship Id="rId6" Type="http://schemas.openxmlformats.org/officeDocument/2006/relationships/hyperlink" Target="https://commission.europa.eu/strategy-and-policy/strategy-documents/commission-work-programme/commission-work-programme-2026_en" TargetMode="External"/><Relationship Id="rId5" Type="http://schemas.openxmlformats.org/officeDocument/2006/relationships/hyperlink" Target="https://commission.europa.eu/document/download/eab354d1-64d2-450f-8ed4-eb3d42661974_en?filename=mission-letter-hoekstra.pdf" TargetMode="External"/><Relationship Id="rId4" Type="http://schemas.openxmlformats.org/officeDocument/2006/relationships/hyperlink" Target="https://commission.europa.eu/document/download/1c203799-0137-482e-bd18-4f6813535986_en?filename=Mission%20letter%20-%20JORGENS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FDF3D715AA394A9B15E0E0FAA07E37" ma:contentTypeVersion="17" ma:contentTypeDescription="Create a new document." ma:contentTypeScope="" ma:versionID="b8330829613b53f335f7595c4d309107">
  <xsd:schema xmlns:xsd="http://www.w3.org/2001/XMLSchema" xmlns:xs="http://www.w3.org/2001/XMLSchema" xmlns:p="http://schemas.microsoft.com/office/2006/metadata/properties" xmlns:ns1="http://schemas.microsoft.com/sharepoint/v3" xmlns:ns2="33e07890-6196-4e26-9dd2-53178dae8e48" xmlns:ns3="faa54b14-608b-44ba-8621-4287d9574b27" targetNamespace="http://schemas.microsoft.com/office/2006/metadata/properties" ma:root="true" ma:fieldsID="9416b5fa44ca29fcb915ba6edc63c09b" ns1:_="" ns2:_="" ns3:_="">
    <xsd:import namespace="http://schemas.microsoft.com/sharepoint/v3"/>
    <xsd:import namespace="33e07890-6196-4e26-9dd2-53178dae8e48"/>
    <xsd:import namespace="faa54b14-608b-44ba-8621-4287d9574b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e07890-6196-4e26-9dd2-53178dae8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a54b14-608b-44ba-8621-4287d9574b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e829834-dc43-4c00-a10e-52d3166c6bec}" ma:internalName="TaxCatchAll" ma:showField="CatchAllData" ma:web="faa54b14-608b-44ba-8621-4287d9574b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aa54b14-608b-44ba-8621-4287d9574b27" xsi:nil="true"/>
    <lcf76f155ced4ddcb4097134ff3c332f xmlns="33e07890-6196-4e26-9dd2-53178dae8e4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788864-6675-47EB-8AFF-8E4C9D7DD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e07890-6196-4e26-9dd2-53178dae8e48"/>
    <ds:schemaRef ds:uri="faa54b14-608b-44ba-8621-4287d9574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26E35F-FBF3-42AE-8D86-588B36E84DD2}">
  <ds:schemaRefs>
    <ds:schemaRef ds:uri="http://schemas.openxmlformats.org/officeDocument/2006/bibliography"/>
  </ds:schemaRefs>
</ds:datastoreItem>
</file>

<file path=customXml/itemProps3.xml><?xml version="1.0" encoding="utf-8"?>
<ds:datastoreItem xmlns:ds="http://schemas.openxmlformats.org/officeDocument/2006/customXml" ds:itemID="{07C858C6-3BCF-4465-8806-1BE4097FB299}">
  <ds:schemaRefs>
    <ds:schemaRef ds:uri="http://schemas.microsoft.com/office/2006/metadata/properties"/>
    <ds:schemaRef ds:uri="http://schemas.microsoft.com/office/infopath/2007/PartnerControls"/>
    <ds:schemaRef ds:uri="http://schemas.microsoft.com/sharepoint/v3"/>
    <ds:schemaRef ds:uri="faa54b14-608b-44ba-8621-4287d9574b27"/>
    <ds:schemaRef ds:uri="33e07890-6196-4e26-9dd2-53178dae8e48"/>
  </ds:schemaRefs>
</ds:datastoreItem>
</file>

<file path=customXml/itemProps4.xml><?xml version="1.0" encoding="utf-8"?>
<ds:datastoreItem xmlns:ds="http://schemas.openxmlformats.org/officeDocument/2006/customXml" ds:itemID="{05F39F40-BD59-4522-903C-DF7950ABFE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2892</Words>
  <Characters>16485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cp:revision>
  <dcterms:created xsi:type="dcterms:W3CDTF">2026-09-10T15:01:00Z</dcterms:created>
  <dcterms:modified xsi:type="dcterms:W3CDTF">2026-09-17T07:36:00Z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2026-07-09T10:14:01Z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80a048a5-f91b-465e-869a-5a93c0eb3d0c</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0x010100ECFDF3D715AA394A9B15E0E0FAA07E37</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