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2518F04-4967-483A-BCCC-EEB1E70F4C9F" style="width:455.25pt;height:271.5pt">
            <v:imagedata r:id="rId11" o:title=""/>
          </v:shape>
        </w:pict>
      </w:r>
    </w:p>
    <w:bookmarkEnd w:id="0"/>
    <w:p>
      <w:pPr>
        <w:rPr>
          <w:noProof/>
        </w:rPr>
        <w:sectPr>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pPr>
        <w:pStyle w:val="Heading1"/>
        <w:rPr>
          <w:noProof/>
        </w:rPr>
      </w:pPr>
      <w:r>
        <w:rPr>
          <w:noProof/>
        </w:rPr>
        <w:lastRenderedPageBreak/>
        <w:t>Introduction</w:t>
      </w:r>
    </w:p>
    <w:p>
      <w:pPr>
        <w:pStyle w:val="BodyText"/>
        <w:jc w:val="both"/>
        <w:rPr>
          <w:noProof/>
        </w:rPr>
      </w:pPr>
      <w:r>
        <w:rPr>
          <w:noProof/>
        </w:rPr>
        <w:t>Les subventions à l’énergie représentent une charge fiscale et un coût pour les budgets publics. Il est donc essentiel que les subventions à l’énergie soient bien conçues, bien dépensées et conformes aux objectifs stratégiques de l’UE visant à parvenir à une économie compétitive et juste, neutre en carbone, parallèlement à un approvisionnement sûr et propre en énergie d’ici à 2050.</w:t>
      </w:r>
    </w:p>
    <w:p>
      <w:pPr>
        <w:pStyle w:val="BodyText"/>
        <w:jc w:val="both"/>
        <w:rPr>
          <w:noProof/>
        </w:rPr>
      </w:pPr>
      <w:r>
        <w:rPr>
          <w:noProof/>
        </w:rPr>
        <w:t>Le présent rapport, qui couvre l’année 2024, est le septième rapport annuel sur les subventions à l’énergie et les progrès accomplis en vue de l’élimination progressive des subventions aux combustibles fossiles</w:t>
      </w:r>
      <w:r>
        <w:rPr>
          <w:rStyle w:val="FootnoteReference"/>
          <w:rFonts w:eastAsia="MS Mincho"/>
          <w:noProof/>
        </w:rPr>
        <w:footnoteReference w:id="1"/>
      </w:r>
      <w:r>
        <w:rPr>
          <w:noProof/>
        </w:rPr>
        <w:t>. Il confirme une baisse significative des subventions temporaires destinées à lutter contre les prix élevés de l’énergie qui ont résulté de la crise énergétique de 2022, un rebond des subventions aux énergies renouvelables, un soutien accru à l’efficacité énergétique et aux infrastructures et une réduction globale des subventions aux combustibles fossiles par rapport à 2023</w:t>
      </w:r>
      <w:r>
        <w:rPr>
          <w:rStyle w:val="FootnoteReference"/>
          <w:rFonts w:eastAsia="MS Mincho"/>
          <w:noProof/>
        </w:rPr>
        <w:footnoteReference w:id="2"/>
      </w:r>
      <w:r>
        <w:rPr>
          <w:noProof/>
        </w:rPr>
        <w:t>. Néanmoins, les dépenses des États membres consacrées aux subventions à l’énergie, notamment aux combustibles fossiles, restent élevées par rapport à la situation antérieure à la crise de 2022.</w:t>
      </w:r>
    </w:p>
    <w:p>
      <w:pPr>
        <w:pStyle w:val="BodyText"/>
        <w:jc w:val="both"/>
        <w:rPr>
          <w:noProof/>
        </w:rPr>
      </w:pPr>
      <w:r>
        <w:rPr>
          <w:noProof/>
        </w:rPr>
        <w:t>Les données figurant dans le présent rapport ne couvrent pas les évolutions plus récentes de 2025 et 2026, y compris les réponses des États membres au conflit au Moyen-Orient.</w:t>
      </w:r>
    </w:p>
    <w:p>
      <w:pPr>
        <w:pStyle w:val="BodyText"/>
        <w:pBdr>
          <w:top w:val="single" w:sz="4" w:space="1" w:color="auto"/>
          <w:left w:val="single" w:sz="4" w:space="4" w:color="auto"/>
          <w:bottom w:val="single" w:sz="4" w:space="1" w:color="auto"/>
          <w:right w:val="single" w:sz="4" w:space="4" w:color="auto"/>
        </w:pBdr>
        <w:jc w:val="both"/>
        <w:rPr>
          <w:b/>
          <w:bCs/>
          <w:i/>
          <w:iCs/>
          <w:noProof/>
        </w:rPr>
      </w:pPr>
      <w:bookmarkStart w:id="1" w:name="_Hlk223529024"/>
      <w:r>
        <w:rPr>
          <w:b/>
          <w:i/>
          <w:noProof/>
        </w:rPr>
        <w:t>Principales constatations</w:t>
      </w:r>
    </w:p>
    <w:p>
      <w:pPr>
        <w:pStyle w:val="BodyText"/>
        <w:pBdr>
          <w:top w:val="single" w:sz="4" w:space="1" w:color="auto"/>
          <w:left w:val="single" w:sz="4" w:space="4" w:color="auto"/>
          <w:bottom w:val="single" w:sz="4" w:space="1" w:color="auto"/>
          <w:right w:val="single" w:sz="4" w:space="4" w:color="auto"/>
        </w:pBdr>
        <w:jc w:val="both"/>
        <w:rPr>
          <w:noProof/>
        </w:rPr>
      </w:pPr>
      <w:r>
        <w:rPr>
          <w:noProof/>
        </w:rPr>
        <w:t xml:space="preserve">Le </w:t>
      </w:r>
      <w:r>
        <w:rPr>
          <w:i/>
          <w:iCs/>
          <w:noProof/>
        </w:rPr>
        <w:t>total des subventions à l’énergie</w:t>
      </w:r>
      <w:r>
        <w:rPr>
          <w:noProof/>
        </w:rPr>
        <w:t xml:space="preserve"> dans l’UE en 2024 s’élevait à 340 milliards d’EUR, soit une légère baisse (– 5 %) par rapport à 2023 (360 milliards d’EUR) et nettement moins (– 25 %) qu’en 2022, au plus fort de la crise (457 milliards d’EUR). Toutefois, elles sont restées nettement supérieures à la moyenne historique (190 milliards d’EUR en 2015-2019).</w:t>
      </w:r>
    </w:p>
    <w:p>
      <w:pPr>
        <w:pStyle w:val="BodyText"/>
        <w:pBdr>
          <w:top w:val="single" w:sz="4" w:space="1" w:color="auto"/>
          <w:left w:val="single" w:sz="4" w:space="4" w:color="auto"/>
          <w:bottom w:val="single" w:sz="4" w:space="1" w:color="auto"/>
          <w:right w:val="single" w:sz="4" w:space="4" w:color="auto"/>
        </w:pBdr>
        <w:jc w:val="both"/>
        <w:rPr>
          <w:noProof/>
        </w:rPr>
      </w:pPr>
      <w:bookmarkStart w:id="2" w:name="_Hlk223529256"/>
      <w:bookmarkEnd w:id="1"/>
      <w:r>
        <w:rPr>
          <w:noProof/>
        </w:rPr>
        <w:t xml:space="preserve">La part des </w:t>
      </w:r>
      <w:r>
        <w:rPr>
          <w:i/>
          <w:iCs/>
          <w:noProof/>
        </w:rPr>
        <w:t>subventions à l’énergie non ciblées</w:t>
      </w:r>
      <w:r>
        <w:rPr>
          <w:noProof/>
        </w:rPr>
        <w:t>, qui favorisent l’utilisation de tous les vecteurs énergétiques par l’ensemble des utilisateurs finaux de manière transsectorielle, est restée élevée, représentant près de la moitié de l’ensemble des subventions à l’énergie (48 %) et plus du double de la moyenne historique (21 % en 2015-2019).</w:t>
      </w:r>
    </w:p>
    <w:p>
      <w:pPr>
        <w:pStyle w:val="BodyText"/>
        <w:pBdr>
          <w:top w:val="single" w:sz="4" w:space="1" w:color="auto"/>
          <w:left w:val="single" w:sz="4" w:space="4" w:color="auto"/>
          <w:bottom w:val="single" w:sz="4" w:space="1" w:color="auto"/>
          <w:right w:val="single" w:sz="4" w:space="4" w:color="auto"/>
        </w:pBdr>
        <w:jc w:val="both"/>
        <w:rPr>
          <w:noProof/>
        </w:rPr>
      </w:pPr>
      <w:r>
        <w:rPr>
          <w:noProof/>
        </w:rPr>
        <w:t xml:space="preserve">Les </w:t>
      </w:r>
      <w:r>
        <w:rPr>
          <w:i/>
          <w:iCs/>
          <w:noProof/>
        </w:rPr>
        <w:t>mesures temporaires</w:t>
      </w:r>
      <w:r>
        <w:rPr>
          <w:noProof/>
        </w:rPr>
        <w:t xml:space="preserve"> visant à faire face aux prix élevés de l’énergie ont diminué en valeur de 38 % (pour atteindre 98 milliards d’EUR) en 2024 par rapport à 2023 et étaient inférieures à la moitié de leur valeur (– 55 %) par rapport à 2022 (219 milliards d’EUR), étant donné que les États membres ont mis fin à de nombreuses mesures de soutien de ce type en réponse à la baisse des prix de l’énergie après leurs pics historiques en 2022 et 2023. Toutefois, cela n’a toujours pas atteint l’objectif fixé par le Conseil de supprimer complètement les subventions liées à la crise énergétique d’ici à 2024</w:t>
      </w:r>
      <w:r>
        <w:rPr>
          <w:rStyle w:val="FootnoteReference"/>
          <w:rFonts w:eastAsia="MS Mincho"/>
          <w:noProof/>
        </w:rPr>
        <w:footnoteReference w:id="3"/>
      </w:r>
      <w:r>
        <w:rPr>
          <w:noProof/>
        </w:rPr>
        <w:t>.</w:t>
      </w:r>
    </w:p>
    <w:p>
      <w:pPr>
        <w:pStyle w:val="BodyText"/>
        <w:pBdr>
          <w:top w:val="single" w:sz="4" w:space="1" w:color="auto"/>
          <w:left w:val="single" w:sz="4" w:space="4" w:color="auto"/>
          <w:bottom w:val="single" w:sz="4" w:space="1" w:color="auto"/>
          <w:right w:val="single" w:sz="4" w:space="4" w:color="auto"/>
        </w:pBdr>
        <w:jc w:val="both"/>
        <w:rPr>
          <w:noProof/>
        </w:rPr>
      </w:pPr>
      <w:r>
        <w:rPr>
          <w:noProof/>
        </w:rPr>
        <w:lastRenderedPageBreak/>
        <w:t xml:space="preserve">Les </w:t>
      </w:r>
      <w:r>
        <w:rPr>
          <w:i/>
          <w:iCs/>
          <w:noProof/>
        </w:rPr>
        <w:t>subventions aux énergies renouvelables</w:t>
      </w:r>
      <w:r>
        <w:rPr>
          <w:noProof/>
        </w:rPr>
        <w:t xml:space="preserve"> ont rebondi pour atteindre 76 milliards d’EUR en 2024, ce qui représente une augmentation de 39 % en valeur par rapport à 2023 (55 milliards d’EUR), tout en restant inférieures d’environ 12 % à la moyenne de la période 2015-2021 (87 milliards d’EUR).</w:t>
      </w:r>
    </w:p>
    <w:p>
      <w:pPr>
        <w:pStyle w:val="BodyText"/>
        <w:pBdr>
          <w:top w:val="single" w:sz="4" w:space="1" w:color="auto"/>
          <w:left w:val="single" w:sz="4" w:space="4" w:color="auto"/>
          <w:bottom w:val="single" w:sz="4" w:space="1" w:color="auto"/>
          <w:right w:val="single" w:sz="4" w:space="4" w:color="auto"/>
        </w:pBdr>
        <w:jc w:val="both"/>
        <w:rPr>
          <w:noProof/>
        </w:rPr>
      </w:pPr>
      <w:r>
        <w:rPr>
          <w:noProof/>
        </w:rPr>
        <w:t xml:space="preserve">En 2024, les </w:t>
      </w:r>
      <w:r>
        <w:rPr>
          <w:i/>
          <w:iCs/>
          <w:noProof/>
        </w:rPr>
        <w:t>subventions aux combustibles fossiles</w:t>
      </w:r>
      <w:r>
        <w:rPr>
          <w:noProof/>
        </w:rPr>
        <w:t xml:space="preserve"> (SCF) s’élevaient à 97 milliards d’EUR, ce qui est nettement supérieur à la moyenne de 60 milliards d’EUR pour la période 2015-2019</w:t>
      </w:r>
      <w:r>
        <w:rPr>
          <w:rStyle w:val="FootnoteReference"/>
          <w:rFonts w:eastAsia="MS Mincho"/>
          <w:noProof/>
        </w:rPr>
        <w:footnoteReference w:id="4"/>
      </w:r>
      <w:r>
        <w:rPr>
          <w:noProof/>
        </w:rPr>
        <w:t>. Toutefois, en 2024, en raison de la suppression progressive de nombreuses mesures temporaires de crise, les SCF ont diminué de 20 % par rapport à 2023 (121 milliards d’EUR) et ont enregistré une baisse de 42 % par rapport à leur pic de 2022 (168 milliards d’EUR).</w:t>
      </w:r>
    </w:p>
    <w:p>
      <w:pPr>
        <w:pStyle w:val="BodyText"/>
        <w:pBdr>
          <w:top w:val="single" w:sz="4" w:space="1" w:color="auto"/>
          <w:left w:val="single" w:sz="4" w:space="4" w:color="auto"/>
          <w:bottom w:val="single" w:sz="4" w:space="1" w:color="auto"/>
          <w:right w:val="single" w:sz="4" w:space="4" w:color="auto"/>
        </w:pBdr>
        <w:jc w:val="both"/>
        <w:rPr>
          <w:noProof/>
        </w:rPr>
      </w:pPr>
      <w:bookmarkStart w:id="3" w:name="_Hlk223529804"/>
      <w:bookmarkEnd w:id="2"/>
      <w:r>
        <w:rPr>
          <w:noProof/>
        </w:rPr>
        <w:t>L’</w:t>
      </w:r>
      <w:r>
        <w:rPr>
          <w:i/>
          <w:iCs/>
          <w:noProof/>
        </w:rPr>
        <w:t>objectif des subventions à l’énergie</w:t>
      </w:r>
      <w:r>
        <w:rPr>
          <w:noProof/>
        </w:rPr>
        <w:t xml:space="preserve"> est resté avant tout de soutenir la consommation d’énergie (70 % du total des subventions à l’énergie, soit 238 milliards d’EUR en 2024), puis de soutenir la production d’énergie (24 %, soit 82 milliards d’EUR).</w:t>
      </w:r>
    </w:p>
    <w:bookmarkEnd w:id="3"/>
    <w:p>
      <w:pPr>
        <w:pStyle w:val="BodyText"/>
        <w:pBdr>
          <w:top w:val="single" w:sz="4" w:space="1" w:color="auto"/>
          <w:left w:val="single" w:sz="4" w:space="4" w:color="auto"/>
          <w:bottom w:val="single" w:sz="4" w:space="1" w:color="auto"/>
          <w:right w:val="single" w:sz="4" w:space="4" w:color="auto"/>
        </w:pBdr>
        <w:jc w:val="both"/>
        <w:rPr>
          <w:noProof/>
        </w:rPr>
      </w:pPr>
      <w:r>
        <w:rPr>
          <w:noProof/>
        </w:rPr>
        <w:t xml:space="preserve">En 2024, les </w:t>
      </w:r>
      <w:r>
        <w:rPr>
          <w:i/>
          <w:iCs/>
          <w:noProof/>
        </w:rPr>
        <w:t>subventions préjudiciables à l’environnement</w:t>
      </w:r>
      <w:r>
        <w:rPr>
          <w:noProof/>
        </w:rPr>
        <w:t xml:space="preserve"> ont diminué de 26 % pour atteindre 110 milliards d’EUR (32 % du total), tandis que les </w:t>
      </w:r>
      <w:r>
        <w:rPr>
          <w:i/>
          <w:iCs/>
          <w:noProof/>
        </w:rPr>
        <w:t>subventions à l’énergie non préjudiciables à l’environnement</w:t>
      </w:r>
      <w:r>
        <w:rPr>
          <w:noProof/>
        </w:rPr>
        <w:t xml:space="preserve"> ont augmenté de 10 % pour atteindre 230 milliards d’EUR (68 %). Les </w:t>
      </w:r>
      <w:r>
        <w:rPr>
          <w:i/>
          <w:iCs/>
          <w:noProof/>
        </w:rPr>
        <w:t>subventions aux combustibles fossiles</w:t>
      </w:r>
      <w:r>
        <w:rPr>
          <w:rStyle w:val="FootnoteReference"/>
          <w:rFonts w:eastAsia="MS Mincho"/>
          <w:iCs/>
          <w:noProof/>
        </w:rPr>
        <w:footnoteReference w:id="5"/>
      </w:r>
      <w:r>
        <w:rPr>
          <w:noProof/>
        </w:rPr>
        <w:t xml:space="preserve"> représentaient la majeure partie des </w:t>
      </w:r>
      <w:r>
        <w:rPr>
          <w:i/>
          <w:iCs/>
          <w:noProof/>
        </w:rPr>
        <w:t>subventions préjudiciables à l’environnement</w:t>
      </w:r>
      <w:r>
        <w:rPr>
          <w:noProof/>
        </w:rPr>
        <w:t xml:space="preserve"> (89 milliards d’EUR, soit 81 %).</w:t>
      </w:r>
    </w:p>
    <w:p>
      <w:pPr>
        <w:pStyle w:val="BodyText"/>
        <w:pBdr>
          <w:top w:val="single" w:sz="4" w:space="1" w:color="auto"/>
          <w:left w:val="single" w:sz="4" w:space="4" w:color="auto"/>
          <w:bottom w:val="single" w:sz="4" w:space="1" w:color="auto"/>
          <w:right w:val="single" w:sz="4" w:space="4" w:color="auto"/>
        </w:pBdr>
        <w:jc w:val="both"/>
        <w:rPr>
          <w:noProof/>
        </w:rPr>
      </w:pPr>
      <w:bookmarkStart w:id="4" w:name="_Hlk223529821"/>
      <w:r>
        <w:rPr>
          <w:noProof/>
        </w:rPr>
        <w:t xml:space="preserve">Selon les </w:t>
      </w:r>
      <w:r>
        <w:rPr>
          <w:i/>
          <w:iCs/>
          <w:noProof/>
        </w:rPr>
        <w:t>plans nationaux d’élimination progressive communiqués par les États membres en 2023 et 2024</w:t>
      </w:r>
      <w:r>
        <w:rPr>
          <w:rStyle w:val="FootnoteReference"/>
          <w:rFonts w:eastAsia="MS Mincho"/>
          <w:iCs/>
          <w:noProof/>
        </w:rPr>
        <w:footnoteReference w:id="6"/>
      </w:r>
      <w:r>
        <w:rPr>
          <w:noProof/>
        </w:rPr>
        <w:t>, moins de la moitié (39 % ou 38 milliards d’EUR) de l’ensemble des subventions aux combustibles fossiles avait une date de fin prévue avant 2025, 8 % (8 milliards d’EUR) avaient une date de fin prévue entre 2026 et 2030, tandis que les 52 % restants (50 milliards d’EUR) n’avaient aucune date de fin ou une date de fin fixée après 2030.</w:t>
      </w:r>
    </w:p>
    <w:bookmarkEnd w:id="4"/>
    <w:p>
      <w:pPr>
        <w:pStyle w:val="BodyText"/>
        <w:jc w:val="both"/>
        <w:rPr>
          <w:noProof/>
        </w:rPr>
      </w:pPr>
    </w:p>
    <w:p>
      <w:pPr>
        <w:pStyle w:val="Heading1"/>
        <w:pageBreakBefore/>
        <w:rPr>
          <w:noProof/>
        </w:rPr>
      </w:pPr>
      <w:r>
        <w:rPr>
          <w:noProof/>
        </w:rPr>
        <w:lastRenderedPageBreak/>
        <w:t>Tendances des subventions à l’énergie dans l’UE</w:t>
      </w:r>
    </w:p>
    <w:p>
      <w:pPr>
        <w:pStyle w:val="Bullet-1"/>
        <w:numPr>
          <w:ilvl w:val="0"/>
          <w:numId w:val="0"/>
        </w:numPr>
        <w:spacing w:after="200"/>
        <w:rPr>
          <w:noProof/>
          <w:sz w:val="24"/>
          <w:szCs w:val="24"/>
        </w:rPr>
      </w:pPr>
      <w:r>
        <w:rPr>
          <w:rFonts w:ascii="Times New Roman" w:hAnsi="Times New Roman"/>
          <w:noProof/>
          <w:sz w:val="24"/>
        </w:rPr>
        <w:t xml:space="preserve">En 2024, la valeur totale des </w:t>
      </w:r>
      <w:r>
        <w:rPr>
          <w:rFonts w:ascii="Times New Roman" w:hAnsi="Times New Roman"/>
          <w:b/>
          <w:bCs/>
          <w:noProof/>
          <w:sz w:val="24"/>
        </w:rPr>
        <w:t>subventions à l’énergie dans l’EU-27 a diminué</w:t>
      </w:r>
      <w:r>
        <w:rPr>
          <w:rFonts w:ascii="Times New Roman" w:hAnsi="Times New Roman"/>
          <w:noProof/>
          <w:sz w:val="24"/>
        </w:rPr>
        <w:t xml:space="preserve"> de 5 % pour s’établir à 340 milliards d’EUR, contre 358 milliards d’EUR en 2023. Il s’agissait de la deuxième année consécutive au cours de laquelle la valeur totale des subventions à l’énergie avait diminué, les ramenant à 25 % au-dessous de leur pic historique de 457 milliards d’EUR</w:t>
      </w:r>
      <w:r>
        <w:rPr>
          <w:rFonts w:ascii="Times New Roman" w:eastAsia="MS Mincho" w:hAnsi="Times New Roman"/>
          <w:noProof/>
          <w:sz w:val="24"/>
          <w:szCs w:val="24"/>
          <w:vertAlign w:val="superscript"/>
        </w:rPr>
        <w:footnoteReference w:id="7"/>
      </w:r>
      <w:r>
        <w:rPr>
          <w:rFonts w:ascii="Times New Roman" w:hAnsi="Times New Roman"/>
          <w:noProof/>
          <w:sz w:val="24"/>
        </w:rPr>
        <w:t xml:space="preserve"> atteint en 2022. Cette baisse reflète les décisions prises par plusieurs États membres de mettre fin aux mesures temporaires visant à protéger les ménages et l’activité économique contre la hausse des prix de l’énergie (</w:t>
      </w:r>
      <w:r>
        <w:rPr>
          <w:rFonts w:ascii="Times New Roman" w:hAnsi="Times New Roman"/>
          <w:noProof/>
          <w:color w:val="2B579A"/>
          <w:sz w:val="24"/>
          <w:shd w:val="clear" w:color="auto" w:fill="E6E6E6"/>
        </w:rPr>
        <w:fldChar w:fldCharType="begin"/>
      </w:r>
      <w:r>
        <w:rPr>
          <w:rFonts w:ascii="Times New Roman" w:hAnsi="Times New Roman"/>
          <w:noProof/>
          <w:sz w:val="24"/>
        </w:rPr>
        <w:instrText xml:space="preserve"> REF _Ref140835769 \h </w:instrText>
      </w:r>
      <w:r>
        <w:rPr>
          <w:rFonts w:ascii="Times New Roman" w:hAnsi="Times New Roman"/>
          <w:noProof/>
          <w:color w:val="2B579A"/>
          <w:sz w:val="24"/>
          <w:shd w:val="clear" w:color="auto" w:fill="E6E6E6"/>
        </w:rPr>
        <w:instrText xml:space="preserve"> \* MERGEFORMAT </w:instrText>
      </w:r>
      <w:r>
        <w:rPr>
          <w:rFonts w:ascii="Times New Roman" w:hAnsi="Times New Roman"/>
          <w:noProof/>
          <w:color w:val="2B579A"/>
          <w:sz w:val="24"/>
          <w:shd w:val="clear" w:color="auto" w:fill="E6E6E6"/>
        </w:rPr>
      </w:r>
      <w:r>
        <w:rPr>
          <w:rFonts w:ascii="Times New Roman" w:hAnsi="Times New Roman"/>
          <w:noProof/>
          <w:color w:val="2B579A"/>
          <w:sz w:val="24"/>
          <w:shd w:val="clear" w:color="auto" w:fill="E6E6E6"/>
        </w:rPr>
        <w:fldChar w:fldCharType="separate"/>
      </w:r>
      <w:r>
        <w:rPr>
          <w:rFonts w:ascii="Times New Roman" w:hAnsi="Times New Roman"/>
          <w:noProof/>
          <w:sz w:val="24"/>
        </w:rPr>
        <w:t>Figure 1</w:t>
      </w:r>
      <w:r>
        <w:rPr>
          <w:rFonts w:ascii="Times New Roman" w:hAnsi="Times New Roman"/>
          <w:noProof/>
          <w:color w:val="2B579A"/>
          <w:sz w:val="24"/>
          <w:shd w:val="clear" w:color="auto" w:fill="E6E6E6"/>
        </w:rPr>
        <w:fldChar w:fldCharType="end"/>
      </w:r>
      <w:r>
        <w:rPr>
          <w:rFonts w:ascii="Times New Roman" w:hAnsi="Times New Roman"/>
          <w:noProof/>
          <w:sz w:val="24"/>
        </w:rPr>
        <w:t xml:space="preserve">). Toutefois, la valeur totale des subventions à l’énergie est restée nettement </w:t>
      </w:r>
      <w:r>
        <w:rPr>
          <w:rFonts w:ascii="Times New Roman" w:hAnsi="Times New Roman"/>
          <w:b/>
          <w:bCs/>
          <w:noProof/>
          <w:sz w:val="24"/>
        </w:rPr>
        <w:t>supérieure à la moyenne historique</w:t>
      </w:r>
      <w:r>
        <w:rPr>
          <w:rFonts w:ascii="Times New Roman" w:hAnsi="Times New Roman"/>
          <w:noProof/>
          <w:sz w:val="24"/>
        </w:rPr>
        <w:t xml:space="preserve"> (190 milliards d’EUR, 2015-2019).</w:t>
      </w:r>
    </w:p>
    <w:p>
      <w:pPr>
        <w:pStyle w:val="BodyText"/>
        <w:spacing w:after="0"/>
        <w:jc w:val="both"/>
        <w:rPr>
          <w:noProof/>
        </w:rPr>
      </w:pPr>
    </w:p>
    <w:p>
      <w:pPr>
        <w:pStyle w:val="BodyText"/>
        <w:spacing w:after="0"/>
        <w:jc w:val="both"/>
        <w:rPr>
          <w:noProof/>
        </w:rPr>
      </w:pPr>
    </w:p>
    <w:p>
      <w:pPr>
        <w:pStyle w:val="BodyText"/>
        <w:spacing w:after="0"/>
        <w:jc w:val="both"/>
        <w:rPr>
          <w:noProof/>
        </w:rPr>
      </w:pPr>
      <w:r>
        <w:rPr>
          <w:noProof/>
        </w:rPr>
        <w:drawing>
          <wp:inline distT="0" distB="0" distL="0" distR="0">
            <wp:extent cx="5543550" cy="2852846"/>
            <wp:effectExtent l="0" t="0" r="0" b="5080"/>
            <wp:docPr id="16377548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754882" name=""/>
                    <pic:cNvPicPr/>
                  </pic:nvPicPr>
                  <pic:blipFill>
                    <a:blip r:embed="rId18"/>
                    <a:stretch>
                      <a:fillRect/>
                    </a:stretch>
                  </pic:blipFill>
                  <pic:spPr>
                    <a:xfrm>
                      <a:off x="0" y="0"/>
                      <a:ext cx="5548860" cy="2855578"/>
                    </a:xfrm>
                    <a:prstGeom prst="rect">
                      <a:avLst/>
                    </a:prstGeom>
                  </pic:spPr>
                </pic:pic>
              </a:graphicData>
            </a:graphic>
          </wp:inline>
        </w:drawing>
      </w:r>
    </w:p>
    <w:p>
      <w:pPr>
        <w:pStyle w:val="Caption"/>
        <w:spacing w:after="0"/>
        <w:contextualSpacing/>
        <w:jc w:val="center"/>
        <w:rPr>
          <w:noProof/>
        </w:rPr>
      </w:pPr>
      <w:bookmarkStart w:id="5" w:name="_Ref140835769"/>
      <w:bookmarkStart w:id="6" w:name="_Toc145348065"/>
      <w:bookmarkStart w:id="7" w:name="_Ref174543588"/>
      <w:r>
        <w:rPr>
          <w:noProof/>
        </w:rPr>
        <w:t>Figure </w:t>
      </w:r>
      <w:r>
        <w:rPr>
          <w:noProof/>
        </w:rPr>
        <w:fldChar w:fldCharType="begin"/>
      </w:r>
      <w:r>
        <w:rPr>
          <w:noProof/>
        </w:rPr>
        <w:instrText xml:space="preserve"> SEQ Figure \* ARABIC </w:instrText>
      </w:r>
      <w:r>
        <w:rPr>
          <w:noProof/>
        </w:rPr>
        <w:fldChar w:fldCharType="separate"/>
      </w:r>
      <w:r>
        <w:rPr>
          <w:noProof/>
        </w:rPr>
        <w:t>1</w:t>
      </w:r>
      <w:r>
        <w:rPr>
          <w:noProof/>
        </w:rPr>
        <w:fldChar w:fldCharType="end"/>
      </w:r>
      <w:bookmarkEnd w:id="5"/>
      <w:r>
        <w:rPr>
          <w:noProof/>
        </w:rPr>
        <w:t>: total des subventions à l’énergie dans l’EU-27</w:t>
      </w:r>
      <w:bookmarkEnd w:id="6"/>
      <w:bookmarkEnd w:id="7"/>
      <w:r>
        <w:rPr>
          <w:noProof/>
        </w:rPr>
        <w:t xml:space="preserve"> par source d’énergie</w:t>
      </w:r>
    </w:p>
    <w:p>
      <w:pPr>
        <w:pStyle w:val="Caption"/>
        <w:spacing w:after="0"/>
        <w:contextualSpacing/>
        <w:jc w:val="center"/>
        <w:rPr>
          <w:noProof/>
        </w:rPr>
      </w:pPr>
      <w:r>
        <w:rPr>
          <w:rStyle w:val="SourceCar"/>
          <w:noProof/>
        </w:rPr>
        <w:t>Source: Enerdata, Trinomics, 2025. NB: les estimations pour 2024 sont représentées en hachuré.</w:t>
      </w:r>
      <w:bookmarkStart w:id="8" w:name="_Hlk219971192"/>
    </w:p>
    <w:p>
      <w:pPr>
        <w:pStyle w:val="BodyText"/>
        <w:jc w:val="both"/>
        <w:rPr>
          <w:i/>
          <w:iCs/>
          <w:noProof/>
        </w:rPr>
      </w:pPr>
    </w:p>
    <w:p>
      <w:pPr>
        <w:rPr>
          <w:rFonts w:ascii="Times New Roman" w:hAnsi="Times New Roman" w:cs="Times New Roman"/>
          <w:noProof/>
          <w:sz w:val="24"/>
          <w:szCs w:val="24"/>
        </w:rPr>
      </w:pPr>
      <w:r>
        <w:rPr>
          <w:rFonts w:ascii="Times New Roman" w:hAnsi="Times New Roman"/>
          <w:noProof/>
          <w:sz w:val="24"/>
        </w:rPr>
        <w:t xml:space="preserve">En 2024, les </w:t>
      </w:r>
      <w:r>
        <w:rPr>
          <w:rFonts w:ascii="Times New Roman" w:hAnsi="Times New Roman"/>
          <w:b/>
          <w:bCs/>
          <w:noProof/>
          <w:sz w:val="24"/>
        </w:rPr>
        <w:t>subventions aux combustibles fossiles</w:t>
      </w:r>
      <w:r>
        <w:rPr>
          <w:rFonts w:ascii="Times New Roman" w:hAnsi="Times New Roman"/>
          <w:noProof/>
          <w:sz w:val="24"/>
        </w:rPr>
        <w:t xml:space="preserve"> (96 milliards d’EUR) </w:t>
      </w:r>
      <w:r>
        <w:rPr>
          <w:rFonts w:ascii="Times New Roman" w:hAnsi="Times New Roman"/>
          <w:b/>
          <w:bCs/>
          <w:noProof/>
          <w:sz w:val="24"/>
        </w:rPr>
        <w:t>ont diminué</w:t>
      </w:r>
      <w:r>
        <w:rPr>
          <w:rFonts w:ascii="Times New Roman" w:hAnsi="Times New Roman"/>
          <w:noProof/>
          <w:sz w:val="24"/>
        </w:rPr>
        <w:t xml:space="preserve"> de 20 % par rapport à 2023 (120 milliards d’EUR) et ont enregistré une baisse de 42 % par rapport à leur niveau record de 2022 (168 milliards d’EUR). Néanmoins, elles sont restées </w:t>
      </w:r>
      <w:r>
        <w:rPr>
          <w:rFonts w:ascii="Times New Roman" w:hAnsi="Times New Roman"/>
          <w:b/>
          <w:bCs/>
          <w:noProof/>
          <w:sz w:val="24"/>
        </w:rPr>
        <w:t>supérieures</w:t>
      </w:r>
      <w:r>
        <w:rPr>
          <w:rFonts w:ascii="Times New Roman" w:hAnsi="Times New Roman"/>
          <w:noProof/>
          <w:sz w:val="24"/>
        </w:rPr>
        <w:t xml:space="preserve"> de 62 % à la </w:t>
      </w:r>
      <w:r>
        <w:rPr>
          <w:rFonts w:ascii="Times New Roman" w:hAnsi="Times New Roman"/>
          <w:b/>
          <w:bCs/>
          <w:noProof/>
          <w:sz w:val="24"/>
        </w:rPr>
        <w:t>moyenne historique</w:t>
      </w:r>
      <w:r>
        <w:rPr>
          <w:rFonts w:ascii="Times New Roman" w:hAnsi="Times New Roman"/>
          <w:noProof/>
          <w:sz w:val="24"/>
        </w:rPr>
        <w:t xml:space="preserve"> sur cinq ans (59 milliards d’EUR en 2015-2019).</w:t>
      </w:r>
    </w:p>
    <w:bookmarkEnd w:id="8"/>
    <w:p>
      <w:pPr>
        <w:pStyle w:val="BodyText"/>
        <w:jc w:val="both"/>
        <w:rPr>
          <w:noProof/>
        </w:rPr>
      </w:pPr>
      <w:r>
        <w:rPr>
          <w:noProof/>
        </w:rPr>
        <w:t xml:space="preserve">Les </w:t>
      </w:r>
      <w:r>
        <w:rPr>
          <w:b/>
          <w:bCs/>
          <w:noProof/>
        </w:rPr>
        <w:t>subventions aux énergies renouvelables ont rebondi</w:t>
      </w:r>
      <w:r>
        <w:rPr>
          <w:noProof/>
        </w:rPr>
        <w:t xml:space="preserve"> pour atteindre 76 milliards d’EUR (+ 39 %) en 2024. La mise en œuvre des programmes de l’UE, notamment la facilité pour la reprise et la résilience, avec 27 chapitres REPowerEU spécifiques, a incité les États membres à accélérer le déploiement des énergies renouvelables. Toutefois, les </w:t>
      </w:r>
      <w:r>
        <w:rPr>
          <w:b/>
          <w:bCs/>
          <w:noProof/>
        </w:rPr>
        <w:t>subventions aux énergies renouvelables étaient</w:t>
      </w:r>
      <w:r>
        <w:rPr>
          <w:noProof/>
        </w:rPr>
        <w:t xml:space="preserve"> toujours </w:t>
      </w:r>
      <w:r>
        <w:rPr>
          <w:b/>
          <w:bCs/>
          <w:noProof/>
        </w:rPr>
        <w:t>inférieures</w:t>
      </w:r>
      <w:r>
        <w:rPr>
          <w:noProof/>
        </w:rPr>
        <w:t xml:space="preserve"> de 12 % </w:t>
      </w:r>
      <w:r>
        <w:rPr>
          <w:b/>
          <w:bCs/>
          <w:noProof/>
        </w:rPr>
        <w:t>à leur moyenne historique</w:t>
      </w:r>
      <w:r>
        <w:rPr>
          <w:noProof/>
        </w:rPr>
        <w:t xml:space="preserve"> (86 milliards d’EUR en 2015-2019). Les subventions en faveur de certains vecteurs d’énergie renouvelable ont considérablement augmenté, tandis que les subventions en faveur de tous les vecteurs de </w:t>
      </w:r>
      <w:r>
        <w:rPr>
          <w:noProof/>
        </w:rPr>
        <w:lastRenderedPageBreak/>
        <w:t xml:space="preserve">combustibles fossiles ont diminué de manière significative. Les </w:t>
      </w:r>
      <w:r>
        <w:rPr>
          <w:b/>
          <w:bCs/>
          <w:noProof/>
        </w:rPr>
        <w:t>subventions en faveur de l’hydrogène ont été multipliées par trois</w:t>
      </w:r>
      <w:r>
        <w:rPr>
          <w:noProof/>
        </w:rPr>
        <w:t xml:space="preserve"> par rapport à 2023 et par quatre par rapport à 2022, tandis que les </w:t>
      </w:r>
      <w:r>
        <w:rPr>
          <w:b/>
          <w:bCs/>
          <w:noProof/>
        </w:rPr>
        <w:t>subventions en faveur de la bioénergie ont représenté près du double</w:t>
      </w:r>
      <w:r>
        <w:rPr>
          <w:noProof/>
        </w:rPr>
        <w:t xml:space="preserve"> de celles de 2023.</w:t>
      </w:r>
    </w:p>
    <w:p>
      <w:pPr>
        <w:pStyle w:val="BodyText"/>
        <w:jc w:val="both"/>
        <w:rPr>
          <w:noProof/>
        </w:rPr>
      </w:pPr>
      <w:r>
        <w:rPr>
          <w:noProof/>
        </w:rPr>
        <w:t xml:space="preserve">Les </w:t>
      </w:r>
      <w:r>
        <w:rPr>
          <w:b/>
          <w:bCs/>
          <w:noProof/>
        </w:rPr>
        <w:t>subventions en faveur du charbon</w:t>
      </w:r>
      <w:r>
        <w:rPr>
          <w:noProof/>
        </w:rPr>
        <w:t xml:space="preserve"> ont enregistré la plus forte baisse (– 37 %), suivies du </w:t>
      </w:r>
      <w:r>
        <w:rPr>
          <w:b/>
          <w:bCs/>
          <w:noProof/>
        </w:rPr>
        <w:t>gaz naturel</w:t>
      </w:r>
      <w:r>
        <w:rPr>
          <w:noProof/>
        </w:rPr>
        <w:t xml:space="preserve"> (– 23 %) puis du </w:t>
      </w:r>
      <w:r>
        <w:rPr>
          <w:b/>
          <w:bCs/>
          <w:noProof/>
        </w:rPr>
        <w:t>pétrole</w:t>
      </w:r>
      <w:r>
        <w:rPr>
          <w:noProof/>
        </w:rPr>
        <w:t xml:space="preserve"> (– 10 %).</w:t>
      </w:r>
    </w:p>
    <w:p>
      <w:pPr>
        <w:pStyle w:val="BodyText"/>
        <w:jc w:val="both"/>
        <w:rPr>
          <w:rFonts w:cs="Consolas"/>
          <w:noProof/>
        </w:rPr>
      </w:pPr>
      <w:r>
        <w:rPr>
          <w:noProof/>
        </w:rPr>
        <w:t xml:space="preserve">Les </w:t>
      </w:r>
      <w:r>
        <w:rPr>
          <w:b/>
          <w:bCs/>
          <w:noProof/>
        </w:rPr>
        <w:t>subventions à l’énergie non ciblées</w:t>
      </w:r>
      <w:r>
        <w:rPr>
          <w:noProof/>
        </w:rPr>
        <w:t xml:space="preserve"> («toutes les énergies») qui allouent un soutien financier à toutes les sources d’énergie ou à plusieurs d’entre elles représentaient </w:t>
      </w:r>
      <w:r>
        <w:rPr>
          <w:b/>
          <w:bCs/>
          <w:noProof/>
        </w:rPr>
        <w:t>près de la moitié de l’ensemble des subventions à l’énergie</w:t>
      </w:r>
      <w:r>
        <w:rPr>
          <w:noProof/>
        </w:rPr>
        <w:t xml:space="preserve"> (48 %) en 2024 (Figure </w:t>
      </w:r>
      <w:r>
        <w:rPr>
          <w:noProof/>
        </w:rPr>
        <w:fldChar w:fldCharType="begin"/>
      </w:r>
      <w:r>
        <w:rPr>
          <w:noProof/>
        </w:rPr>
        <w:instrText xml:space="preserve"> SEQ Figure \* ARABIC </w:instrText>
      </w:r>
      <w:r>
        <w:rPr>
          <w:noProof/>
        </w:rPr>
        <w:fldChar w:fldCharType="separate"/>
      </w:r>
      <w:r>
        <w:rPr>
          <w:noProof/>
        </w:rPr>
        <w:t>2</w:t>
      </w:r>
      <w:r>
        <w:rPr>
          <w:noProof/>
        </w:rPr>
        <w:fldChar w:fldCharType="end"/>
      </w:r>
      <w:r>
        <w:rPr>
          <w:noProof/>
          <w:color w:val="2B579A"/>
          <w:shd w:val="clear" w:color="auto" w:fill="E6E6E6"/>
        </w:rPr>
        <w:t>)</w:t>
      </w:r>
      <w:r>
        <w:rPr>
          <w:noProof/>
        </w:rPr>
        <w:t xml:space="preserve">. Si, en glissement annuel, la part des subventions non ciblées a modérément diminué (– 2 points de pourcentage par rapport aux 50 % de 2023), elle restait tout de même plus de </w:t>
      </w:r>
      <w:r>
        <w:rPr>
          <w:b/>
          <w:bCs/>
          <w:noProof/>
        </w:rPr>
        <w:t>deux fois supérieure à la moyenne historique</w:t>
      </w:r>
      <w:r>
        <w:rPr>
          <w:noProof/>
        </w:rPr>
        <w:t xml:space="preserve"> (21 %), reflétant la valeur toujours élevée des subventions temporaires accordées par les États membres pour atténuer les effets de la crise de 2022 sur la plupart des sources d’énergie, des catégories de consommateurs et des secteurs.</w:t>
      </w:r>
    </w:p>
    <w:p>
      <w:pPr>
        <w:pStyle w:val="BodyText"/>
        <w:jc w:val="both"/>
        <w:rPr>
          <w:rFonts w:cs="Consolas"/>
          <w:noProof/>
        </w:rPr>
      </w:pPr>
      <w:r>
        <w:rPr>
          <w:noProof/>
        </w:rPr>
        <w:drawing>
          <wp:inline distT="0" distB="0" distL="0" distR="0">
            <wp:extent cx="5731510" cy="2357120"/>
            <wp:effectExtent l="0" t="0" r="2540" b="5080"/>
            <wp:docPr id="8042196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219642" name=""/>
                    <pic:cNvPicPr/>
                  </pic:nvPicPr>
                  <pic:blipFill>
                    <a:blip r:embed="rId19"/>
                    <a:stretch>
                      <a:fillRect/>
                    </a:stretch>
                  </pic:blipFill>
                  <pic:spPr>
                    <a:xfrm>
                      <a:off x="0" y="0"/>
                      <a:ext cx="5731510" cy="2357120"/>
                    </a:xfrm>
                    <a:prstGeom prst="rect">
                      <a:avLst/>
                    </a:prstGeom>
                  </pic:spPr>
                </pic:pic>
              </a:graphicData>
            </a:graphic>
          </wp:inline>
        </w:drawing>
      </w:r>
    </w:p>
    <w:p>
      <w:pPr>
        <w:pStyle w:val="Caption"/>
        <w:spacing w:after="0"/>
        <w:contextualSpacing/>
        <w:jc w:val="center"/>
        <w:rPr>
          <w:noProof/>
        </w:rPr>
      </w:pPr>
      <w:r>
        <w:rPr>
          <w:noProof/>
        </w:rPr>
        <w:t>Figure </w:t>
      </w:r>
      <w:r>
        <w:rPr>
          <w:noProof/>
          <w:color w:val="2B579A"/>
          <w:shd w:val="clear" w:color="auto" w:fill="E6E6E6"/>
        </w:rPr>
        <w:t>2</w:t>
      </w:r>
      <w:r>
        <w:rPr>
          <w:noProof/>
        </w:rPr>
        <w:t>: part des principales sources d’énergie dans le total des subventions à l’énergie dans l’EU</w:t>
      </w:r>
      <w:r>
        <w:rPr>
          <w:noProof/>
        </w:rPr>
        <w:noBreakHyphen/>
        <w:t>27</w:t>
      </w:r>
    </w:p>
    <w:p>
      <w:pPr>
        <w:pStyle w:val="Caption"/>
        <w:spacing w:after="0"/>
        <w:contextualSpacing/>
        <w:jc w:val="center"/>
        <w:rPr>
          <w:noProof/>
        </w:rPr>
      </w:pPr>
      <w:r>
        <w:rPr>
          <w:rStyle w:val="SourceCar"/>
          <w:noProof/>
        </w:rPr>
        <w:t>Source: Enerdata, Trinomics, 2025. NB: les estimations pour 2024 sont représentées en hachuré.</w:t>
      </w:r>
    </w:p>
    <w:p>
      <w:pPr>
        <w:pStyle w:val="BodyText"/>
        <w:jc w:val="both"/>
        <w:rPr>
          <w:noProof/>
        </w:rPr>
      </w:pPr>
      <w:r>
        <w:rPr>
          <w:noProof/>
        </w:rPr>
        <w:t xml:space="preserve">Les </w:t>
      </w:r>
      <w:r>
        <w:rPr>
          <w:b/>
          <w:bCs/>
          <w:i/>
          <w:iCs/>
          <w:noProof/>
        </w:rPr>
        <w:t>subventions</w:t>
      </w:r>
      <w:r>
        <w:rPr>
          <w:noProof/>
        </w:rPr>
        <w:t xml:space="preserve"> </w:t>
      </w:r>
      <w:r>
        <w:rPr>
          <w:b/>
          <w:bCs/>
          <w:noProof/>
        </w:rPr>
        <w:t>visant spécifiquement à soutenir les combustibles fossiles représentaient 28 % du total des subventions à l’énergie en 2024</w:t>
      </w:r>
      <w:r>
        <w:rPr>
          <w:noProof/>
        </w:rPr>
        <w:t>, contre 34 % en 2023 et 37 % en 2022, et étaient inférieures à la moyenne historique de 31 % (</w:t>
      </w:r>
      <w:r>
        <w:rPr>
          <w:noProof/>
          <w:color w:val="2B579A"/>
          <w:shd w:val="clear" w:color="auto" w:fill="E6E6E6"/>
        </w:rPr>
        <w:fldChar w:fldCharType="begin"/>
      </w:r>
      <w:r>
        <w:rPr>
          <w:noProof/>
        </w:rPr>
        <w:instrText xml:space="preserve"> REF _Ref145583430 \h </w:instrText>
      </w:r>
      <w:r>
        <w:rPr>
          <w:noProof/>
          <w:color w:val="2B579A"/>
          <w:shd w:val="clear" w:color="auto" w:fill="E6E6E6"/>
        </w:rPr>
        <w:instrText xml:space="preserve"> \* MERGEFORMAT </w:instrText>
      </w:r>
      <w:r>
        <w:rPr>
          <w:noProof/>
          <w:color w:val="2B579A"/>
          <w:shd w:val="clear" w:color="auto" w:fill="E6E6E6"/>
        </w:rPr>
      </w:r>
      <w:r>
        <w:rPr>
          <w:noProof/>
          <w:color w:val="2B579A"/>
          <w:shd w:val="clear" w:color="auto" w:fill="E6E6E6"/>
        </w:rPr>
        <w:fldChar w:fldCharType="separate"/>
      </w:r>
      <w:r>
        <w:rPr>
          <w:noProof/>
        </w:rPr>
        <w:t>Figure 3</w:t>
      </w:r>
      <w:r>
        <w:rPr>
          <w:noProof/>
          <w:color w:val="2B579A"/>
          <w:shd w:val="clear" w:color="auto" w:fill="E6E6E6"/>
        </w:rPr>
        <w:fldChar w:fldCharType="end"/>
      </w:r>
      <w:r>
        <w:rPr>
          <w:noProof/>
        </w:rPr>
        <w:t xml:space="preserve">). Les </w:t>
      </w:r>
      <w:r>
        <w:rPr>
          <w:b/>
          <w:bCs/>
          <w:i/>
          <w:iCs/>
          <w:noProof/>
        </w:rPr>
        <w:t>sources d’énergie renouvelables</w:t>
      </w:r>
      <w:r>
        <w:rPr>
          <w:noProof/>
        </w:rPr>
        <w:t xml:space="preserve"> </w:t>
      </w:r>
      <w:r>
        <w:rPr>
          <w:b/>
          <w:bCs/>
          <w:noProof/>
        </w:rPr>
        <w:t>ont reçu 22 % des subventions à l’énergie</w:t>
      </w:r>
      <w:r>
        <w:rPr>
          <w:noProof/>
        </w:rPr>
        <w:t xml:space="preserve"> en 2024 (contre 15 % en 2023 et 17 % en 2023), car la baisse des prix du marché a accru le besoin de soutien financier au moyen d’instruments dynamiques fondés sur le marché.</w:t>
      </w:r>
    </w:p>
    <w:p>
      <w:pPr>
        <w:pStyle w:val="BodyText"/>
        <w:jc w:val="both"/>
        <w:rPr>
          <w:noProof/>
        </w:rPr>
      </w:pPr>
      <w:r>
        <w:rPr>
          <w:noProof/>
        </w:rPr>
        <w:t xml:space="preserve">En ce qui concerne les instruments de subvention à l’énergie, les mesures </w:t>
      </w:r>
      <w:r>
        <w:rPr>
          <w:i/>
          <w:iCs/>
          <w:noProof/>
        </w:rPr>
        <w:t>d’aide aux revenus et de soutien des prix</w:t>
      </w:r>
      <w:r>
        <w:rPr>
          <w:noProof/>
        </w:rPr>
        <w:t xml:space="preserve"> sont restées la catégorie de subvention la plus courante, représentant 41,5 % du total (</w:t>
      </w:r>
      <w:r>
        <w:rPr>
          <w:noProof/>
          <w:color w:val="2B579A"/>
          <w:shd w:val="clear" w:color="auto" w:fill="E6E6E6"/>
        </w:rPr>
        <w:fldChar w:fldCharType="begin"/>
      </w:r>
      <w:r>
        <w:rPr>
          <w:noProof/>
        </w:rPr>
        <w:instrText xml:space="preserve"> REF _Ref145583430 \h  \* MERGEFORMAT </w:instrText>
      </w:r>
      <w:r>
        <w:rPr>
          <w:noProof/>
          <w:color w:val="2B579A"/>
          <w:shd w:val="clear" w:color="auto" w:fill="E6E6E6"/>
        </w:rPr>
      </w:r>
      <w:r>
        <w:rPr>
          <w:noProof/>
          <w:color w:val="2B579A"/>
          <w:shd w:val="clear" w:color="auto" w:fill="E6E6E6"/>
        </w:rPr>
        <w:fldChar w:fldCharType="separate"/>
      </w:r>
      <w:r>
        <w:rPr>
          <w:noProof/>
        </w:rPr>
        <w:t>Figure 3</w:t>
      </w:r>
      <w:r>
        <w:rPr>
          <w:noProof/>
          <w:color w:val="2B579A"/>
          <w:shd w:val="clear" w:color="auto" w:fill="E6E6E6"/>
        </w:rPr>
        <w:fldChar w:fldCharType="end"/>
      </w:r>
      <w:r>
        <w:rPr>
          <w:noProof/>
        </w:rPr>
        <w:t xml:space="preserve">), suivies par les </w:t>
      </w:r>
      <w:r>
        <w:rPr>
          <w:i/>
          <w:iCs/>
          <w:noProof/>
        </w:rPr>
        <w:t>transferts directs</w:t>
      </w:r>
      <w:r>
        <w:rPr>
          <w:noProof/>
        </w:rPr>
        <w:t xml:space="preserve"> (26,9 %) et les </w:t>
      </w:r>
      <w:r>
        <w:rPr>
          <w:i/>
          <w:iCs/>
          <w:noProof/>
        </w:rPr>
        <w:t>mesures fiscales</w:t>
      </w:r>
      <w:r>
        <w:rPr>
          <w:noProof/>
        </w:rPr>
        <w:t xml:space="preserve"> (26 %)</w:t>
      </w:r>
      <w:r>
        <w:rPr>
          <w:rStyle w:val="FootnoteReference"/>
          <w:rFonts w:eastAsia="MS Mincho"/>
          <w:noProof/>
        </w:rPr>
        <w:footnoteReference w:id="8"/>
      </w:r>
      <w:r>
        <w:rPr>
          <w:noProof/>
        </w:rPr>
        <w:t>.</w:t>
      </w:r>
    </w:p>
    <w:p>
      <w:pPr>
        <w:pStyle w:val="BodyText"/>
        <w:jc w:val="both"/>
        <w:rPr>
          <w:noProof/>
        </w:rPr>
      </w:pPr>
    </w:p>
    <w:p>
      <w:pPr>
        <w:pStyle w:val="Caption"/>
        <w:spacing w:after="0"/>
        <w:jc w:val="center"/>
        <w:rPr>
          <w:rStyle w:val="SourceCar"/>
          <w:rFonts w:ascii="Calibri" w:eastAsia="Calibri" w:hAnsi="Calibri" w:cs="Arial"/>
          <w:i/>
          <w:iCs w:val="0"/>
          <w:noProof/>
          <w:color w:val="1F497D"/>
        </w:rPr>
      </w:pPr>
      <w:bookmarkStart w:id="9" w:name="_Ref145583430"/>
      <w:r>
        <w:rPr>
          <w:noProof/>
        </w:rPr>
        <w:t>Figure </w:t>
      </w:r>
      <w:r>
        <w:rPr>
          <w:noProof/>
        </w:rPr>
        <w:fldChar w:fldCharType="begin"/>
      </w:r>
      <w:r>
        <w:rPr>
          <w:noProof/>
        </w:rPr>
        <w:instrText xml:space="preserve"> SEQ Figure \* ARABIC </w:instrText>
      </w:r>
      <w:r>
        <w:rPr>
          <w:noProof/>
        </w:rPr>
        <w:fldChar w:fldCharType="separate"/>
      </w:r>
      <w:r>
        <w:rPr>
          <w:noProof/>
        </w:rPr>
        <w:t>3</w:t>
      </w:r>
      <w:r>
        <w:rPr>
          <w:noProof/>
        </w:rPr>
        <w:fldChar w:fldCharType="end"/>
      </w:r>
      <w:bookmarkEnd w:id="9"/>
      <w:r>
        <w:rPr>
          <w:noProof/>
        </w:rPr>
        <w:t>: répartition des subventions par catégorie (2024)</w:t>
      </w:r>
    </w:p>
    <w:p>
      <w:pPr>
        <w:jc w:val="center"/>
        <w:rPr>
          <w:rStyle w:val="SourceCar"/>
          <w:rFonts w:eastAsiaTheme="minorHAnsi"/>
          <w:noProof/>
        </w:rPr>
      </w:pPr>
      <w:r>
        <w:rPr>
          <w:rStyle w:val="SourceCar"/>
          <w:rFonts w:eastAsiaTheme="minorHAnsi"/>
          <w:noProof/>
        </w:rPr>
        <w:lastRenderedPageBreak/>
        <w:t>Source: Enerdata, Trinomics, 2025</w:t>
      </w:r>
    </w:p>
    <w:p>
      <w:pPr>
        <w:jc w:val="center"/>
        <w:rPr>
          <w:rStyle w:val="SourceCar"/>
          <w:rFonts w:eastAsia="MS Mincho"/>
          <w:noProof/>
        </w:rPr>
      </w:pPr>
      <w:r>
        <w:rPr>
          <w:i/>
          <w:noProof/>
          <w:color w:val="595959" w:themeColor="text1" w:themeTint="A6"/>
          <w:sz w:val="16"/>
        </w:rPr>
        <w:drawing>
          <wp:inline distT="0" distB="0" distL="0" distR="0">
            <wp:extent cx="5731510" cy="1711325"/>
            <wp:effectExtent l="0" t="0" r="2540" b="3175"/>
            <wp:docPr id="20386219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621929" name=""/>
                    <pic:cNvPicPr/>
                  </pic:nvPicPr>
                  <pic:blipFill>
                    <a:blip r:embed="rId20"/>
                    <a:stretch>
                      <a:fillRect/>
                    </a:stretch>
                  </pic:blipFill>
                  <pic:spPr>
                    <a:xfrm>
                      <a:off x="0" y="0"/>
                      <a:ext cx="5731510" cy="1711325"/>
                    </a:xfrm>
                    <a:prstGeom prst="rect">
                      <a:avLst/>
                    </a:prstGeom>
                  </pic:spPr>
                </pic:pic>
              </a:graphicData>
            </a:graphic>
          </wp:inline>
        </w:drawing>
      </w:r>
    </w:p>
    <w:p>
      <w:pPr>
        <w:jc w:val="center"/>
        <w:rPr>
          <w:rStyle w:val="SourceCar"/>
          <w:rFonts w:eastAsia="MS Mincho"/>
          <w:noProof/>
        </w:rPr>
      </w:pPr>
    </w:p>
    <w:p>
      <w:pPr>
        <w:pStyle w:val="Heading2"/>
        <w:rPr>
          <w:noProof/>
        </w:rPr>
      </w:pPr>
      <w:r>
        <w:rPr>
          <w:noProof/>
        </w:rPr>
        <w:t>Subventions par vecteur énergétique</w:t>
      </w:r>
    </w:p>
    <w:p>
      <w:pPr>
        <w:pStyle w:val="Text"/>
        <w:rPr>
          <w:rFonts w:ascii="Times New Roman" w:eastAsia="MS Mincho" w:hAnsi="Times New Roman" w:cs="Times New Roman"/>
          <w:noProof/>
          <w:sz w:val="24"/>
          <w:szCs w:val="24"/>
        </w:rPr>
      </w:pPr>
      <w:r>
        <w:rPr>
          <w:rFonts w:ascii="Times New Roman" w:hAnsi="Times New Roman"/>
          <w:noProof/>
          <w:sz w:val="24"/>
        </w:rPr>
        <w:t xml:space="preserve">En 2024, </w:t>
      </w:r>
      <w:r>
        <w:rPr>
          <w:rFonts w:ascii="Times New Roman" w:hAnsi="Times New Roman"/>
          <w:b/>
          <w:bCs/>
          <w:noProof/>
          <w:sz w:val="24"/>
        </w:rPr>
        <w:t>l’électricité est restée le vecteur énergétique le plus subventionné</w:t>
      </w:r>
      <w:r>
        <w:rPr>
          <w:rFonts w:ascii="Times New Roman" w:hAnsi="Times New Roman"/>
          <w:noProof/>
          <w:sz w:val="24"/>
        </w:rPr>
        <w:t xml:space="preserve">, représentant 166 milliards d’EUR (près de 45 %) du total des subventions à l’énergie. Le soutien à «toutes </w:t>
      </w:r>
      <w:bookmarkStart w:id="10" w:name="_Int_9iPd8PBY"/>
      <w:r>
        <w:rPr>
          <w:rFonts w:ascii="Times New Roman" w:hAnsi="Times New Roman"/>
          <w:noProof/>
          <w:sz w:val="24"/>
        </w:rPr>
        <w:t>les énergies»</w:t>
      </w:r>
      <w:bookmarkEnd w:id="10"/>
      <w:r>
        <w:rPr>
          <w:rFonts w:ascii="Times New Roman" w:hAnsi="Times New Roman"/>
          <w:noProof/>
          <w:sz w:val="24"/>
        </w:rPr>
        <w:t xml:space="preserve"> et les </w:t>
      </w:r>
      <w:r>
        <w:rPr>
          <w:rFonts w:ascii="Times New Roman" w:hAnsi="Times New Roman"/>
          <w:b/>
          <w:bCs/>
          <w:noProof/>
          <w:sz w:val="24"/>
        </w:rPr>
        <w:t>subventions au gaz ont diminué</w:t>
      </w:r>
      <w:r>
        <w:rPr>
          <w:rFonts w:ascii="Times New Roman" w:hAnsi="Times New Roman"/>
          <w:noProof/>
          <w:sz w:val="24"/>
        </w:rPr>
        <w:t xml:space="preserve"> en 2024 pour atteindre respectivement 59 milliards d’EUR</w:t>
      </w:r>
      <w:r>
        <w:rPr>
          <w:rStyle w:val="FootnoteReference"/>
          <w:rFonts w:eastAsia="MS Mincho"/>
          <w:noProof/>
          <w:szCs w:val="24"/>
        </w:rPr>
        <w:footnoteReference w:id="9"/>
      </w:r>
      <w:r>
        <w:rPr>
          <w:rFonts w:ascii="Times New Roman" w:hAnsi="Times New Roman"/>
          <w:noProof/>
          <w:sz w:val="24"/>
        </w:rPr>
        <w:t xml:space="preserve"> et 42 milliards d’EUR (17 % et 12 % du total des subventions). Le </w:t>
      </w:r>
      <w:r>
        <w:rPr>
          <w:rFonts w:ascii="Times New Roman" w:hAnsi="Times New Roman"/>
          <w:b/>
          <w:bCs/>
          <w:noProof/>
          <w:sz w:val="24"/>
        </w:rPr>
        <w:t>soutien au pétrole est resté stable</w:t>
      </w:r>
      <w:r>
        <w:rPr>
          <w:rFonts w:ascii="Times New Roman" w:hAnsi="Times New Roman"/>
          <w:noProof/>
          <w:sz w:val="24"/>
        </w:rPr>
        <w:t xml:space="preserve"> par rapport à 2023 (soit 27 milliards d’EUR, soit 8 %), tandis que le </w:t>
      </w:r>
      <w:r>
        <w:rPr>
          <w:rFonts w:ascii="Times New Roman" w:hAnsi="Times New Roman"/>
          <w:b/>
          <w:bCs/>
          <w:noProof/>
          <w:sz w:val="24"/>
        </w:rPr>
        <w:t>soutien au chauffage</w:t>
      </w:r>
      <w:r>
        <w:rPr>
          <w:rFonts w:ascii="Times New Roman" w:hAnsi="Times New Roman"/>
          <w:noProof/>
          <w:sz w:val="24"/>
        </w:rPr>
        <w:t xml:space="preserve">, qui a presque </w:t>
      </w:r>
      <w:r>
        <w:rPr>
          <w:rFonts w:ascii="Times New Roman" w:hAnsi="Times New Roman"/>
          <w:b/>
          <w:bCs/>
          <w:noProof/>
          <w:sz w:val="24"/>
        </w:rPr>
        <w:t>doublé en 2023</w:t>
      </w:r>
      <w:r>
        <w:rPr>
          <w:rFonts w:ascii="Times New Roman" w:hAnsi="Times New Roman"/>
          <w:noProof/>
          <w:sz w:val="24"/>
        </w:rPr>
        <w:t xml:space="preserve">, </w:t>
      </w:r>
      <w:r>
        <w:rPr>
          <w:rFonts w:ascii="Times New Roman" w:hAnsi="Times New Roman"/>
          <w:b/>
          <w:bCs/>
          <w:noProof/>
          <w:sz w:val="24"/>
        </w:rPr>
        <w:t>a légèrement diminué en 2024</w:t>
      </w:r>
      <w:r>
        <w:rPr>
          <w:rFonts w:ascii="Times New Roman" w:hAnsi="Times New Roman"/>
          <w:noProof/>
          <w:sz w:val="24"/>
        </w:rPr>
        <w:t xml:space="preserve"> pour s’établir à 21 milliards d’EUR (7 %). Le </w:t>
      </w:r>
      <w:r>
        <w:rPr>
          <w:rFonts w:ascii="Times New Roman" w:hAnsi="Times New Roman"/>
          <w:b/>
          <w:bCs/>
          <w:noProof/>
          <w:sz w:val="24"/>
        </w:rPr>
        <w:t>soutien à l’hydrogène</w:t>
      </w:r>
      <w:r>
        <w:rPr>
          <w:rFonts w:ascii="Times New Roman" w:hAnsi="Times New Roman"/>
          <w:noProof/>
          <w:sz w:val="24"/>
        </w:rPr>
        <w:t xml:space="preserve"> a considérablement augmenté depuis 2022, avec un </w:t>
      </w:r>
      <w:r>
        <w:rPr>
          <w:rFonts w:ascii="Times New Roman" w:hAnsi="Times New Roman"/>
          <w:b/>
          <w:bCs/>
          <w:noProof/>
          <w:sz w:val="24"/>
        </w:rPr>
        <w:t>montant record de 13,5 milliards d’EUR</w:t>
      </w:r>
      <w:r>
        <w:rPr>
          <w:rFonts w:ascii="Times New Roman" w:hAnsi="Times New Roman"/>
          <w:noProof/>
          <w:sz w:val="24"/>
        </w:rPr>
        <w:t xml:space="preserve"> alloués en 2024 (3 %).</w:t>
      </w:r>
    </w:p>
    <w:p>
      <w:pPr>
        <w:pStyle w:val="BodyText"/>
        <w:jc w:val="both"/>
        <w:rPr>
          <w:noProof/>
        </w:rPr>
      </w:pPr>
      <w:r>
        <w:rPr>
          <w:noProof/>
        </w:rPr>
        <w:drawing>
          <wp:inline distT="0" distB="0" distL="0" distR="0">
            <wp:extent cx="6441055" cy="3781425"/>
            <wp:effectExtent l="0" t="0" r="0" b="0"/>
            <wp:docPr id="14094602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460205" name=""/>
                    <pic:cNvPicPr/>
                  </pic:nvPicPr>
                  <pic:blipFill>
                    <a:blip r:embed="rId21"/>
                    <a:stretch>
                      <a:fillRect/>
                    </a:stretch>
                  </pic:blipFill>
                  <pic:spPr>
                    <a:xfrm>
                      <a:off x="0" y="0"/>
                      <a:ext cx="6452342" cy="3788052"/>
                    </a:xfrm>
                    <a:prstGeom prst="rect">
                      <a:avLst/>
                    </a:prstGeom>
                  </pic:spPr>
                </pic:pic>
              </a:graphicData>
            </a:graphic>
          </wp:inline>
        </w:drawing>
      </w:r>
    </w:p>
    <w:p>
      <w:pPr>
        <w:pStyle w:val="BodyText"/>
        <w:spacing w:after="0"/>
        <w:jc w:val="center"/>
        <w:rPr>
          <w:noProof/>
        </w:rPr>
      </w:pPr>
      <w:bookmarkStart w:id="11" w:name="_Ref109033563"/>
      <w:bookmarkStart w:id="12" w:name="_Toc214884921"/>
      <w:bookmarkStart w:id="13" w:name="_Toc217052925"/>
      <w:r>
        <w:rPr>
          <w:i/>
          <w:noProof/>
          <w:sz w:val="22"/>
        </w:rPr>
        <w:lastRenderedPageBreak/>
        <w:t>Figure </w:t>
      </w:r>
      <w:r>
        <w:rPr>
          <w:rFonts w:eastAsia="Times New Roman"/>
          <w:i/>
          <w:noProof/>
          <w:color w:val="2B579A"/>
          <w:sz w:val="22"/>
          <w:shd w:val="clear" w:color="auto" w:fill="E6E6E6"/>
        </w:rPr>
        <w:fldChar w:fldCharType="begin"/>
      </w:r>
      <w:r>
        <w:rPr>
          <w:rFonts w:eastAsia="Times New Roman"/>
          <w:i/>
          <w:noProof/>
          <w:color w:val="2B579A"/>
          <w:sz w:val="22"/>
          <w:shd w:val="clear" w:color="auto" w:fill="E6E6E6"/>
        </w:rPr>
        <w:instrText xml:space="preserve"> SEQ Figure \* ARABIC </w:instrText>
      </w:r>
      <w:r>
        <w:rPr>
          <w:rFonts w:eastAsia="Times New Roman"/>
          <w:i/>
          <w:noProof/>
          <w:color w:val="2B579A"/>
          <w:sz w:val="22"/>
          <w:shd w:val="clear" w:color="auto" w:fill="E6E6E6"/>
        </w:rPr>
        <w:fldChar w:fldCharType="separate"/>
      </w:r>
      <w:r>
        <w:rPr>
          <w:rFonts w:eastAsia="Times New Roman"/>
          <w:i/>
          <w:noProof/>
          <w:color w:val="2B579A"/>
          <w:sz w:val="22"/>
          <w:shd w:val="clear" w:color="auto" w:fill="E6E6E6"/>
        </w:rPr>
        <w:t>4</w:t>
      </w:r>
      <w:r>
        <w:rPr>
          <w:rFonts w:eastAsia="Times New Roman"/>
          <w:i/>
          <w:noProof/>
          <w:color w:val="2B579A"/>
          <w:sz w:val="22"/>
          <w:shd w:val="clear" w:color="auto" w:fill="E6E6E6"/>
        </w:rPr>
        <w:fldChar w:fldCharType="end"/>
      </w:r>
      <w:bookmarkEnd w:id="11"/>
      <w:r>
        <w:rPr>
          <w:i/>
          <w:noProof/>
          <w:sz w:val="22"/>
        </w:rPr>
        <w:t>: subventions à l’énergie par les principaux vecteurs énergétiques dans l’EU-27</w:t>
      </w:r>
      <w:bookmarkEnd w:id="12"/>
      <w:bookmarkEnd w:id="13"/>
      <w:r>
        <w:rPr>
          <w:i/>
          <w:noProof/>
          <w:sz w:val="22"/>
        </w:rPr>
        <w:t xml:space="preserve"> en 2015-2024 (en milliard d’EUR de </w:t>
      </w:r>
      <w:r>
        <w:rPr>
          <w:i/>
          <w:noProof/>
          <w:sz w:val="22"/>
          <w:vertAlign w:val="subscript"/>
        </w:rPr>
        <w:t>2024</w:t>
      </w:r>
      <w:r>
        <w:rPr>
          <w:i/>
          <w:noProof/>
          <w:sz w:val="22"/>
        </w:rPr>
        <w:t xml:space="preserve">) </w:t>
      </w:r>
    </w:p>
    <w:p>
      <w:pPr>
        <w:pStyle w:val="Caption"/>
        <w:spacing w:before="0" w:after="0"/>
        <w:contextualSpacing/>
        <w:jc w:val="center"/>
        <w:rPr>
          <w:noProof/>
        </w:rPr>
      </w:pPr>
      <w:r>
        <w:rPr>
          <w:rStyle w:val="SourceCar"/>
          <w:noProof/>
        </w:rPr>
        <w:t>Source: Enerdata, 2025. les estimations pour 2024 sont représentées en hachuré.</w:t>
      </w:r>
    </w:p>
    <w:p>
      <w:pPr>
        <w:pStyle w:val="BodyText"/>
        <w:jc w:val="both"/>
        <w:rPr>
          <w:i/>
          <w:iCs/>
          <w:noProof/>
        </w:rPr>
      </w:pPr>
    </w:p>
    <w:p>
      <w:pPr>
        <w:spacing w:after="0"/>
        <w:rPr>
          <w:rFonts w:ascii="Times New Roman" w:hAnsi="Times New Roman" w:cs="Times New Roman"/>
          <w:noProof/>
          <w:sz w:val="24"/>
          <w:szCs w:val="24"/>
        </w:rPr>
      </w:pPr>
      <w:r>
        <w:rPr>
          <w:rFonts w:ascii="Times New Roman" w:hAnsi="Times New Roman"/>
          <w:b/>
          <w:noProof/>
          <w:sz w:val="24"/>
        </w:rPr>
        <w:t>La</w:t>
      </w:r>
      <w:r>
        <w:rPr>
          <w:rFonts w:ascii="Times New Roman" w:hAnsi="Times New Roman"/>
          <w:noProof/>
          <w:sz w:val="24"/>
        </w:rPr>
        <w:t xml:space="preserve"> </w:t>
      </w:r>
      <w:r>
        <w:rPr>
          <w:rFonts w:ascii="Times New Roman" w:hAnsi="Times New Roman"/>
          <w:b/>
          <w:noProof/>
          <w:sz w:val="24"/>
        </w:rPr>
        <w:t>tendance à la baisse des subventions aux combustibles fossiles s’est poursuivie</w:t>
      </w:r>
      <w:r>
        <w:rPr>
          <w:rFonts w:ascii="Times New Roman" w:hAnsi="Times New Roman"/>
          <w:noProof/>
          <w:sz w:val="24"/>
        </w:rPr>
        <w:t xml:space="preserve"> (</w:t>
      </w:r>
      <w:r>
        <w:rPr>
          <w:rFonts w:ascii="Times New Roman" w:hAnsi="Times New Roman" w:cs="Times New Roman"/>
          <w:noProof/>
          <w:color w:val="2B579A"/>
          <w:sz w:val="24"/>
          <w:shd w:val="clear" w:color="auto" w:fill="E6E6E6"/>
        </w:rPr>
        <w:fldChar w:fldCharType="begin"/>
      </w:r>
      <w:r>
        <w:rPr>
          <w:rFonts w:ascii="Times New Roman" w:hAnsi="Times New Roman" w:cs="Times New Roman"/>
          <w:noProof/>
          <w:color w:val="2B579A"/>
          <w:sz w:val="24"/>
          <w:shd w:val="clear" w:color="auto" w:fill="E6E6E6"/>
        </w:rPr>
        <w:instrText xml:space="preserve"> REF  _Ref107090333 \h  \* MERGEFORMAT </w:instrText>
      </w:r>
      <w:r>
        <w:rPr>
          <w:rFonts w:ascii="Times New Roman" w:hAnsi="Times New Roman" w:cs="Times New Roman"/>
          <w:noProof/>
          <w:color w:val="2B579A"/>
          <w:sz w:val="24"/>
          <w:shd w:val="clear" w:color="auto" w:fill="E6E6E6"/>
        </w:rPr>
      </w:r>
      <w:r>
        <w:rPr>
          <w:rFonts w:ascii="Times New Roman" w:hAnsi="Times New Roman" w:cs="Times New Roman"/>
          <w:noProof/>
          <w:color w:val="2B579A"/>
          <w:sz w:val="24"/>
          <w:shd w:val="clear" w:color="auto" w:fill="E6E6E6"/>
        </w:rPr>
        <w:fldChar w:fldCharType="separate"/>
      </w:r>
      <w:r>
        <w:rPr>
          <w:rFonts w:ascii="Times New Roman" w:eastAsia="Times New Roman" w:hAnsi="Times New Roman" w:cs="Times New Roman"/>
          <w:noProof/>
          <w:sz w:val="24"/>
        </w:rPr>
        <w:t xml:space="preserve">Figure </w:t>
      </w:r>
      <w:r>
        <w:rPr>
          <w:rFonts w:ascii="Times New Roman" w:eastAsia="Times New Roman" w:hAnsi="Times New Roman" w:cs="Times New Roman"/>
          <w:noProof/>
          <w:color w:val="2B579A"/>
          <w:sz w:val="24"/>
          <w:shd w:val="clear" w:color="auto" w:fill="E6E6E6"/>
        </w:rPr>
        <w:t>5</w:t>
      </w:r>
      <w:r>
        <w:rPr>
          <w:rFonts w:ascii="Times New Roman" w:hAnsi="Times New Roman" w:cs="Times New Roman"/>
          <w:noProof/>
          <w:color w:val="2B579A"/>
          <w:sz w:val="24"/>
          <w:shd w:val="clear" w:color="auto" w:fill="E6E6E6"/>
        </w:rPr>
        <w:fldChar w:fldCharType="end"/>
      </w:r>
      <w:r>
        <w:rPr>
          <w:rFonts w:ascii="Times New Roman" w:hAnsi="Times New Roman"/>
          <w:noProof/>
          <w:color w:val="2B579A"/>
          <w:sz w:val="24"/>
          <w:shd w:val="clear" w:color="auto" w:fill="E6E6E6"/>
        </w:rPr>
        <w:t>)</w:t>
      </w:r>
      <w:r>
        <w:rPr>
          <w:rFonts w:ascii="Times New Roman" w:hAnsi="Times New Roman"/>
          <w:noProof/>
          <w:sz w:val="24"/>
        </w:rPr>
        <w:t xml:space="preserve">, mais elles étaient </w:t>
      </w:r>
      <w:r>
        <w:rPr>
          <w:rFonts w:ascii="Times New Roman" w:hAnsi="Times New Roman"/>
          <w:b/>
          <w:noProof/>
          <w:sz w:val="24"/>
        </w:rPr>
        <w:t>toujours supérieures</w:t>
      </w:r>
      <w:r>
        <w:rPr>
          <w:rFonts w:ascii="Times New Roman" w:hAnsi="Times New Roman"/>
          <w:noProof/>
          <w:sz w:val="24"/>
        </w:rPr>
        <w:t xml:space="preserve"> de 64 % </w:t>
      </w:r>
      <w:r>
        <w:rPr>
          <w:rFonts w:ascii="Times New Roman" w:hAnsi="Times New Roman"/>
          <w:b/>
          <w:bCs/>
          <w:noProof/>
          <w:sz w:val="24"/>
        </w:rPr>
        <w:t>à la moyenne historique</w:t>
      </w:r>
      <w:r>
        <w:rPr>
          <w:rFonts w:ascii="Times New Roman" w:hAnsi="Times New Roman"/>
          <w:noProof/>
          <w:sz w:val="24"/>
        </w:rPr>
        <w:t xml:space="preserve"> d’avant la crise (60 milliards d’EUR)</w:t>
      </w:r>
      <w:r>
        <w:rPr>
          <w:rStyle w:val="FootnoteReference"/>
          <w:rFonts w:eastAsia="MS Mincho"/>
          <w:noProof/>
          <w:szCs w:val="24"/>
        </w:rPr>
        <w:footnoteReference w:id="10"/>
      </w:r>
      <w:r>
        <w:rPr>
          <w:rFonts w:ascii="Times New Roman" w:hAnsi="Times New Roman"/>
          <w:noProof/>
          <w:sz w:val="24"/>
        </w:rPr>
        <w:t>.</w:t>
      </w:r>
    </w:p>
    <w:p>
      <w:pPr>
        <w:pStyle w:val="BodyText"/>
        <w:jc w:val="both"/>
        <w:rPr>
          <w:noProof/>
        </w:rPr>
      </w:pPr>
      <w:r>
        <w:rPr>
          <w:noProof/>
        </w:rPr>
        <w:drawing>
          <wp:inline distT="0" distB="0" distL="0" distR="0">
            <wp:extent cx="5543550" cy="2502152"/>
            <wp:effectExtent l="0" t="0" r="0" b="0"/>
            <wp:docPr id="13903638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363837" name=""/>
                    <pic:cNvPicPr/>
                  </pic:nvPicPr>
                  <pic:blipFill>
                    <a:blip r:embed="rId22"/>
                    <a:stretch>
                      <a:fillRect/>
                    </a:stretch>
                  </pic:blipFill>
                  <pic:spPr>
                    <a:xfrm>
                      <a:off x="0" y="0"/>
                      <a:ext cx="5549338" cy="2504764"/>
                    </a:xfrm>
                    <a:prstGeom prst="rect">
                      <a:avLst/>
                    </a:prstGeom>
                  </pic:spPr>
                </pic:pic>
              </a:graphicData>
            </a:graphic>
          </wp:inline>
        </w:drawing>
      </w:r>
    </w:p>
    <w:p>
      <w:pPr>
        <w:pStyle w:val="Caption"/>
        <w:spacing w:after="0"/>
        <w:jc w:val="center"/>
        <w:rPr>
          <w:noProof/>
        </w:rPr>
      </w:pPr>
      <w:bookmarkStart w:id="14" w:name="_Ref107090333"/>
      <w:bookmarkStart w:id="15" w:name="_Toc145348068"/>
      <w:r>
        <w:rPr>
          <w:noProof/>
        </w:rPr>
        <w:t>Figure </w:t>
      </w:r>
      <w:r>
        <w:rPr>
          <w:noProof/>
          <w:color w:val="2B579A"/>
          <w:shd w:val="clear" w:color="auto" w:fill="E6E6E6"/>
        </w:rPr>
        <w:fldChar w:fldCharType="begin"/>
      </w:r>
      <w:r>
        <w:rPr>
          <w:noProof/>
          <w:color w:val="2B579A"/>
          <w:shd w:val="clear" w:color="auto" w:fill="E6E6E6"/>
        </w:rPr>
        <w:instrText xml:space="preserve"> SEQ Figure \* ARABIC </w:instrText>
      </w:r>
      <w:r>
        <w:rPr>
          <w:noProof/>
          <w:color w:val="2B579A"/>
          <w:shd w:val="clear" w:color="auto" w:fill="E6E6E6"/>
        </w:rPr>
        <w:fldChar w:fldCharType="separate"/>
      </w:r>
      <w:r>
        <w:rPr>
          <w:noProof/>
          <w:color w:val="2B579A"/>
          <w:shd w:val="clear" w:color="auto" w:fill="E6E6E6"/>
        </w:rPr>
        <w:t>5</w:t>
      </w:r>
      <w:r>
        <w:rPr>
          <w:noProof/>
          <w:color w:val="2B579A"/>
          <w:shd w:val="clear" w:color="auto" w:fill="E6E6E6"/>
        </w:rPr>
        <w:fldChar w:fldCharType="end"/>
      </w:r>
      <w:bookmarkEnd w:id="14"/>
      <w:r>
        <w:rPr>
          <w:noProof/>
        </w:rPr>
        <w:t xml:space="preserve">: subventions aux combustibles fossiles par vecteur énergétique (en milliard d’EUR de </w:t>
      </w:r>
      <w:r>
        <w:rPr>
          <w:noProof/>
          <w:vertAlign w:val="subscript"/>
        </w:rPr>
        <w:t>2024</w:t>
      </w:r>
      <w:r>
        <w:rPr>
          <w:noProof/>
        </w:rPr>
        <w:t>)</w:t>
      </w:r>
      <w:bookmarkEnd w:id="15"/>
    </w:p>
    <w:p>
      <w:pPr>
        <w:jc w:val="center"/>
        <w:rPr>
          <w:rStyle w:val="SourceCar"/>
          <w:rFonts w:eastAsia="MS Mincho"/>
          <w:noProof/>
        </w:rPr>
      </w:pPr>
      <w:r>
        <w:rPr>
          <w:rStyle w:val="SourceCar"/>
          <w:rFonts w:eastAsiaTheme="minorHAnsi"/>
          <w:noProof/>
        </w:rPr>
        <w:t>Source: Enerdata, Trinomics, 2024. *La catégorie «Autres» comprend les subventions en faveur de tous les combustibles fossiles, et la chaleur produite à partir de sources fossiles. Les chiffres de la figure incluent des dépenses fiscales qui ne peuvent pas être directement comparées d’un pays à l’autre.</w:t>
      </w:r>
    </w:p>
    <w:p>
      <w:pPr>
        <w:rPr>
          <w:rFonts w:ascii="Times New Roman" w:hAnsi="Times New Roman" w:cs="Times New Roman"/>
          <w:noProof/>
          <w:sz w:val="24"/>
          <w:szCs w:val="24"/>
        </w:rPr>
      </w:pPr>
      <w:r>
        <w:rPr>
          <w:rFonts w:ascii="Times New Roman" w:hAnsi="Times New Roman"/>
          <w:noProof/>
          <w:sz w:val="24"/>
        </w:rPr>
        <w:t xml:space="preserve">Les </w:t>
      </w:r>
      <w:r>
        <w:rPr>
          <w:rFonts w:ascii="Times New Roman" w:hAnsi="Times New Roman"/>
          <w:b/>
          <w:bCs/>
          <w:noProof/>
          <w:sz w:val="24"/>
        </w:rPr>
        <w:t>subventions aux combustibles fossiles, à l’exclusion des «dépenses fiscales»</w:t>
      </w:r>
      <w:r>
        <w:rPr>
          <w:rFonts w:ascii="Times New Roman" w:hAnsi="Times New Roman"/>
          <w:noProof/>
          <w:sz w:val="24"/>
        </w:rPr>
        <w:t xml:space="preserve"> (43 milliards d’EUR), de la «prise de participation des pouvoirs publics» et de l’«apport de fonds propres» (10 milliards d’EUR), représentaient 45 % du total, soit </w:t>
      </w:r>
      <w:r>
        <w:rPr>
          <w:rFonts w:ascii="Times New Roman" w:hAnsi="Times New Roman"/>
          <w:b/>
          <w:bCs/>
          <w:noProof/>
          <w:sz w:val="24"/>
        </w:rPr>
        <w:t>44 milliards d’EUR</w:t>
      </w:r>
      <w:r>
        <w:rPr>
          <w:rFonts w:ascii="Times New Roman" w:hAnsi="Times New Roman"/>
          <w:noProof/>
          <w:sz w:val="24"/>
        </w:rPr>
        <w:t>, en 2024.</w:t>
      </w:r>
    </w:p>
    <w:p>
      <w:pPr>
        <w:rPr>
          <w:noProof/>
        </w:rPr>
      </w:pPr>
      <w:r>
        <w:rPr>
          <w:noProof/>
        </w:rPr>
        <w:drawing>
          <wp:inline distT="0" distB="0" distL="0" distR="0">
            <wp:extent cx="5000625" cy="2166790"/>
            <wp:effectExtent l="0" t="0" r="0" b="5080"/>
            <wp:docPr id="19920135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013588" name=""/>
                    <pic:cNvPicPr/>
                  </pic:nvPicPr>
                  <pic:blipFill>
                    <a:blip r:embed="rId23"/>
                    <a:stretch>
                      <a:fillRect/>
                    </a:stretch>
                  </pic:blipFill>
                  <pic:spPr>
                    <a:xfrm>
                      <a:off x="0" y="0"/>
                      <a:ext cx="5016661" cy="2173739"/>
                    </a:xfrm>
                    <a:prstGeom prst="rect">
                      <a:avLst/>
                    </a:prstGeom>
                  </pic:spPr>
                </pic:pic>
              </a:graphicData>
            </a:graphic>
          </wp:inline>
        </w:drawing>
      </w:r>
    </w:p>
    <w:p>
      <w:pPr>
        <w:pStyle w:val="Caption"/>
        <w:spacing w:after="0"/>
        <w:jc w:val="center"/>
        <w:rPr>
          <w:noProof/>
        </w:rPr>
      </w:pPr>
      <w:r>
        <w:rPr>
          <w:noProof/>
        </w:rPr>
        <w:t>Figure </w:t>
      </w:r>
      <w:r>
        <w:rPr>
          <w:noProof/>
          <w:color w:val="2B579A"/>
          <w:shd w:val="clear" w:color="auto" w:fill="E6E6E6"/>
        </w:rPr>
        <w:fldChar w:fldCharType="begin"/>
      </w:r>
      <w:r>
        <w:rPr>
          <w:noProof/>
          <w:color w:val="2B579A"/>
          <w:shd w:val="clear" w:color="auto" w:fill="E6E6E6"/>
        </w:rPr>
        <w:instrText xml:space="preserve"> SEQ Figure \* ARABIC </w:instrText>
      </w:r>
      <w:r>
        <w:rPr>
          <w:noProof/>
          <w:color w:val="2B579A"/>
          <w:shd w:val="clear" w:color="auto" w:fill="E6E6E6"/>
        </w:rPr>
        <w:fldChar w:fldCharType="separate"/>
      </w:r>
      <w:r>
        <w:rPr>
          <w:noProof/>
          <w:color w:val="2B579A"/>
          <w:shd w:val="clear" w:color="auto" w:fill="E6E6E6"/>
        </w:rPr>
        <w:t>6</w:t>
      </w:r>
      <w:r>
        <w:rPr>
          <w:noProof/>
          <w:color w:val="2B579A"/>
          <w:shd w:val="clear" w:color="auto" w:fill="E6E6E6"/>
        </w:rPr>
        <w:fldChar w:fldCharType="end"/>
      </w:r>
      <w:r>
        <w:rPr>
          <w:noProof/>
        </w:rPr>
        <w:t xml:space="preserve">: subventions aux combustibles fossiles, à l’exclusion des dépenses fiscales, de la participation des pouvoirs publics/des apports de fonds propres par sources d’énergie (en milliard d’EUR de </w:t>
      </w:r>
      <w:r>
        <w:rPr>
          <w:noProof/>
          <w:vertAlign w:val="subscript"/>
        </w:rPr>
        <w:t>2024</w:t>
      </w:r>
      <w:r>
        <w:rPr>
          <w:noProof/>
        </w:rPr>
        <w:t>)</w:t>
      </w:r>
    </w:p>
    <w:p>
      <w:pPr>
        <w:jc w:val="center"/>
        <w:rPr>
          <w:rStyle w:val="SourceCar"/>
          <w:rFonts w:eastAsia="MS Mincho"/>
          <w:noProof/>
        </w:rPr>
      </w:pPr>
      <w:r>
        <w:rPr>
          <w:rStyle w:val="SourceCar"/>
          <w:rFonts w:eastAsiaTheme="minorHAnsi"/>
          <w:noProof/>
        </w:rPr>
        <w:lastRenderedPageBreak/>
        <w:t>Source: Enerdata, Trinomics, 2025. *La catégorie «Autres» comprend les subventions en faveur de tous les combustibles fossiles, et la chaleur produite à partir de sources fossiles. Les chiffres de la figure incluent des dépenses fiscales qui ne peuvent pas être directement comparées d’un pays à l’autre.</w:t>
      </w:r>
    </w:p>
    <w:p>
      <w:pPr>
        <w:jc w:val="both"/>
        <w:rPr>
          <w:rFonts w:ascii="Times New Roman" w:hAnsi="Times New Roman" w:cs="Times New Roman"/>
          <w:noProof/>
          <w:sz w:val="24"/>
          <w:szCs w:val="24"/>
        </w:rPr>
      </w:pPr>
      <w:r>
        <w:rPr>
          <w:rFonts w:ascii="Times New Roman" w:hAnsi="Times New Roman"/>
          <w:noProof/>
          <w:sz w:val="24"/>
        </w:rPr>
        <w:t>Les</w:t>
      </w:r>
      <w:r>
        <w:rPr>
          <w:rFonts w:ascii="Times New Roman" w:hAnsi="Times New Roman"/>
          <w:b/>
          <w:bCs/>
          <w:noProof/>
          <w:sz w:val="24"/>
        </w:rPr>
        <w:t xml:space="preserve"> subventions aux combustibles fossiles visant à lutter contre la précarité énergétique</w:t>
      </w:r>
      <w:r>
        <w:rPr>
          <w:rFonts w:ascii="Times New Roman" w:hAnsi="Times New Roman"/>
          <w:noProof/>
          <w:sz w:val="24"/>
        </w:rPr>
        <w:t xml:space="preserve"> </w:t>
      </w:r>
      <w:r>
        <w:rPr>
          <w:rFonts w:ascii="Times New Roman" w:hAnsi="Times New Roman"/>
          <w:b/>
          <w:bCs/>
          <w:noProof/>
          <w:sz w:val="24"/>
        </w:rPr>
        <w:t>ont diminué</w:t>
      </w:r>
      <w:r>
        <w:rPr>
          <w:rFonts w:ascii="Times New Roman" w:hAnsi="Times New Roman"/>
          <w:noProof/>
          <w:sz w:val="24"/>
        </w:rPr>
        <w:t xml:space="preserve"> pour atteindre 1,3 milliard d’EUR en 2024, mais sont restées </w:t>
      </w:r>
      <w:r>
        <w:rPr>
          <w:rFonts w:ascii="Times New Roman" w:hAnsi="Times New Roman"/>
          <w:b/>
          <w:bCs/>
          <w:noProof/>
          <w:sz w:val="24"/>
        </w:rPr>
        <w:t>supérieures à la moyenne historique</w:t>
      </w:r>
      <w:r>
        <w:rPr>
          <w:rStyle w:val="FootnoteReference"/>
          <w:rFonts w:eastAsiaTheme="minorHAnsi"/>
          <w:b/>
          <w:bCs/>
          <w:noProof/>
        </w:rPr>
        <w:footnoteReference w:id="11"/>
      </w:r>
      <w:r>
        <w:rPr>
          <w:rFonts w:ascii="Times New Roman" w:hAnsi="Times New Roman"/>
          <w:noProof/>
          <w:sz w:val="24"/>
        </w:rPr>
        <w:t xml:space="preserve"> d’environ 980 millions d’EUR par an.</w:t>
      </w:r>
    </w:p>
    <w:p>
      <w:pPr>
        <w:jc w:val="both"/>
        <w:rPr>
          <w:rFonts w:ascii="Times New Roman" w:hAnsi="Times New Roman" w:cs="Times New Roman"/>
          <w:noProof/>
          <w:sz w:val="24"/>
          <w:szCs w:val="24"/>
        </w:rPr>
      </w:pPr>
      <w:r>
        <w:rPr>
          <w:rFonts w:ascii="Times New Roman" w:hAnsi="Times New Roman"/>
          <w:noProof/>
          <w:sz w:val="24"/>
        </w:rPr>
        <w:t xml:space="preserve">Les </w:t>
      </w:r>
      <w:r>
        <w:rPr>
          <w:rFonts w:ascii="Times New Roman" w:hAnsi="Times New Roman"/>
          <w:b/>
          <w:bCs/>
          <w:noProof/>
          <w:sz w:val="24"/>
        </w:rPr>
        <w:t>subventions aux combustibles fossiles visant à renforcer la sécurité de l’approvisionnement,</w:t>
      </w:r>
      <w:r>
        <w:rPr>
          <w:rFonts w:ascii="Times New Roman" w:hAnsi="Times New Roman"/>
          <w:noProof/>
          <w:sz w:val="24"/>
        </w:rPr>
        <w:t xml:space="preserve"> qui sont tombées à 15 milliards d’EUR en 2023, ont de nouveau diminué en 2024, pour atteindre 11 milliards d’EUR. Néanmoins, elles sont restées </w:t>
      </w:r>
      <w:r>
        <w:rPr>
          <w:rFonts w:ascii="Times New Roman" w:hAnsi="Times New Roman"/>
          <w:b/>
          <w:bCs/>
          <w:noProof/>
          <w:sz w:val="24"/>
        </w:rPr>
        <w:t>nettement supérieures aux niveaux d’avant la crise</w:t>
      </w:r>
      <w:r>
        <w:rPr>
          <w:rStyle w:val="FootnoteReference"/>
          <w:rFonts w:eastAsiaTheme="minorHAnsi"/>
          <w:b/>
          <w:bCs/>
          <w:noProof/>
        </w:rPr>
        <w:footnoteReference w:id="12"/>
      </w:r>
      <w:r>
        <w:rPr>
          <w:rFonts w:ascii="Times New Roman" w:hAnsi="Times New Roman"/>
          <w:noProof/>
          <w:sz w:val="24"/>
        </w:rPr>
        <w:t>, à savoir environ 1 milliard d’EUR.</w:t>
      </w:r>
    </w:p>
    <w:p>
      <w:pPr>
        <w:jc w:val="both"/>
        <w:rPr>
          <w:rFonts w:ascii="Times New Roman" w:hAnsi="Times New Roman" w:cs="Times New Roman"/>
          <w:noProof/>
          <w:sz w:val="24"/>
          <w:szCs w:val="24"/>
        </w:rPr>
      </w:pPr>
      <w:r>
        <w:rPr>
          <w:rFonts w:ascii="Times New Roman" w:hAnsi="Times New Roman"/>
          <w:noProof/>
          <w:sz w:val="24"/>
        </w:rPr>
        <w:t xml:space="preserve">En 2024, les </w:t>
      </w:r>
      <w:r>
        <w:rPr>
          <w:rFonts w:ascii="Times New Roman" w:hAnsi="Times New Roman"/>
          <w:b/>
          <w:bCs/>
          <w:noProof/>
          <w:sz w:val="24"/>
        </w:rPr>
        <w:t>subventions en faveur des sources d’énergie renouvelables ont rebondi</w:t>
      </w:r>
      <w:r>
        <w:rPr>
          <w:rFonts w:ascii="Times New Roman" w:hAnsi="Times New Roman"/>
          <w:noProof/>
          <w:sz w:val="24"/>
        </w:rPr>
        <w:t xml:space="preserve"> pour atteindre 76 milliards d’EUR, soit une augmentation de 39 % par rapport à 2023, lorsqu’elles ont atteint leur niveau le plus bas depuis 2015 (55 milliards d’EUR). Toutefois, elles </w:t>
      </w:r>
      <w:r>
        <w:rPr>
          <w:rFonts w:ascii="Times New Roman" w:hAnsi="Times New Roman"/>
          <w:b/>
          <w:bCs/>
          <w:noProof/>
          <w:sz w:val="24"/>
        </w:rPr>
        <w:t>étaient</w:t>
      </w:r>
      <w:r>
        <w:rPr>
          <w:rFonts w:ascii="Times New Roman" w:hAnsi="Times New Roman"/>
          <w:noProof/>
          <w:sz w:val="24"/>
        </w:rPr>
        <w:t xml:space="preserve"> toujours </w:t>
      </w:r>
      <w:r>
        <w:rPr>
          <w:rFonts w:ascii="Times New Roman" w:hAnsi="Times New Roman"/>
          <w:b/>
          <w:bCs/>
          <w:noProof/>
          <w:sz w:val="24"/>
        </w:rPr>
        <w:t>inférieures</w:t>
      </w:r>
      <w:r>
        <w:rPr>
          <w:rFonts w:ascii="Times New Roman" w:hAnsi="Times New Roman"/>
          <w:noProof/>
          <w:sz w:val="24"/>
        </w:rPr>
        <w:t xml:space="preserve"> de 12 % </w:t>
      </w:r>
      <w:r>
        <w:rPr>
          <w:rFonts w:ascii="Times New Roman" w:hAnsi="Times New Roman"/>
          <w:b/>
          <w:bCs/>
          <w:noProof/>
          <w:sz w:val="24"/>
        </w:rPr>
        <w:t>à la moyenne historique</w:t>
      </w:r>
      <w:r>
        <w:rPr>
          <w:rFonts w:ascii="Times New Roman" w:hAnsi="Times New Roman"/>
          <w:noProof/>
          <w:sz w:val="24"/>
        </w:rPr>
        <w:t xml:space="preserve"> pour la période 2015-2019, qui était d’environ 86 milliards d’EUR par an.</w:t>
      </w:r>
    </w:p>
    <w:p>
      <w:pPr>
        <w:pStyle w:val="BodyText"/>
        <w:jc w:val="both"/>
        <w:rPr>
          <w:noProof/>
        </w:rPr>
      </w:pPr>
    </w:p>
    <w:p>
      <w:pPr>
        <w:pStyle w:val="BodyText"/>
        <w:jc w:val="both"/>
        <w:rPr>
          <w:noProof/>
        </w:rPr>
      </w:pPr>
      <w:r>
        <w:rPr>
          <w:noProof/>
        </w:rPr>
        <w:drawing>
          <wp:inline distT="0" distB="0" distL="0" distR="0">
            <wp:extent cx="4898324" cy="2314575"/>
            <wp:effectExtent l="0" t="0" r="0" b="0"/>
            <wp:docPr id="1184064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06485" name=""/>
                    <pic:cNvPicPr/>
                  </pic:nvPicPr>
                  <pic:blipFill>
                    <a:blip r:embed="rId24"/>
                    <a:stretch>
                      <a:fillRect/>
                    </a:stretch>
                  </pic:blipFill>
                  <pic:spPr>
                    <a:xfrm>
                      <a:off x="0" y="0"/>
                      <a:ext cx="4910484" cy="2320321"/>
                    </a:xfrm>
                    <a:prstGeom prst="rect">
                      <a:avLst/>
                    </a:prstGeom>
                  </pic:spPr>
                </pic:pic>
              </a:graphicData>
            </a:graphic>
          </wp:inline>
        </w:drawing>
      </w:r>
    </w:p>
    <w:p>
      <w:pPr>
        <w:pStyle w:val="Caption"/>
        <w:spacing w:after="0"/>
        <w:jc w:val="center"/>
        <w:rPr>
          <w:noProof/>
        </w:rPr>
      </w:pPr>
      <w:bookmarkStart w:id="16" w:name="_Ref141343568"/>
      <w:bookmarkStart w:id="17" w:name="_Ref77327975"/>
      <w:bookmarkStart w:id="18" w:name="_Ref80805197"/>
      <w:bookmarkStart w:id="19" w:name="_Toc80799168"/>
      <w:bookmarkStart w:id="20" w:name="_Toc145348073"/>
      <w:r>
        <w:rPr>
          <w:noProof/>
        </w:rPr>
        <w:t>Figure </w:t>
      </w:r>
      <w:r>
        <w:rPr>
          <w:noProof/>
        </w:rPr>
        <w:fldChar w:fldCharType="begin"/>
      </w:r>
      <w:r>
        <w:rPr>
          <w:noProof/>
        </w:rPr>
        <w:instrText xml:space="preserve"> SEQ Figure \* ARABIC </w:instrText>
      </w:r>
      <w:r>
        <w:rPr>
          <w:noProof/>
        </w:rPr>
        <w:fldChar w:fldCharType="separate"/>
      </w:r>
      <w:r>
        <w:rPr>
          <w:noProof/>
        </w:rPr>
        <w:t>7</w:t>
      </w:r>
      <w:r>
        <w:rPr>
          <w:noProof/>
        </w:rPr>
        <w:fldChar w:fldCharType="end"/>
      </w:r>
      <w:bookmarkEnd w:id="16"/>
      <w:bookmarkEnd w:id="17"/>
      <w:bookmarkEnd w:id="18"/>
      <w:r>
        <w:rPr>
          <w:noProof/>
        </w:rPr>
        <w:t xml:space="preserve">: </w:t>
      </w:r>
      <w:bookmarkStart w:id="21" w:name="_Ref108018998"/>
      <w:r>
        <w:rPr>
          <w:noProof/>
        </w:rPr>
        <w:t xml:space="preserve">subventions en faveur des énergies renouvelables par technologie (en milliard d’EUR de </w:t>
      </w:r>
      <w:r>
        <w:rPr>
          <w:noProof/>
          <w:vertAlign w:val="subscript"/>
        </w:rPr>
        <w:t>2024</w:t>
      </w:r>
      <w:r>
        <w:rPr>
          <w:noProof/>
        </w:rPr>
        <w:t>)</w:t>
      </w:r>
      <w:bookmarkEnd w:id="19"/>
      <w:bookmarkEnd w:id="20"/>
      <w:bookmarkEnd w:id="21"/>
    </w:p>
    <w:p>
      <w:pPr>
        <w:pStyle w:val="Source"/>
        <w:rPr>
          <w:noProof/>
        </w:rPr>
      </w:pPr>
      <w:r>
        <w:rPr>
          <w:noProof/>
        </w:rPr>
        <w:t>Source: Enerdata, 2025. NB: les estimations pour 2024 sont représentées en couleur claire.</w:t>
      </w:r>
    </w:p>
    <w:p>
      <w:pPr>
        <w:pStyle w:val="Source"/>
        <w:rPr>
          <w:noProof/>
        </w:rPr>
      </w:pPr>
    </w:p>
    <w:p>
      <w:pPr>
        <w:pStyle w:val="BodyText"/>
        <w:jc w:val="both"/>
        <w:rPr>
          <w:noProof/>
        </w:rPr>
      </w:pPr>
      <w:r>
        <w:rPr>
          <w:b/>
          <w:bCs/>
          <w:noProof/>
        </w:rPr>
        <w:t>L’énergie solaire a reçu de loin la plus grande part des subventions</w:t>
      </w:r>
      <w:r>
        <w:rPr>
          <w:noProof/>
        </w:rPr>
        <w:t xml:space="preserve"> en 2024 (39 %, soit environ 30 milliards d’EUR), </w:t>
      </w:r>
      <w:r>
        <w:rPr>
          <w:b/>
          <w:bCs/>
          <w:noProof/>
        </w:rPr>
        <w:t>suivie de la bioénergie</w:t>
      </w:r>
      <w:r>
        <w:rPr>
          <w:noProof/>
        </w:rPr>
        <w:t xml:space="preserve"> (20 %, soit environ 15 milliards d’EUR) et de </w:t>
      </w:r>
      <w:r>
        <w:rPr>
          <w:b/>
          <w:bCs/>
          <w:noProof/>
        </w:rPr>
        <w:t>l’éolien</w:t>
      </w:r>
      <w:r>
        <w:rPr>
          <w:noProof/>
        </w:rPr>
        <w:t xml:space="preserve"> (12 %, soit environ 9 milliards d’EUR) (</w:t>
      </w:r>
      <w:r>
        <w:rPr>
          <w:noProof/>
        </w:rPr>
        <w:fldChar w:fldCharType="begin"/>
      </w:r>
      <w:r>
        <w:rPr>
          <w:noProof/>
        </w:rPr>
        <w:instrText xml:space="preserve"> REF _Ref141343568 \h  \* MERGEFORMAT </w:instrText>
      </w:r>
      <w:r>
        <w:rPr>
          <w:noProof/>
        </w:rPr>
      </w:r>
      <w:r>
        <w:rPr>
          <w:noProof/>
        </w:rPr>
        <w:fldChar w:fldCharType="separate"/>
      </w:r>
      <w:r>
        <w:rPr>
          <w:noProof/>
        </w:rPr>
        <w:t>Figure 8</w:t>
      </w:r>
      <w:r>
        <w:rPr>
          <w:noProof/>
        </w:rPr>
        <w:fldChar w:fldCharType="end"/>
      </w:r>
      <w:r>
        <w:rPr>
          <w:noProof/>
        </w:rPr>
        <w:t xml:space="preserve">). En 2024, les </w:t>
      </w:r>
      <w:r>
        <w:rPr>
          <w:b/>
          <w:bCs/>
          <w:noProof/>
        </w:rPr>
        <w:t>subventions en faveur de toutes les grandes sources d’énergie renouvelables ont augmenté</w:t>
      </w:r>
      <w:r>
        <w:rPr>
          <w:noProof/>
        </w:rPr>
        <w:t xml:space="preserve">: de 75 % pour l’éolien, de 19 % pour le solaire et de 51 % pour toutes les autres sources (bioénergie, hydroélectricité, autres/SER multiples). Par rapport à la moyenne historique sur cinq ans (2015-2019), les subventions accordées à l’ensemble des énergies renouvelables ont diminué de 12 % </w:t>
      </w:r>
      <w:r>
        <w:rPr>
          <w:noProof/>
        </w:rPr>
        <w:lastRenderedPageBreak/>
        <w:t>(solaire) et de 53 % (éolien), à l’exception des subventions en faveur des sources d’énergie renouvelables multiples (+ 132 %).</w:t>
      </w:r>
    </w:p>
    <w:p>
      <w:pPr>
        <w:pStyle w:val="BodyText"/>
        <w:jc w:val="both"/>
        <w:rPr>
          <w:noProof/>
        </w:rPr>
      </w:pPr>
      <w:r>
        <w:rPr>
          <w:noProof/>
        </w:rPr>
        <w:drawing>
          <wp:inline distT="0" distB="0" distL="0" distR="0">
            <wp:extent cx="5334000" cy="2817104"/>
            <wp:effectExtent l="0" t="0" r="0" b="2540"/>
            <wp:docPr id="11824514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451417" name=""/>
                    <pic:cNvPicPr/>
                  </pic:nvPicPr>
                  <pic:blipFill>
                    <a:blip r:embed="rId25"/>
                    <a:stretch>
                      <a:fillRect/>
                    </a:stretch>
                  </pic:blipFill>
                  <pic:spPr>
                    <a:xfrm>
                      <a:off x="0" y="0"/>
                      <a:ext cx="5343852" cy="2822307"/>
                    </a:xfrm>
                    <a:prstGeom prst="rect">
                      <a:avLst/>
                    </a:prstGeom>
                  </pic:spPr>
                </pic:pic>
              </a:graphicData>
            </a:graphic>
          </wp:inline>
        </w:drawing>
      </w:r>
    </w:p>
    <w:p>
      <w:pPr>
        <w:pStyle w:val="Caption"/>
        <w:spacing w:after="0"/>
        <w:jc w:val="center"/>
        <w:rPr>
          <w:noProof/>
        </w:rPr>
      </w:pPr>
      <w:r>
        <w:rPr>
          <w:noProof/>
        </w:rPr>
        <w:t>Figure </w:t>
      </w:r>
      <w:r>
        <w:rPr>
          <w:noProof/>
        </w:rPr>
        <w:fldChar w:fldCharType="begin"/>
      </w:r>
      <w:r>
        <w:rPr>
          <w:noProof/>
        </w:rPr>
        <w:instrText xml:space="preserve"> SEQ Figure \* ARABIC </w:instrText>
      </w:r>
      <w:r>
        <w:rPr>
          <w:noProof/>
        </w:rPr>
        <w:fldChar w:fldCharType="separate"/>
      </w:r>
      <w:r>
        <w:rPr>
          <w:noProof/>
        </w:rPr>
        <w:t>8</w:t>
      </w:r>
      <w:r>
        <w:rPr>
          <w:noProof/>
        </w:rPr>
        <w:fldChar w:fldCharType="end"/>
      </w:r>
      <w:r>
        <w:rPr>
          <w:noProof/>
        </w:rPr>
        <w:t xml:space="preserve">: subventions aux énergies renouvelables par instrument (en milliard d’EUR de </w:t>
      </w:r>
      <w:r>
        <w:rPr>
          <w:noProof/>
          <w:vertAlign w:val="subscript"/>
        </w:rPr>
        <w:t>2024</w:t>
      </w:r>
      <w:r>
        <w:rPr>
          <w:noProof/>
        </w:rPr>
        <w:t>)</w:t>
      </w:r>
    </w:p>
    <w:p>
      <w:pPr>
        <w:pStyle w:val="Source"/>
        <w:rPr>
          <w:noProof/>
        </w:rPr>
      </w:pPr>
      <w:r>
        <w:rPr>
          <w:noProof/>
        </w:rPr>
        <w:t>Source: Enerdata, 2025. NB: les estimations pour 2024 sont représentées en couleur claire.</w:t>
      </w:r>
    </w:p>
    <w:p>
      <w:pPr>
        <w:pStyle w:val="BodyText"/>
        <w:jc w:val="both"/>
        <w:rPr>
          <w:noProof/>
        </w:rPr>
      </w:pPr>
    </w:p>
    <w:p>
      <w:pPr>
        <w:pStyle w:val="Text"/>
        <w:rPr>
          <w:rFonts w:ascii="Times New Roman" w:hAnsi="Times New Roman" w:cs="Times New Roman"/>
          <w:bCs/>
          <w:noProof/>
          <w:sz w:val="24"/>
          <w:szCs w:val="24"/>
        </w:rPr>
      </w:pPr>
      <w:r>
        <w:rPr>
          <w:rFonts w:ascii="Times New Roman" w:hAnsi="Times New Roman"/>
          <w:noProof/>
          <w:sz w:val="24"/>
        </w:rPr>
        <w:t>Le soutien aux différentes technologies renouvelables varie sensiblement d’un État membre à l’autre, dans la mesure où il reflète différentes priorités en matière de politiques énergétiques ainsi que le potentiel local des énergies renouvelables (</w:t>
      </w:r>
      <w:r>
        <w:rPr>
          <w:rFonts w:ascii="Times New Roman" w:hAnsi="Times New Roman" w:cs="Times New Roman"/>
          <w:noProof/>
          <w:sz w:val="24"/>
        </w:rPr>
        <w:fldChar w:fldCharType="begin"/>
      </w:r>
      <w:r>
        <w:rPr>
          <w:rFonts w:ascii="Times New Roman" w:hAnsi="Times New Roman" w:cs="Times New Roman"/>
          <w:noProof/>
          <w:sz w:val="24"/>
        </w:rPr>
        <w:instrText xml:space="preserve"> REF _Ref139457743 \h  \* MERGEFORMAT </w:instrText>
      </w:r>
      <w:r>
        <w:rPr>
          <w:rFonts w:ascii="Times New Roman" w:hAnsi="Times New Roman" w:cs="Times New Roman"/>
          <w:noProof/>
          <w:sz w:val="24"/>
        </w:rPr>
      </w:r>
      <w:r>
        <w:rPr>
          <w:rFonts w:ascii="Times New Roman" w:hAnsi="Times New Roman" w:cs="Times New Roman"/>
          <w:noProof/>
          <w:sz w:val="24"/>
        </w:rPr>
        <w:fldChar w:fldCharType="separate"/>
      </w:r>
      <w:r>
        <w:rPr>
          <w:rFonts w:ascii="Times New Roman" w:hAnsi="Times New Roman" w:cs="Times New Roman"/>
          <w:noProof/>
          <w:sz w:val="24"/>
        </w:rPr>
        <w:t>Figure 10</w:t>
      </w:r>
      <w:r>
        <w:rPr>
          <w:rFonts w:ascii="Times New Roman" w:hAnsi="Times New Roman" w:cs="Times New Roman"/>
          <w:noProof/>
          <w:sz w:val="24"/>
        </w:rPr>
        <w:fldChar w:fldCharType="end"/>
      </w:r>
      <w:r>
        <w:rPr>
          <w:rFonts w:ascii="Times New Roman" w:hAnsi="Times New Roman"/>
          <w:noProof/>
          <w:sz w:val="24"/>
        </w:rPr>
        <w:t>). Les pays à forte irradiation solaire, tels que Malte, la Grèce, Chypre, l’Italie et l’Espagne, ont préféré accorder un soutien à l’</w:t>
      </w:r>
      <w:r>
        <w:rPr>
          <w:rFonts w:ascii="Times New Roman" w:hAnsi="Times New Roman"/>
          <w:i/>
          <w:iCs/>
          <w:noProof/>
          <w:sz w:val="24"/>
        </w:rPr>
        <w:t>énergie solaire</w:t>
      </w:r>
      <w:r>
        <w:rPr>
          <w:rFonts w:ascii="Times New Roman" w:hAnsi="Times New Roman"/>
          <w:noProof/>
          <w:sz w:val="24"/>
        </w:rPr>
        <w:t xml:space="preserve">, tandis que les pays à couverture forestière plus importante, tels que la Croatie, la Finlande et la Suède, ont accordé un soutien plus important à la </w:t>
      </w:r>
      <w:r>
        <w:rPr>
          <w:rFonts w:ascii="Times New Roman" w:hAnsi="Times New Roman"/>
          <w:i/>
          <w:iCs/>
          <w:noProof/>
          <w:sz w:val="24"/>
        </w:rPr>
        <w:t>bioénergie</w:t>
      </w:r>
      <w:r>
        <w:rPr>
          <w:rFonts w:ascii="Times New Roman" w:hAnsi="Times New Roman"/>
          <w:noProof/>
          <w:sz w:val="24"/>
        </w:rPr>
        <w:t>. L’</w:t>
      </w:r>
      <w:r>
        <w:rPr>
          <w:rFonts w:ascii="Times New Roman" w:hAnsi="Times New Roman"/>
          <w:i/>
          <w:iCs/>
          <w:noProof/>
          <w:sz w:val="24"/>
        </w:rPr>
        <w:t>éolien</w:t>
      </w:r>
      <w:r>
        <w:rPr>
          <w:rFonts w:ascii="Times New Roman" w:hAnsi="Times New Roman"/>
          <w:noProof/>
          <w:sz w:val="24"/>
        </w:rPr>
        <w:t xml:space="preserve"> (en mer) représentait une part importante des subventions en faveur des énergies renouvelables en Pologne et en Belgique. L’approche privilégiée dans des pays tels que l’Allemagne, la France, la Slovaquie, la Tchéquie, la Slovénie et la Lettonie était l</w:t>
      </w:r>
      <w:r>
        <w:rPr>
          <w:rFonts w:ascii="Times New Roman" w:hAnsi="Times New Roman"/>
          <w:i/>
          <w:iCs/>
          <w:noProof/>
          <w:sz w:val="24"/>
        </w:rPr>
        <w:t>’équilibre des dépenses neutres sur le plan technologique</w:t>
      </w:r>
      <w:r>
        <w:rPr>
          <w:rFonts w:ascii="Times New Roman" w:hAnsi="Times New Roman"/>
          <w:noProof/>
          <w:sz w:val="24"/>
        </w:rPr>
        <w:t xml:space="preserve"> entre les différentes sources d’énergie renouvelables</w:t>
      </w:r>
      <w:r>
        <w:rPr>
          <w:noProof/>
        </w:rPr>
        <w:t>.</w:t>
      </w:r>
    </w:p>
    <w:p>
      <w:pPr>
        <w:pStyle w:val="BodyText"/>
        <w:jc w:val="both"/>
        <w:rPr>
          <w:noProof/>
        </w:rPr>
      </w:pPr>
      <w:r>
        <w:rPr>
          <w:noProof/>
        </w:rPr>
        <w:drawing>
          <wp:inline distT="0" distB="0" distL="0" distR="0">
            <wp:extent cx="5182567" cy="2895600"/>
            <wp:effectExtent l="0" t="0" r="0" b="0"/>
            <wp:docPr id="18172562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256273" name=""/>
                    <pic:cNvPicPr/>
                  </pic:nvPicPr>
                  <pic:blipFill>
                    <a:blip r:embed="rId26"/>
                    <a:stretch>
                      <a:fillRect/>
                    </a:stretch>
                  </pic:blipFill>
                  <pic:spPr>
                    <a:xfrm>
                      <a:off x="0" y="0"/>
                      <a:ext cx="5193437" cy="2901673"/>
                    </a:xfrm>
                    <a:prstGeom prst="rect">
                      <a:avLst/>
                    </a:prstGeom>
                  </pic:spPr>
                </pic:pic>
              </a:graphicData>
            </a:graphic>
          </wp:inline>
        </w:drawing>
      </w:r>
    </w:p>
    <w:p>
      <w:pPr>
        <w:pStyle w:val="Caption"/>
        <w:spacing w:after="0"/>
        <w:jc w:val="center"/>
        <w:rPr>
          <w:noProof/>
        </w:rPr>
      </w:pPr>
      <w:bookmarkStart w:id="22" w:name="_Ref77336392"/>
      <w:bookmarkStart w:id="23" w:name="_Ref109228329"/>
      <w:bookmarkStart w:id="24" w:name="_Ref139457743"/>
      <w:bookmarkStart w:id="25" w:name="_Toc80799171"/>
      <w:bookmarkStart w:id="26" w:name="_Toc81236957"/>
      <w:bookmarkStart w:id="27" w:name="_Toc145348076"/>
      <w:r>
        <w:rPr>
          <w:noProof/>
        </w:rPr>
        <w:lastRenderedPageBreak/>
        <w:t>Figure </w:t>
      </w:r>
      <w:r>
        <w:rPr>
          <w:noProof/>
        </w:rPr>
        <w:fldChar w:fldCharType="begin"/>
      </w:r>
      <w:r>
        <w:rPr>
          <w:noProof/>
        </w:rPr>
        <w:instrText xml:space="preserve"> SEQ Figure \* ARABIC </w:instrText>
      </w:r>
      <w:r>
        <w:rPr>
          <w:noProof/>
        </w:rPr>
        <w:fldChar w:fldCharType="separate"/>
      </w:r>
      <w:r>
        <w:rPr>
          <w:noProof/>
        </w:rPr>
        <w:t>9</w:t>
      </w:r>
      <w:r>
        <w:rPr>
          <w:noProof/>
        </w:rPr>
        <w:fldChar w:fldCharType="end"/>
      </w:r>
      <w:bookmarkEnd w:id="22"/>
      <w:bookmarkEnd w:id="23"/>
      <w:bookmarkEnd w:id="24"/>
      <w:r>
        <w:rPr>
          <w:noProof/>
        </w:rPr>
        <w:t>: part des subventions aux SER par technologie et État membre (en %)</w:t>
      </w:r>
      <w:bookmarkEnd w:id="25"/>
      <w:bookmarkEnd w:id="26"/>
      <w:bookmarkEnd w:id="27"/>
    </w:p>
    <w:p>
      <w:pPr>
        <w:jc w:val="center"/>
        <w:rPr>
          <w:noProof/>
        </w:rPr>
      </w:pPr>
      <w:r>
        <w:rPr>
          <w:rStyle w:val="SourceCar"/>
          <w:rFonts w:eastAsiaTheme="minorHAnsi"/>
          <w:noProof/>
        </w:rPr>
        <w:t>Source: Enerdata, Trinomics, 2025</w:t>
      </w:r>
    </w:p>
    <w:p>
      <w:pPr>
        <w:pStyle w:val="BodyText"/>
        <w:jc w:val="both"/>
        <w:rPr>
          <w:noProof/>
        </w:rPr>
      </w:pPr>
    </w:p>
    <w:p>
      <w:pPr>
        <w:pStyle w:val="Heading2"/>
        <w:rPr>
          <w:noProof/>
        </w:rPr>
      </w:pPr>
      <w:r>
        <w:rPr>
          <w:noProof/>
        </w:rPr>
        <w:t>Subventions par objectif économique</w:t>
      </w:r>
    </w:p>
    <w:p>
      <w:pPr>
        <w:rPr>
          <w:rFonts w:ascii="Times New Roman" w:hAnsi="Times New Roman" w:cs="Times New Roman"/>
          <w:noProof/>
          <w:sz w:val="24"/>
          <w:szCs w:val="24"/>
        </w:rPr>
      </w:pPr>
      <w:r>
        <w:rPr>
          <w:rFonts w:ascii="Times New Roman" w:hAnsi="Times New Roman"/>
          <w:noProof/>
          <w:sz w:val="24"/>
        </w:rPr>
        <w:t xml:space="preserve">Les </w:t>
      </w:r>
      <w:r>
        <w:rPr>
          <w:rFonts w:ascii="Times New Roman" w:hAnsi="Times New Roman"/>
          <w:b/>
          <w:bCs/>
          <w:noProof/>
          <w:sz w:val="24"/>
        </w:rPr>
        <w:t>subventions soutenant la demande d’énergie</w:t>
      </w:r>
      <w:r>
        <w:rPr>
          <w:rFonts w:ascii="Times New Roman" w:hAnsi="Times New Roman"/>
          <w:noProof/>
          <w:sz w:val="24"/>
        </w:rPr>
        <w:t xml:space="preserve"> constituent, depuis 2021, le principal objectif économique de l’octroi de subventions, représentant 163 milliards d’EUR (48 % du total) en 2024. Ces subventions visent à réduire le coût de la consommation d’énergie au moyen, par exemple, de taux de taxation plus faibles sur les produits énergétiques ou d’un soutien direct des prix.</w:t>
      </w:r>
    </w:p>
    <w:p>
      <w:pPr>
        <w:rPr>
          <w:noProof/>
        </w:rPr>
      </w:pPr>
      <w:r>
        <w:rPr>
          <w:noProof/>
        </w:rPr>
        <w:drawing>
          <wp:inline distT="0" distB="0" distL="0" distR="0">
            <wp:extent cx="5548139" cy="2247900"/>
            <wp:effectExtent l="0" t="0" r="0" b="0"/>
            <wp:docPr id="12551579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157913" name=""/>
                    <pic:cNvPicPr/>
                  </pic:nvPicPr>
                  <pic:blipFill>
                    <a:blip r:embed="rId27"/>
                    <a:stretch>
                      <a:fillRect/>
                    </a:stretch>
                  </pic:blipFill>
                  <pic:spPr>
                    <a:xfrm>
                      <a:off x="0" y="0"/>
                      <a:ext cx="5550162" cy="2248720"/>
                    </a:xfrm>
                    <a:prstGeom prst="rect">
                      <a:avLst/>
                    </a:prstGeom>
                  </pic:spPr>
                </pic:pic>
              </a:graphicData>
            </a:graphic>
          </wp:inline>
        </w:drawing>
      </w:r>
    </w:p>
    <w:p>
      <w:pPr>
        <w:spacing w:after="0"/>
        <w:jc w:val="center"/>
        <w:rPr>
          <w:rStyle w:val="SourceCar"/>
          <w:rFonts w:eastAsia="MS Mincho"/>
          <w:noProof/>
        </w:rPr>
      </w:pPr>
      <w:bookmarkStart w:id="28" w:name="_Ref107099227"/>
      <w:bookmarkStart w:id="29" w:name="_Ref175576596"/>
      <w:bookmarkStart w:id="30" w:name="_Ref139365854"/>
      <w:bookmarkStart w:id="31" w:name="_Ref106288803"/>
      <w:bookmarkStart w:id="32" w:name="_Ref107253300"/>
      <w:bookmarkStart w:id="33" w:name="_Toc80799174"/>
      <w:bookmarkStart w:id="34" w:name="_Ref106892037"/>
      <w:bookmarkStart w:id="35" w:name="_Toc145348080"/>
      <w:r>
        <w:rPr>
          <w:rFonts w:ascii="Times New Roman" w:hAnsi="Times New Roman"/>
          <w:i/>
          <w:noProof/>
        </w:rPr>
        <w:t>Figure </w:t>
      </w:r>
      <w:bookmarkEnd w:id="28"/>
      <w:r>
        <w:rPr>
          <w:rFonts w:ascii="Times New Roman" w:eastAsia="Times New Roman" w:hAnsi="Times New Roman" w:cs="Times New Roman"/>
          <w:i/>
          <w:noProof/>
        </w:rPr>
        <w:fldChar w:fldCharType="begin"/>
      </w:r>
      <w:r>
        <w:rPr>
          <w:rFonts w:ascii="Times New Roman" w:eastAsia="Times New Roman" w:hAnsi="Times New Roman" w:cs="Times New Roman"/>
          <w:i/>
          <w:noProof/>
        </w:rPr>
        <w:instrText xml:space="preserve"> SEQ Figure \* ARABIC </w:instrText>
      </w:r>
      <w:r>
        <w:rPr>
          <w:rFonts w:ascii="Times New Roman" w:eastAsia="Times New Roman" w:hAnsi="Times New Roman" w:cs="Times New Roman"/>
          <w:i/>
          <w:noProof/>
        </w:rPr>
        <w:fldChar w:fldCharType="separate"/>
      </w:r>
      <w:r>
        <w:rPr>
          <w:rFonts w:ascii="Times New Roman" w:eastAsia="Times New Roman" w:hAnsi="Times New Roman" w:cs="Times New Roman"/>
          <w:i/>
          <w:noProof/>
        </w:rPr>
        <w:t>10</w:t>
      </w:r>
      <w:r>
        <w:rPr>
          <w:rFonts w:ascii="Times New Roman" w:eastAsia="Times New Roman" w:hAnsi="Times New Roman" w:cs="Times New Roman"/>
          <w:i/>
          <w:noProof/>
        </w:rPr>
        <w:fldChar w:fldCharType="end"/>
      </w:r>
      <w:r>
        <w:rPr>
          <w:rFonts w:ascii="Times New Roman" w:eastAsia="Times New Roman" w:hAnsi="Times New Roman" w:cs="Times New Roman"/>
          <w:i/>
          <w:noProof/>
        </w:rPr>
        <w:fldChar w:fldCharType="begin"/>
      </w:r>
      <w:bookmarkEnd w:id="29"/>
      <w:bookmarkEnd w:id="30"/>
      <w:bookmarkEnd w:id="31"/>
      <w:bookmarkEnd w:id="32"/>
      <w:r>
        <w:rPr>
          <w:rFonts w:ascii="Times New Roman" w:eastAsia="Times New Roman" w:hAnsi="Times New Roman" w:cs="Times New Roman"/>
          <w:i/>
          <w:noProof/>
        </w:rPr>
        <w:fldChar w:fldCharType="separate"/>
      </w:r>
      <w:r>
        <w:rPr>
          <w:rFonts w:ascii="Times New Roman" w:eastAsia="Times New Roman" w:hAnsi="Times New Roman" w:cs="Times New Roman"/>
          <w:i/>
          <w:noProof/>
        </w:rPr>
        <w:t>16</w:t>
      </w:r>
      <w:r>
        <w:rPr>
          <w:rFonts w:ascii="Times New Roman" w:eastAsia="Times New Roman" w:hAnsi="Times New Roman" w:cs="Times New Roman"/>
          <w:i/>
          <w:noProof/>
        </w:rPr>
        <w:fldChar w:fldCharType="end"/>
      </w:r>
      <w:r>
        <w:rPr>
          <w:rFonts w:ascii="Times New Roman" w:hAnsi="Times New Roman"/>
          <w:i/>
          <w:noProof/>
        </w:rPr>
        <w:t>: subventions à l’énergie par objectif économique (en milliard</w:t>
      </w:r>
      <w:r>
        <w:rPr>
          <w:noProof/>
        </w:rPr>
        <w:t xml:space="preserve"> </w:t>
      </w:r>
      <w:r>
        <w:rPr>
          <w:rFonts w:ascii="Times New Roman" w:hAnsi="Times New Roman"/>
          <w:i/>
          <w:noProof/>
        </w:rPr>
        <w:t xml:space="preserve">d’EUR de </w:t>
      </w:r>
      <w:r>
        <w:rPr>
          <w:rFonts w:ascii="Times New Roman" w:hAnsi="Times New Roman"/>
          <w:i/>
          <w:noProof/>
          <w:vertAlign w:val="subscript"/>
        </w:rPr>
        <w:t>2024</w:t>
      </w:r>
      <w:r>
        <w:rPr>
          <w:rFonts w:ascii="Times New Roman" w:hAnsi="Times New Roman"/>
          <w:i/>
          <w:noProof/>
        </w:rPr>
        <w:t>)</w:t>
      </w:r>
      <w:bookmarkEnd w:id="33"/>
      <w:bookmarkEnd w:id="34"/>
      <w:bookmarkEnd w:id="35"/>
    </w:p>
    <w:p>
      <w:pPr>
        <w:spacing w:after="0"/>
        <w:jc w:val="center"/>
        <w:rPr>
          <w:rStyle w:val="SourceCar"/>
          <w:rFonts w:eastAsia="MS Mincho"/>
          <w:noProof/>
        </w:rPr>
      </w:pPr>
      <w:r>
        <w:rPr>
          <w:rStyle w:val="SourceCar"/>
          <w:rFonts w:eastAsiaTheme="minorHAnsi"/>
          <w:noProof/>
        </w:rPr>
        <w:t>Source: Enerdata, Trinomics, 2025. NB: les estimations pour 2024 sont représentées en hachuré.</w:t>
      </w:r>
    </w:p>
    <w:p>
      <w:pPr>
        <w:pStyle w:val="BodyText"/>
        <w:jc w:val="both"/>
        <w:rPr>
          <w:noProof/>
        </w:rPr>
      </w:pPr>
    </w:p>
    <w:p>
      <w:pPr>
        <w:pStyle w:val="BodyText"/>
        <w:jc w:val="both"/>
        <w:rPr>
          <w:noProof/>
        </w:rPr>
      </w:pPr>
      <w:r>
        <w:rPr>
          <w:noProof/>
        </w:rPr>
        <w:t xml:space="preserve">Les </w:t>
      </w:r>
      <w:r>
        <w:rPr>
          <w:b/>
          <w:bCs/>
          <w:noProof/>
        </w:rPr>
        <w:t>subventions aux combustibles fossiles soutenant la demande d’énergie</w:t>
      </w:r>
      <w:r>
        <w:rPr>
          <w:noProof/>
        </w:rPr>
        <w:t xml:space="preserve"> représentaient une part comprise entre 63 % et 75 % de la valeur totale des subventions aux combustibles fossiles au cours de la période 2015-2024 (Figure </w:t>
      </w:r>
      <w:r>
        <w:rPr>
          <w:noProof/>
        </w:rPr>
        <w:fldChar w:fldCharType="begin"/>
      </w:r>
      <w:r>
        <w:rPr>
          <w:noProof/>
        </w:rPr>
        <w:instrText xml:space="preserve"> SEQ Figure \* ARABIC </w:instrText>
      </w:r>
      <w:r>
        <w:rPr>
          <w:noProof/>
        </w:rPr>
        <w:fldChar w:fldCharType="separate"/>
      </w:r>
      <w:r>
        <w:rPr>
          <w:noProof/>
        </w:rPr>
        <w:t>11</w:t>
      </w:r>
      <w:r>
        <w:rPr>
          <w:noProof/>
        </w:rPr>
        <w:fldChar w:fldCharType="end"/>
      </w:r>
      <w:r>
        <w:rPr>
          <w:noProof/>
        </w:rPr>
        <w:t>).</w:t>
      </w:r>
    </w:p>
    <w:p>
      <w:pPr>
        <w:pStyle w:val="BodyText"/>
        <w:jc w:val="both"/>
        <w:rPr>
          <w:noProof/>
        </w:rPr>
      </w:pPr>
    </w:p>
    <w:p>
      <w:pPr>
        <w:pStyle w:val="BodyText"/>
        <w:jc w:val="both"/>
        <w:rPr>
          <w:noProof/>
        </w:rPr>
      </w:pPr>
      <w:r>
        <w:rPr>
          <w:noProof/>
        </w:rPr>
        <w:drawing>
          <wp:inline distT="0" distB="0" distL="0" distR="0">
            <wp:extent cx="5353390" cy="2562225"/>
            <wp:effectExtent l="0" t="0" r="0" b="0"/>
            <wp:docPr id="9944538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453827" name=""/>
                    <pic:cNvPicPr/>
                  </pic:nvPicPr>
                  <pic:blipFill>
                    <a:blip r:embed="rId28"/>
                    <a:stretch>
                      <a:fillRect/>
                    </a:stretch>
                  </pic:blipFill>
                  <pic:spPr>
                    <a:xfrm>
                      <a:off x="0" y="0"/>
                      <a:ext cx="5360879" cy="2565810"/>
                    </a:xfrm>
                    <a:prstGeom prst="rect">
                      <a:avLst/>
                    </a:prstGeom>
                  </pic:spPr>
                </pic:pic>
              </a:graphicData>
            </a:graphic>
          </wp:inline>
        </w:drawing>
      </w:r>
    </w:p>
    <w:p>
      <w:pPr>
        <w:pStyle w:val="Caption"/>
        <w:spacing w:after="0"/>
        <w:jc w:val="center"/>
        <w:rPr>
          <w:noProof/>
        </w:rPr>
      </w:pPr>
      <w:bookmarkStart w:id="36" w:name="_Ref106291386"/>
      <w:bookmarkStart w:id="37" w:name="_Ref109228410"/>
      <w:bookmarkStart w:id="38" w:name="_Toc145348081"/>
      <w:r>
        <w:rPr>
          <w:noProof/>
        </w:rPr>
        <w:t>Figure </w:t>
      </w:r>
      <w:bookmarkEnd w:id="36"/>
      <w:bookmarkEnd w:id="37"/>
      <w:r>
        <w:rPr>
          <w:noProof/>
          <w:color w:val="2B579A"/>
          <w:shd w:val="clear" w:color="auto" w:fill="E6E6E6"/>
        </w:rPr>
        <w:t>11:</w:t>
      </w:r>
      <w:r>
        <w:rPr>
          <w:noProof/>
        </w:rPr>
        <w:t xml:space="preserve"> subventions aux combustibles fossiles dans l’EU-27 par objectif</w:t>
      </w:r>
      <w:bookmarkEnd w:id="38"/>
    </w:p>
    <w:p>
      <w:pPr>
        <w:jc w:val="center"/>
        <w:rPr>
          <w:rStyle w:val="SourceCar"/>
          <w:rFonts w:eastAsia="MS Mincho"/>
          <w:noProof/>
        </w:rPr>
      </w:pPr>
      <w:r>
        <w:rPr>
          <w:rStyle w:val="SourceCar"/>
          <w:rFonts w:eastAsiaTheme="minorHAnsi"/>
          <w:noProof/>
        </w:rPr>
        <w:lastRenderedPageBreak/>
        <w:t>Source: Enerdata, Trinomics, 2025. NB: les estimations pour 2023 sont représentées en hachuré.</w:t>
      </w:r>
    </w:p>
    <w:p>
      <w:pPr>
        <w:pStyle w:val="Heading2"/>
        <w:rPr>
          <w:noProof/>
        </w:rPr>
      </w:pPr>
      <w:r>
        <w:rPr>
          <w:noProof/>
        </w:rPr>
        <w:t>Subventions liées à la crise énergétique en 2022</w:t>
      </w:r>
    </w:p>
    <w:p>
      <w:pPr>
        <w:jc w:val="both"/>
        <w:rPr>
          <w:rFonts w:ascii="Times New Roman" w:hAnsi="Times New Roman" w:cs="Times New Roman"/>
          <w:noProof/>
          <w:sz w:val="24"/>
          <w:szCs w:val="24"/>
        </w:rPr>
      </w:pPr>
      <w:r>
        <w:rPr>
          <w:rFonts w:ascii="Times New Roman" w:hAnsi="Times New Roman"/>
          <w:noProof/>
          <w:sz w:val="24"/>
        </w:rPr>
        <w:t>Les hausses des prix de l’énergie causées par la reprise économique de courte durée à la suite de la pandémie de COVID</w:t>
      </w:r>
      <w:r>
        <w:rPr>
          <w:rFonts w:ascii="Times New Roman" w:hAnsi="Times New Roman"/>
          <w:noProof/>
          <w:sz w:val="24"/>
        </w:rPr>
        <w:noBreakHyphen/>
        <w:t>19 en 2021 et la crise énergétique résultant de l’invasion à grande échelle de l’Ukraine par la Russie en 2022 ont conduit la Commission et les États membres à prendre des mesures. Outre les politiques menées au niveau de l’UE, chaque État membre a adopté des mesures nationales spécifiques pour protéger ses citoyens et son économie des effets de la hausse et de la volatilité des prix de l’énergie. Depuis que les prix ont commencé à baisser en 2023 et 2024, l’aide liée à la crise a considérablement diminué (pour atteindre 98 milliards d’EUR, soit – 38 %), la plupart des mesures de crise étant désormais progressivement supprimées.</w:t>
      </w:r>
    </w:p>
    <w:p>
      <w:pPr>
        <w:pStyle w:val="BodyText"/>
        <w:jc w:val="both"/>
        <w:rPr>
          <w:noProof/>
        </w:rPr>
      </w:pPr>
      <w:r>
        <w:rPr>
          <w:noProof/>
        </w:rPr>
        <w:drawing>
          <wp:inline distT="0" distB="0" distL="0" distR="0">
            <wp:extent cx="5731510" cy="2761615"/>
            <wp:effectExtent l="0" t="0" r="2540" b="635"/>
            <wp:docPr id="8455661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566118" name=""/>
                    <pic:cNvPicPr/>
                  </pic:nvPicPr>
                  <pic:blipFill>
                    <a:blip r:embed="rId29"/>
                    <a:stretch>
                      <a:fillRect/>
                    </a:stretch>
                  </pic:blipFill>
                  <pic:spPr>
                    <a:xfrm>
                      <a:off x="0" y="0"/>
                      <a:ext cx="5731510" cy="2761615"/>
                    </a:xfrm>
                    <a:prstGeom prst="rect">
                      <a:avLst/>
                    </a:prstGeom>
                  </pic:spPr>
                </pic:pic>
              </a:graphicData>
            </a:graphic>
          </wp:inline>
        </w:drawing>
      </w:r>
    </w:p>
    <w:p>
      <w:pPr>
        <w:pStyle w:val="Caption"/>
        <w:spacing w:after="0"/>
        <w:jc w:val="center"/>
        <w:rPr>
          <w:noProof/>
        </w:rPr>
      </w:pPr>
      <w:bookmarkStart w:id="39" w:name="_Ref139457779"/>
      <w:bookmarkStart w:id="40" w:name="_Ref138844831"/>
      <w:bookmarkStart w:id="41" w:name="_Toc145348083"/>
      <w:r>
        <w:rPr>
          <w:noProof/>
        </w:rPr>
        <w:t>Figure </w:t>
      </w:r>
      <w:r>
        <w:rPr>
          <w:noProof/>
        </w:rPr>
        <w:fldChar w:fldCharType="begin"/>
      </w:r>
      <w:r>
        <w:rPr>
          <w:noProof/>
        </w:rPr>
        <w:instrText xml:space="preserve"> SEQ Figure \* ARABIC </w:instrText>
      </w:r>
      <w:r>
        <w:rPr>
          <w:noProof/>
        </w:rPr>
        <w:fldChar w:fldCharType="separate"/>
      </w:r>
      <w:r>
        <w:rPr>
          <w:noProof/>
        </w:rPr>
        <w:t>12</w:t>
      </w:r>
      <w:r>
        <w:rPr>
          <w:noProof/>
        </w:rPr>
        <w:fldChar w:fldCharType="end"/>
      </w:r>
      <w:bookmarkEnd w:id="39"/>
      <w:bookmarkEnd w:id="40"/>
      <w:r>
        <w:rPr>
          <w:noProof/>
          <w:color w:val="2B579A"/>
          <w:shd w:val="clear" w:color="auto" w:fill="E6E6E6"/>
        </w:rPr>
        <w:fldChar w:fldCharType="begin"/>
      </w:r>
      <w:r>
        <w:rPr>
          <w:noProof/>
          <w:color w:val="2B579A"/>
          <w:shd w:val="clear" w:color="auto" w:fill="E6E6E6"/>
        </w:rPr>
        <w:fldChar w:fldCharType="end"/>
      </w:r>
      <w:r>
        <w:rPr>
          <w:noProof/>
        </w:rPr>
        <w:t>: subventions structurelles et liées à la crise énergétique</w:t>
      </w:r>
      <w:bookmarkEnd w:id="41"/>
      <w:r>
        <w:rPr>
          <w:noProof/>
        </w:rPr>
        <w:t>; part des subventions liées à la crise dans le total des subventions à l’énergie</w:t>
      </w:r>
    </w:p>
    <w:p>
      <w:pPr>
        <w:jc w:val="center"/>
        <w:rPr>
          <w:noProof/>
        </w:rPr>
      </w:pPr>
      <w:r>
        <w:rPr>
          <w:rStyle w:val="SourceCar"/>
          <w:rFonts w:eastAsiaTheme="minorHAnsi"/>
          <w:noProof/>
        </w:rPr>
        <w:t>Source: Enerdata, Trinomics, 2025.</w:t>
      </w:r>
    </w:p>
    <w:p>
      <w:pPr>
        <w:pStyle w:val="Heading2"/>
        <w:rPr>
          <w:noProof/>
        </w:rPr>
      </w:pPr>
      <w:r>
        <w:rPr>
          <w:noProof/>
        </w:rPr>
        <w:t>Subventions par secteur économique</w:t>
      </w:r>
    </w:p>
    <w:p>
      <w:pPr>
        <w:pStyle w:val="BodyText"/>
        <w:jc w:val="both"/>
        <w:rPr>
          <w:noProof/>
        </w:rPr>
      </w:pPr>
      <w:r>
        <w:rPr>
          <w:noProof/>
        </w:rPr>
        <w:t xml:space="preserve">En 2024, </w:t>
      </w:r>
      <w:r>
        <w:rPr>
          <w:b/>
          <w:bCs/>
          <w:noProof/>
        </w:rPr>
        <w:t>l’industrie de l’énergie</w:t>
      </w:r>
      <w:r>
        <w:rPr>
          <w:noProof/>
        </w:rPr>
        <w:t xml:space="preserve"> est devenue le secteur qui </w:t>
      </w:r>
      <w:r>
        <w:rPr>
          <w:b/>
          <w:bCs/>
          <w:noProof/>
        </w:rPr>
        <w:t>a reçu les niveaux les plus élevés de subventions ciblées</w:t>
      </w:r>
      <w:r>
        <w:rPr>
          <w:noProof/>
        </w:rPr>
        <w:t xml:space="preserve">, d’une valeur de 114 milliards d’EUR (33 % du total), </w:t>
      </w:r>
      <w:r>
        <w:rPr>
          <w:b/>
          <w:bCs/>
          <w:noProof/>
        </w:rPr>
        <w:t>suivi par les ménages</w:t>
      </w:r>
      <w:r>
        <w:rPr>
          <w:noProof/>
        </w:rPr>
        <w:t xml:space="preserve"> (64 milliards d’EUR, 19 %) (</w:t>
      </w:r>
      <w:r>
        <w:rPr>
          <w:noProof/>
          <w:color w:val="2B579A"/>
          <w:shd w:val="clear" w:color="auto" w:fill="E6E6E6"/>
        </w:rPr>
        <w:fldChar w:fldCharType="begin"/>
      </w:r>
      <w:r>
        <w:rPr>
          <w:noProof/>
        </w:rPr>
        <w:instrText xml:space="preserve"> REF _Ref139457866 \h  \* MERGEFORMAT </w:instrText>
      </w:r>
      <w:r>
        <w:rPr>
          <w:noProof/>
          <w:color w:val="2B579A"/>
          <w:shd w:val="clear" w:color="auto" w:fill="E6E6E6"/>
        </w:rPr>
      </w:r>
      <w:r>
        <w:rPr>
          <w:noProof/>
          <w:color w:val="2B579A"/>
          <w:shd w:val="clear" w:color="auto" w:fill="E6E6E6"/>
        </w:rPr>
        <w:fldChar w:fldCharType="separate"/>
      </w:r>
      <w:r>
        <w:rPr>
          <w:noProof/>
        </w:rPr>
        <w:t>Figure 15</w:t>
      </w:r>
      <w:r>
        <w:rPr>
          <w:noProof/>
          <w:color w:val="2B579A"/>
          <w:shd w:val="clear" w:color="auto" w:fill="E6E6E6"/>
        </w:rPr>
        <w:fldChar w:fldCharType="end"/>
      </w:r>
      <w:r>
        <w:rPr>
          <w:noProof/>
        </w:rPr>
        <w:t xml:space="preserve">). Depuis 2021, les </w:t>
      </w:r>
      <w:r>
        <w:rPr>
          <w:b/>
          <w:bCs/>
          <w:noProof/>
        </w:rPr>
        <w:t>subventions ciblant plusieurs secteurs ou ne ciblant aucun secteur spécifique</w:t>
      </w:r>
      <w:r>
        <w:rPr>
          <w:noProof/>
        </w:rPr>
        <w:t xml:space="preserve"> (c’est-à-dire les subventions transsectorielles) </w:t>
      </w:r>
      <w:r>
        <w:rPr>
          <w:b/>
          <w:bCs/>
          <w:noProof/>
        </w:rPr>
        <w:t>ont bondi</w:t>
      </w:r>
      <w:r>
        <w:rPr>
          <w:noProof/>
        </w:rPr>
        <w:t>, atteignant 88 milliards d’EUR (26 % du total) en 2024. Les subventions ont été moins élevées pour les secteurs industriels</w:t>
      </w:r>
      <w:r>
        <w:rPr>
          <w:rStyle w:val="FootnoteReference"/>
          <w:rFonts w:eastAsia="MS Mincho"/>
          <w:noProof/>
        </w:rPr>
        <w:footnoteReference w:id="13"/>
      </w:r>
      <w:r>
        <w:rPr>
          <w:noProof/>
        </w:rPr>
        <w:t xml:space="preserve"> et le transport, avec respectivement 40 milliards d’EUR (12 %) et 19 milliards d’EUR (6 %), tandis que le secteur tertiaire</w:t>
      </w:r>
      <w:r>
        <w:rPr>
          <w:rStyle w:val="FootnoteReference"/>
          <w:rFonts w:eastAsia="MS Mincho"/>
          <w:noProof/>
        </w:rPr>
        <w:footnoteReference w:id="14"/>
      </w:r>
      <w:r>
        <w:rPr>
          <w:noProof/>
        </w:rPr>
        <w:t xml:space="preserve"> et l’agriculture ont reçu au moins, respectivement, 9 milliards d’EUR (3 %) et 7 milliards d’EUR (2 %).</w:t>
      </w:r>
    </w:p>
    <w:p>
      <w:pPr>
        <w:pStyle w:val="BodyText"/>
        <w:jc w:val="both"/>
        <w:rPr>
          <w:noProof/>
        </w:rPr>
      </w:pPr>
      <w:r>
        <w:rPr>
          <w:noProof/>
        </w:rPr>
        <w:lastRenderedPageBreak/>
        <w:drawing>
          <wp:inline distT="0" distB="0" distL="0" distR="0">
            <wp:extent cx="5524500" cy="2742664"/>
            <wp:effectExtent l="0" t="0" r="0" b="635"/>
            <wp:docPr id="19366354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635433" name=""/>
                    <pic:cNvPicPr/>
                  </pic:nvPicPr>
                  <pic:blipFill>
                    <a:blip r:embed="rId30"/>
                    <a:stretch>
                      <a:fillRect/>
                    </a:stretch>
                  </pic:blipFill>
                  <pic:spPr>
                    <a:xfrm>
                      <a:off x="0" y="0"/>
                      <a:ext cx="5543050" cy="2751873"/>
                    </a:xfrm>
                    <a:prstGeom prst="rect">
                      <a:avLst/>
                    </a:prstGeom>
                  </pic:spPr>
                </pic:pic>
              </a:graphicData>
            </a:graphic>
          </wp:inline>
        </w:drawing>
      </w:r>
    </w:p>
    <w:p>
      <w:pPr>
        <w:pStyle w:val="Caption"/>
        <w:spacing w:before="0" w:after="0"/>
        <w:jc w:val="center"/>
        <w:rPr>
          <w:noProof/>
        </w:rPr>
      </w:pPr>
      <w:bookmarkStart w:id="42" w:name="_Ref106965075"/>
      <w:bookmarkStart w:id="43" w:name="_Ref108708328"/>
      <w:bookmarkStart w:id="44" w:name="_Ref139457866"/>
      <w:bookmarkStart w:id="45" w:name="_Ref138923563"/>
      <w:bookmarkStart w:id="46" w:name="_Ref138923600"/>
      <w:bookmarkStart w:id="47" w:name="_Toc145348087"/>
      <w:bookmarkStart w:id="48" w:name="_Ref77353810"/>
      <w:bookmarkStart w:id="49" w:name="_Ref80878928"/>
      <w:bookmarkStart w:id="50" w:name="_Toc80799176"/>
      <w:r>
        <w:rPr>
          <w:noProof/>
        </w:rPr>
        <w:t>Figure </w:t>
      </w:r>
      <w:r>
        <w:rPr>
          <w:noProof/>
        </w:rPr>
        <w:fldChar w:fldCharType="begin"/>
      </w:r>
      <w:r>
        <w:rPr>
          <w:noProof/>
        </w:rPr>
        <w:instrText xml:space="preserve"> SEQ Figure \* ARABIC </w:instrText>
      </w:r>
      <w:r>
        <w:rPr>
          <w:noProof/>
        </w:rPr>
        <w:fldChar w:fldCharType="separate"/>
      </w:r>
      <w:r>
        <w:rPr>
          <w:noProof/>
        </w:rPr>
        <w:t>13</w:t>
      </w:r>
      <w:r>
        <w:rPr>
          <w:noProof/>
        </w:rPr>
        <w:fldChar w:fldCharType="end"/>
      </w:r>
      <w:bookmarkEnd w:id="42"/>
      <w:bookmarkEnd w:id="43"/>
      <w:bookmarkEnd w:id="44"/>
      <w:r>
        <w:rPr>
          <w:noProof/>
        </w:rPr>
        <w:fldChar w:fldCharType="begin"/>
      </w:r>
      <w:r>
        <w:rPr>
          <w:noProof/>
        </w:rPr>
        <w:fldChar w:fldCharType="end"/>
      </w:r>
      <w:r>
        <w:rPr>
          <w:noProof/>
        </w:rPr>
        <w:t xml:space="preserve">: subventions à l’énergie par secteur économique (en milliard d’EUR de </w:t>
      </w:r>
      <w:r>
        <w:rPr>
          <w:noProof/>
          <w:vertAlign w:val="subscript"/>
        </w:rPr>
        <w:t>2024</w:t>
      </w:r>
      <w:r>
        <w:rPr>
          <w:noProof/>
        </w:rPr>
        <w:t>)</w:t>
      </w:r>
      <w:bookmarkEnd w:id="45"/>
      <w:bookmarkEnd w:id="46"/>
      <w:bookmarkEnd w:id="47"/>
    </w:p>
    <w:bookmarkEnd w:id="48"/>
    <w:bookmarkEnd w:id="49"/>
    <w:bookmarkEnd w:id="50"/>
    <w:p>
      <w:pPr>
        <w:jc w:val="center"/>
        <w:rPr>
          <w:rStyle w:val="SourceCar"/>
          <w:rFonts w:eastAsia="MS Mincho"/>
          <w:noProof/>
        </w:rPr>
      </w:pPr>
      <w:r>
        <w:rPr>
          <w:rStyle w:val="SourceCar"/>
          <w:rFonts w:eastAsiaTheme="minorHAnsi"/>
          <w:noProof/>
        </w:rPr>
        <w:t>Source: Enerdata, 2025. NB: les estimations pour 2024 sont représentées en couleur claire.</w:t>
      </w:r>
    </w:p>
    <w:p>
      <w:pPr>
        <w:pStyle w:val="Heading2"/>
        <w:rPr>
          <w:noProof/>
        </w:rPr>
      </w:pPr>
      <w:bookmarkStart w:id="51" w:name="_Toc145348051"/>
      <w:bookmarkStart w:id="52" w:name="_Ref183430904"/>
      <w:r>
        <w:rPr>
          <w:noProof/>
        </w:rPr>
        <w:t>Subventions par incidence environnementale</w:t>
      </w:r>
      <w:bookmarkEnd w:id="51"/>
      <w:bookmarkEnd w:id="52"/>
    </w:p>
    <w:p>
      <w:pPr>
        <w:pStyle w:val="BodyText"/>
        <w:jc w:val="both"/>
        <w:rPr>
          <w:noProof/>
        </w:rPr>
      </w:pPr>
      <w:r>
        <w:rPr>
          <w:noProof/>
        </w:rPr>
        <w:t xml:space="preserve">Un autre objectif de ce rapport est de fournir une évaluation complète de l’incidence environnementale des </w:t>
      </w:r>
      <w:r>
        <w:rPr>
          <w:i/>
          <w:iCs/>
          <w:noProof/>
        </w:rPr>
        <w:t>subventions à l’énergie</w:t>
      </w:r>
      <w:r>
        <w:rPr>
          <w:noProof/>
        </w:rPr>
        <w:t xml:space="preserve"> dans l’UE. Dans ce contexte, la définition suivante a été adoptée:</w:t>
      </w:r>
    </w:p>
    <w:p>
      <w:pPr>
        <w:jc w:val="both"/>
        <w:rPr>
          <w:noProof/>
        </w:rPr>
      </w:pPr>
      <w:r>
        <w:rPr>
          <w:rFonts w:ascii="Times New Roman" w:hAnsi="Times New Roman"/>
          <w:i/>
          <w:noProof/>
          <w:sz w:val="24"/>
        </w:rPr>
        <w:t>Les subventions à l’énergie sont préjudiciables à l’environnement si le prix ou la réduction des coûts qu’elles entraînent incite à maintenir ou à accroître la disponibilité de sources d’énergie et/ou à recourir à des sources d’énergie qui ont des incidences négatives considérablement accrues sur l’environnement</w:t>
      </w:r>
      <w:r>
        <w:rPr>
          <w:rStyle w:val="FootnoteReference"/>
          <w:rFonts w:eastAsiaTheme="minorHAnsi"/>
          <w:iCs/>
          <w:noProof/>
        </w:rPr>
        <w:footnoteReference w:id="15"/>
      </w:r>
      <w:r>
        <w:rPr>
          <w:i/>
          <w:noProof/>
        </w:rPr>
        <w:t>.</w:t>
      </w:r>
    </w:p>
    <w:p>
      <w:pPr>
        <w:jc w:val="both"/>
        <w:rPr>
          <w:rStyle w:val="normaltextrun"/>
          <w:rFonts w:ascii="Times New Roman" w:hAnsi="Times New Roman" w:cs="Times New Roman"/>
          <w:noProof/>
          <w:color w:val="000000"/>
          <w:sz w:val="24"/>
          <w:szCs w:val="24"/>
          <w:shd w:val="clear" w:color="auto" w:fill="FFFFFF"/>
        </w:rPr>
      </w:pPr>
      <w:r>
        <w:rPr>
          <w:rFonts w:ascii="Times New Roman" w:hAnsi="Times New Roman"/>
          <w:noProof/>
          <w:sz w:val="24"/>
        </w:rPr>
        <w:t xml:space="preserve">La </w:t>
      </w:r>
      <w:r>
        <w:rPr>
          <w:rFonts w:ascii="Times New Roman" w:hAnsi="Times New Roman"/>
          <w:b/>
          <w:bCs/>
          <w:noProof/>
          <w:sz w:val="24"/>
        </w:rPr>
        <w:t>plupart des subventions à l’énergie</w:t>
      </w:r>
      <w:r>
        <w:rPr>
          <w:rFonts w:ascii="Times New Roman" w:hAnsi="Times New Roman"/>
          <w:noProof/>
          <w:sz w:val="24"/>
        </w:rPr>
        <w:t xml:space="preserve"> en 2024 (230 milliards d’EUR, soit 68 % du total) ont été classées comme </w:t>
      </w:r>
      <w:r>
        <w:rPr>
          <w:rFonts w:ascii="Times New Roman" w:hAnsi="Times New Roman"/>
          <w:b/>
          <w:bCs/>
          <w:noProof/>
          <w:sz w:val="24"/>
        </w:rPr>
        <w:t>non préjudiciables à l’environnement</w:t>
      </w:r>
      <w:r>
        <w:rPr>
          <w:rFonts w:ascii="Times New Roman" w:hAnsi="Times New Roman"/>
          <w:noProof/>
          <w:sz w:val="24"/>
        </w:rPr>
        <w:t xml:space="preserve">. Dans le même temps, la part des </w:t>
      </w:r>
      <w:r>
        <w:rPr>
          <w:rFonts w:ascii="Times New Roman" w:hAnsi="Times New Roman"/>
          <w:b/>
          <w:bCs/>
          <w:i/>
          <w:iCs/>
          <w:noProof/>
          <w:sz w:val="24"/>
        </w:rPr>
        <w:t>subventions à l’énergie préjudiciables à l’environnement</w:t>
      </w:r>
      <w:r>
        <w:rPr>
          <w:rFonts w:ascii="Times New Roman" w:hAnsi="Times New Roman"/>
          <w:noProof/>
          <w:sz w:val="24"/>
        </w:rPr>
        <w:t xml:space="preserve"> a été estimée à </w:t>
      </w:r>
      <w:r>
        <w:rPr>
          <w:rFonts w:ascii="Times New Roman" w:hAnsi="Times New Roman"/>
          <w:b/>
          <w:bCs/>
          <w:noProof/>
          <w:sz w:val="24"/>
        </w:rPr>
        <w:t>110 milliards d’EUR</w:t>
      </w:r>
      <w:r>
        <w:rPr>
          <w:rFonts w:ascii="Times New Roman" w:hAnsi="Times New Roman"/>
          <w:noProof/>
          <w:sz w:val="24"/>
        </w:rPr>
        <w:t xml:space="preserve"> (soit 32 % du total)</w:t>
      </w:r>
      <w:r>
        <w:rPr>
          <w:rStyle w:val="FootnoteReference"/>
          <w:rFonts w:eastAsia="Calibri"/>
          <w:noProof/>
          <w:szCs w:val="24"/>
        </w:rPr>
        <w:footnoteReference w:id="16"/>
      </w:r>
      <w:r>
        <w:rPr>
          <w:rFonts w:ascii="Times New Roman" w:hAnsi="Times New Roman"/>
          <w:noProof/>
          <w:sz w:val="24"/>
        </w:rPr>
        <w:t xml:space="preserve"> (</w:t>
      </w:r>
      <w:r>
        <w:rPr>
          <w:rFonts w:ascii="Times New Roman" w:hAnsi="Times New Roman" w:cs="Times New Roman"/>
          <w:noProof/>
          <w:sz w:val="24"/>
        </w:rPr>
        <w:fldChar w:fldCharType="begin"/>
      </w:r>
      <w:r>
        <w:rPr>
          <w:rFonts w:ascii="Times New Roman" w:hAnsi="Times New Roman" w:cs="Times New Roman"/>
          <w:noProof/>
          <w:sz w:val="24"/>
        </w:rPr>
        <w:instrText xml:space="preserve"> REF _Ref138344643 \h  \* MERGEFORMAT </w:instrText>
      </w:r>
      <w:r>
        <w:rPr>
          <w:rFonts w:ascii="Times New Roman" w:hAnsi="Times New Roman" w:cs="Times New Roman"/>
          <w:noProof/>
          <w:sz w:val="24"/>
        </w:rPr>
      </w:r>
      <w:r>
        <w:rPr>
          <w:rFonts w:ascii="Times New Roman" w:hAnsi="Times New Roman" w:cs="Times New Roman"/>
          <w:noProof/>
          <w:sz w:val="24"/>
        </w:rPr>
        <w:fldChar w:fldCharType="separate"/>
      </w:r>
      <w:r>
        <w:rPr>
          <w:rFonts w:ascii="Times New Roman" w:hAnsi="Times New Roman" w:cs="Times New Roman"/>
          <w:noProof/>
          <w:sz w:val="24"/>
        </w:rPr>
        <w:t>Figure 14</w:t>
      </w:r>
      <w:r>
        <w:rPr>
          <w:rFonts w:ascii="Times New Roman" w:hAnsi="Times New Roman" w:cs="Times New Roman"/>
          <w:noProof/>
          <w:sz w:val="24"/>
        </w:rPr>
        <w:fldChar w:fldCharType="end"/>
      </w:r>
      <w:r>
        <w:rPr>
          <w:rFonts w:ascii="Times New Roman" w:hAnsi="Times New Roman"/>
          <w:noProof/>
          <w:sz w:val="24"/>
        </w:rPr>
        <w:t xml:space="preserve">). La part des subventions à l’énergie </w:t>
      </w:r>
      <w:r>
        <w:rPr>
          <w:rFonts w:ascii="Times New Roman" w:hAnsi="Times New Roman"/>
          <w:i/>
          <w:iCs/>
          <w:noProof/>
          <w:sz w:val="24"/>
        </w:rPr>
        <w:t>non préjudiciables à l’environnement</w:t>
      </w:r>
      <w:r>
        <w:rPr>
          <w:rFonts w:ascii="Times New Roman" w:hAnsi="Times New Roman"/>
          <w:noProof/>
          <w:sz w:val="24"/>
        </w:rPr>
        <w:t xml:space="preserve"> a augmenté de 10 % en 2024 par rapport à 2023.</w:t>
      </w:r>
      <w:r>
        <w:rPr>
          <w:rFonts w:ascii="Times New Roman" w:hAnsi="Times New Roman"/>
          <w:b/>
          <w:noProof/>
          <w:sz w:val="24"/>
        </w:rPr>
        <w:t xml:space="preserve"> </w:t>
      </w:r>
      <w:r>
        <w:rPr>
          <w:rFonts w:ascii="Times New Roman" w:hAnsi="Times New Roman"/>
          <w:noProof/>
          <w:sz w:val="24"/>
        </w:rPr>
        <w:t xml:space="preserve">En revanche, </w:t>
      </w:r>
      <w:r>
        <w:rPr>
          <w:rStyle w:val="normaltextrun"/>
          <w:rFonts w:ascii="Times New Roman" w:hAnsi="Times New Roman"/>
          <w:noProof/>
          <w:color w:val="000000"/>
          <w:sz w:val="24"/>
          <w:shd w:val="clear" w:color="auto" w:fill="FFFFFF"/>
        </w:rPr>
        <w:t xml:space="preserve">la part totale </w:t>
      </w:r>
      <w:r>
        <w:rPr>
          <w:rFonts w:ascii="Times New Roman" w:hAnsi="Times New Roman"/>
          <w:noProof/>
          <w:sz w:val="24"/>
        </w:rPr>
        <w:t>des subventions à l’énergie préjudiciables à l’environnement</w:t>
      </w:r>
      <w:r>
        <w:rPr>
          <w:rStyle w:val="normaltextrun"/>
          <w:rFonts w:ascii="Times New Roman" w:hAnsi="Times New Roman"/>
          <w:noProof/>
          <w:color w:val="000000"/>
          <w:sz w:val="24"/>
          <w:shd w:val="clear" w:color="auto" w:fill="FFFFFF"/>
        </w:rPr>
        <w:t xml:space="preserve"> a diminué de 26 % en 2024 par rapport à 2023, c’est-à-dire à un rythme plus rapide que les subventions totales à l’énergie, qui ont diminué de 5 % en 2024 par rapport à 2023.</w:t>
      </w:r>
    </w:p>
    <w:p>
      <w:pPr>
        <w:rPr>
          <w:rFonts w:cs="Consolas"/>
          <w:noProof/>
        </w:rPr>
      </w:pPr>
      <w:r>
        <w:rPr>
          <w:rFonts w:ascii="Times New Roman" w:hAnsi="Times New Roman"/>
          <w:noProof/>
          <w:sz w:val="24"/>
        </w:rPr>
        <w:t xml:space="preserve">La plus grande part des </w:t>
      </w:r>
      <w:r>
        <w:rPr>
          <w:rFonts w:ascii="Times New Roman" w:hAnsi="Times New Roman"/>
          <w:i/>
          <w:iCs/>
          <w:noProof/>
          <w:sz w:val="24"/>
        </w:rPr>
        <w:t>subventions à l’énergie préjudiciables à l’environnement</w:t>
      </w:r>
      <w:r>
        <w:rPr>
          <w:rFonts w:ascii="Times New Roman" w:hAnsi="Times New Roman"/>
          <w:noProof/>
          <w:sz w:val="24"/>
        </w:rPr>
        <w:t xml:space="preserve"> (81 %, soit 89 milliards d’EUR) a été accordée aux combustibles fossiles, suivie de «toutes les énergies» </w:t>
      </w:r>
      <w:r>
        <w:rPr>
          <w:rFonts w:ascii="Times New Roman" w:hAnsi="Times New Roman"/>
          <w:noProof/>
          <w:sz w:val="24"/>
        </w:rPr>
        <w:lastRenderedPageBreak/>
        <w:t>(15 %)</w:t>
      </w:r>
      <w:r>
        <w:rPr>
          <w:rStyle w:val="FootnoteReference"/>
          <w:rFonts w:eastAsiaTheme="minorHAnsi" w:cs="Consolas"/>
          <w:noProof/>
        </w:rPr>
        <w:footnoteReference w:id="17"/>
      </w:r>
      <w:r>
        <w:rPr>
          <w:noProof/>
        </w:rPr>
        <w:t xml:space="preserve">, </w:t>
      </w:r>
      <w:r>
        <w:rPr>
          <w:rFonts w:ascii="Times New Roman" w:hAnsi="Times New Roman"/>
          <w:noProof/>
          <w:sz w:val="24"/>
        </w:rPr>
        <w:t>tandis que 3 % ont été accordées à l’électricité et moins de 1 % à la production de chaleur</w:t>
      </w:r>
      <w:r>
        <w:rPr>
          <w:rStyle w:val="FootnoteReference"/>
          <w:rFonts w:eastAsiaTheme="minorHAnsi"/>
          <w:noProof/>
        </w:rPr>
        <w:footnoteReference w:id="18"/>
      </w:r>
      <w:r>
        <w:rPr>
          <w:noProof/>
        </w:rPr>
        <w:t>.</w:t>
      </w:r>
    </w:p>
    <w:p>
      <w:pPr>
        <w:pStyle w:val="BodyText"/>
        <w:jc w:val="both"/>
        <w:rPr>
          <w:rFonts w:eastAsia="Calibri"/>
          <w:noProof/>
        </w:rPr>
      </w:pPr>
      <w:r>
        <w:rPr>
          <w:noProof/>
        </w:rPr>
        <w:drawing>
          <wp:inline distT="0" distB="0" distL="0" distR="0">
            <wp:extent cx="5403213" cy="3009900"/>
            <wp:effectExtent l="0" t="0" r="7620" b="0"/>
            <wp:docPr id="15580035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003539" name=""/>
                    <pic:cNvPicPr/>
                  </pic:nvPicPr>
                  <pic:blipFill>
                    <a:blip r:embed="rId31"/>
                    <a:stretch>
                      <a:fillRect/>
                    </a:stretch>
                  </pic:blipFill>
                  <pic:spPr>
                    <a:xfrm>
                      <a:off x="0" y="0"/>
                      <a:ext cx="5408534" cy="3012864"/>
                    </a:xfrm>
                    <a:prstGeom prst="rect">
                      <a:avLst/>
                    </a:prstGeom>
                  </pic:spPr>
                </pic:pic>
              </a:graphicData>
            </a:graphic>
          </wp:inline>
        </w:drawing>
      </w:r>
    </w:p>
    <w:p>
      <w:pPr>
        <w:pStyle w:val="Caption"/>
        <w:spacing w:before="0" w:after="0"/>
        <w:jc w:val="center"/>
        <w:rPr>
          <w:i w:val="0"/>
          <w:iCs/>
          <w:noProof/>
        </w:rPr>
      </w:pPr>
      <w:bookmarkStart w:id="53" w:name="_Ref138344643"/>
      <w:bookmarkStart w:id="54" w:name="_Toc145348094"/>
      <w:r>
        <w:rPr>
          <w:noProof/>
        </w:rPr>
        <w:t>Figure </w:t>
      </w:r>
      <w:r>
        <w:rPr>
          <w:noProof/>
        </w:rPr>
        <w:fldChar w:fldCharType="begin"/>
      </w:r>
      <w:r>
        <w:rPr>
          <w:noProof/>
        </w:rPr>
        <w:instrText xml:space="preserve"> SEQ Figure \* ARABIC </w:instrText>
      </w:r>
      <w:r>
        <w:rPr>
          <w:noProof/>
        </w:rPr>
        <w:fldChar w:fldCharType="separate"/>
      </w:r>
      <w:r>
        <w:rPr>
          <w:noProof/>
        </w:rPr>
        <w:t>14</w:t>
      </w:r>
      <w:r>
        <w:rPr>
          <w:noProof/>
        </w:rPr>
        <w:fldChar w:fldCharType="end"/>
      </w:r>
      <w:bookmarkEnd w:id="53"/>
      <w:r>
        <w:rPr>
          <w:noProof/>
        </w:rPr>
        <w:t xml:space="preserve">: subventions à l’énergie par incidence sur l’environnement (en milliard d’EUR de </w:t>
      </w:r>
      <w:r>
        <w:rPr>
          <w:noProof/>
          <w:vertAlign w:val="subscript"/>
        </w:rPr>
        <w:t>2024</w:t>
      </w:r>
      <w:r>
        <w:rPr>
          <w:noProof/>
        </w:rPr>
        <w:t>)</w:t>
      </w:r>
      <w:bookmarkEnd w:id="54"/>
    </w:p>
    <w:p>
      <w:pPr>
        <w:jc w:val="center"/>
        <w:rPr>
          <w:rStyle w:val="SourceCar"/>
          <w:rFonts w:eastAsia="MS Mincho"/>
          <w:noProof/>
        </w:rPr>
      </w:pPr>
      <w:r>
        <w:rPr>
          <w:rStyle w:val="SourceCar"/>
          <w:rFonts w:eastAsiaTheme="minorHAnsi"/>
          <w:noProof/>
        </w:rPr>
        <w:t>Source: Enerdata, Trinomics, 2025. NB: les estimations pour 2024 sont représentées en hachuré.</w:t>
      </w:r>
    </w:p>
    <w:p>
      <w:pPr>
        <w:jc w:val="center"/>
        <w:rPr>
          <w:rStyle w:val="SourceCar"/>
          <w:rFonts w:eastAsia="MS Mincho"/>
          <w:noProof/>
        </w:rPr>
      </w:pPr>
    </w:p>
    <w:p>
      <w:pPr>
        <w:pStyle w:val="Heading2"/>
        <w:rPr>
          <w:noProof/>
        </w:rPr>
      </w:pPr>
      <w:bookmarkStart w:id="55" w:name="_Ref176964143"/>
      <w:r>
        <w:rPr>
          <w:noProof/>
        </w:rPr>
        <w:t>Plans nationaux concernant les subventions aux combustibles fossiles</w:t>
      </w:r>
      <w:bookmarkEnd w:id="55"/>
    </w:p>
    <w:p>
      <w:pPr>
        <w:spacing w:after="120"/>
        <w:textAlignment w:val="baseline"/>
        <w:rPr>
          <w:noProof/>
        </w:rPr>
      </w:pPr>
      <w:r>
        <w:rPr>
          <w:rFonts w:ascii="Times New Roman" w:hAnsi="Times New Roman"/>
          <w:noProof/>
          <w:sz w:val="24"/>
        </w:rPr>
        <w:t>En 2024, la valeur des subventions aux combustibles fossiles</w:t>
      </w:r>
      <w:r>
        <w:rPr>
          <w:rStyle w:val="FootnoteReference"/>
          <w:rFonts w:eastAsiaTheme="minorHAnsi" w:cs="Consolas"/>
          <w:noProof/>
        </w:rPr>
        <w:footnoteReference w:id="19"/>
      </w:r>
      <w:r>
        <w:rPr>
          <w:noProof/>
        </w:rPr>
        <w:t xml:space="preserve"> </w:t>
      </w:r>
      <w:r>
        <w:rPr>
          <w:rFonts w:ascii="Times New Roman" w:hAnsi="Times New Roman"/>
          <w:noProof/>
          <w:sz w:val="24"/>
        </w:rPr>
        <w:t>dans l’EU-27 a atteint 97 milliards d’EUR, soit 0,5 % du PIB de l’UE</w:t>
      </w:r>
      <w:r>
        <w:rPr>
          <w:noProof/>
        </w:rPr>
        <w:t>.</w:t>
      </w:r>
      <w:r>
        <w:rPr>
          <w:rFonts w:ascii="Times New Roman" w:hAnsi="Times New Roman"/>
          <w:noProof/>
          <w:sz w:val="24"/>
        </w:rPr>
        <w:t xml:space="preserve"> Sur ces subventions, 39 % (38 </w:t>
      </w:r>
      <w:r>
        <w:rPr>
          <w:rFonts w:ascii="Times New Roman" w:hAnsi="Times New Roman" w:cs="Times New Roman"/>
          <w:noProof/>
          <w:sz w:val="24"/>
        </w:rPr>
        <w:fldChar w:fldCharType="begin"/>
      </w:r>
      <w:r>
        <w:rPr>
          <w:rFonts w:ascii="Times New Roman" w:hAnsi="Times New Roman" w:cs="Times New Roman"/>
          <w:noProof/>
          <w:sz w:val="24"/>
        </w:rPr>
        <w:fldChar w:fldCharType="separate"/>
      </w:r>
      <w:r>
        <w:rPr>
          <w:rFonts w:ascii="Times New Roman" w:hAnsi="Times New Roman" w:cs="Times New Roman"/>
          <w:noProof/>
          <w:sz w:val="24"/>
        </w:rPr>
        <w:fldChar w:fldCharType="end"/>
      </w:r>
      <w:r>
        <w:rPr>
          <w:rFonts w:ascii="Times New Roman" w:hAnsi="Times New Roman"/>
          <w:noProof/>
          <w:sz w:val="24"/>
        </w:rPr>
        <w:t>milliards d’EUR) ont une date de fin prévue en 2025, 8 % (8 milliards d’EUR) ont une date de fin entre 2026 et 2030, et les 52 % restants (50 milliards d’EUR) n’ont pas encore de date de fin ou une date de fin fixée après 2030 (</w:t>
      </w:r>
      <w:r>
        <w:rPr>
          <w:rFonts w:ascii="Times New Roman" w:hAnsi="Times New Roman" w:cs="Times New Roman"/>
          <w:noProof/>
          <w:sz w:val="24"/>
        </w:rPr>
        <w:fldChar w:fldCharType="begin"/>
      </w:r>
      <w:r>
        <w:rPr>
          <w:rFonts w:ascii="Times New Roman" w:hAnsi="Times New Roman" w:cs="Times New Roman"/>
          <w:noProof/>
          <w:sz w:val="24"/>
        </w:rPr>
        <w:instrText xml:space="preserve"> REF _Ref141370935 \h  \* MERGEFORMAT </w:instrText>
      </w:r>
      <w:r>
        <w:rPr>
          <w:rFonts w:ascii="Times New Roman" w:hAnsi="Times New Roman" w:cs="Times New Roman"/>
          <w:noProof/>
          <w:sz w:val="24"/>
        </w:rPr>
      </w:r>
      <w:r>
        <w:rPr>
          <w:rFonts w:ascii="Times New Roman" w:hAnsi="Times New Roman" w:cs="Times New Roman"/>
          <w:noProof/>
          <w:sz w:val="24"/>
        </w:rPr>
        <w:fldChar w:fldCharType="separate"/>
      </w:r>
      <w:r>
        <w:rPr>
          <w:rFonts w:ascii="Times New Roman" w:hAnsi="Times New Roman" w:cs="Times New Roman"/>
          <w:noProof/>
          <w:sz w:val="24"/>
        </w:rPr>
        <w:t>Figure 15</w:t>
      </w:r>
      <w:r>
        <w:rPr>
          <w:rFonts w:ascii="Times New Roman" w:hAnsi="Times New Roman" w:cs="Times New Roman"/>
          <w:noProof/>
          <w:sz w:val="24"/>
        </w:rPr>
        <w:fldChar w:fldCharType="end"/>
      </w:r>
      <w:r>
        <w:rPr>
          <w:rFonts w:ascii="Times New Roman" w:hAnsi="Times New Roman"/>
          <w:noProof/>
          <w:sz w:val="24"/>
        </w:rPr>
        <w:t>)</w:t>
      </w:r>
      <w:bookmarkStart w:id="56" w:name="_Ref138835695"/>
      <w:r>
        <w:rPr>
          <w:rStyle w:val="FootnoteReference"/>
          <w:rFonts w:eastAsiaTheme="minorHAnsi"/>
          <w:noProof/>
        </w:rPr>
        <w:footnoteReference w:id="20"/>
      </w:r>
      <w:r>
        <w:rPr>
          <w:noProof/>
        </w:rPr>
        <w:t>.</w:t>
      </w:r>
    </w:p>
    <w:p>
      <w:pPr>
        <w:spacing w:after="120"/>
        <w:textAlignment w:val="baseline"/>
        <w:rPr>
          <w:noProof/>
        </w:rPr>
      </w:pPr>
    </w:p>
    <w:p>
      <w:pPr>
        <w:spacing w:after="120"/>
        <w:textAlignment w:val="baseline"/>
        <w:rPr>
          <w:noProof/>
        </w:rPr>
      </w:pPr>
      <w:r>
        <w:rPr>
          <w:noProof/>
        </w:rPr>
        <w:lastRenderedPageBreak/>
        <w:drawing>
          <wp:inline distT="0" distB="0" distL="0" distR="0">
            <wp:extent cx="5553075" cy="3139524"/>
            <wp:effectExtent l="0" t="0" r="0" b="3810"/>
            <wp:docPr id="11820739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073967" name=""/>
                    <pic:cNvPicPr/>
                  </pic:nvPicPr>
                  <pic:blipFill>
                    <a:blip r:embed="rId32"/>
                    <a:stretch>
                      <a:fillRect/>
                    </a:stretch>
                  </pic:blipFill>
                  <pic:spPr>
                    <a:xfrm>
                      <a:off x="0" y="0"/>
                      <a:ext cx="5557200" cy="3141856"/>
                    </a:xfrm>
                    <a:prstGeom prst="rect">
                      <a:avLst/>
                    </a:prstGeom>
                  </pic:spPr>
                </pic:pic>
              </a:graphicData>
            </a:graphic>
          </wp:inline>
        </w:drawing>
      </w:r>
    </w:p>
    <w:p>
      <w:pPr>
        <w:pStyle w:val="Caption"/>
        <w:spacing w:before="0" w:after="0"/>
        <w:jc w:val="center"/>
        <w:rPr>
          <w:noProof/>
        </w:rPr>
      </w:pPr>
      <w:bookmarkStart w:id="57" w:name="_Ref141370935"/>
      <w:bookmarkStart w:id="58" w:name="_Ref145576888"/>
      <w:bookmarkStart w:id="59" w:name="_Toc145348098"/>
      <w:bookmarkStart w:id="60" w:name="_Ref145576883"/>
      <w:r>
        <w:rPr>
          <w:noProof/>
        </w:rPr>
        <w:t>Figure </w:t>
      </w:r>
      <w:r>
        <w:rPr>
          <w:noProof/>
        </w:rPr>
        <w:fldChar w:fldCharType="begin"/>
      </w:r>
      <w:r>
        <w:rPr>
          <w:noProof/>
        </w:rPr>
        <w:instrText xml:space="preserve"> SEQ Figure \* ARABIC </w:instrText>
      </w:r>
      <w:r>
        <w:rPr>
          <w:noProof/>
        </w:rPr>
        <w:fldChar w:fldCharType="separate"/>
      </w:r>
      <w:r>
        <w:rPr>
          <w:noProof/>
        </w:rPr>
        <w:t>15</w:t>
      </w:r>
      <w:r>
        <w:rPr>
          <w:noProof/>
        </w:rPr>
        <w:fldChar w:fldCharType="end"/>
      </w:r>
      <w:bookmarkEnd w:id="57"/>
      <w:bookmarkEnd w:id="58"/>
      <w:r>
        <w:rPr>
          <w:noProof/>
        </w:rPr>
        <w:t>: pondération des SCF par date de fin par unité de PIB et part de SCF dans le total des subventions à l’énergie</w:t>
      </w:r>
      <w:bookmarkEnd w:id="59"/>
      <w:bookmarkEnd w:id="60"/>
    </w:p>
    <w:p>
      <w:pPr>
        <w:spacing w:after="0"/>
        <w:jc w:val="center"/>
        <w:rPr>
          <w:rStyle w:val="SourceCar"/>
          <w:rFonts w:eastAsia="MS Mincho"/>
          <w:noProof/>
        </w:rPr>
      </w:pPr>
      <w:r>
        <w:rPr>
          <w:rStyle w:val="SourceCar"/>
          <w:rFonts w:eastAsiaTheme="minorHAnsi"/>
          <w:noProof/>
        </w:rPr>
        <w:t>Source: Enerdata, Trinomics, 2025</w:t>
      </w:r>
    </w:p>
    <w:bookmarkEnd w:id="56"/>
    <w:p>
      <w:pPr>
        <w:rPr>
          <w:rFonts w:ascii="Times New Roman" w:eastAsia="MS Mincho" w:hAnsi="Times New Roman" w:cs="Times New Roman"/>
          <w:noProof/>
          <w:sz w:val="24"/>
          <w:szCs w:val="24"/>
        </w:rPr>
      </w:pPr>
      <w:r>
        <w:rPr>
          <w:rFonts w:ascii="Times New Roman" w:hAnsi="Times New Roman"/>
          <w:noProof/>
          <w:sz w:val="24"/>
        </w:rPr>
        <w:t>Presque tous les États membres de l’UE ont l’intention d’abandonner les combustibles fossiles. Toutefois, seuls huit États membres</w:t>
      </w:r>
      <w:r>
        <w:rPr>
          <w:rStyle w:val="FootnoteReference"/>
          <w:rFonts w:eastAsiaTheme="minorHAnsi"/>
          <w:noProof/>
        </w:rPr>
        <w:footnoteReference w:id="21"/>
      </w:r>
      <w:r>
        <w:rPr>
          <w:noProof/>
        </w:rPr>
        <w:t xml:space="preserve"> </w:t>
      </w:r>
      <w:r>
        <w:rPr>
          <w:rFonts w:ascii="Times New Roman" w:hAnsi="Times New Roman"/>
          <w:noProof/>
          <w:sz w:val="24"/>
        </w:rPr>
        <w:t>ont exprimé leur intention ou ont prévu de supprimer totalement les SCF de leur économie</w:t>
      </w:r>
      <w:r>
        <w:rPr>
          <w:rStyle w:val="FootnoteReference"/>
          <w:rFonts w:eastAsiaTheme="minorHAnsi"/>
          <w:noProof/>
        </w:rPr>
        <w:footnoteReference w:id="22"/>
      </w:r>
      <w:r>
        <w:rPr>
          <w:noProof/>
        </w:rPr>
        <w:t xml:space="preserve">. </w:t>
      </w:r>
      <w:r>
        <w:rPr>
          <w:rFonts w:ascii="Times New Roman" w:hAnsi="Times New Roman"/>
          <w:noProof/>
          <w:sz w:val="24"/>
        </w:rPr>
        <w:t>Les dates butoirs, les politiques et les mesures concrètes font toujours défaut, comme le confirme l’analyse par la Commission des derniers rapports d’avancement nationaux en matière d’énergie et de climat des États membres en 2025</w:t>
      </w:r>
      <w:r>
        <w:rPr>
          <w:rStyle w:val="FootnoteReference"/>
          <w:rFonts w:eastAsiaTheme="minorHAnsi"/>
          <w:noProof/>
          <w:lang w:eastAsia="en-GB"/>
        </w:rPr>
        <w:footnoteReference w:id="23"/>
      </w:r>
      <w:r>
        <w:rPr>
          <w:rFonts w:ascii="Times New Roman" w:hAnsi="Times New Roman"/>
          <w:noProof/>
          <w:sz w:val="24"/>
        </w:rPr>
        <w:t>.</w:t>
      </w:r>
    </w:p>
    <w:p>
      <w:pPr>
        <w:pStyle w:val="Heading1"/>
        <w:rPr>
          <w:noProof/>
        </w:rPr>
      </w:pPr>
      <w:r>
        <w:rPr>
          <w:noProof/>
        </w:rPr>
        <w:t>Conclusions</w:t>
      </w:r>
    </w:p>
    <w:p>
      <w:pPr>
        <w:pStyle w:val="BodyText"/>
        <w:jc w:val="both"/>
        <w:rPr>
          <w:noProof/>
        </w:rPr>
      </w:pPr>
      <w:r>
        <w:rPr>
          <w:noProof/>
        </w:rPr>
        <w:t>En 2024, les subventions à l’énergie, y compris aux combustibles fossiles, ont diminué modérément par rapport à 2023, mais ont considérablement diminué par rapport à 2022, le pic de la crise énergétique. Néanmoins, elles sont restées élevées par rapport aux niveaux historiques.</w:t>
      </w:r>
    </w:p>
    <w:p>
      <w:pPr>
        <w:pStyle w:val="BodyText"/>
        <w:jc w:val="both"/>
        <w:rPr>
          <w:noProof/>
        </w:rPr>
      </w:pPr>
      <w:r>
        <w:rPr>
          <w:noProof/>
        </w:rPr>
        <w:t xml:space="preserve">La part des subventions globales correspondant au soutien aux énergies renouvelables a augmenté tout en restant nettement inférieure à la moyenne historique, ce qui indique une augmentation de la compétitivité des énergies renouvelables. En outre, les subventions temporaires destinées à faire face à la crise de 2022 ont été moins nombreuses, tandis que la moitié des subventions aux combustibles fossiles devaient prendre fin en 2025 ou en 2030. Les </w:t>
      </w:r>
      <w:r>
        <w:rPr>
          <w:noProof/>
        </w:rPr>
        <w:lastRenderedPageBreak/>
        <w:t>subventions au transport et au pétrole ont recommencé à baisser en 2024, atteignant presque leur niveau de 2021. La part des subventions à l’énergie préjudiciables à l’environnement a diminué, tandis que la part des subventions à l’énergie non préjudiciables à l’environnement a augmenté.</w:t>
      </w:r>
    </w:p>
    <w:p>
      <w:pPr>
        <w:pStyle w:val="BodyText"/>
        <w:jc w:val="both"/>
        <w:rPr>
          <w:noProof/>
        </w:rPr>
      </w:pPr>
      <w:r>
        <w:rPr>
          <w:noProof/>
        </w:rPr>
        <w:t>Malgré certaines tendances positives, les subventions aux combustibles fossiles sont restées nettement supérieures à la moyenne historique</w:t>
      </w:r>
      <w:r>
        <w:rPr>
          <w:rStyle w:val="FootnoteReference"/>
          <w:rFonts w:eastAsia="MS Mincho"/>
          <w:noProof/>
        </w:rPr>
        <w:footnoteReference w:id="24"/>
      </w:r>
      <w:r>
        <w:rPr>
          <w:noProof/>
        </w:rPr>
        <w:t>, tandis que la part des subventions non ciblées était également toujours élevée. En outre, les subventions aux combustibles fossiles destinées à soutenir la consommation d’énergie, qui représentent la majorité des subventions aux combustibles fossiles, n’ont pas été spécifiquement utilisées pour lutter contre la précarité énergétique, la sécurité de l’approvisionnement ou la compétitivité.</w:t>
      </w:r>
    </w:p>
    <w:p>
      <w:pPr>
        <w:pStyle w:val="BodyText"/>
        <w:jc w:val="both"/>
        <w:rPr>
          <w:noProof/>
          <w:szCs w:val="22"/>
        </w:rPr>
      </w:pPr>
      <w:r>
        <w:rPr>
          <w:noProof/>
        </w:rPr>
        <w:t>Il est important de noter qu’aucun progrès n’a été observé en ce qui concerne les plans nationaux d’élimination progressive des combustibles fossiles en 2024. Le nombre de pays qui se sont engagés à supprimer progressivement les subventions aux combustibles fossiles est resté inchangé par rapport à 2023. Il manquait des dates butoirs, des politiques et des mesures concrètes, même pour les États membres qui se sont engagés à supprimer progressivement les combustibles fossiles. Par conséquent, les États membres doivent encore faire beaucoup plus à cet égard si l’UE veut atteindre son objectif politique consistant à supprimer progressivement les subventions aux combustibles fossiles et à rendre l’Europe climatiquement neutre d’ici à 2050.</w:t>
      </w:r>
    </w:p>
    <w:p>
      <w:pPr>
        <w:pStyle w:val="BodyText"/>
        <w:jc w:val="both"/>
        <w:rPr>
          <w:noProof/>
        </w:rPr>
      </w:pPr>
      <w:r>
        <w:rPr>
          <w:noProof/>
        </w:rPr>
        <w:t>La réforme, la réduction et, à terme, la suppression des subventions en faveur des combustibles fossiles constituent une priorité pour la Commission européenne, conformément aux engagements pris par l’UE dans le cadre de l’accord de Paris</w:t>
      </w:r>
      <w:bookmarkStart w:id="61" w:name="_Hlk183451322"/>
      <w:r>
        <w:rPr>
          <w:noProof/>
        </w:rPr>
        <w:t>, de la loi européenne sur le climat et du 8</w:t>
      </w:r>
      <w:r>
        <w:rPr>
          <w:noProof/>
          <w:vertAlign w:val="superscript"/>
        </w:rPr>
        <w:t>e</w:t>
      </w:r>
      <w:r>
        <w:rPr>
          <w:noProof/>
        </w:rPr>
        <w:t xml:space="preserve"> programme d’action pour l’environnement. Dans les lettres de mission qu’elle a adressées à la fois au commissaire à l’énergie et au logement et au commissaire au climat, à la neutralité carbone et à la croissance propre, la présidente von der Leyen a donné mandat </w:t>
      </w:r>
      <w:bookmarkEnd w:id="61"/>
      <w:r>
        <w:rPr>
          <w:noProof/>
        </w:rPr>
        <w:t>afin de créer un cadre permettant de réduire encore et de supprimer progressivement l’utilisation des subventions aux combustibles fossiles</w:t>
      </w:r>
      <w:r>
        <w:rPr>
          <w:rStyle w:val="FootnoteReference"/>
          <w:rFonts w:eastAsia="MS Mincho"/>
          <w:noProof/>
        </w:rPr>
        <w:footnoteReference w:id="25"/>
      </w:r>
      <w:r>
        <w:rPr>
          <w:noProof/>
        </w:rPr>
        <w:t>.</w:t>
      </w:r>
    </w:p>
    <w:p>
      <w:pPr>
        <w:pStyle w:val="BodyText"/>
        <w:jc w:val="both"/>
        <w:rPr>
          <w:noProof/>
        </w:rPr>
      </w:pPr>
      <w:r>
        <w:rPr>
          <w:noProof/>
        </w:rPr>
        <w:t>Comme indiqué dans la communication AccelerateEU</w:t>
      </w:r>
      <w:r>
        <w:rPr>
          <w:rStyle w:val="FootnoteReference"/>
          <w:rFonts w:eastAsia="MS Mincho"/>
          <w:noProof/>
        </w:rPr>
        <w:footnoteReference w:id="26"/>
      </w:r>
      <w:r>
        <w:rPr>
          <w:noProof/>
        </w:rPr>
        <w:t>, le conflit de 2026 au Moyen-Orient pourrait nécessiter de nouvelles mesures rapides, ciblées et temporaires pour protéger les consommateurs les plus vulnérables, accélérer la transition vers une énergie propre et l’électrification et préserver la compétitivité de l’industrie européenne. Toutefois, toute mesure d’aide à court terme ne doit pas porter atteinte à l’objectif à long terme de suppression progressive des subventions aux combustibles fossiles</w:t>
      </w:r>
      <w:r>
        <w:rPr>
          <w:rStyle w:val="FootnoteReference"/>
          <w:rFonts w:eastAsia="MS Mincho"/>
          <w:noProof/>
        </w:rPr>
        <w:footnoteReference w:id="27"/>
      </w:r>
      <w:r>
        <w:rPr>
          <w:noProof/>
        </w:rPr>
        <w:t>.</w:t>
      </w:r>
    </w:p>
    <w:p>
      <w:pPr>
        <w:pStyle w:val="BodyText"/>
        <w:jc w:val="both"/>
        <w:rPr>
          <w:noProof/>
        </w:rPr>
      </w:pPr>
      <w:r>
        <w:rPr>
          <w:noProof/>
        </w:rPr>
        <w:lastRenderedPageBreak/>
        <w:t>En conséquence, la Commission a l’intention d’adopter, d’ici la fin de 2026, une proposition visant à actualiser la gouvernance de l’union de l’énergie et de l’action pour le climat, qui couvrira la suppression progressive des subventions aux combustibles fossiles</w:t>
      </w:r>
      <w:r>
        <w:rPr>
          <w:rStyle w:val="FootnoteReference"/>
          <w:rFonts w:eastAsia="MS Mincho"/>
          <w:noProof/>
        </w:rPr>
        <w:footnoteReference w:id="28"/>
      </w:r>
      <w:r>
        <w:rPr>
          <w:noProof/>
        </w:rPr>
        <w:t>.</w:t>
      </w:r>
    </w:p>
    <w:p>
      <w:pPr>
        <w:rPr>
          <w:rFonts w:eastAsia="MS Mincho"/>
          <w:noProof/>
          <w:szCs w:val="24"/>
        </w:rPr>
      </w:pPr>
      <w:r>
        <w:rPr>
          <w:noProof/>
        </w:rPr>
        <w:br w:type="page"/>
      </w:r>
    </w:p>
    <w:sectPr>
      <w:headerReference w:type="even" r:id="rId33"/>
      <w:headerReference w:type="default" r:id="rId34"/>
      <w:footerReference w:type="even" r:id="rId35"/>
      <w:footerReference w:type="default" r:id="rId36"/>
      <w:headerReference w:type="first" r:id="rId37"/>
      <w:footerReference w:type="first" r:id="rId3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ptos Display">
    <w:altName w:val="Calibri"/>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MS Mincho">
    <w:altName w:val="Yu Gothic"/>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EC Square Sans Pro">
    <w:altName w:val="Calibri"/>
    <w:charset w:val="00"/>
    <w:family w:val="swiss"/>
    <w:pitch w:val="variable"/>
    <w:sig w:usb0="20000287" w:usb1="00000001" w:usb2="00000000" w:usb3="00000000" w:csb0="0000019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Open Sans Condensed">
    <w:altName w:val="Segoe UI"/>
    <w:charset w:val="00"/>
    <w:family w:val="swiss"/>
    <w:pitch w:val="variable"/>
    <w:sig w:usb0="E00002EF" w:usb1="4000205B" w:usb2="00000028" w:usb3="00000000" w:csb0="0000019F" w:csb1="00000000"/>
  </w:font>
  <w:font w:name="Times New Roman Bold">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ind w:left="360" w:hanging="360"/>
      </w:pPr>
      <w:r>
        <w:rPr>
          <w:rStyle w:val="FootnoteReference"/>
          <w:szCs w:val="16"/>
        </w:rPr>
        <w:footnoteRef/>
      </w:r>
      <w:r>
        <w:tab/>
        <w:t xml:space="preserve">Article 35, point n), du règlement (UE) 2018/1999 du Parlement européen et du Conseil du 11 décembre 2018 sur la gouvernance de l’union de l’énergie et de l’action pour le climat (JO L 328 du 21.12.2018, p. 1, ELI: </w:t>
      </w:r>
      <w:hyperlink r:id="rId1" w:history="1">
        <w:r>
          <w:rPr>
            <w:rStyle w:val="Hyperlink"/>
          </w:rPr>
          <w:t>http://data.europa.eu/eli/reg/2018/1999/oj</w:t>
        </w:r>
      </w:hyperlink>
      <w:r>
        <w:t>).</w:t>
      </w:r>
    </w:p>
  </w:footnote>
  <w:footnote w:id="2">
    <w:p>
      <w:pPr>
        <w:pStyle w:val="FootnoteText"/>
      </w:pPr>
      <w:r>
        <w:rPr>
          <w:rStyle w:val="FootnoteReference"/>
        </w:rPr>
        <w:footnoteRef/>
      </w:r>
      <w:r>
        <w:tab/>
        <w:t>La méthodologie appliquée à la collecte et à l’analyse des données est décrite dans l’annexe du présent rapport.</w:t>
      </w:r>
    </w:p>
  </w:footnote>
  <w:footnote w:id="3">
    <w:p>
      <w:pPr>
        <w:pStyle w:val="FootnoteText"/>
      </w:pPr>
      <w:r>
        <w:rPr>
          <w:rStyle w:val="FootnoteReference"/>
        </w:rPr>
        <w:footnoteRef/>
      </w:r>
      <w:r>
        <w:tab/>
        <w:t xml:space="preserve">Recommandation du Conseil du 12 avril 2024 concernant la politique économique de la zone euro, ST/6316/2024/INIT (JO C, C/2024/2807, 23.4.2024, ELI: </w:t>
      </w:r>
      <w:hyperlink r:id="rId2" w:history="1">
        <w:r>
          <w:rPr>
            <w:rStyle w:val="Hyperlink"/>
          </w:rPr>
          <w:t>http://data.europa.eu/eli/C/2024/2807/oj</w:t>
        </w:r>
      </w:hyperlink>
      <w:r>
        <w:t>).</w:t>
      </w:r>
    </w:p>
  </w:footnote>
  <w:footnote w:id="4">
    <w:p>
      <w:pPr>
        <w:pStyle w:val="FootnoteText"/>
        <w:spacing w:after="0"/>
      </w:pPr>
      <w:r>
        <w:rPr>
          <w:rStyle w:val="FootnoteReference"/>
          <w:szCs w:val="16"/>
        </w:rPr>
        <w:footnoteRef/>
      </w:r>
      <w:r>
        <w:tab/>
        <w:t>Ces chiffres incluent les dépenses fiscales (43 milliards d’EUR en 2024) qui ne peuvent pas être directement comparées d’un pays à l’autre, ainsi que les mesures de prise de participation des pouvoirs publics/apport de fonds propres (10 milliards d’EUR en 2024), qui ont gagné en importance depuis la crise énergétique de 2022.</w:t>
      </w:r>
    </w:p>
  </w:footnote>
  <w:footnote w:id="5">
    <w:p>
      <w:pPr>
        <w:pStyle w:val="FootnoteText"/>
      </w:pPr>
      <w:r>
        <w:rPr>
          <w:rStyle w:val="FootnoteReference"/>
        </w:rPr>
        <w:footnoteRef/>
      </w:r>
      <w:r>
        <w:tab/>
        <w:t>Parmi les exemples de subventions qui ne sont pas considérées comme préjudiciables à l’environnement figurent les subventions en faveur des sources d’énergie renouvelables, de l’électrification et des investissements dans la transition énergétique, la sécurité de l’approvisionnement ou la protection des consommateurs vulnérables, même si elles sont accordées aux combustibles fossiles. Parmi les exemples de subventions préjudiciables à l’environnement non attribuées aux combustibles fossiles figurent les subventions en faveur de l’hydrogène, de la chaleur et de l’électricité qui ne sont pas produits à partir de sources d’énergie renouvelables (SER) ou qui ne ciblent pas l’efficacité énergétique et les subventions non ciblées, pour lesquelles la part des énergies renouvelables n’a pas pu être déterminée.</w:t>
      </w:r>
    </w:p>
  </w:footnote>
  <w:footnote w:id="6">
    <w:p>
      <w:pPr>
        <w:pStyle w:val="FootnoteText"/>
      </w:pPr>
      <w:r>
        <w:rPr>
          <w:rStyle w:val="FootnoteReference"/>
        </w:rPr>
        <w:footnoteRef/>
      </w:r>
      <w:r>
        <w:tab/>
        <w:t>Plans visant à supprimer progressivement les subventions en faveur des combustibles fossiles à partir de 2024.</w:t>
      </w:r>
    </w:p>
  </w:footnote>
  <w:footnote w:id="7">
    <w:p>
      <w:pPr>
        <w:pStyle w:val="FootnoteText"/>
      </w:pPr>
      <w:r>
        <w:rPr>
          <w:rStyle w:val="FootnoteReference"/>
        </w:rPr>
        <w:footnoteRef/>
      </w:r>
      <w:r>
        <w:tab/>
        <w:t>Toutes les valeurs monétaires de cette étude sont exprimées en euros en prix de 2024. Les chiffres des éditions précédentes ont été ajustés pour tenir compte de l’inflation.</w:t>
      </w:r>
    </w:p>
  </w:footnote>
  <w:footnote w:id="8">
    <w:p>
      <w:pPr>
        <w:pStyle w:val="FootnoteText"/>
      </w:pPr>
      <w:r>
        <w:rPr>
          <w:rStyle w:val="FootnoteReference"/>
        </w:rPr>
        <w:footnoteRef/>
      </w:r>
      <w:r>
        <w:t xml:space="preserve"> RD&amp;D: recherche, développement et démonstration. </w:t>
      </w:r>
    </w:p>
  </w:footnote>
  <w:footnote w:id="9">
    <w:p>
      <w:pPr>
        <w:pStyle w:val="FootnoteText"/>
      </w:pPr>
      <w:r>
        <w:rPr>
          <w:rStyle w:val="FootnoteReference"/>
        </w:rPr>
        <w:footnoteRef/>
      </w:r>
      <w:r>
        <w:tab/>
        <w:t>Si l’on compte «tous les combustibles fossiles», la quantité et la proportion sont plus élevées.</w:t>
      </w:r>
    </w:p>
  </w:footnote>
  <w:footnote w:id="10">
    <w:p>
      <w:pPr>
        <w:pStyle w:val="FootnoteText"/>
      </w:pPr>
      <w:r>
        <w:rPr>
          <w:rStyle w:val="FootnoteReference"/>
        </w:rPr>
        <w:footnoteRef/>
      </w:r>
      <w:r>
        <w:tab/>
        <w:t>Le niveau historique (avant la crise) correspond à la moyenne pour la période 2015-2019.</w:t>
      </w:r>
    </w:p>
  </w:footnote>
  <w:footnote w:id="11">
    <w:p>
      <w:pPr>
        <w:pStyle w:val="FootnoteText"/>
      </w:pPr>
      <w:r>
        <w:rPr>
          <w:rStyle w:val="FootnoteReference"/>
        </w:rPr>
        <w:footnoteRef/>
      </w:r>
      <w:r>
        <w:t xml:space="preserve">   2015-2019.</w:t>
      </w:r>
    </w:p>
  </w:footnote>
  <w:footnote w:id="12">
    <w:p>
      <w:pPr>
        <w:pStyle w:val="FootnoteText"/>
      </w:pPr>
      <w:r>
        <w:rPr>
          <w:rStyle w:val="FootnoteReference"/>
        </w:rPr>
        <w:footnoteRef/>
      </w:r>
      <w:r>
        <w:t xml:space="preserve"> Au cours de la période 2015-2017, les dépenses annuelles sont restées stables, aux alentours de 300 millions d’EUR. Elles sont passées à environ 1,1 milliard d’EUR sur la période 2018-2021.</w:t>
      </w:r>
    </w:p>
  </w:footnote>
  <w:footnote w:id="13">
    <w:p>
      <w:pPr>
        <w:pStyle w:val="FootnoteText"/>
        <w:ind w:left="360" w:hanging="360"/>
      </w:pPr>
      <w:r>
        <w:rPr>
          <w:rStyle w:val="FootnoteReference"/>
        </w:rPr>
        <w:footnoteRef/>
      </w:r>
      <w:r>
        <w:t xml:space="preserve"> Les secteurs industriels couvrent l’industrie, l’exploitation minière et la construction.</w:t>
      </w:r>
    </w:p>
  </w:footnote>
  <w:footnote w:id="14">
    <w:p>
      <w:pPr>
        <w:pStyle w:val="FootnoteText"/>
        <w:ind w:left="360" w:hanging="360"/>
      </w:pPr>
      <w:r>
        <w:rPr>
          <w:rStyle w:val="FootnoteReference"/>
        </w:rPr>
        <w:footnoteRef/>
      </w:r>
      <w:r>
        <w:t xml:space="preserve"> Le secteur tertiaire couvre les services et les secteurs des entreprises et public.</w:t>
      </w:r>
    </w:p>
  </w:footnote>
  <w:footnote w:id="15">
    <w:p>
      <w:pPr>
        <w:pStyle w:val="FootnoteText"/>
      </w:pPr>
      <w:r>
        <w:rPr>
          <w:rStyle w:val="FootnoteReference"/>
        </w:rPr>
        <w:footnoteRef/>
      </w:r>
      <w:r>
        <w:tab/>
        <w:t>L’expression «</w:t>
      </w:r>
      <w:r>
        <w:rPr>
          <w:i/>
          <w:iCs/>
        </w:rPr>
        <w:t>incidences négatives considérablement accrues sur l’environnement</w:t>
      </w:r>
      <w:r>
        <w:t>» s’inscrit dans le droit fil du règlement sur la taxinomie de l’UE et est adaptée au secteur de l’énergie en mettant l’accent sur deux objectifs environnementaux dudit règlement qui sont liés au climat, à savoir i) l’atténuation du changement climatique et ii) l’adaptation au changement climatique. L’étude préliminaire était axée sur les subventions à l’énergie, bien qu’il n’ait pas été jugé possible d’évaluer l’incidence sur l’environnement des subventions à l’énergie sur les six objectifs environnementaux, car cela nécessiterait une évaluation au cas par cas.</w:t>
      </w:r>
    </w:p>
  </w:footnote>
  <w:footnote w:id="16">
    <w:p>
      <w:pPr>
        <w:pStyle w:val="FootnoteText"/>
        <w:spacing w:after="0"/>
        <w:ind w:left="360" w:hanging="360"/>
      </w:pPr>
      <w:r>
        <w:rPr>
          <w:rStyle w:val="FootnoteReference"/>
        </w:rPr>
        <w:footnoteRef/>
      </w:r>
      <w:r>
        <w:tab/>
        <w:t>Dont 17 milliards d’EUR d’estimations fondées sur les données de 2023.</w:t>
      </w:r>
    </w:p>
  </w:footnote>
  <w:footnote w:id="17">
    <w:p>
      <w:pPr>
        <w:pStyle w:val="FootnoteText"/>
        <w:spacing w:after="0"/>
        <w:ind w:left="360" w:hanging="360"/>
      </w:pPr>
      <w:r>
        <w:rPr>
          <w:rStyle w:val="FootnoteReference"/>
        </w:rPr>
        <w:footnoteRef/>
      </w:r>
      <w:r>
        <w:tab/>
        <w:t xml:space="preserve">En ce qui concerne les subventions à l’énergie qui ne ciblent aucun vecteur énergétique spécifique (c’est-à-dire «toutes les énergies»), le poids des combustibles fossiles dans le bouquet énergétique de chaque État membre, exprimé en %, sur la base des données d’Eurostat pour 2022, (de l’ensemble de données </w:t>
      </w:r>
      <w:hyperlink r:id="rId3" w:history="1">
        <w:r>
          <w:rPr>
            <w:rStyle w:val="Hyperlink"/>
          </w:rPr>
          <w:t>[nrg_bal_c]</w:t>
        </w:r>
      </w:hyperlink>
      <w:r>
        <w:t>) a été utilisé pour déterminer la part préjudiciable à l’environnement.</w:t>
      </w:r>
    </w:p>
  </w:footnote>
  <w:footnote w:id="18">
    <w:p>
      <w:pPr>
        <w:pStyle w:val="FootnoteText"/>
        <w:spacing w:after="0"/>
        <w:ind w:left="360" w:hanging="360"/>
      </w:pPr>
      <w:r>
        <w:rPr>
          <w:rStyle w:val="FootnoteReference"/>
        </w:rPr>
        <w:footnoteRef/>
      </w:r>
      <w:r>
        <w:tab/>
        <w:t>La majorité des subventions en faveur de l’électricité ne sont pas considérées comme préjudiciables. Les exceptions concernent les cas où les subventions sont clairement liées à l’électricité produite à partir de sources fossiles.</w:t>
      </w:r>
    </w:p>
  </w:footnote>
  <w:footnote w:id="19">
    <w:p>
      <w:pPr>
        <w:pStyle w:val="FootnoteText"/>
        <w:spacing w:after="0"/>
        <w:ind w:left="360" w:hanging="360"/>
      </w:pPr>
      <w:r>
        <w:rPr>
          <w:rStyle w:val="FootnoteReference"/>
        </w:rPr>
        <w:footnoteRef/>
      </w:r>
      <w:r>
        <w:tab/>
        <w:t>Y compris les subventions pour lesquelles aucune donnée n’était disponible et dont la valeur est estimée à 3 milliards d’EUR sur la base des niveaux de 2023.</w:t>
      </w:r>
    </w:p>
  </w:footnote>
  <w:footnote w:id="20">
    <w:p>
      <w:pPr>
        <w:pStyle w:val="FootnoteText"/>
        <w:spacing w:after="0"/>
        <w:ind w:left="360" w:hanging="360"/>
      </w:pPr>
      <w:r>
        <w:rPr>
          <w:rStyle w:val="FootnoteReference"/>
        </w:rPr>
        <w:footnoteRef/>
      </w:r>
      <w:r>
        <w:tab/>
        <w:t>L’analyse se fonde sur les annexes VIII et XV des rapports d’avancement nationaux intégrés en matière d’énergie et de climat de 2025 et sur les mises à jour ou les annonces accessibles au public.</w:t>
      </w:r>
    </w:p>
  </w:footnote>
  <w:footnote w:id="21">
    <w:p>
      <w:pPr>
        <w:pStyle w:val="FootnoteText"/>
        <w:spacing w:after="0"/>
      </w:pPr>
      <w:r>
        <w:rPr>
          <w:rStyle w:val="FootnoteReference"/>
        </w:rPr>
        <w:footnoteRef/>
      </w:r>
      <w:r>
        <w:t xml:space="preserve"> Allemagne, Belgique, France, Italie, Lettonie, Lituanie, Luxembourg et Portugal.</w:t>
      </w:r>
    </w:p>
  </w:footnote>
  <w:footnote w:id="22">
    <w:p>
      <w:pPr>
        <w:spacing w:after="0"/>
        <w:jc w:val="both"/>
      </w:pPr>
      <w:r>
        <w:rPr>
          <w:rStyle w:val="FootnoteReference"/>
          <w:rFonts w:eastAsiaTheme="minorHAnsi"/>
        </w:rPr>
        <w:footnoteRef/>
      </w:r>
      <w:r>
        <w:t xml:space="preserve"> </w:t>
      </w:r>
      <w:r>
        <w:rPr>
          <w:rFonts w:ascii="Times New Roman" w:hAnsi="Times New Roman"/>
          <w:sz w:val="20"/>
        </w:rPr>
        <w:t>Le règlement d’exécution (UE) 2022/2299 de la Commission impose aux États membres de faire état tous les deux ans des progrès accomplis dans la mise en œuvre des plans nationaux intégrés en matière d’énergie et de climat dans leurs rapports d’avancement nationaux en matière d’énergie et de climat. Les rapports d’avancement nationaux intégrés en matière d’énergie et de climat étaient attendus pour le 15 mars 2025.</w:t>
      </w:r>
    </w:p>
  </w:footnote>
  <w:footnote w:id="23">
    <w:p>
      <w:pPr>
        <w:pStyle w:val="FootnoteText"/>
        <w:spacing w:after="0"/>
      </w:pPr>
      <w:r>
        <w:rPr>
          <w:rStyle w:val="FootnoteReference"/>
        </w:rPr>
        <w:footnoteRef/>
      </w:r>
      <w:r>
        <w:rPr>
          <w:rStyle w:val="FootnoteReference"/>
        </w:rPr>
        <w:t xml:space="preserve"> </w:t>
      </w:r>
      <w:r>
        <w:t xml:space="preserve">  Évaluation à l’échelle de l’UE de la version finale des plans nationaux en matière d’énergie et de climat — Atteindre les objectifs de l’Union en matière d’énergie et de climat à l’horizon 2030, Bruxelles, 27.5.2025, COM(2025) 274 final.</w:t>
      </w:r>
    </w:p>
  </w:footnote>
  <w:footnote w:id="24">
    <w:p>
      <w:pPr>
        <w:pStyle w:val="FootnoteText"/>
      </w:pPr>
      <w:r>
        <w:rPr>
          <w:rStyle w:val="FootnoteReference"/>
        </w:rPr>
        <w:footnoteRef/>
      </w:r>
      <w:r>
        <w:tab/>
        <w:t>Moyenne pour la période 2015-2019, c’est-à-dire avant la pandémie de COVID</w:t>
      </w:r>
      <w:r>
        <w:noBreakHyphen/>
        <w:t>19 et la guerre d’agression menée par la Russie contre l’Ukraine, qui ont eu une incidence atypique sur les prix de l’énergie, les rendant moins représentatifs aux fins de l’analyse.</w:t>
      </w:r>
    </w:p>
  </w:footnote>
  <w:footnote w:id="25">
    <w:p>
      <w:pPr>
        <w:pStyle w:val="FootnoteText"/>
        <w:ind w:left="360" w:hanging="360"/>
        <w:rPr>
          <w:sz w:val="16"/>
          <w:szCs w:val="16"/>
        </w:rPr>
      </w:pPr>
      <w:r>
        <w:rPr>
          <w:rStyle w:val="FootnoteReference"/>
        </w:rPr>
        <w:footnoteRef/>
      </w:r>
      <w:r>
        <w:tab/>
      </w:r>
      <w:hyperlink r:id="rId4" w:history="1">
        <w:r>
          <w:rPr>
            <w:rStyle w:val="Hyperlink"/>
          </w:rPr>
          <w:t>Lettre de mission à Dan Jørgensen, commissaire à l’énergie et au logement (en anglais uniquement)</w:t>
        </w:r>
      </w:hyperlink>
      <w:r>
        <w:t xml:space="preserve">; </w:t>
      </w:r>
      <w:hyperlink r:id="rId5" w:history="1">
        <w:r>
          <w:rPr>
            <w:rStyle w:val="Hyperlink"/>
          </w:rPr>
          <w:t>eab354d1-64d2-450f-8ed4-eb3d42661974_en</w:t>
        </w:r>
      </w:hyperlink>
      <w:r>
        <w:t>.</w:t>
      </w:r>
    </w:p>
  </w:footnote>
  <w:footnote w:id="26">
    <w:p>
      <w:pPr>
        <w:pStyle w:val="FootnoteText"/>
      </w:pPr>
      <w:r>
        <w:rPr>
          <w:rStyle w:val="FootnoteReference"/>
        </w:rPr>
        <w:footnoteRef/>
      </w:r>
      <w:r>
        <w:t xml:space="preserve"> COM(2026) 370 final du 22.4.2026.</w:t>
      </w:r>
    </w:p>
  </w:footnote>
  <w:footnote w:id="27">
    <w:p>
      <w:pPr>
        <w:pStyle w:val="FootnoteText"/>
      </w:pPr>
      <w:r>
        <w:rPr>
          <w:rStyle w:val="FootnoteReference"/>
        </w:rPr>
        <w:footnoteRef/>
      </w:r>
      <w:r>
        <w:t xml:space="preserve"> Voir les recommandations dans le cadre du Semestre européen 2025 — Paquet de printemps, Bruxelles, 4.6.2025, COM(2025) 200 final.</w:t>
      </w:r>
    </w:p>
  </w:footnote>
  <w:footnote w:id="28">
    <w:p>
      <w:pPr>
        <w:pStyle w:val="FootnoteText"/>
      </w:pPr>
      <w:r>
        <w:rPr>
          <w:rStyle w:val="FootnoteReference"/>
        </w:rPr>
        <w:footnoteRef/>
      </w:r>
      <w:r>
        <w:tab/>
        <w:t xml:space="preserve">Programme de travail 2026 de la Commission européenne, annexe I, nouvelles initiatives, initiative 8. </w:t>
      </w:r>
      <w:hyperlink r:id="rId6" w:history="1">
        <w:r>
          <w:rPr>
            <w:rStyle w:val="Hyperlink"/>
          </w:rPr>
          <w:t>Programme de travail de la Commission pour 2026 — Commission européenne</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900F7"/>
    <w:multiLevelType w:val="multilevel"/>
    <w:tmpl w:val="FA9CBA30"/>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EFB7115"/>
    <w:multiLevelType w:val="multilevel"/>
    <w:tmpl w:val="4040267E"/>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120B7201"/>
    <w:multiLevelType w:val="multilevel"/>
    <w:tmpl w:val="45F0597A"/>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8345"/>
    <w:multiLevelType w:val="multilevel"/>
    <w:tmpl w:val="37982706"/>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62685D"/>
    <w:multiLevelType w:val="multilevel"/>
    <w:tmpl w:val="6ABADF24"/>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43D0A16"/>
    <w:multiLevelType w:val="multilevel"/>
    <w:tmpl w:val="5798EC78"/>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72F0AC5"/>
    <w:multiLevelType w:val="multilevel"/>
    <w:tmpl w:val="87566386"/>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8A34F5E"/>
    <w:multiLevelType w:val="hybridMultilevel"/>
    <w:tmpl w:val="18F60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7B624F"/>
    <w:multiLevelType w:val="multilevel"/>
    <w:tmpl w:val="B8C6257A"/>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5C23C87"/>
    <w:multiLevelType w:val="multilevel"/>
    <w:tmpl w:val="1E506A44"/>
    <w:name w:val="Anx122"/>
    <w:lvl w:ilvl="0">
      <w:start w:val="1"/>
      <w:numFmt w:val="upperLetter"/>
      <w:pStyle w:val="Anx1"/>
      <w:lvlText w:val="%1."/>
      <w:lvlJc w:val="left"/>
      <w:pPr>
        <w:ind w:left="644" w:hanging="360"/>
      </w:pPr>
      <w:rPr>
        <w:rFonts w:hint="default"/>
      </w:rPr>
    </w:lvl>
    <w:lvl w:ilvl="1">
      <w:start w:val="1"/>
      <w:numFmt w:val="decimal"/>
      <w:pStyle w:val="Anx2"/>
      <w:lvlText w:val="%1.%2."/>
      <w:lvlJc w:val="left"/>
      <w:pPr>
        <w:ind w:left="708" w:hanging="708"/>
      </w:pPr>
      <w:rPr>
        <w:rFonts w:hint="default"/>
        <w:b/>
        <w:bCs/>
        <w:i w:val="0"/>
        <w:iCs w:val="0"/>
        <w:caps w:val="0"/>
        <w:smallCaps w:val="0"/>
        <w:strike w:val="0"/>
        <w:dstrike w:val="0"/>
        <w:vanish w:val="0"/>
        <w:color w:val="E97132" w:themeColor="accent2"/>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pStyle w:val="Anx3"/>
      <w:lvlText w:val="%1.%2.%3."/>
      <w:lvlJc w:val="left"/>
      <w:pPr>
        <w:ind w:left="1417" w:hanging="708"/>
      </w:pPr>
      <w:rPr>
        <w:rFonts w:hint="default"/>
        <w:b/>
        <w:bCs/>
        <w:i w:val="0"/>
        <w:iCs w:val="0"/>
        <w:caps w:val="0"/>
        <w:smallCaps w:val="0"/>
        <w:strike w:val="0"/>
        <w:dstrike w:val="0"/>
        <w:vanish w:val="0"/>
        <w:color w:val="0E2841" w:themeColor="text2"/>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pStyle w:val="Anx4"/>
      <w:lvlText w:val="%1.%2.%3.%4."/>
      <w:lvlJc w:val="left"/>
      <w:pPr>
        <w:ind w:left="2835" w:hanging="708"/>
      </w:pPr>
      <w:rPr>
        <w:rFonts w:hint="default"/>
      </w:rPr>
    </w:lvl>
    <w:lvl w:ilvl="4">
      <w:start w:val="1"/>
      <w:numFmt w:val="decimal"/>
      <w:lvlText w:val="%1.%2.%3.%4.%5."/>
      <w:lvlJc w:val="left"/>
      <w:pPr>
        <w:ind w:left="3539" w:hanging="708"/>
      </w:pPr>
      <w:rPr>
        <w:rFonts w:hint="default"/>
      </w:rPr>
    </w:lvl>
    <w:lvl w:ilvl="5">
      <w:start w:val="1"/>
      <w:numFmt w:val="decimal"/>
      <w:lvlText w:val="%1.%2.%3.%4.%5.%6."/>
      <w:lvlJc w:val="left"/>
      <w:pPr>
        <w:ind w:left="4247" w:hanging="708"/>
      </w:pPr>
      <w:rPr>
        <w:rFonts w:hint="default"/>
      </w:rPr>
    </w:lvl>
    <w:lvl w:ilvl="6">
      <w:start w:val="1"/>
      <w:numFmt w:val="decimal"/>
      <w:lvlText w:val="%1.%2.%3.%4.%5.%6.%7."/>
      <w:lvlJc w:val="left"/>
      <w:pPr>
        <w:ind w:left="4955" w:hanging="708"/>
      </w:pPr>
      <w:rPr>
        <w:rFonts w:hint="default"/>
      </w:rPr>
    </w:lvl>
    <w:lvl w:ilvl="7">
      <w:start w:val="1"/>
      <w:numFmt w:val="decimal"/>
      <w:lvlText w:val="%1.%2.%3.%4.%5.%6.%7.%8."/>
      <w:lvlJc w:val="left"/>
      <w:pPr>
        <w:ind w:left="5663" w:hanging="708"/>
      </w:pPr>
      <w:rPr>
        <w:rFonts w:hint="default"/>
      </w:rPr>
    </w:lvl>
    <w:lvl w:ilvl="8">
      <w:start w:val="1"/>
      <w:numFmt w:val="decimal"/>
      <w:lvlText w:val="%1.%2.%3.%4.%5.%6.%7.%8.%9."/>
      <w:lvlJc w:val="left"/>
      <w:pPr>
        <w:ind w:left="6371" w:hanging="708"/>
      </w:pPr>
      <w:rPr>
        <w:rFonts w:hint="default"/>
      </w:rPr>
    </w:lvl>
  </w:abstractNum>
  <w:abstractNum w:abstractNumId="10" w15:restartNumberingAfterBreak="0">
    <w:nsid w:val="2C8DFDF8"/>
    <w:multiLevelType w:val="multilevel"/>
    <w:tmpl w:val="B0565F96"/>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E3"/>
    <w:multiLevelType w:val="multilevel"/>
    <w:tmpl w:val="19EA6AC4"/>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2D293CF4"/>
    <w:multiLevelType w:val="multilevel"/>
    <w:tmpl w:val="463485E8"/>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25359E4"/>
    <w:multiLevelType w:val="hybridMultilevel"/>
    <w:tmpl w:val="B50AD2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6324F1E"/>
    <w:multiLevelType w:val="multilevel"/>
    <w:tmpl w:val="32AC7638"/>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37CB1E1C"/>
    <w:multiLevelType w:val="multilevel"/>
    <w:tmpl w:val="5EE28F62"/>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3A7730C4"/>
    <w:multiLevelType w:val="multilevel"/>
    <w:tmpl w:val="C9C0754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29E662A"/>
    <w:multiLevelType w:val="multilevel"/>
    <w:tmpl w:val="B56678CC"/>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46F556DD"/>
    <w:multiLevelType w:val="hybridMultilevel"/>
    <w:tmpl w:val="53D2F236"/>
    <w:lvl w:ilvl="0" w:tplc="91B0A804">
      <w:start w:val="1"/>
      <w:numFmt w:val="decimal"/>
      <w:pStyle w:val="Annex111"/>
      <w:lvlText w:val="%1."/>
      <w:lvlJc w:val="left"/>
      <w:pPr>
        <w:ind w:left="3905" w:hanging="360"/>
      </w:pPr>
    </w:lvl>
    <w:lvl w:ilvl="1" w:tplc="08090019" w:tentative="1">
      <w:start w:val="1"/>
      <w:numFmt w:val="lowerLetter"/>
      <w:lvlText w:val="%2."/>
      <w:lvlJc w:val="left"/>
      <w:pPr>
        <w:ind w:left="4625" w:hanging="360"/>
      </w:pPr>
    </w:lvl>
    <w:lvl w:ilvl="2" w:tplc="0809001B">
      <w:start w:val="1"/>
      <w:numFmt w:val="lowerRoman"/>
      <w:pStyle w:val="Annex111"/>
      <w:lvlText w:val="%3."/>
      <w:lvlJc w:val="right"/>
      <w:pPr>
        <w:ind w:left="5345" w:hanging="180"/>
      </w:pPr>
    </w:lvl>
    <w:lvl w:ilvl="3" w:tplc="0809000F" w:tentative="1">
      <w:start w:val="1"/>
      <w:numFmt w:val="decimal"/>
      <w:lvlText w:val="%4."/>
      <w:lvlJc w:val="left"/>
      <w:pPr>
        <w:ind w:left="6065" w:hanging="360"/>
      </w:pPr>
    </w:lvl>
    <w:lvl w:ilvl="4" w:tplc="08090019" w:tentative="1">
      <w:start w:val="1"/>
      <w:numFmt w:val="lowerLetter"/>
      <w:lvlText w:val="%5."/>
      <w:lvlJc w:val="left"/>
      <w:pPr>
        <w:ind w:left="6785" w:hanging="360"/>
      </w:pPr>
    </w:lvl>
    <w:lvl w:ilvl="5" w:tplc="0809001B" w:tentative="1">
      <w:start w:val="1"/>
      <w:numFmt w:val="lowerRoman"/>
      <w:lvlText w:val="%6."/>
      <w:lvlJc w:val="right"/>
      <w:pPr>
        <w:ind w:left="7505" w:hanging="180"/>
      </w:pPr>
    </w:lvl>
    <w:lvl w:ilvl="6" w:tplc="0809000F" w:tentative="1">
      <w:start w:val="1"/>
      <w:numFmt w:val="decimal"/>
      <w:lvlText w:val="%7."/>
      <w:lvlJc w:val="left"/>
      <w:pPr>
        <w:ind w:left="8225" w:hanging="360"/>
      </w:pPr>
    </w:lvl>
    <w:lvl w:ilvl="7" w:tplc="08090019" w:tentative="1">
      <w:start w:val="1"/>
      <w:numFmt w:val="lowerLetter"/>
      <w:lvlText w:val="%8."/>
      <w:lvlJc w:val="left"/>
      <w:pPr>
        <w:ind w:left="8945" w:hanging="360"/>
      </w:pPr>
    </w:lvl>
    <w:lvl w:ilvl="8" w:tplc="0809001B" w:tentative="1">
      <w:start w:val="1"/>
      <w:numFmt w:val="lowerRoman"/>
      <w:lvlText w:val="%9."/>
      <w:lvlJc w:val="right"/>
      <w:pPr>
        <w:ind w:left="9665" w:hanging="180"/>
      </w:pPr>
    </w:lvl>
  </w:abstractNum>
  <w:abstractNum w:abstractNumId="19" w15:restartNumberingAfterBreak="0">
    <w:nsid w:val="4C174643"/>
    <w:multiLevelType w:val="hybridMultilevel"/>
    <w:tmpl w:val="FBFC9F6E"/>
    <w:lvl w:ilvl="0" w:tplc="0850681E">
      <w:start w:val="1"/>
      <w:numFmt w:val="bullet"/>
      <w:lvlText w:val=""/>
      <w:lvlJc w:val="left"/>
      <w:pPr>
        <w:ind w:left="720" w:hanging="360"/>
      </w:pPr>
      <w:rPr>
        <w:rFonts w:ascii="Wingdings" w:hAnsi="Wingdings" w:hint="default"/>
        <w:b/>
        <w:i w:val="0"/>
        <w:color w:val="E97132" w:themeColor="accent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E1A63DF"/>
    <w:multiLevelType w:val="multilevel"/>
    <w:tmpl w:val="7B088668"/>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4E1A982C"/>
    <w:multiLevelType w:val="multilevel"/>
    <w:tmpl w:val="318E6394"/>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5072619B"/>
    <w:multiLevelType w:val="multilevel"/>
    <w:tmpl w:val="D30ABD56"/>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50729B52"/>
    <w:multiLevelType w:val="multilevel"/>
    <w:tmpl w:val="BB924040"/>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6977472E"/>
    <w:multiLevelType w:val="multilevel"/>
    <w:tmpl w:val="388A6B16"/>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6F3F1BE7"/>
    <w:multiLevelType w:val="hybridMultilevel"/>
    <w:tmpl w:val="1F4E41FE"/>
    <w:lvl w:ilvl="0" w:tplc="FFFFFFFF">
      <w:start w:val="1"/>
      <w:numFmt w:val="bullet"/>
      <w:pStyle w:val="Bullet-1"/>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6" w15:restartNumberingAfterBreak="0">
    <w:nsid w:val="711927D6"/>
    <w:multiLevelType w:val="hybridMultilevel"/>
    <w:tmpl w:val="05C26312"/>
    <w:lvl w:ilvl="0" w:tplc="17BC0D08">
      <w:start w:val="1"/>
      <w:numFmt w:val="bullet"/>
      <w:lvlText w:val=""/>
      <w:lvlJc w:val="left"/>
      <w:pPr>
        <w:ind w:left="1440" w:hanging="360"/>
      </w:pPr>
      <w:rPr>
        <w:rFonts w:ascii="Symbol" w:hAnsi="Symbol"/>
      </w:rPr>
    </w:lvl>
    <w:lvl w:ilvl="1" w:tplc="49828EDA">
      <w:start w:val="1"/>
      <w:numFmt w:val="bullet"/>
      <w:lvlText w:val=""/>
      <w:lvlJc w:val="left"/>
      <w:pPr>
        <w:ind w:left="1440" w:hanging="360"/>
      </w:pPr>
      <w:rPr>
        <w:rFonts w:ascii="Symbol" w:hAnsi="Symbol"/>
      </w:rPr>
    </w:lvl>
    <w:lvl w:ilvl="2" w:tplc="CCC2E606">
      <w:start w:val="1"/>
      <w:numFmt w:val="bullet"/>
      <w:lvlText w:val=""/>
      <w:lvlJc w:val="left"/>
      <w:pPr>
        <w:ind w:left="1440" w:hanging="360"/>
      </w:pPr>
      <w:rPr>
        <w:rFonts w:ascii="Symbol" w:hAnsi="Symbol"/>
      </w:rPr>
    </w:lvl>
    <w:lvl w:ilvl="3" w:tplc="F0544AEA">
      <w:start w:val="1"/>
      <w:numFmt w:val="bullet"/>
      <w:lvlText w:val=""/>
      <w:lvlJc w:val="left"/>
      <w:pPr>
        <w:ind w:left="1440" w:hanging="360"/>
      </w:pPr>
      <w:rPr>
        <w:rFonts w:ascii="Symbol" w:hAnsi="Symbol"/>
      </w:rPr>
    </w:lvl>
    <w:lvl w:ilvl="4" w:tplc="85662576">
      <w:start w:val="1"/>
      <w:numFmt w:val="bullet"/>
      <w:lvlText w:val=""/>
      <w:lvlJc w:val="left"/>
      <w:pPr>
        <w:ind w:left="1440" w:hanging="360"/>
      </w:pPr>
      <w:rPr>
        <w:rFonts w:ascii="Symbol" w:hAnsi="Symbol"/>
      </w:rPr>
    </w:lvl>
    <w:lvl w:ilvl="5" w:tplc="7D2EE0DA">
      <w:start w:val="1"/>
      <w:numFmt w:val="bullet"/>
      <w:lvlText w:val=""/>
      <w:lvlJc w:val="left"/>
      <w:pPr>
        <w:ind w:left="1440" w:hanging="360"/>
      </w:pPr>
      <w:rPr>
        <w:rFonts w:ascii="Symbol" w:hAnsi="Symbol"/>
      </w:rPr>
    </w:lvl>
    <w:lvl w:ilvl="6" w:tplc="B4500BF2">
      <w:start w:val="1"/>
      <w:numFmt w:val="bullet"/>
      <w:lvlText w:val=""/>
      <w:lvlJc w:val="left"/>
      <w:pPr>
        <w:ind w:left="1440" w:hanging="360"/>
      </w:pPr>
      <w:rPr>
        <w:rFonts w:ascii="Symbol" w:hAnsi="Symbol"/>
      </w:rPr>
    </w:lvl>
    <w:lvl w:ilvl="7" w:tplc="96663886">
      <w:start w:val="1"/>
      <w:numFmt w:val="bullet"/>
      <w:lvlText w:val=""/>
      <w:lvlJc w:val="left"/>
      <w:pPr>
        <w:ind w:left="1440" w:hanging="360"/>
      </w:pPr>
      <w:rPr>
        <w:rFonts w:ascii="Symbol" w:hAnsi="Symbol"/>
      </w:rPr>
    </w:lvl>
    <w:lvl w:ilvl="8" w:tplc="C4125822">
      <w:start w:val="1"/>
      <w:numFmt w:val="bullet"/>
      <w:lvlText w:val=""/>
      <w:lvlJc w:val="left"/>
      <w:pPr>
        <w:ind w:left="1440" w:hanging="360"/>
      </w:pPr>
      <w:rPr>
        <w:rFonts w:ascii="Symbol" w:hAnsi="Symbol"/>
      </w:rPr>
    </w:lvl>
  </w:abstractNum>
  <w:abstractNum w:abstractNumId="27"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25"/>
  </w:num>
  <w:num w:numId="2">
    <w:abstractNumId w:val="0"/>
  </w:num>
  <w:num w:numId="3">
    <w:abstractNumId w:val="14"/>
  </w:num>
  <w:num w:numId="4">
    <w:abstractNumId w:val="8"/>
  </w:num>
  <w:num w:numId="5">
    <w:abstractNumId w:val="15"/>
  </w:num>
  <w:num w:numId="6">
    <w:abstractNumId w:val="22"/>
  </w:num>
  <w:num w:numId="7">
    <w:abstractNumId w:val="24"/>
  </w:num>
  <w:num w:numId="8">
    <w:abstractNumId w:val="1"/>
  </w:num>
  <w:num w:numId="9">
    <w:abstractNumId w:val="6"/>
  </w:num>
  <w:num w:numId="10">
    <w:abstractNumId w:val="17"/>
  </w:num>
  <w:num w:numId="11">
    <w:abstractNumId w:val="2"/>
  </w:num>
  <w:num w:numId="12">
    <w:abstractNumId w:val="4"/>
  </w:num>
  <w:num w:numId="13">
    <w:abstractNumId w:val="5"/>
  </w:num>
  <w:num w:numId="14">
    <w:abstractNumId w:val="10"/>
  </w:num>
  <w:num w:numId="15">
    <w:abstractNumId w:val="16"/>
  </w:num>
  <w:num w:numId="16">
    <w:abstractNumId w:val="21"/>
  </w:num>
  <w:num w:numId="17">
    <w:abstractNumId w:val="11"/>
  </w:num>
  <w:num w:numId="18">
    <w:abstractNumId w:val="12"/>
  </w:num>
  <w:num w:numId="19">
    <w:abstractNumId w:val="27"/>
  </w:num>
  <w:num w:numId="20">
    <w:abstractNumId w:val="20"/>
  </w:num>
  <w:num w:numId="21">
    <w:abstractNumId w:val="23"/>
  </w:num>
  <w:num w:numId="22">
    <w:abstractNumId w:val="3"/>
  </w:num>
  <w:num w:numId="23">
    <w:abstractNumId w:val="18"/>
  </w:num>
  <w:num w:numId="24">
    <w:abstractNumId w:val="7"/>
  </w:num>
  <w:num w:numId="25">
    <w:abstractNumId w:val="9"/>
  </w:num>
  <w:num w:numId="26">
    <w:abstractNumId w:val="13"/>
  </w:num>
  <w:num w:numId="27">
    <w:abstractNumId w:val="19"/>
  </w:num>
  <w:num w:numId="2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Status" w:val="Green"/>
    <w:docVar w:name="LW_CORRIGENDUM" w:val="&lt;UNUSED&gt;"/>
    <w:docVar w:name="LW_COVERPAGE_EXISTS" w:val="True"/>
    <w:docVar w:name="LW_COVERPAGE_GUID" w:val="D2518F04-4967-483A-BCCC-EEB1E70F4C9F"/>
    <w:docVar w:name="LW_COVERPAGE_TYPE" w:val="1"/>
    <w:docVar w:name="LW_CROSSREFERENCE" w:val="&lt;UNUSED&gt;"/>
    <w:docVar w:name="LW_DocType" w:val="NORMAL"/>
    <w:docVar w:name="LW_EMISSION" w:val="17.9.2026"/>
    <w:docVar w:name="LW_EMISSION_ISODATE" w:val="2026-09-17"/>
    <w:docVar w:name="LW_EMISSION_LOCATION" w:val="BRX"/>
    <w:docVar w:name="LW_EMISSION_PREFIX" w:val="Bruxelles, le "/>
    <w:docVar w:name="LW_EMISSION_SUFFIX" w:val=" "/>
    <w:docVar w:name="LW_ID_DOCTYPE_NONLW" w:val="CP-006"/>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47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ur les subventions à l\u8217?énergie dans l\u8217?UE"/>
    <w:docVar w:name="LW_TYPE.DOC.CP" w:val="RAPPORT DE LA COMMISSION AU PARLEMENT EUROPÉEN ET A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15:docId w15:val="{AE0F3B20-A60F-4712-98B0-C5CDE1E58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0" w:qFormat="1"/>
    <w:lsdException w:name="heading 2" w:semiHidden="1" w:uiPriority="10" w:unhideWhenUsed="1" w:qFormat="1"/>
    <w:lsdException w:name="heading 3" w:semiHidden="1" w:uiPriority="10" w:unhideWhenUsed="1" w:qFormat="1"/>
    <w:lsdException w:name="heading 4" w:semiHidden="1" w:uiPriority="1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iPriority="0"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5" w:unhideWhenUsed="1"/>
    <w:lsdException w:name="List Number" w:semiHidden="1" w:uiPriority="3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5" w:unhideWhenUsed="1"/>
    <w:lsdException w:name="List Bullet 3" w:semiHidden="1" w:uiPriority="35" w:unhideWhenUsed="1"/>
    <w:lsdException w:name="List Bullet 4" w:semiHidden="1" w:uiPriority="35" w:unhideWhenUsed="1"/>
    <w:lsdException w:name="List Bullet 5" w:semiHidden="1" w:unhideWhenUsed="1"/>
    <w:lsdException w:name="List Number 2" w:semiHidden="1" w:uiPriority="30" w:unhideWhenUsed="1"/>
    <w:lsdException w:name="List Number 3" w:semiHidden="1" w:uiPriority="30" w:unhideWhenUsed="1"/>
    <w:lsdException w:name="List Number 4" w:semiHidden="1" w:uiPriority="30" w:unhideWhenUsed="1"/>
    <w:lsdException w:name="List Number 5" w:semiHidden="1" w:unhideWhenUsed="1"/>
    <w:lsdException w:name="Title" w:uiPriority="4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10"/>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10"/>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10"/>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10"/>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Pr>
      <w:rFonts w:eastAsiaTheme="majorEastAsia" w:cstheme="majorBidi"/>
      <w:i/>
      <w:iCs/>
      <w:color w:val="0F4761" w:themeColor="accent1" w:themeShade="BF"/>
    </w:rPr>
  </w:style>
  <w:style w:type="character" w:customStyle="1" w:styleId="Heading5Char">
    <w:name w:val="Heading 5 Char"/>
    <w:basedOn w:val="DefaultParagraphFont"/>
    <w:link w:val="Heading5"/>
    <w:rPr>
      <w:rFonts w:eastAsiaTheme="majorEastAsia" w:cstheme="majorBidi"/>
      <w:color w:val="0F4761" w:themeColor="accent1" w:themeShade="BF"/>
    </w:rPr>
  </w:style>
  <w:style w:type="character" w:customStyle="1" w:styleId="Heading6Char">
    <w:name w:val="Heading 6 Char"/>
    <w:basedOn w:val="DefaultParagraphFont"/>
    <w:link w:val="Heading6"/>
    <w:rPr>
      <w:rFonts w:eastAsiaTheme="majorEastAsia" w:cstheme="majorBidi"/>
      <w:i/>
      <w:iCs/>
      <w:color w:val="595959" w:themeColor="text1" w:themeTint="A6"/>
    </w:rPr>
  </w:style>
  <w:style w:type="character" w:customStyle="1" w:styleId="Heading7Char">
    <w:name w:val="Heading 7 Char"/>
    <w:basedOn w:val="DefaultParagraphFont"/>
    <w:link w:val="Heading7"/>
    <w:rPr>
      <w:rFonts w:eastAsiaTheme="majorEastAsia" w:cstheme="majorBidi"/>
      <w:color w:val="595959" w:themeColor="text1" w:themeTint="A6"/>
    </w:rPr>
  </w:style>
  <w:style w:type="character" w:customStyle="1" w:styleId="Heading8Char">
    <w:name w:val="Heading 8 Char"/>
    <w:basedOn w:val="DefaultParagraphFont"/>
    <w:link w:val="Heading8"/>
    <w:rPr>
      <w:rFonts w:eastAsiaTheme="majorEastAsia" w:cstheme="majorBidi"/>
      <w:i/>
      <w:iCs/>
      <w:color w:val="272727" w:themeColor="text1" w:themeTint="D8"/>
    </w:rPr>
  </w:style>
  <w:style w:type="character" w:customStyle="1" w:styleId="Heading9Char">
    <w:name w:val="Heading 9 Char"/>
    <w:basedOn w:val="DefaultParagraphFont"/>
    <w:link w:val="Heading9"/>
    <w:rPr>
      <w:rFonts w:eastAsiaTheme="majorEastAsia" w:cstheme="majorBidi"/>
      <w:color w:val="272727" w:themeColor="text1" w:themeTint="D8"/>
    </w:rPr>
  </w:style>
  <w:style w:type="paragraph" w:styleId="Title">
    <w:name w:val="Title"/>
    <w:basedOn w:val="Normal"/>
    <w:next w:val="Normal"/>
    <w:link w:val="TitleChar"/>
    <w:uiPriority w:val="4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Pr>
      <w:rFonts w:eastAsiaTheme="majorEastAsia" w:cstheme="majorBidi"/>
      <w:color w:val="595959" w:themeColor="text1" w:themeTint="A6"/>
      <w:spacing w:val="15"/>
      <w:sz w:val="28"/>
      <w:szCs w:val="28"/>
    </w:rPr>
  </w:style>
  <w:style w:type="paragraph" w:styleId="Quote">
    <w:name w:val="Quote"/>
    <w:basedOn w:val="Normal"/>
    <w:next w:val="Normal"/>
    <w:link w:val="QuoteChar"/>
    <w:qFormat/>
    <w:pPr>
      <w:spacing w:before="160"/>
      <w:jc w:val="center"/>
    </w:pPr>
    <w:rPr>
      <w:i/>
      <w:iCs/>
      <w:color w:val="404040" w:themeColor="text1" w:themeTint="BF"/>
    </w:rPr>
  </w:style>
  <w:style w:type="character" w:customStyle="1" w:styleId="QuoteChar">
    <w:name w:val="Quote Char"/>
    <w:basedOn w:val="DefaultParagraphFont"/>
    <w:link w:val="Quote"/>
    <w:rPr>
      <w:i/>
      <w:iCs/>
      <w:color w:val="404040" w:themeColor="text1" w:themeTint="BF"/>
    </w:rPr>
  </w:style>
  <w:style w:type="paragraph" w:styleId="ListParagraph">
    <w:name w:val="List Paragraph"/>
    <w:aliases w:val="1st elvel bullet green,Numbered Para 1,Dot pt,No Spacing1,List Paragraph Char Char Char,Indicator Text,Bullet 1,List Paragraph1,Bullet Points,MAIN CONTENT,List Paragraph12,F5 List Paragraph,Heading 2_sj,Report Para,WinDForce-Letter,H"/>
    <w:basedOn w:val="Normal"/>
    <w:link w:val="ListParagraphChar"/>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nhideWhenUsed/>
    <w:pPr>
      <w:tabs>
        <w:tab w:val="center" w:pos="4513"/>
        <w:tab w:val="right" w:pos="9026"/>
      </w:tabs>
      <w:spacing w:after="0" w:line="240" w:lineRule="auto"/>
    </w:pPr>
  </w:style>
  <w:style w:type="character" w:customStyle="1" w:styleId="HeaderChar">
    <w:name w:val="Header Char"/>
    <w:basedOn w:val="DefaultParagraphFont"/>
    <w:link w:val="Header"/>
  </w:style>
  <w:style w:type="paragraph" w:styleId="Footer">
    <w:name w:val="footer"/>
    <w:basedOn w:val="Normal"/>
    <w:link w:val="FooterChar"/>
    <w:unhideWhenUsed/>
    <w:pPr>
      <w:tabs>
        <w:tab w:val="center" w:pos="4513"/>
        <w:tab w:val="right" w:pos="9026"/>
      </w:tabs>
      <w:spacing w:after="0" w:line="240" w:lineRule="auto"/>
    </w:pPr>
  </w:style>
  <w:style w:type="character" w:customStyle="1" w:styleId="FooterChar">
    <w:name w:val="Footer Char"/>
    <w:basedOn w:val="DefaultParagraphFont"/>
    <w:link w:val="Foote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customStyle="1" w:styleId="FootnoteTextChar">
    <w:name w:val="Footnote Text Char"/>
    <w:aliases w:val="Footnote Text Char Char Char,Footnote text Char,Geneva 9 Char,Font: Geneva 9 Char,Boston 10 Char,f Char,Footnote Char,Fußnote Char,Fußnote Char Char Char Char1,Fußnote Char Char Char1,Fußnote Char Char Char Char Char Char Char,fn Char"/>
    <w:uiPriority w:val="99"/>
    <w:qFormat/>
    <w:rPr>
      <w:sz w:val="20"/>
    </w:rPr>
  </w:style>
  <w:style w:type="paragraph" w:customStyle="1" w:styleId="CharCharChar">
    <w:name w:val="Char Char Char"/>
    <w:basedOn w:val="Normal"/>
    <w:link w:val="FootnoteReference"/>
    <w:pPr>
      <w:spacing w:line="240" w:lineRule="exact"/>
    </w:pPr>
    <w:rPr>
      <w:rFonts w:ascii="Times New Roman" w:eastAsia="Times New Roman" w:hAnsi="Times New Roman" w:cs="Times New Roman"/>
      <w:sz w:val="24"/>
      <w:szCs w:val="20"/>
      <w:vertAlign w:val="superscript"/>
    </w:rPr>
  </w:style>
  <w:style w:type="character" w:styleId="Hyperlink">
    <w:name w:val="Hyperlink"/>
    <w:aliases w:val=" Znak Znak Znak,Znak Znak Znak"/>
    <w:rPr>
      <w:color w:val="0000FF"/>
      <w:u w:val="single"/>
    </w:rPr>
  </w:style>
  <w:style w:type="paragraph" w:styleId="BalloonText">
    <w:name w:val="Balloon Text"/>
    <w:basedOn w:val="Normal"/>
    <w:link w:val="BalloonTextChar"/>
    <w:pPr>
      <w:spacing w:after="0"/>
    </w:pPr>
    <w:rPr>
      <w:rFonts w:ascii="Segoe UI" w:eastAsia="MS Mincho" w:hAnsi="Segoe UI" w:cs="Segoe UI"/>
      <w:sz w:val="18"/>
      <w:szCs w:val="18"/>
      <w:lang w:eastAsia="en-GB"/>
    </w:rPr>
  </w:style>
  <w:style w:type="character" w:customStyle="1" w:styleId="BalloonTextChar">
    <w:name w:val="Balloon Text Char"/>
    <w:basedOn w:val="DefaultParagraphFont"/>
    <w:link w:val="BalloonText"/>
    <w:rPr>
      <w:rFonts w:ascii="Segoe UI" w:eastAsia="MS Mincho" w:hAnsi="Segoe UI" w:cs="Segoe UI"/>
      <w:sz w:val="18"/>
      <w:szCs w:val="18"/>
      <w:lang w:val="fr-FR" w:eastAsia="en-GB"/>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rPr>
      <w:rFonts w:ascii="Calibri" w:eastAsia="Calibri" w:hAnsi="Calibri" w:cs="Arial"/>
      <w:sz w:val="20"/>
      <w:szCs w:val="20"/>
      <w:lang w:eastAsia="en-GB"/>
    </w:rPr>
  </w:style>
  <w:style w:type="character" w:customStyle="1" w:styleId="CommentTextChar">
    <w:name w:val="Comment Text Char"/>
    <w:basedOn w:val="DefaultParagraphFont"/>
    <w:link w:val="CommentText"/>
    <w:uiPriority w:val="99"/>
    <w:rPr>
      <w:rFonts w:ascii="Calibri" w:eastAsia="Calibri" w:hAnsi="Calibri" w:cs="Arial"/>
      <w:sz w:val="20"/>
      <w:szCs w:val="20"/>
      <w:lang w:val="fr-FR" w:eastAsia="en-GB"/>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rFonts w:ascii="Calibri" w:eastAsia="Calibri" w:hAnsi="Calibri" w:cs="Arial"/>
      <w:b/>
      <w:bCs/>
      <w:sz w:val="20"/>
      <w:szCs w:val="20"/>
      <w:lang w:val="fr-FR" w:eastAsia="en-GB"/>
    </w:rPr>
  </w:style>
  <w:style w:type="character" w:styleId="FollowedHyperlink">
    <w:name w:val="FollowedHyperlink"/>
    <w:rPr>
      <w:color w:val="800080"/>
      <w:u w:val="single"/>
    </w:rPr>
  </w:style>
  <w:style w:type="paragraph" w:styleId="Revision">
    <w:name w:val="Revision"/>
    <w:hidden/>
    <w:pPr>
      <w:spacing w:after="0" w:line="240" w:lineRule="auto"/>
    </w:pPr>
    <w:rPr>
      <w:rFonts w:ascii="Calibri" w:eastAsia="Calibri" w:hAnsi="Calibri" w:cs="Arial"/>
      <w:lang w:eastAsia="en-GB"/>
    </w:rPr>
  </w:style>
  <w:style w:type="character" w:customStyle="1" w:styleId="CaptionChar">
    <w:name w:val="Caption Char"/>
    <w:aliases w:val="Caption-tables Char,Tasks Char,Beschriftung Char2 Char,Beschriftung Char1 Char1 Char,Beschriftung Char Char Char1 Char,Beschriftung Char1 Char Char Char,Beschriftung Char Char Char Char Char,Beschriftung Char Char1 Char Char,Eco Char"/>
    <w:rPr>
      <w:i/>
      <w:sz w:val="22"/>
    </w:rPr>
  </w:style>
  <w:style w:type="paragraph" w:customStyle="1" w:styleId="Source">
    <w:name w:val="Source"/>
    <w:basedOn w:val="Normal"/>
    <w:link w:val="SourceCar"/>
    <w:uiPriority w:val="1"/>
    <w:qFormat/>
    <w:pPr>
      <w:spacing w:after="0" w:line="280" w:lineRule="exact"/>
      <w:jc w:val="center"/>
    </w:pPr>
    <w:rPr>
      <w:rFonts w:ascii="EC Square Sans Pro" w:eastAsia="Times New Roman" w:hAnsi="EC Square Sans Pro" w:cs="Times New Roman"/>
      <w:i/>
      <w:iCs/>
      <w:color w:val="989393"/>
      <w:sz w:val="18"/>
      <w:szCs w:val="18"/>
      <w:lang w:eastAsia="en-GB"/>
    </w:rPr>
  </w:style>
  <w:style w:type="character" w:customStyle="1" w:styleId="SourceCar">
    <w:name w:val="Source Car"/>
    <w:link w:val="Source"/>
    <w:uiPriority w:val="1"/>
    <w:rPr>
      <w:rFonts w:ascii="EC Square Sans Pro" w:eastAsia="Times New Roman" w:hAnsi="EC Square Sans Pro" w:cs="Times New Roman"/>
      <w:i/>
      <w:iCs/>
      <w:color w:val="989393"/>
      <w:sz w:val="18"/>
      <w:szCs w:val="18"/>
      <w:lang w:val="fr-FR" w:eastAsia="en-GB"/>
    </w:rPr>
  </w:style>
  <w:style w:type="paragraph" w:customStyle="1" w:styleId="Text">
    <w:name w:val="Text"/>
    <w:basedOn w:val="PlainText"/>
    <w:link w:val="TextCar"/>
    <w:uiPriority w:val="1"/>
    <w:qFormat/>
    <w:pPr>
      <w:spacing w:after="200" w:line="280" w:lineRule="exact"/>
      <w:jc w:val="both"/>
    </w:pPr>
    <w:rPr>
      <w:rFonts w:ascii="EC Square Sans Pro" w:eastAsia="Times New Roman" w:hAnsi="EC Square Sans Pro" w:cs="Consolas"/>
    </w:rPr>
  </w:style>
  <w:style w:type="character" w:customStyle="1" w:styleId="TextCar">
    <w:name w:val="Text Car"/>
    <w:link w:val="Text"/>
    <w:uiPriority w:val="1"/>
    <w:rPr>
      <w:rFonts w:ascii="EC Square Sans Pro" w:eastAsia="Times New Roman" w:hAnsi="EC Square Sans Pro" w:cs="Consolas"/>
      <w:sz w:val="21"/>
      <w:szCs w:val="21"/>
      <w:lang w:val="fr-FR" w:eastAsia="en-GB"/>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uiPriority w:val="99"/>
    <w:qFormat/>
    <w:pPr>
      <w:spacing w:line="240" w:lineRule="exact"/>
    </w:pPr>
    <w:rPr>
      <w:rFonts w:ascii="EC Square Sans Pro" w:eastAsia="Times New Roman" w:hAnsi="EC Square Sans Pro" w:cs="Times New Roman"/>
      <w:vertAlign w:val="superscript"/>
      <w:lang w:eastAsia="en-GB"/>
    </w:rPr>
  </w:style>
  <w:style w:type="paragraph" w:styleId="PlainText">
    <w:name w:val="Plain Text"/>
    <w:basedOn w:val="Normal"/>
    <w:link w:val="PlainTextChar"/>
    <w:pPr>
      <w:spacing w:after="0"/>
    </w:pPr>
    <w:rPr>
      <w:rFonts w:ascii="Consolas" w:eastAsia="MS Mincho" w:hAnsi="Consolas" w:cs="Arial"/>
      <w:sz w:val="21"/>
      <w:szCs w:val="21"/>
      <w:lang w:eastAsia="en-GB"/>
    </w:rPr>
  </w:style>
  <w:style w:type="character" w:customStyle="1" w:styleId="PlainTextChar">
    <w:name w:val="Plain Text Char"/>
    <w:basedOn w:val="DefaultParagraphFont"/>
    <w:link w:val="PlainText"/>
    <w:rPr>
      <w:rFonts w:ascii="Consolas" w:eastAsia="MS Mincho" w:hAnsi="Consolas" w:cs="Arial"/>
      <w:sz w:val="21"/>
      <w:szCs w:val="21"/>
      <w:lang w:val="fr-FR" w:eastAsia="en-GB"/>
    </w:rPr>
  </w:style>
  <w:style w:type="paragraph" w:styleId="BodyText">
    <w:name w:val="Body Text"/>
    <w:basedOn w:val="Normal"/>
    <w:link w:val="BodyTextChar"/>
    <w:rPr>
      <w:rFonts w:ascii="Times New Roman" w:eastAsia="MS Mincho" w:hAnsi="Times New Roman" w:cs="Times New Roman"/>
      <w:sz w:val="24"/>
      <w:szCs w:val="24"/>
      <w:lang w:eastAsia="en-GB"/>
    </w:rPr>
  </w:style>
  <w:style w:type="character" w:customStyle="1" w:styleId="BodyTextChar">
    <w:name w:val="Body Text Char"/>
    <w:basedOn w:val="DefaultParagraphFont"/>
    <w:link w:val="BodyText"/>
    <w:rPr>
      <w:rFonts w:ascii="Times New Roman" w:eastAsia="MS Mincho" w:hAnsi="Times New Roman" w:cs="Times New Roman"/>
      <w:sz w:val="24"/>
      <w:szCs w:val="24"/>
      <w:lang w:val="fr-FR" w:eastAsia="en-GB"/>
    </w:rPr>
  </w:style>
  <w:style w:type="paragraph" w:styleId="BodyText2">
    <w:name w:val="Body Text 2"/>
    <w:basedOn w:val="Normal"/>
    <w:link w:val="BodyText2Char"/>
    <w:pPr>
      <w:spacing w:after="120"/>
    </w:pPr>
    <w:rPr>
      <w:rFonts w:ascii="Calibri" w:eastAsia="Calibri" w:hAnsi="Calibri" w:cs="Arial"/>
      <w:lang w:eastAsia="en-GB"/>
    </w:rPr>
  </w:style>
  <w:style w:type="character" w:customStyle="1" w:styleId="BodyText2Char">
    <w:name w:val="Body Text 2 Char"/>
    <w:basedOn w:val="DefaultParagraphFont"/>
    <w:link w:val="BodyText2"/>
    <w:rPr>
      <w:rFonts w:ascii="Calibri" w:eastAsia="Calibri" w:hAnsi="Calibri" w:cs="Arial"/>
      <w:lang w:val="fr-FR" w:eastAsia="en-GB"/>
    </w:rPr>
  </w:style>
  <w:style w:type="character" w:customStyle="1" w:styleId="ListParagraphChar">
    <w:name w:val="List Paragraph Char"/>
    <w:aliases w:val="1st elvel bullet green Char,Numbered Para 1 Char,Dot pt Char,No Spacing1 Char,List Paragraph Char Char Char Char,Indicator Text Char,Bullet 1 Char,List Paragraph1 Char,Bullet Points Char,MAIN CONTENT Char,List Paragraph12 Char,H Char"/>
    <w:link w:val="ListParagraph"/>
    <w:uiPriority w:val="34"/>
    <w:qFormat/>
  </w:style>
  <w:style w:type="paragraph" w:customStyle="1" w:styleId="foonote">
    <w:name w:val="foonote"/>
    <w:basedOn w:val="FootnoteText"/>
    <w:link w:val="foonoteChar"/>
    <w:pPr>
      <w:spacing w:after="0" w:line="259" w:lineRule="auto"/>
      <w:ind w:left="0" w:firstLine="0"/>
      <w:contextualSpacing/>
      <w:jc w:val="left"/>
    </w:pPr>
    <w:rPr>
      <w:rFonts w:ascii="EC Square Sans Pro" w:eastAsia="Verdana" w:hAnsi="EC Square Sans Pro" w:cs="Open Sans Condensed"/>
      <w:color w:val="000000"/>
      <w:sz w:val="16"/>
      <w:szCs w:val="16"/>
      <w:lang w:eastAsia="en-GB"/>
    </w:rPr>
  </w:style>
  <w:style w:type="character" w:customStyle="1" w:styleId="foonoteChar">
    <w:name w:val="foonote Char"/>
    <w:link w:val="foonote"/>
    <w:rPr>
      <w:rFonts w:ascii="EC Square Sans Pro" w:eastAsia="Verdana" w:hAnsi="EC Square Sans Pro" w:cs="Open Sans Condensed"/>
      <w:color w:val="000000"/>
      <w:sz w:val="16"/>
      <w:szCs w:val="16"/>
      <w:lang w:val="fr-FR" w:eastAsia="en-GB"/>
    </w:rPr>
  </w:style>
  <w:style w:type="paragraph" w:customStyle="1" w:styleId="Bullet-1">
    <w:name w:val="Bullet-1"/>
    <w:basedOn w:val="Normal"/>
    <w:link w:val="Bullet-1Car"/>
    <w:uiPriority w:val="1"/>
    <w:qFormat/>
    <w:pPr>
      <w:numPr>
        <w:numId w:val="1"/>
      </w:numPr>
      <w:spacing w:after="120" w:line="280" w:lineRule="exact"/>
      <w:ind w:left="0" w:firstLine="0"/>
      <w:jc w:val="both"/>
    </w:pPr>
    <w:rPr>
      <w:rFonts w:ascii="EC Square Sans Pro" w:eastAsia="Verdana" w:hAnsi="EC Square Sans Pro" w:cs="Times New Roman"/>
      <w:lang w:eastAsia="en-GB"/>
    </w:rPr>
  </w:style>
  <w:style w:type="character" w:customStyle="1" w:styleId="Bullet-1Car">
    <w:name w:val="Bullet-1 Car"/>
    <w:link w:val="Bullet-1"/>
    <w:uiPriority w:val="1"/>
    <w:rPr>
      <w:rFonts w:ascii="EC Square Sans Pro" w:eastAsia="Verdana" w:hAnsi="EC Square Sans Pro" w:cs="Times New Roman"/>
      <w:lang w:val="fr-FR" w:eastAsia="en-GB"/>
    </w:rPr>
  </w:style>
  <w:style w:type="paragraph" w:customStyle="1" w:styleId="FooterLandscape">
    <w:name w:val="FooterLandscape"/>
    <w:basedOn w:val="Normal"/>
    <w:pPr>
      <w:tabs>
        <w:tab w:val="center" w:pos="7285"/>
        <w:tab w:val="center" w:pos="10913"/>
        <w:tab w:val="right" w:pos="15137"/>
      </w:tabs>
      <w:spacing w:before="360" w:after="0"/>
      <w:ind w:left="-567" w:right="-567"/>
    </w:pPr>
    <w:rPr>
      <w:rFonts w:ascii="Times New Roman" w:eastAsia="MS Mincho" w:hAnsi="Times New Roman" w:cs="Times New Roman"/>
      <w:sz w:val="24"/>
      <w:szCs w:val="24"/>
      <w:lang w:eastAsia="en-GB"/>
    </w:rPr>
  </w:style>
  <w:style w:type="paragraph" w:customStyle="1" w:styleId="HeaderLandscape">
    <w:name w:val="HeaderLandscape"/>
    <w:basedOn w:val="Normal"/>
    <w:pPr>
      <w:tabs>
        <w:tab w:val="center" w:pos="7285"/>
        <w:tab w:val="right" w:pos="14003"/>
      </w:tabs>
      <w:spacing w:after="120"/>
      <w:jc w:val="both"/>
    </w:pPr>
    <w:rPr>
      <w:rFonts w:ascii="Times New Roman" w:eastAsia="MS Mincho" w:hAnsi="Times New Roman" w:cs="Times New Roman"/>
      <w:sz w:val="24"/>
      <w:szCs w:val="24"/>
      <w:lang w:eastAsia="en-GB"/>
    </w:rPr>
  </w:style>
  <w:style w:type="character" w:customStyle="1" w:styleId="Marker2">
    <w:name w:val="Marker2"/>
    <w:rPr>
      <w:color w:val="FF0000"/>
      <w:shd w:val="clear" w:color="auto" w:fill="auto"/>
    </w:rPr>
  </w:style>
  <w:style w:type="paragraph" w:customStyle="1" w:styleId="Confidentialit">
    <w:name w:val="Confidentialité"/>
    <w:basedOn w:val="Normal"/>
    <w:next w:val="TypedudocumentPagedecouverture"/>
    <w:pPr>
      <w:spacing w:before="240" w:after="240"/>
      <w:ind w:left="5103"/>
    </w:pPr>
    <w:rPr>
      <w:rFonts w:ascii="Times New Roman" w:eastAsia="Calibri" w:hAnsi="Times New Roman" w:cs="Times New Roman"/>
      <w:i/>
      <w:iCs/>
      <w:sz w:val="32"/>
      <w:szCs w:val="32"/>
      <w:lang w:eastAsia="en-GB"/>
    </w:rPr>
  </w:style>
  <w:style w:type="paragraph" w:customStyle="1" w:styleId="Emission">
    <w:name w:val="Emission"/>
    <w:basedOn w:val="Normal"/>
    <w:next w:val="Rfrenceinstitutionnelle"/>
    <w:pPr>
      <w:spacing w:after="0"/>
      <w:ind w:left="5103"/>
    </w:pPr>
    <w:rPr>
      <w:rFonts w:ascii="Times New Roman" w:eastAsia="Calibri" w:hAnsi="Times New Roman" w:cs="Times New Roman"/>
      <w:sz w:val="24"/>
      <w:szCs w:val="24"/>
      <w:lang w:eastAsia="en-GB"/>
    </w:rPr>
  </w:style>
  <w:style w:type="paragraph" w:customStyle="1" w:styleId="Nomdelinstitution">
    <w:name w:val="Nom de l'institution"/>
    <w:basedOn w:val="Normal"/>
    <w:next w:val="Emission"/>
    <w:pPr>
      <w:spacing w:after="0"/>
    </w:pPr>
    <w:rPr>
      <w:rFonts w:ascii="Arial" w:eastAsia="Calibri" w:hAnsi="Arial" w:cs="Arial"/>
      <w:sz w:val="24"/>
      <w:szCs w:val="24"/>
      <w:lang w:eastAsia="en-GB"/>
    </w:rPr>
  </w:style>
  <w:style w:type="paragraph" w:customStyle="1" w:styleId="Rfrenceinstitutionnelle">
    <w:name w:val="Référence institutionnelle"/>
    <w:basedOn w:val="Normal"/>
    <w:next w:val="Confidentialit"/>
    <w:pPr>
      <w:spacing w:after="240"/>
      <w:ind w:left="5103"/>
    </w:pPr>
    <w:rPr>
      <w:rFonts w:ascii="Times New Roman" w:eastAsia="Calibri" w:hAnsi="Times New Roman" w:cs="Times New Roman"/>
      <w:sz w:val="24"/>
      <w:szCs w:val="24"/>
      <w:lang w:eastAsia="en-GB"/>
    </w:rPr>
  </w:style>
  <w:style w:type="paragraph" w:customStyle="1" w:styleId="TitreobjetPagedecouverture">
    <w:name w:val="Titre objet (Page de couverture)"/>
    <w:basedOn w:val="Normal"/>
    <w:next w:val="Normal"/>
    <w:pPr>
      <w:spacing w:before="360" w:after="360"/>
      <w:jc w:val="center"/>
    </w:pPr>
    <w:rPr>
      <w:rFonts w:ascii="Times New Roman" w:eastAsia="Calibri" w:hAnsi="Times New Roman" w:cs="Times New Roman"/>
      <w:b/>
      <w:bCs/>
      <w:sz w:val="24"/>
      <w:szCs w:val="24"/>
      <w:lang w:eastAsia="en-GB"/>
    </w:rPr>
  </w:style>
  <w:style w:type="paragraph" w:customStyle="1" w:styleId="TypedudocumentPagedecouverture">
    <w:name w:val="Type du document (Page de couverture)"/>
    <w:basedOn w:val="Normal"/>
    <w:next w:val="TitreobjetPagedecouverture"/>
    <w:pPr>
      <w:spacing w:before="360" w:after="0"/>
      <w:jc w:val="center"/>
    </w:pPr>
    <w:rPr>
      <w:rFonts w:ascii="Times New Roman" w:eastAsia="Calibri" w:hAnsi="Times New Roman" w:cs="Times New Roman"/>
      <w:b/>
      <w:bCs/>
      <w:sz w:val="24"/>
      <w:szCs w:val="24"/>
      <w:lang w:eastAsia="en-GB"/>
    </w:rPr>
  </w:style>
  <w:style w:type="character" w:customStyle="1" w:styleId="EndnoteTextChar">
    <w:name w:val="Endnote Text Char"/>
    <w:rPr>
      <w:sz w:val="20"/>
    </w:rPr>
  </w:style>
  <w:style w:type="character" w:customStyle="1" w:styleId="UnresolvedMention1">
    <w:name w:val="Unresolved Mention1"/>
    <w:rPr>
      <w:color w:val="605E5C"/>
      <w:shd w:val="clear" w:color="auto" w:fill="E1DFDD"/>
    </w:rPr>
  </w:style>
  <w:style w:type="paragraph" w:styleId="Index3">
    <w:name w:val="index 3"/>
    <w:basedOn w:val="Normal"/>
    <w:next w:val="Normal"/>
    <w:autoRedefine/>
    <w:pPr>
      <w:spacing w:after="240" w:line="240" w:lineRule="auto"/>
      <w:ind w:left="720" w:hanging="240"/>
      <w:jc w:val="both"/>
    </w:pPr>
    <w:rPr>
      <w:rFonts w:ascii="Times New Roman" w:eastAsia="Times New Roman" w:hAnsi="Times New Roman" w:cs="Times New Roman"/>
      <w:sz w:val="24"/>
      <w:szCs w:val="20"/>
      <w:lang w:eastAsia="en-GB"/>
    </w:rPr>
  </w:style>
  <w:style w:type="character" w:customStyle="1" w:styleId="Mention1">
    <w:name w:val="Mention1"/>
    <w:rPr>
      <w:color w:val="2B579A"/>
      <w:shd w:val="clear" w:color="auto" w:fill="E6E6E6"/>
    </w:rPr>
  </w:style>
  <w:style w:type="paragraph" w:customStyle="1" w:styleId="Bullet-1noSpace">
    <w:name w:val="Bullet-1_no_Space"/>
    <w:basedOn w:val="Bullet-1"/>
    <w:link w:val="Bullet-1noSpaceCar"/>
    <w:qFormat/>
    <w:pPr>
      <w:ind w:left="709" w:hanging="357"/>
      <w:contextualSpacing/>
    </w:pPr>
    <w:rPr>
      <w:iCs/>
      <w:szCs w:val="20"/>
    </w:rPr>
  </w:style>
  <w:style w:type="character" w:customStyle="1" w:styleId="Bullet-1noSpaceCar">
    <w:name w:val="Bullet-1_no_Space Car"/>
    <w:link w:val="Bullet-1noSpace"/>
    <w:rPr>
      <w:rFonts w:ascii="EC Square Sans Pro" w:eastAsia="Verdana" w:hAnsi="EC Square Sans Pro" w:cs="Times New Roman"/>
      <w:iCs/>
      <w:szCs w:val="20"/>
      <w:lang w:val="fr-FR" w:eastAsia="en-GB"/>
    </w:rPr>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aliases w:val="SUPERS,Odwołanie przypisu,Times 10 Point,Exposant 3 Point,Footnote symbol,Footnote reference number,number,Footnote Reference Superscript,stylish,Знак сноски-FN,Ciae niinee-FN,Знак сноски 1,(Footnote Reference), Exposant 3 Point"/>
    <w:link w:val="CharCharChar"/>
    <w:qFormat/>
    <w:rPr>
      <w:rFonts w:ascii="Times New Roman" w:eastAsia="Times New Roman" w:hAnsi="Times New Roman" w:cs="Times New Roman"/>
      <w:sz w:val="24"/>
      <w:szCs w:val="20"/>
      <w:vertAlign w:val="superscript"/>
      <w:lang w:val="fr-FR"/>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pPr>
      <w:spacing w:after="0" w:line="240" w:lineRule="auto"/>
    </w:pPr>
    <w:rPr>
      <w:rFonts w:ascii="Times New Roman" w:eastAsia="Times New Roman" w:hAnsi="Times New Roman" w:cs="Times New Roman"/>
      <w:sz w:val="4"/>
      <w:szCs w:val="20"/>
    </w:rPr>
  </w:style>
  <w:style w:type="paragraph" w:customStyle="1" w:styleId="AnnexTitle">
    <w:name w:val="AnnexTitle"/>
    <w:basedOn w:val="Normal"/>
    <w:next w:val="Normal"/>
    <w:uiPriority w:val="45"/>
    <w:qFormat/>
    <w:pPr>
      <w:pageBreakBefore/>
      <w:numPr>
        <w:numId w:val="19"/>
      </w:numPr>
      <w:tabs>
        <w:tab w:val="clear" w:pos="2268"/>
      </w:tabs>
      <w:spacing w:after="480" w:line="240" w:lineRule="auto"/>
      <w:ind w:left="0" w:firstLine="0"/>
      <w:jc w:val="both"/>
      <w:outlineLvl w:val="0"/>
    </w:pPr>
    <w:rPr>
      <w:rFonts w:ascii="Times New Roman" w:eastAsia="Times New Roman" w:hAnsi="Times New Roman" w:cs="Times New Roman"/>
      <w:b/>
      <w:sz w:val="32"/>
      <w:szCs w:val="20"/>
    </w:rPr>
  </w:style>
  <w:style w:type="paragraph" w:styleId="Caption">
    <w:name w:val="caption"/>
    <w:aliases w:val="Caption-tables,Tasks,Beschriftung Char2,Beschriftung Char1 Char1,Beschriftung Char Char Char1,Beschriftung Char1 Char Char,Beschriftung Char Char Char Char,Beschriftung Char Char1 Char,Beschriftung Char Char2,Beschriftung Char1 Cha...,Eco,Legend"/>
    <w:basedOn w:val="Normal"/>
    <w:next w:val="Normal"/>
    <w:qFormat/>
    <w:pPr>
      <w:spacing w:before="160" w:after="240" w:line="240" w:lineRule="auto"/>
      <w:jc w:val="both"/>
    </w:pPr>
    <w:rPr>
      <w:rFonts w:ascii="Times New Roman" w:eastAsia="Times New Roman" w:hAnsi="Times New Roman" w:cs="Times New Roman"/>
      <w:i/>
      <w:szCs w:val="20"/>
    </w:rPr>
  </w:style>
  <w:style w:type="paragraph" w:customStyle="1" w:styleId="ChapterTitle">
    <w:name w:val="ChapterTitle"/>
    <w:basedOn w:val="Normal"/>
    <w:next w:val="SectionTitle"/>
    <w:uiPriority w:val="43"/>
    <w:qFormat/>
    <w:pPr>
      <w:keepNext/>
      <w:spacing w:after="480" w:line="240" w:lineRule="auto"/>
      <w:jc w:val="center"/>
      <w:outlineLvl w:val="0"/>
    </w:pPr>
    <w:rPr>
      <w:rFonts w:ascii="Times New Roman" w:eastAsia="Times New Roman" w:hAnsi="Times New Roman" w:cs="Times New Roman"/>
      <w:b/>
      <w:sz w:val="32"/>
      <w:szCs w:val="20"/>
    </w:rPr>
  </w:style>
  <w:style w:type="paragraph" w:customStyle="1" w:styleId="ConfidentialUE">
    <w:name w:val="Confidential UE"/>
    <w:basedOn w:val="Normal"/>
    <w:semiHidden/>
    <w:pPr>
      <w:spacing w:after="0" w:line="240" w:lineRule="auto"/>
      <w:jc w:val="center"/>
    </w:pPr>
    <w:rPr>
      <w:rFonts w:ascii="Times New Roman" w:eastAsia="Times New Roman" w:hAnsi="Times New Roman" w:cs="Times New Roman"/>
      <w:b/>
      <w:caps/>
      <w:sz w:val="32"/>
      <w:szCs w:val="20"/>
      <w:bdr w:val="single" w:sz="18" w:space="0" w:color="auto"/>
    </w:rPr>
  </w:style>
  <w:style w:type="paragraph" w:customStyle="1" w:styleId="Contact">
    <w:name w:val="Contact"/>
    <w:basedOn w:val="Normal"/>
    <w:semiHidden/>
    <w:pPr>
      <w:spacing w:before="480" w:after="0" w:line="240" w:lineRule="auto"/>
      <w:ind w:left="567" w:hanging="567"/>
      <w:contextualSpacing/>
    </w:pPr>
    <w:rPr>
      <w:rFonts w:ascii="Times New Roman" w:eastAsia="Times New Roman" w:hAnsi="Times New Roman" w:cs="Times New Roman"/>
      <w:sz w:val="24"/>
      <w:szCs w:val="20"/>
    </w:rPr>
  </w:style>
  <w:style w:type="paragraph" w:customStyle="1" w:styleId="ContNum">
    <w:name w:val="ContNum"/>
    <w:basedOn w:val="Normal"/>
    <w:uiPriority w:val="20"/>
    <w:qFormat/>
    <w:pPr>
      <w:numPr>
        <w:numId w:val="18"/>
      </w:numPr>
      <w:tabs>
        <w:tab w:val="clear" w:pos="476"/>
      </w:tabs>
      <w:spacing w:after="240" w:line="240" w:lineRule="auto"/>
      <w:ind w:left="0" w:firstLine="0"/>
      <w:jc w:val="both"/>
    </w:pPr>
    <w:rPr>
      <w:rFonts w:ascii="Times New Roman" w:eastAsia="Times New Roman" w:hAnsi="Times New Roman" w:cs="Times New Roman"/>
      <w:sz w:val="24"/>
      <w:szCs w:val="20"/>
    </w:rPr>
  </w:style>
  <w:style w:type="paragraph" w:customStyle="1" w:styleId="ContNumLevel2">
    <w:name w:val="ContNum (Level 2)"/>
    <w:basedOn w:val="Normal"/>
    <w:uiPriority w:val="20"/>
    <w:pPr>
      <w:numPr>
        <w:ilvl w:val="1"/>
        <w:numId w:val="18"/>
      </w:numPr>
      <w:tabs>
        <w:tab w:val="clear" w:pos="952"/>
      </w:tabs>
      <w:spacing w:after="240" w:line="240" w:lineRule="auto"/>
      <w:ind w:left="0" w:firstLine="0"/>
      <w:jc w:val="both"/>
    </w:pPr>
    <w:rPr>
      <w:rFonts w:ascii="Times New Roman" w:eastAsia="Times New Roman" w:hAnsi="Times New Roman" w:cs="Times New Roman"/>
      <w:sz w:val="24"/>
      <w:szCs w:val="20"/>
    </w:rPr>
  </w:style>
  <w:style w:type="paragraph" w:customStyle="1" w:styleId="ContNumLevel3">
    <w:name w:val="ContNum (Level 3)"/>
    <w:basedOn w:val="Normal"/>
    <w:uiPriority w:val="20"/>
    <w:pPr>
      <w:numPr>
        <w:ilvl w:val="2"/>
        <w:numId w:val="18"/>
      </w:numPr>
      <w:tabs>
        <w:tab w:val="clear" w:pos="1429"/>
      </w:tabs>
      <w:spacing w:after="240" w:line="240" w:lineRule="auto"/>
      <w:ind w:left="0" w:firstLine="0"/>
      <w:jc w:val="both"/>
    </w:pPr>
    <w:rPr>
      <w:rFonts w:ascii="Times New Roman" w:eastAsia="Times New Roman" w:hAnsi="Times New Roman" w:cs="Times New Roman"/>
      <w:sz w:val="24"/>
      <w:szCs w:val="20"/>
    </w:rPr>
  </w:style>
  <w:style w:type="paragraph" w:styleId="Date">
    <w:name w:val="Date"/>
    <w:basedOn w:val="Normal"/>
    <w:next w:val="References"/>
    <w:link w:val="DateChar"/>
    <w:semiHidden/>
    <w:pPr>
      <w:spacing w:after="0" w:line="240" w:lineRule="auto"/>
      <w:ind w:left="5102" w:right="-567"/>
    </w:pPr>
    <w:rPr>
      <w:rFonts w:ascii="Times New Roman" w:eastAsia="Times New Roman" w:hAnsi="Times New Roman" w:cs="Times New Roman"/>
      <w:sz w:val="24"/>
      <w:szCs w:val="20"/>
    </w:rPr>
  </w:style>
  <w:style w:type="character" w:customStyle="1" w:styleId="DateChar">
    <w:name w:val="Date Char"/>
    <w:basedOn w:val="DefaultParagraphFont"/>
    <w:link w:val="Date"/>
    <w:semiHidden/>
    <w:rPr>
      <w:rFonts w:ascii="Times New Roman" w:eastAsia="Times New Roman" w:hAnsi="Times New Roman" w:cs="Times New Roman"/>
      <w:sz w:val="24"/>
      <w:szCs w:val="20"/>
      <w:lang w:val="fr-FR"/>
    </w:rPr>
  </w:style>
  <w:style w:type="paragraph" w:customStyle="1" w:styleId="Designator">
    <w:name w:val="Designator"/>
    <w:basedOn w:val="Normal"/>
    <w:semiHidden/>
    <w:pPr>
      <w:spacing w:after="0" w:line="240" w:lineRule="auto"/>
      <w:jc w:val="center"/>
    </w:pPr>
    <w:rPr>
      <w:rFonts w:ascii="Times New Roman" w:eastAsia="Times New Roman" w:hAnsi="Times New Roman" w:cs="Times New Roman"/>
      <w:b/>
      <w:caps/>
      <w:sz w:val="32"/>
      <w:szCs w:val="20"/>
    </w:rPr>
  </w:style>
  <w:style w:type="paragraph" w:customStyle="1" w:styleId="DoubSign">
    <w:name w:val="DoubSign"/>
    <w:basedOn w:val="Normal"/>
    <w:semiHidden/>
    <w:pPr>
      <w:spacing w:before="1200" w:after="0" w:line="240" w:lineRule="auto"/>
    </w:pPr>
    <w:rPr>
      <w:rFonts w:ascii="Times New Roman" w:eastAsia="Times New Roman" w:hAnsi="Times New Roman" w:cs="Times New Roman"/>
      <w:sz w:val="24"/>
      <w:szCs w:val="20"/>
    </w:rPr>
  </w:style>
  <w:style w:type="paragraph" w:customStyle="1" w:styleId="EmptyParagraph">
    <w:name w:val="Empty Paragraph"/>
    <w:basedOn w:val="Normal"/>
    <w:next w:val="Normal"/>
    <w:semiHidden/>
    <w:pPr>
      <w:spacing w:before="240" w:after="240" w:line="240" w:lineRule="auto"/>
      <w:jc w:val="both"/>
    </w:pPr>
    <w:rPr>
      <w:rFonts w:ascii="Times New Roman" w:eastAsia="Times New Roman" w:hAnsi="Times New Roman" w:cs="Times New Roman"/>
      <w:sz w:val="24"/>
      <w:szCs w:val="20"/>
    </w:rPr>
  </w:style>
  <w:style w:type="paragraph" w:styleId="EndnoteText">
    <w:name w:val="endnote text"/>
    <w:basedOn w:val="Normal"/>
    <w:link w:val="EndnoteTextChar1"/>
    <w:semiHidden/>
    <w:pPr>
      <w:spacing w:after="120" w:line="240" w:lineRule="auto"/>
      <w:ind w:left="357" w:hanging="357"/>
      <w:jc w:val="both"/>
    </w:pPr>
    <w:rPr>
      <w:rFonts w:ascii="Times New Roman" w:eastAsia="Times New Roman" w:hAnsi="Times New Roman" w:cs="Times New Roman"/>
      <w:sz w:val="20"/>
      <w:szCs w:val="20"/>
    </w:rPr>
  </w:style>
  <w:style w:type="character" w:customStyle="1" w:styleId="EndnoteTextChar1">
    <w:name w:val="Endnote Text Char1"/>
    <w:basedOn w:val="DefaultParagraphFont"/>
    <w:link w:val="EndnoteText"/>
    <w:semiHidden/>
    <w:rPr>
      <w:rFonts w:ascii="Times New Roman" w:eastAsia="Times New Roman" w:hAnsi="Times New Roman" w:cs="Times New Roman"/>
      <w:sz w:val="20"/>
      <w:szCs w:val="20"/>
      <w:lang w:val="fr-FR"/>
    </w:rPr>
  </w:style>
  <w:style w:type="paragraph" w:customStyle="1" w:styleId="FigureBody">
    <w:name w:val="Figure Body"/>
    <w:basedOn w:val="Normal"/>
    <w:next w:val="FigureSource"/>
    <w:uiPriority w:val="99"/>
    <w:semiHidden/>
    <w:unhideWhenUsed/>
    <w:pPr>
      <w:keepNext/>
      <w:spacing w:after="40" w:line="240" w:lineRule="auto"/>
      <w:jc w:val="both"/>
    </w:pPr>
    <w:rPr>
      <w:rFonts w:ascii="Times New Roman" w:eastAsia="Times New Roman" w:hAnsi="Times New Roman" w:cs="Times New Roman"/>
      <w:sz w:val="24"/>
      <w:szCs w:val="20"/>
    </w:r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pPr>
      <w:spacing w:after="240" w:line="240" w:lineRule="auto"/>
      <w:jc w:val="both"/>
    </w:pPr>
    <w:rPr>
      <w:rFonts w:ascii="Times New Roman" w:eastAsia="Times New Roman" w:hAnsi="Times New Roman" w:cs="Times New Roman"/>
      <w:sz w:val="20"/>
      <w:szCs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line="240" w:lineRule="auto"/>
      <w:jc w:val="both"/>
    </w:pPr>
    <w:rPr>
      <w:rFonts w:ascii="Times New Roman" w:eastAsia="Times New Roman" w:hAnsi="Times New Roman" w:cs="Times New Roman"/>
      <w:b/>
      <w:i/>
      <w:sz w:val="24"/>
      <w:szCs w:val="20"/>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customStyle="1" w:styleId="FooterLine">
    <w:name w:val="Footer Line"/>
    <w:basedOn w:val="Footer"/>
    <w:next w:val="Footer"/>
    <w:semiHidden/>
    <w:pPr>
      <w:tabs>
        <w:tab w:val="clear" w:pos="4513"/>
        <w:tab w:val="clear" w:pos="9026"/>
        <w:tab w:val="right" w:pos="8646"/>
      </w:tabs>
      <w:spacing w:before="120" w:line="264" w:lineRule="auto"/>
      <w:jc w:val="both"/>
    </w:pPr>
    <w:rPr>
      <w:rFonts w:ascii="Times New Roman" w:eastAsia="Times New Roman" w:hAnsi="Times New Roman" w:cs="Times New Roman"/>
      <w:sz w:val="16"/>
      <w:szCs w:val="20"/>
    </w:rPr>
  </w:style>
  <w:style w:type="paragraph" w:styleId="FootnoteText">
    <w:name w:val="footnote text"/>
    <w:aliases w:val="Fußnotentextf,Fußnotentextr,stile 1,Footnote,Footnote1,Footnote2,Footnote3,Footnote4,Footnote5,Footnote6,Footnote7,Footnote8,Footnote9,Footnote10,Footnote11,Footnote21,Footnote31,Footnote41,Footnote51,Footnote61,Footnote71,RSK-FT,o"/>
    <w:basedOn w:val="Normal"/>
    <w:uiPriority w:val="99"/>
    <w:qFormat/>
    <w:pPr>
      <w:spacing w:after="120" w:line="240" w:lineRule="auto"/>
      <w:ind w:left="357" w:hanging="357"/>
      <w:jc w:val="both"/>
    </w:pPr>
    <w:rPr>
      <w:rFonts w:ascii="Times New Roman" w:eastAsia="Times New Roman" w:hAnsi="Times New Roman" w:cs="Times New Roman"/>
      <w:sz w:val="20"/>
      <w:szCs w:val="20"/>
    </w:rPr>
  </w:style>
  <w:style w:type="character" w:customStyle="1" w:styleId="FootnoteTextChar1">
    <w:name w:val="Footnote Text Char1"/>
    <w:aliases w:val="Fußnotentextf Char,Fußnotentextr Char,stile 1 Char,Footnote Char1,Footnote1 Char,Footnote2 Char,Footnote3 Char,Footnote4 Char,Footnote5 Char,Footnote6 Char,Footnote7 Char,Footnote8 Char,Footnote9 Char,Footnote10 Char,Footnote11 Char"/>
    <w:basedOn w:val="DefaultParagraphFont"/>
    <w:uiPriority w:val="99"/>
    <w:rPr>
      <w:rFonts w:ascii="Times New Roman" w:eastAsia="Times New Roman" w:hAnsi="Times New Roman" w:cs="Times New Roman"/>
      <w:sz w:val="20"/>
      <w:szCs w:val="20"/>
      <w:lang w:val="fr-FR"/>
    </w:rPr>
  </w:style>
  <w:style w:type="paragraph" w:customStyle="1" w:styleId="HistoryTable">
    <w:name w:val="HistoryTable"/>
    <w:basedOn w:val="Normal"/>
    <w:semiHidden/>
    <w:pPr>
      <w:spacing w:before="60" w:after="60" w:line="240" w:lineRule="auto"/>
    </w:pPr>
    <w:rPr>
      <w:rFonts w:ascii="Times New Roman" w:eastAsia="Times New Roman" w:hAnsi="Times New Roman" w:cs="Times New Roman"/>
      <w:sz w:val="20"/>
      <w:szCs w:val="20"/>
    </w:rPr>
  </w:style>
  <w:style w:type="paragraph" w:customStyle="1" w:styleId="HistTableHeading">
    <w:name w:val="HistTableHeading"/>
    <w:basedOn w:val="Normal"/>
    <w:next w:val="HistoryTable"/>
    <w:semiHidden/>
    <w:pPr>
      <w:spacing w:before="240" w:after="240" w:line="240" w:lineRule="auto"/>
      <w:jc w:val="center"/>
    </w:pPr>
    <w:rPr>
      <w:rFonts w:ascii="Times New Roman Bold" w:eastAsia="Times New Roman" w:hAnsi="Times New Roman Bold" w:cs="Times New Roman"/>
      <w:b/>
      <w:caps/>
      <w:sz w:val="24"/>
      <w:szCs w:val="20"/>
    </w:rPr>
  </w:style>
  <w:style w:type="paragraph" w:customStyle="1" w:styleId="LegalNumPar">
    <w:name w:val="LegalNumPar"/>
    <w:basedOn w:val="Normal"/>
    <w:uiPriority w:val="20"/>
    <w:qFormat/>
    <w:pPr>
      <w:numPr>
        <w:numId w:val="17"/>
      </w:numPr>
      <w:tabs>
        <w:tab w:val="clear" w:pos="476"/>
      </w:tabs>
      <w:spacing w:after="240" w:line="360" w:lineRule="auto"/>
      <w:ind w:left="0" w:firstLine="0"/>
      <w:jc w:val="both"/>
    </w:pPr>
    <w:rPr>
      <w:rFonts w:ascii="Times New Roman" w:eastAsia="Times New Roman" w:hAnsi="Times New Roman" w:cs="Times New Roman"/>
      <w:sz w:val="24"/>
      <w:szCs w:val="20"/>
    </w:rPr>
  </w:style>
  <w:style w:type="paragraph" w:customStyle="1" w:styleId="LegalNumPar2">
    <w:name w:val="LegalNumPar2"/>
    <w:basedOn w:val="Normal"/>
    <w:uiPriority w:val="20"/>
    <w:pPr>
      <w:numPr>
        <w:ilvl w:val="1"/>
        <w:numId w:val="17"/>
      </w:numPr>
      <w:tabs>
        <w:tab w:val="clear" w:pos="952"/>
      </w:tabs>
      <w:spacing w:after="240" w:line="360" w:lineRule="auto"/>
      <w:ind w:left="0" w:firstLine="0"/>
      <w:jc w:val="both"/>
    </w:pPr>
    <w:rPr>
      <w:rFonts w:ascii="Times New Roman" w:eastAsia="Times New Roman" w:hAnsi="Times New Roman" w:cs="Times New Roman"/>
      <w:sz w:val="24"/>
      <w:szCs w:val="20"/>
    </w:rPr>
  </w:style>
  <w:style w:type="paragraph" w:customStyle="1" w:styleId="LegalNumPar3">
    <w:name w:val="LegalNumPar3"/>
    <w:basedOn w:val="Normal"/>
    <w:uiPriority w:val="20"/>
    <w:pPr>
      <w:numPr>
        <w:ilvl w:val="2"/>
        <w:numId w:val="17"/>
      </w:numPr>
      <w:tabs>
        <w:tab w:val="clear" w:pos="1429"/>
      </w:tabs>
      <w:spacing w:after="240" w:line="360" w:lineRule="auto"/>
      <w:ind w:left="0" w:firstLine="0"/>
      <w:jc w:val="both"/>
    </w:pPr>
    <w:rPr>
      <w:rFonts w:ascii="Times New Roman" w:eastAsia="Times New Roman" w:hAnsi="Times New Roman" w:cs="Times New Roman"/>
      <w:sz w:val="24"/>
      <w:szCs w:val="20"/>
    </w:rPr>
  </w:style>
  <w:style w:type="paragraph" w:styleId="ListBullet">
    <w:name w:val="List Bullet"/>
    <w:basedOn w:val="Normal"/>
    <w:uiPriority w:val="35"/>
    <w:pPr>
      <w:numPr>
        <w:numId w:val="16"/>
      </w:numPr>
      <w:tabs>
        <w:tab w:val="clear" w:pos="283"/>
      </w:tabs>
      <w:spacing w:after="240" w:line="240" w:lineRule="auto"/>
      <w:ind w:left="0" w:firstLine="0"/>
      <w:jc w:val="both"/>
    </w:pPr>
    <w:rPr>
      <w:rFonts w:ascii="Times New Roman" w:eastAsia="Times New Roman" w:hAnsi="Times New Roman" w:cs="Times New Roman"/>
      <w:sz w:val="24"/>
      <w:szCs w:val="20"/>
    </w:rPr>
  </w:style>
  <w:style w:type="paragraph" w:customStyle="1" w:styleId="ListBulletLevel2">
    <w:name w:val="List Bullet (Level 2)"/>
    <w:basedOn w:val="Normal"/>
    <w:uiPriority w:val="35"/>
    <w:semiHidden/>
    <w:unhideWhenUsed/>
    <w:pPr>
      <w:numPr>
        <w:ilvl w:val="1"/>
        <w:numId w:val="16"/>
      </w:numPr>
      <w:tabs>
        <w:tab w:val="clear" w:pos="567"/>
      </w:tabs>
      <w:spacing w:after="240" w:line="240" w:lineRule="auto"/>
      <w:ind w:left="0" w:firstLine="0"/>
      <w:jc w:val="both"/>
    </w:pPr>
    <w:rPr>
      <w:rFonts w:ascii="Times New Roman" w:eastAsia="Times New Roman" w:hAnsi="Times New Roman" w:cs="Times New Roman"/>
      <w:sz w:val="24"/>
      <w:szCs w:val="20"/>
    </w:rPr>
  </w:style>
  <w:style w:type="paragraph" w:customStyle="1" w:styleId="ListBulletLevel3">
    <w:name w:val="List Bullet (Level 3)"/>
    <w:basedOn w:val="Normal"/>
    <w:uiPriority w:val="35"/>
    <w:semiHidden/>
    <w:unhideWhenUsed/>
    <w:pPr>
      <w:numPr>
        <w:ilvl w:val="2"/>
        <w:numId w:val="16"/>
      </w:numPr>
      <w:tabs>
        <w:tab w:val="clear" w:pos="850"/>
      </w:tabs>
      <w:spacing w:after="240" w:line="240" w:lineRule="auto"/>
      <w:ind w:left="0" w:firstLine="0"/>
      <w:jc w:val="both"/>
    </w:pPr>
    <w:rPr>
      <w:rFonts w:ascii="Times New Roman" w:eastAsia="Times New Roman" w:hAnsi="Times New Roman" w:cs="Times New Roman"/>
      <w:sz w:val="24"/>
      <w:szCs w:val="20"/>
    </w:rPr>
  </w:style>
  <w:style w:type="paragraph" w:customStyle="1" w:styleId="ListBulletLevel4">
    <w:name w:val="List Bullet (Level 4)"/>
    <w:basedOn w:val="Normal"/>
    <w:uiPriority w:val="35"/>
    <w:semiHidden/>
    <w:unhideWhenUsed/>
    <w:pPr>
      <w:numPr>
        <w:ilvl w:val="3"/>
        <w:numId w:val="16"/>
      </w:numPr>
      <w:tabs>
        <w:tab w:val="clear" w:pos="1134"/>
      </w:tabs>
      <w:spacing w:after="240" w:line="240" w:lineRule="auto"/>
      <w:ind w:left="0" w:firstLine="0"/>
      <w:jc w:val="both"/>
    </w:pPr>
    <w:rPr>
      <w:rFonts w:ascii="Times New Roman" w:eastAsia="Times New Roman" w:hAnsi="Times New Roman" w:cs="Times New Roman"/>
      <w:sz w:val="24"/>
      <w:szCs w:val="20"/>
    </w:rPr>
  </w:style>
  <w:style w:type="paragraph" w:customStyle="1" w:styleId="ListBullet1">
    <w:name w:val="List Bullet 1"/>
    <w:basedOn w:val="Text1"/>
    <w:uiPriority w:val="35"/>
    <w:pPr>
      <w:numPr>
        <w:numId w:val="15"/>
      </w:numPr>
      <w:tabs>
        <w:tab w:val="clear" w:pos="765"/>
      </w:tabs>
      <w:ind w:left="0" w:firstLine="0"/>
    </w:pPr>
  </w:style>
  <w:style w:type="paragraph" w:customStyle="1" w:styleId="ListBullet1Level2">
    <w:name w:val="List Bullet 1 (Level 2)"/>
    <w:basedOn w:val="Text1"/>
    <w:uiPriority w:val="35"/>
    <w:semiHidden/>
    <w:unhideWhenUsed/>
    <w:pPr>
      <w:numPr>
        <w:ilvl w:val="1"/>
        <w:numId w:val="15"/>
      </w:numPr>
      <w:tabs>
        <w:tab w:val="clear" w:pos="1049"/>
      </w:tabs>
      <w:ind w:left="0" w:firstLine="0"/>
    </w:pPr>
  </w:style>
  <w:style w:type="paragraph" w:customStyle="1" w:styleId="ListBullet1Level3">
    <w:name w:val="List Bullet 1 (Level 3)"/>
    <w:basedOn w:val="Text1"/>
    <w:uiPriority w:val="35"/>
    <w:semiHidden/>
    <w:unhideWhenUsed/>
    <w:pPr>
      <w:numPr>
        <w:ilvl w:val="2"/>
        <w:numId w:val="15"/>
      </w:numPr>
      <w:tabs>
        <w:tab w:val="clear" w:pos="1332"/>
      </w:tabs>
      <w:ind w:left="0" w:firstLine="0"/>
    </w:pPr>
  </w:style>
  <w:style w:type="paragraph" w:customStyle="1" w:styleId="ListBullet1Level4">
    <w:name w:val="List Bullet 1 (Level 4)"/>
    <w:basedOn w:val="Text1"/>
    <w:uiPriority w:val="35"/>
    <w:semiHidden/>
    <w:unhideWhenUsed/>
    <w:pPr>
      <w:numPr>
        <w:ilvl w:val="3"/>
        <w:numId w:val="15"/>
      </w:numPr>
      <w:tabs>
        <w:tab w:val="clear" w:pos="1616"/>
      </w:tabs>
      <w:ind w:left="0" w:firstLine="0"/>
    </w:pPr>
  </w:style>
  <w:style w:type="paragraph" w:styleId="ListBullet2">
    <w:name w:val="List Bullet 2"/>
    <w:basedOn w:val="Text2"/>
    <w:uiPriority w:val="35"/>
    <w:pPr>
      <w:numPr>
        <w:numId w:val="14"/>
      </w:numPr>
      <w:tabs>
        <w:tab w:val="clear" w:pos="1485"/>
      </w:tabs>
      <w:ind w:left="0" w:firstLine="0"/>
    </w:pPr>
  </w:style>
  <w:style w:type="paragraph" w:customStyle="1" w:styleId="ListBullet2Level2">
    <w:name w:val="List Bullet 2 (Level 2)"/>
    <w:basedOn w:val="Text2"/>
    <w:uiPriority w:val="35"/>
    <w:semiHidden/>
    <w:unhideWhenUsed/>
    <w:pPr>
      <w:numPr>
        <w:ilvl w:val="1"/>
        <w:numId w:val="14"/>
      </w:numPr>
      <w:tabs>
        <w:tab w:val="clear" w:pos="1769"/>
      </w:tabs>
      <w:ind w:left="0" w:firstLine="0"/>
    </w:pPr>
  </w:style>
  <w:style w:type="paragraph" w:customStyle="1" w:styleId="ListBullet2Level3">
    <w:name w:val="List Bullet 2 (Level 3)"/>
    <w:basedOn w:val="Text2"/>
    <w:uiPriority w:val="35"/>
    <w:semiHidden/>
    <w:unhideWhenUsed/>
    <w:pPr>
      <w:numPr>
        <w:ilvl w:val="2"/>
        <w:numId w:val="14"/>
      </w:numPr>
      <w:tabs>
        <w:tab w:val="clear" w:pos="2052"/>
      </w:tabs>
      <w:ind w:left="0" w:firstLine="0"/>
    </w:pPr>
  </w:style>
  <w:style w:type="paragraph" w:customStyle="1" w:styleId="ListBullet2Level4">
    <w:name w:val="List Bullet 2 (Level 4)"/>
    <w:basedOn w:val="Text2"/>
    <w:uiPriority w:val="35"/>
    <w:semiHidden/>
    <w:unhideWhenUsed/>
    <w:pPr>
      <w:numPr>
        <w:ilvl w:val="3"/>
        <w:numId w:val="14"/>
      </w:numPr>
      <w:tabs>
        <w:tab w:val="clear" w:pos="2336"/>
      </w:tabs>
      <w:ind w:left="0" w:firstLine="0"/>
    </w:pPr>
  </w:style>
  <w:style w:type="paragraph" w:styleId="ListBullet3">
    <w:name w:val="List Bullet 3"/>
    <w:basedOn w:val="Text3"/>
    <w:uiPriority w:val="35"/>
    <w:pPr>
      <w:numPr>
        <w:numId w:val="13"/>
      </w:numPr>
      <w:tabs>
        <w:tab w:val="clear" w:pos="1485"/>
      </w:tabs>
      <w:ind w:left="0" w:firstLine="0"/>
    </w:pPr>
  </w:style>
  <w:style w:type="paragraph" w:customStyle="1" w:styleId="ListBullet3Level2">
    <w:name w:val="List Bullet 3 (Level 2)"/>
    <w:basedOn w:val="Text3"/>
    <w:uiPriority w:val="35"/>
    <w:semiHidden/>
    <w:unhideWhenUsed/>
    <w:pPr>
      <w:numPr>
        <w:ilvl w:val="1"/>
        <w:numId w:val="13"/>
      </w:numPr>
      <w:tabs>
        <w:tab w:val="clear" w:pos="1769"/>
      </w:tabs>
      <w:ind w:left="0" w:firstLine="0"/>
    </w:pPr>
  </w:style>
  <w:style w:type="paragraph" w:customStyle="1" w:styleId="ListBullet3Level3">
    <w:name w:val="List Bullet 3 (Level 3)"/>
    <w:basedOn w:val="Text3"/>
    <w:uiPriority w:val="35"/>
    <w:semiHidden/>
    <w:unhideWhenUsed/>
    <w:pPr>
      <w:numPr>
        <w:ilvl w:val="2"/>
        <w:numId w:val="13"/>
      </w:numPr>
      <w:tabs>
        <w:tab w:val="clear" w:pos="2052"/>
      </w:tabs>
      <w:ind w:left="0" w:firstLine="0"/>
    </w:pPr>
  </w:style>
  <w:style w:type="paragraph" w:customStyle="1" w:styleId="ListBullet3Level4">
    <w:name w:val="List Bullet 3 (Level 4)"/>
    <w:basedOn w:val="Text3"/>
    <w:uiPriority w:val="35"/>
    <w:semiHidden/>
    <w:unhideWhenUsed/>
    <w:pPr>
      <w:numPr>
        <w:ilvl w:val="3"/>
        <w:numId w:val="13"/>
      </w:numPr>
      <w:tabs>
        <w:tab w:val="clear" w:pos="2336"/>
      </w:tabs>
      <w:ind w:left="0" w:firstLine="0"/>
    </w:pPr>
  </w:style>
  <w:style w:type="paragraph" w:styleId="ListBullet4">
    <w:name w:val="List Bullet 4"/>
    <w:basedOn w:val="Text4"/>
    <w:uiPriority w:val="35"/>
    <w:pPr>
      <w:numPr>
        <w:numId w:val="12"/>
      </w:numPr>
      <w:tabs>
        <w:tab w:val="clear" w:pos="1485"/>
      </w:tabs>
      <w:ind w:left="0" w:firstLine="0"/>
    </w:pPr>
  </w:style>
  <w:style w:type="paragraph" w:customStyle="1" w:styleId="ListBullet4Level2">
    <w:name w:val="List Bullet 4 (Level 2)"/>
    <w:basedOn w:val="Text4"/>
    <w:uiPriority w:val="35"/>
    <w:semiHidden/>
    <w:unhideWhenUsed/>
    <w:pPr>
      <w:numPr>
        <w:ilvl w:val="1"/>
        <w:numId w:val="12"/>
      </w:numPr>
      <w:tabs>
        <w:tab w:val="clear" w:pos="1769"/>
      </w:tabs>
      <w:ind w:left="0" w:firstLine="0"/>
    </w:pPr>
  </w:style>
  <w:style w:type="paragraph" w:customStyle="1" w:styleId="ListBullet4Level3">
    <w:name w:val="List Bullet 4 (Level 3)"/>
    <w:basedOn w:val="Text4"/>
    <w:uiPriority w:val="35"/>
    <w:semiHidden/>
    <w:unhideWhenUsed/>
    <w:pPr>
      <w:numPr>
        <w:ilvl w:val="2"/>
        <w:numId w:val="12"/>
      </w:numPr>
      <w:tabs>
        <w:tab w:val="clear" w:pos="2052"/>
      </w:tabs>
      <w:ind w:left="0" w:firstLine="0"/>
    </w:pPr>
  </w:style>
  <w:style w:type="paragraph" w:customStyle="1" w:styleId="ListBullet4Level4">
    <w:name w:val="List Bullet 4 (Level 4)"/>
    <w:basedOn w:val="Text4"/>
    <w:uiPriority w:val="35"/>
    <w:semiHidden/>
    <w:unhideWhenUsed/>
    <w:pPr>
      <w:numPr>
        <w:ilvl w:val="3"/>
        <w:numId w:val="12"/>
      </w:numPr>
      <w:tabs>
        <w:tab w:val="clear" w:pos="2336"/>
      </w:tabs>
      <w:ind w:left="0" w:firstLine="0"/>
    </w:pPr>
  </w:style>
  <w:style w:type="paragraph" w:customStyle="1" w:styleId="ListDash">
    <w:name w:val="List Dash"/>
    <w:basedOn w:val="Normal"/>
    <w:uiPriority w:val="35"/>
    <w:pPr>
      <w:numPr>
        <w:numId w:val="6"/>
      </w:numPr>
      <w:tabs>
        <w:tab w:val="clear" w:pos="283"/>
      </w:tabs>
      <w:spacing w:after="240" w:line="240" w:lineRule="auto"/>
      <w:ind w:left="0" w:firstLine="0"/>
      <w:jc w:val="both"/>
    </w:pPr>
    <w:rPr>
      <w:rFonts w:ascii="Times New Roman" w:eastAsia="Times New Roman" w:hAnsi="Times New Roman" w:cs="Times New Roman"/>
      <w:sz w:val="24"/>
      <w:szCs w:val="20"/>
    </w:rPr>
  </w:style>
  <w:style w:type="paragraph" w:customStyle="1" w:styleId="ListDashLevel2">
    <w:name w:val="List Dash (Level 2)"/>
    <w:basedOn w:val="Normal"/>
    <w:semiHidden/>
    <w:unhideWhenUsed/>
    <w:pPr>
      <w:numPr>
        <w:ilvl w:val="1"/>
        <w:numId w:val="6"/>
      </w:numPr>
      <w:tabs>
        <w:tab w:val="clear" w:pos="567"/>
      </w:tabs>
      <w:spacing w:after="240" w:line="240" w:lineRule="auto"/>
      <w:ind w:left="0" w:firstLine="0"/>
      <w:jc w:val="both"/>
    </w:pPr>
    <w:rPr>
      <w:rFonts w:ascii="Times New Roman" w:eastAsia="Times New Roman" w:hAnsi="Times New Roman" w:cs="Times New Roman"/>
      <w:sz w:val="24"/>
      <w:szCs w:val="20"/>
    </w:rPr>
  </w:style>
  <w:style w:type="paragraph" w:customStyle="1" w:styleId="ListDashLevel3">
    <w:name w:val="List Dash (Level 3)"/>
    <w:basedOn w:val="Normal"/>
    <w:semiHidden/>
    <w:unhideWhenUsed/>
    <w:pPr>
      <w:numPr>
        <w:ilvl w:val="2"/>
        <w:numId w:val="6"/>
      </w:numPr>
      <w:tabs>
        <w:tab w:val="clear" w:pos="850"/>
      </w:tabs>
      <w:spacing w:after="240" w:line="240" w:lineRule="auto"/>
      <w:ind w:left="0" w:firstLine="0"/>
      <w:jc w:val="both"/>
    </w:pPr>
    <w:rPr>
      <w:rFonts w:ascii="Times New Roman" w:eastAsia="Times New Roman" w:hAnsi="Times New Roman" w:cs="Times New Roman"/>
      <w:sz w:val="24"/>
      <w:szCs w:val="20"/>
    </w:rPr>
  </w:style>
  <w:style w:type="paragraph" w:customStyle="1" w:styleId="ListDashLevel4">
    <w:name w:val="List Dash (Level 4)"/>
    <w:basedOn w:val="Normal"/>
    <w:semiHidden/>
    <w:unhideWhenUsed/>
    <w:pPr>
      <w:numPr>
        <w:ilvl w:val="3"/>
        <w:numId w:val="6"/>
      </w:numPr>
      <w:tabs>
        <w:tab w:val="clear" w:pos="1134"/>
      </w:tabs>
      <w:spacing w:after="240" w:line="240" w:lineRule="auto"/>
      <w:ind w:left="0" w:firstLine="0"/>
      <w:jc w:val="both"/>
    </w:pPr>
    <w:rPr>
      <w:rFonts w:ascii="Times New Roman" w:eastAsia="Times New Roman" w:hAnsi="Times New Roman" w:cs="Times New Roman"/>
      <w:sz w:val="24"/>
      <w:szCs w:val="20"/>
    </w:rPr>
  </w:style>
  <w:style w:type="paragraph" w:customStyle="1" w:styleId="ListDash1">
    <w:name w:val="List Dash 1"/>
    <w:basedOn w:val="Text1"/>
    <w:uiPriority w:val="35"/>
    <w:pPr>
      <w:numPr>
        <w:numId w:val="5"/>
      </w:numPr>
      <w:tabs>
        <w:tab w:val="clear" w:pos="765"/>
      </w:tabs>
      <w:ind w:left="0" w:firstLine="0"/>
    </w:pPr>
  </w:style>
  <w:style w:type="paragraph" w:customStyle="1" w:styleId="ListDash1Level2">
    <w:name w:val="List Dash 1 (Level 2)"/>
    <w:basedOn w:val="Text1"/>
    <w:uiPriority w:val="35"/>
    <w:semiHidden/>
    <w:unhideWhenUsed/>
    <w:pPr>
      <w:numPr>
        <w:ilvl w:val="1"/>
        <w:numId w:val="5"/>
      </w:numPr>
      <w:tabs>
        <w:tab w:val="clear" w:pos="1049"/>
      </w:tabs>
      <w:ind w:left="0" w:firstLine="0"/>
    </w:pPr>
  </w:style>
  <w:style w:type="paragraph" w:customStyle="1" w:styleId="ListDash1Level3">
    <w:name w:val="List Dash 1 (Level 3)"/>
    <w:basedOn w:val="Text1"/>
    <w:uiPriority w:val="35"/>
    <w:semiHidden/>
    <w:unhideWhenUsed/>
    <w:pPr>
      <w:numPr>
        <w:ilvl w:val="2"/>
        <w:numId w:val="5"/>
      </w:numPr>
      <w:tabs>
        <w:tab w:val="clear" w:pos="1332"/>
      </w:tabs>
      <w:ind w:left="0" w:firstLine="0"/>
    </w:pPr>
  </w:style>
  <w:style w:type="paragraph" w:customStyle="1" w:styleId="ListDash1Level4">
    <w:name w:val="List Dash 1 (Level 4)"/>
    <w:basedOn w:val="Text1"/>
    <w:uiPriority w:val="35"/>
    <w:semiHidden/>
    <w:unhideWhenUsed/>
    <w:pPr>
      <w:numPr>
        <w:ilvl w:val="3"/>
        <w:numId w:val="5"/>
      </w:numPr>
      <w:tabs>
        <w:tab w:val="clear" w:pos="1616"/>
      </w:tabs>
      <w:ind w:left="0" w:firstLine="0"/>
    </w:pPr>
  </w:style>
  <w:style w:type="paragraph" w:customStyle="1" w:styleId="ListDash2">
    <w:name w:val="List Dash 2"/>
    <w:basedOn w:val="Text2"/>
    <w:uiPriority w:val="35"/>
    <w:pPr>
      <w:numPr>
        <w:numId w:val="4"/>
      </w:numPr>
      <w:tabs>
        <w:tab w:val="clear" w:pos="1485"/>
      </w:tabs>
      <w:ind w:left="0" w:firstLine="0"/>
    </w:pPr>
  </w:style>
  <w:style w:type="paragraph" w:customStyle="1" w:styleId="ListDash2Level2">
    <w:name w:val="List Dash 2 (Level 2)"/>
    <w:basedOn w:val="Text2"/>
    <w:uiPriority w:val="35"/>
    <w:semiHidden/>
    <w:unhideWhenUsed/>
    <w:pPr>
      <w:numPr>
        <w:ilvl w:val="1"/>
        <w:numId w:val="4"/>
      </w:numPr>
      <w:tabs>
        <w:tab w:val="clear" w:pos="1769"/>
      </w:tabs>
      <w:ind w:left="0" w:firstLine="0"/>
    </w:pPr>
  </w:style>
  <w:style w:type="paragraph" w:customStyle="1" w:styleId="ListDash2Level3">
    <w:name w:val="List Dash 2 (Level 3)"/>
    <w:basedOn w:val="Text2"/>
    <w:uiPriority w:val="35"/>
    <w:semiHidden/>
    <w:unhideWhenUsed/>
    <w:pPr>
      <w:numPr>
        <w:ilvl w:val="2"/>
        <w:numId w:val="4"/>
      </w:numPr>
      <w:tabs>
        <w:tab w:val="clear" w:pos="2052"/>
      </w:tabs>
      <w:ind w:left="0" w:firstLine="0"/>
    </w:pPr>
  </w:style>
  <w:style w:type="paragraph" w:customStyle="1" w:styleId="ListDash2Level4">
    <w:name w:val="List Dash 2 (Level 4)"/>
    <w:basedOn w:val="Text2"/>
    <w:uiPriority w:val="35"/>
    <w:semiHidden/>
    <w:unhideWhenUsed/>
    <w:pPr>
      <w:numPr>
        <w:ilvl w:val="3"/>
        <w:numId w:val="4"/>
      </w:numPr>
      <w:tabs>
        <w:tab w:val="clear" w:pos="2336"/>
      </w:tabs>
      <w:ind w:left="0" w:firstLine="0"/>
    </w:pPr>
  </w:style>
  <w:style w:type="paragraph" w:customStyle="1" w:styleId="ListDash3">
    <w:name w:val="List Dash 3"/>
    <w:basedOn w:val="Text3"/>
    <w:uiPriority w:val="35"/>
    <w:pPr>
      <w:numPr>
        <w:numId w:val="3"/>
      </w:numPr>
      <w:tabs>
        <w:tab w:val="clear" w:pos="1485"/>
      </w:tabs>
      <w:ind w:left="0" w:firstLine="0"/>
    </w:pPr>
  </w:style>
  <w:style w:type="paragraph" w:customStyle="1" w:styleId="ListDash3Level2">
    <w:name w:val="List Dash 3 (Level 2)"/>
    <w:basedOn w:val="Text3"/>
    <w:uiPriority w:val="35"/>
    <w:semiHidden/>
    <w:unhideWhenUsed/>
    <w:pPr>
      <w:numPr>
        <w:ilvl w:val="1"/>
        <w:numId w:val="3"/>
      </w:numPr>
      <w:tabs>
        <w:tab w:val="clear" w:pos="1769"/>
      </w:tabs>
      <w:ind w:left="0" w:firstLine="0"/>
    </w:pPr>
  </w:style>
  <w:style w:type="paragraph" w:customStyle="1" w:styleId="ListDash3Level3">
    <w:name w:val="List Dash 3 (Level 3)"/>
    <w:basedOn w:val="Text3"/>
    <w:uiPriority w:val="35"/>
    <w:semiHidden/>
    <w:unhideWhenUsed/>
    <w:pPr>
      <w:numPr>
        <w:ilvl w:val="2"/>
        <w:numId w:val="3"/>
      </w:numPr>
      <w:tabs>
        <w:tab w:val="clear" w:pos="2052"/>
      </w:tabs>
      <w:ind w:left="0" w:firstLine="0"/>
    </w:pPr>
  </w:style>
  <w:style w:type="paragraph" w:customStyle="1" w:styleId="ListDash3Level4">
    <w:name w:val="List Dash 3 (Level 4)"/>
    <w:basedOn w:val="Text3"/>
    <w:uiPriority w:val="35"/>
    <w:semiHidden/>
    <w:unhideWhenUsed/>
    <w:pPr>
      <w:numPr>
        <w:ilvl w:val="3"/>
        <w:numId w:val="3"/>
      </w:numPr>
      <w:tabs>
        <w:tab w:val="clear" w:pos="2336"/>
      </w:tabs>
      <w:ind w:left="0" w:firstLine="0"/>
    </w:pPr>
  </w:style>
  <w:style w:type="paragraph" w:customStyle="1" w:styleId="ListDash4">
    <w:name w:val="List Dash 4"/>
    <w:basedOn w:val="Text4"/>
    <w:uiPriority w:val="35"/>
    <w:pPr>
      <w:numPr>
        <w:numId w:val="2"/>
      </w:numPr>
      <w:tabs>
        <w:tab w:val="clear" w:pos="1485"/>
      </w:tabs>
      <w:ind w:left="0" w:firstLine="0"/>
    </w:pPr>
  </w:style>
  <w:style w:type="paragraph" w:customStyle="1" w:styleId="ListDash4Level2">
    <w:name w:val="List Dash 4 (Level 2)"/>
    <w:basedOn w:val="Text4"/>
    <w:uiPriority w:val="35"/>
    <w:semiHidden/>
    <w:unhideWhenUsed/>
    <w:pPr>
      <w:numPr>
        <w:ilvl w:val="1"/>
        <w:numId w:val="2"/>
      </w:numPr>
      <w:tabs>
        <w:tab w:val="clear" w:pos="1769"/>
      </w:tabs>
      <w:ind w:left="0" w:firstLine="0"/>
    </w:pPr>
  </w:style>
  <w:style w:type="paragraph" w:customStyle="1" w:styleId="ListDash4Level3">
    <w:name w:val="List Dash 4 (Level 3)"/>
    <w:basedOn w:val="Text4"/>
    <w:uiPriority w:val="35"/>
    <w:semiHidden/>
    <w:unhideWhenUsed/>
    <w:pPr>
      <w:numPr>
        <w:ilvl w:val="2"/>
        <w:numId w:val="2"/>
      </w:numPr>
      <w:tabs>
        <w:tab w:val="clear" w:pos="2052"/>
      </w:tabs>
      <w:ind w:left="0" w:firstLine="0"/>
    </w:pPr>
  </w:style>
  <w:style w:type="paragraph" w:customStyle="1" w:styleId="ListDash4Level4">
    <w:name w:val="List Dash 4 (Level 4)"/>
    <w:basedOn w:val="Text4"/>
    <w:uiPriority w:val="35"/>
    <w:semiHidden/>
    <w:unhideWhenUsed/>
    <w:pPr>
      <w:numPr>
        <w:ilvl w:val="3"/>
        <w:numId w:val="2"/>
      </w:numPr>
      <w:tabs>
        <w:tab w:val="clear" w:pos="2336"/>
      </w:tabs>
      <w:ind w:left="0" w:firstLine="0"/>
    </w:pPr>
  </w:style>
  <w:style w:type="paragraph" w:styleId="ListNumber">
    <w:name w:val="List Number"/>
    <w:basedOn w:val="Normal"/>
    <w:uiPriority w:val="30"/>
    <w:pPr>
      <w:numPr>
        <w:numId w:val="11"/>
      </w:numPr>
      <w:tabs>
        <w:tab w:val="clear" w:pos="709"/>
      </w:tabs>
      <w:spacing w:after="240" w:line="240" w:lineRule="auto"/>
      <w:ind w:left="0" w:firstLine="0"/>
      <w:jc w:val="both"/>
    </w:pPr>
    <w:rPr>
      <w:rFonts w:ascii="Times New Roman" w:eastAsia="Times New Roman" w:hAnsi="Times New Roman" w:cs="Times New Roman"/>
      <w:sz w:val="24"/>
      <w:szCs w:val="20"/>
    </w:rPr>
  </w:style>
  <w:style w:type="paragraph" w:customStyle="1" w:styleId="ListNumberLevel2">
    <w:name w:val="List Number (Level 2)"/>
    <w:basedOn w:val="Normal"/>
    <w:uiPriority w:val="30"/>
    <w:pPr>
      <w:numPr>
        <w:ilvl w:val="1"/>
        <w:numId w:val="11"/>
      </w:numPr>
      <w:tabs>
        <w:tab w:val="clear" w:pos="1417"/>
      </w:tabs>
      <w:spacing w:after="240" w:line="240" w:lineRule="auto"/>
      <w:ind w:left="0" w:firstLine="0"/>
      <w:jc w:val="both"/>
    </w:pPr>
    <w:rPr>
      <w:rFonts w:ascii="Times New Roman" w:eastAsia="Times New Roman" w:hAnsi="Times New Roman" w:cs="Times New Roman"/>
      <w:sz w:val="24"/>
      <w:szCs w:val="20"/>
    </w:rPr>
  </w:style>
  <w:style w:type="paragraph" w:customStyle="1" w:styleId="ListNumberLevel3">
    <w:name w:val="List Number (Level 3)"/>
    <w:basedOn w:val="Normal"/>
    <w:uiPriority w:val="30"/>
    <w:pPr>
      <w:numPr>
        <w:ilvl w:val="2"/>
        <w:numId w:val="11"/>
      </w:numPr>
      <w:tabs>
        <w:tab w:val="clear" w:pos="2126"/>
      </w:tabs>
      <w:spacing w:after="240" w:line="240" w:lineRule="auto"/>
      <w:ind w:left="0" w:firstLine="0"/>
      <w:jc w:val="both"/>
    </w:pPr>
    <w:rPr>
      <w:rFonts w:ascii="Times New Roman" w:eastAsia="Times New Roman" w:hAnsi="Times New Roman" w:cs="Times New Roman"/>
      <w:sz w:val="24"/>
      <w:szCs w:val="20"/>
    </w:rPr>
  </w:style>
  <w:style w:type="paragraph" w:customStyle="1" w:styleId="ListNumberLevel4">
    <w:name w:val="List Number (Level 4)"/>
    <w:basedOn w:val="Normal"/>
    <w:uiPriority w:val="30"/>
    <w:pPr>
      <w:numPr>
        <w:ilvl w:val="3"/>
        <w:numId w:val="11"/>
      </w:numPr>
      <w:tabs>
        <w:tab w:val="clear" w:pos="2835"/>
      </w:tabs>
      <w:spacing w:after="240" w:line="240" w:lineRule="auto"/>
      <w:ind w:left="0" w:firstLine="0"/>
      <w:jc w:val="both"/>
    </w:pPr>
    <w:rPr>
      <w:rFonts w:ascii="Times New Roman" w:eastAsia="Times New Roman" w:hAnsi="Times New Roman" w:cs="Times New Roman"/>
      <w:sz w:val="24"/>
      <w:szCs w:val="20"/>
    </w:rPr>
  </w:style>
  <w:style w:type="paragraph" w:customStyle="1" w:styleId="ListNumber1">
    <w:name w:val="List Number 1"/>
    <w:basedOn w:val="Text1"/>
    <w:uiPriority w:val="30"/>
    <w:pPr>
      <w:numPr>
        <w:numId w:val="10"/>
      </w:numPr>
      <w:tabs>
        <w:tab w:val="clear" w:pos="1191"/>
      </w:tabs>
      <w:ind w:left="0" w:firstLine="0"/>
    </w:pPr>
  </w:style>
  <w:style w:type="paragraph" w:customStyle="1" w:styleId="ListNumber1Level2">
    <w:name w:val="List Number 1 (Level 2)"/>
    <w:basedOn w:val="Text1"/>
    <w:uiPriority w:val="30"/>
    <w:semiHidden/>
    <w:unhideWhenUsed/>
    <w:pPr>
      <w:numPr>
        <w:ilvl w:val="1"/>
        <w:numId w:val="10"/>
      </w:numPr>
      <w:tabs>
        <w:tab w:val="clear" w:pos="1899"/>
      </w:tabs>
      <w:ind w:left="0" w:firstLine="0"/>
    </w:pPr>
  </w:style>
  <w:style w:type="paragraph" w:customStyle="1" w:styleId="ListNumber1Level3">
    <w:name w:val="List Number 1 (Level 3)"/>
    <w:basedOn w:val="Text1"/>
    <w:uiPriority w:val="30"/>
    <w:semiHidden/>
    <w:unhideWhenUsed/>
    <w:pPr>
      <w:numPr>
        <w:ilvl w:val="2"/>
        <w:numId w:val="10"/>
      </w:numPr>
      <w:tabs>
        <w:tab w:val="clear" w:pos="2608"/>
      </w:tabs>
      <w:ind w:left="0" w:firstLine="0"/>
    </w:pPr>
  </w:style>
  <w:style w:type="paragraph" w:customStyle="1" w:styleId="ListNumber1Level4">
    <w:name w:val="List Number 1 (Level 4)"/>
    <w:basedOn w:val="Text1"/>
    <w:uiPriority w:val="30"/>
    <w:semiHidden/>
    <w:unhideWhenUsed/>
    <w:pPr>
      <w:numPr>
        <w:ilvl w:val="3"/>
        <w:numId w:val="10"/>
      </w:numPr>
      <w:tabs>
        <w:tab w:val="clear" w:pos="3317"/>
      </w:tabs>
      <w:ind w:left="0" w:firstLine="0"/>
    </w:pPr>
  </w:style>
  <w:style w:type="paragraph" w:styleId="ListNumber2">
    <w:name w:val="List Number 2"/>
    <w:basedOn w:val="Text2"/>
    <w:uiPriority w:val="30"/>
    <w:pPr>
      <w:numPr>
        <w:numId w:val="9"/>
      </w:numPr>
      <w:tabs>
        <w:tab w:val="clear" w:pos="1911"/>
      </w:tabs>
      <w:ind w:left="0" w:firstLine="0"/>
    </w:pPr>
  </w:style>
  <w:style w:type="paragraph" w:customStyle="1" w:styleId="ListNumber2Level2">
    <w:name w:val="List Number 2 (Level 2)"/>
    <w:basedOn w:val="Text2"/>
    <w:uiPriority w:val="30"/>
    <w:semiHidden/>
    <w:unhideWhenUsed/>
    <w:pPr>
      <w:numPr>
        <w:ilvl w:val="1"/>
        <w:numId w:val="9"/>
      </w:numPr>
      <w:tabs>
        <w:tab w:val="clear" w:pos="2619"/>
      </w:tabs>
      <w:ind w:left="0" w:firstLine="0"/>
    </w:pPr>
  </w:style>
  <w:style w:type="paragraph" w:customStyle="1" w:styleId="ListNumber2Level3">
    <w:name w:val="List Number 2 (Level 3)"/>
    <w:basedOn w:val="Text2"/>
    <w:uiPriority w:val="30"/>
    <w:semiHidden/>
    <w:unhideWhenUsed/>
    <w:pPr>
      <w:numPr>
        <w:ilvl w:val="2"/>
        <w:numId w:val="9"/>
      </w:numPr>
      <w:tabs>
        <w:tab w:val="clear" w:pos="3328"/>
      </w:tabs>
      <w:ind w:left="0" w:firstLine="0"/>
    </w:pPr>
  </w:style>
  <w:style w:type="paragraph" w:customStyle="1" w:styleId="ListNumber2Level4">
    <w:name w:val="List Number 2 (Level 4)"/>
    <w:basedOn w:val="Text2"/>
    <w:uiPriority w:val="30"/>
    <w:semiHidden/>
    <w:unhideWhenUsed/>
    <w:pPr>
      <w:numPr>
        <w:ilvl w:val="3"/>
        <w:numId w:val="9"/>
      </w:numPr>
      <w:tabs>
        <w:tab w:val="clear" w:pos="4037"/>
      </w:tabs>
      <w:ind w:left="0" w:firstLine="0"/>
    </w:pPr>
  </w:style>
  <w:style w:type="paragraph" w:styleId="ListNumber3">
    <w:name w:val="List Number 3"/>
    <w:basedOn w:val="Text3"/>
    <w:uiPriority w:val="30"/>
    <w:pPr>
      <w:numPr>
        <w:numId w:val="8"/>
      </w:numPr>
      <w:tabs>
        <w:tab w:val="clear" w:pos="1911"/>
      </w:tabs>
      <w:ind w:left="0" w:firstLine="0"/>
    </w:pPr>
  </w:style>
  <w:style w:type="paragraph" w:customStyle="1" w:styleId="ListNumber3Level2">
    <w:name w:val="List Number 3 (Level 2)"/>
    <w:basedOn w:val="Text3"/>
    <w:uiPriority w:val="30"/>
    <w:semiHidden/>
    <w:unhideWhenUsed/>
    <w:pPr>
      <w:numPr>
        <w:ilvl w:val="1"/>
        <w:numId w:val="8"/>
      </w:numPr>
      <w:tabs>
        <w:tab w:val="clear" w:pos="2619"/>
      </w:tabs>
      <w:ind w:left="0" w:firstLine="0"/>
    </w:pPr>
  </w:style>
  <w:style w:type="paragraph" w:customStyle="1" w:styleId="ListNumber3Level3">
    <w:name w:val="List Number 3 (Level 3)"/>
    <w:basedOn w:val="Text3"/>
    <w:uiPriority w:val="30"/>
    <w:semiHidden/>
    <w:unhideWhenUsed/>
    <w:pPr>
      <w:numPr>
        <w:ilvl w:val="2"/>
        <w:numId w:val="8"/>
      </w:numPr>
      <w:tabs>
        <w:tab w:val="clear" w:pos="3328"/>
      </w:tabs>
      <w:ind w:left="0" w:firstLine="0"/>
    </w:pPr>
  </w:style>
  <w:style w:type="paragraph" w:customStyle="1" w:styleId="ListNumber3Level4">
    <w:name w:val="List Number 3 (Level 4)"/>
    <w:basedOn w:val="Text3"/>
    <w:uiPriority w:val="30"/>
    <w:semiHidden/>
    <w:unhideWhenUsed/>
    <w:pPr>
      <w:numPr>
        <w:ilvl w:val="3"/>
        <w:numId w:val="8"/>
      </w:numPr>
      <w:tabs>
        <w:tab w:val="clear" w:pos="4037"/>
      </w:tabs>
      <w:ind w:left="0" w:firstLine="0"/>
    </w:pPr>
  </w:style>
  <w:style w:type="paragraph" w:styleId="ListNumber4">
    <w:name w:val="List Number 4"/>
    <w:basedOn w:val="Text4"/>
    <w:uiPriority w:val="30"/>
    <w:pPr>
      <w:numPr>
        <w:numId w:val="7"/>
      </w:numPr>
      <w:tabs>
        <w:tab w:val="clear" w:pos="1911"/>
      </w:tabs>
      <w:ind w:left="0" w:firstLine="0"/>
    </w:pPr>
  </w:style>
  <w:style w:type="paragraph" w:customStyle="1" w:styleId="ListNumber4Level2">
    <w:name w:val="List Number 4 (Level 2)"/>
    <w:basedOn w:val="Text4"/>
    <w:uiPriority w:val="30"/>
    <w:semiHidden/>
    <w:unhideWhenUsed/>
    <w:pPr>
      <w:numPr>
        <w:ilvl w:val="1"/>
        <w:numId w:val="7"/>
      </w:numPr>
      <w:tabs>
        <w:tab w:val="clear" w:pos="2619"/>
      </w:tabs>
      <w:ind w:left="0" w:firstLine="0"/>
    </w:pPr>
  </w:style>
  <w:style w:type="paragraph" w:customStyle="1" w:styleId="ListNumber4Level3">
    <w:name w:val="List Number 4 (Level 3)"/>
    <w:basedOn w:val="Text4"/>
    <w:uiPriority w:val="30"/>
    <w:semiHidden/>
    <w:unhideWhenUsed/>
    <w:pPr>
      <w:numPr>
        <w:ilvl w:val="2"/>
        <w:numId w:val="7"/>
      </w:numPr>
      <w:tabs>
        <w:tab w:val="clear" w:pos="3328"/>
      </w:tabs>
      <w:ind w:left="0" w:firstLine="0"/>
    </w:pPr>
  </w:style>
  <w:style w:type="paragraph" w:customStyle="1" w:styleId="ListNumber4Level4">
    <w:name w:val="List Number 4 (Level 4)"/>
    <w:basedOn w:val="Text4"/>
    <w:uiPriority w:val="30"/>
    <w:semiHidden/>
    <w:unhideWhenUsed/>
    <w:pPr>
      <w:numPr>
        <w:ilvl w:val="3"/>
        <w:numId w:val="7"/>
      </w:numPr>
      <w:tabs>
        <w:tab w:val="clear" w:pos="4037"/>
      </w:tabs>
      <w:ind w:left="0" w:firstLine="0"/>
    </w:pPr>
  </w:style>
  <w:style w:type="paragraph" w:customStyle="1" w:styleId="Marking">
    <w:name w:val="Marking"/>
    <w:basedOn w:val="Normal"/>
    <w:semiHidden/>
    <w:pPr>
      <w:spacing w:after="240" w:line="240" w:lineRule="auto"/>
      <w:ind w:left="5102" w:right="-680"/>
      <w:contextualSpacing/>
    </w:pPr>
    <w:rPr>
      <w:rFonts w:ascii="Times New Roman" w:eastAsia="Times New Roman" w:hAnsi="Times New Roman" w:cs="Times New Roman"/>
      <w:sz w:val="28"/>
      <w:szCs w:val="20"/>
    </w:rPr>
  </w:style>
  <w:style w:type="paragraph" w:customStyle="1" w:styleId="NumPar1">
    <w:name w:val="NumPar 1"/>
    <w:basedOn w:val="Heading1"/>
    <w:uiPriority w:val="20"/>
    <w:qFormat/>
    <w:pPr>
      <w:keepNext w:val="0"/>
      <w:keepLines w:val="0"/>
      <w:spacing w:before="0" w:after="240" w:line="240" w:lineRule="auto"/>
      <w:jc w:val="both"/>
      <w:outlineLvl w:val="9"/>
    </w:pPr>
    <w:rPr>
      <w:rFonts w:ascii="Times New Roman" w:eastAsia="Times New Roman" w:hAnsi="Times New Roman" w:cs="Times New Roman"/>
      <w:color w:val="auto"/>
      <w:sz w:val="24"/>
      <w:szCs w:val="20"/>
    </w:rPr>
  </w:style>
  <w:style w:type="paragraph" w:customStyle="1" w:styleId="NumPar2">
    <w:name w:val="NumPar 2"/>
    <w:basedOn w:val="Heading2"/>
    <w:uiPriority w:val="20"/>
    <w:qFormat/>
    <w:pPr>
      <w:keepNext w:val="0"/>
      <w:keepLines w:val="0"/>
      <w:spacing w:before="0" w:after="240" w:line="240" w:lineRule="auto"/>
      <w:jc w:val="both"/>
      <w:outlineLvl w:val="9"/>
    </w:pPr>
    <w:rPr>
      <w:rFonts w:ascii="Times New Roman" w:eastAsia="Times New Roman" w:hAnsi="Times New Roman" w:cs="Times New Roman"/>
      <w:color w:val="auto"/>
      <w:sz w:val="24"/>
      <w:szCs w:val="20"/>
    </w:rPr>
  </w:style>
  <w:style w:type="paragraph" w:customStyle="1" w:styleId="NumPar3">
    <w:name w:val="NumPar 3"/>
    <w:basedOn w:val="Heading3"/>
    <w:uiPriority w:val="20"/>
    <w:qFormat/>
    <w:pPr>
      <w:keepNext w:val="0"/>
      <w:keepLines w:val="0"/>
      <w:spacing w:before="0" w:after="240" w:line="240" w:lineRule="auto"/>
      <w:jc w:val="both"/>
      <w:outlineLvl w:val="9"/>
    </w:pPr>
    <w:rPr>
      <w:rFonts w:ascii="Times New Roman" w:eastAsia="Times New Roman" w:hAnsi="Times New Roman" w:cs="Times New Roman"/>
      <w:color w:val="auto"/>
      <w:sz w:val="24"/>
      <w:szCs w:val="20"/>
    </w:rPr>
  </w:style>
  <w:style w:type="paragraph" w:customStyle="1" w:styleId="NumPar4">
    <w:name w:val="NumPar 4"/>
    <w:basedOn w:val="Heading4"/>
    <w:uiPriority w:val="20"/>
    <w:qFormat/>
    <w:pPr>
      <w:keepNext w:val="0"/>
      <w:keepLines w:val="0"/>
      <w:spacing w:before="0" w:after="240" w:line="240" w:lineRule="auto"/>
      <w:jc w:val="both"/>
      <w:outlineLvl w:val="9"/>
    </w:pPr>
    <w:rPr>
      <w:rFonts w:ascii="Times New Roman" w:eastAsia="Times New Roman" w:hAnsi="Times New Roman" w:cs="Times New Roman"/>
      <w:i w:val="0"/>
      <w:iCs w:val="0"/>
      <w:color w:val="auto"/>
      <w:sz w:val="24"/>
      <w:szCs w:val="20"/>
    </w:rPr>
  </w:style>
  <w:style w:type="paragraph" w:customStyle="1" w:styleId="PartTitle">
    <w:name w:val="PartTitle"/>
    <w:basedOn w:val="Normal"/>
    <w:next w:val="ChapterTitle"/>
    <w:uiPriority w:val="42"/>
    <w:qFormat/>
    <w:pPr>
      <w:keepNext/>
      <w:pageBreakBefore/>
      <w:spacing w:after="480" w:line="240" w:lineRule="auto"/>
      <w:jc w:val="center"/>
      <w:outlineLvl w:val="0"/>
    </w:pPr>
    <w:rPr>
      <w:rFonts w:ascii="Times New Roman" w:eastAsia="Times New Roman" w:hAnsi="Times New Roman" w:cs="Times New Roman"/>
      <w:b/>
      <w:sz w:val="36"/>
      <w:szCs w:val="20"/>
    </w:rPr>
  </w:style>
  <w:style w:type="paragraph" w:customStyle="1" w:styleId="References">
    <w:name w:val="References"/>
    <w:basedOn w:val="Normal"/>
    <w:semiHidden/>
    <w:pPr>
      <w:spacing w:after="240" w:line="240" w:lineRule="auto"/>
      <w:ind w:left="5102" w:right="-567"/>
      <w:contextualSpacing/>
    </w:pPr>
    <w:rPr>
      <w:rFonts w:ascii="Times New Roman" w:eastAsia="Times New Roman" w:hAnsi="Times New Roman" w:cs="Times New Roman"/>
      <w:sz w:val="20"/>
      <w:szCs w:val="20"/>
    </w:rPr>
  </w:style>
  <w:style w:type="paragraph" w:customStyle="1" w:styleId="Releasable">
    <w:name w:val="Releasable"/>
    <w:basedOn w:val="Normal"/>
    <w:semiHidden/>
    <w:pPr>
      <w:spacing w:after="0" w:line="240" w:lineRule="auto"/>
      <w:jc w:val="center"/>
    </w:pPr>
    <w:rPr>
      <w:rFonts w:ascii="Times New Roman" w:eastAsia="Times New Roman" w:hAnsi="Times New Roman" w:cs="Times New Roman"/>
      <w:b/>
      <w:caps/>
      <w:sz w:val="32"/>
      <w:szCs w:val="20"/>
    </w:rPr>
  </w:style>
  <w:style w:type="paragraph" w:customStyle="1" w:styleId="RUE">
    <w:name w:val="RUE"/>
    <w:basedOn w:val="Normal"/>
    <w:semiHidden/>
    <w:pPr>
      <w:spacing w:after="0" w:line="240" w:lineRule="auto"/>
      <w:jc w:val="center"/>
    </w:pPr>
    <w:rPr>
      <w:rFonts w:ascii="Times New Roman" w:eastAsia="Times New Roman" w:hAnsi="Times New Roman" w:cs="Times New Roman"/>
      <w:b/>
      <w:caps/>
      <w:sz w:val="32"/>
      <w:szCs w:val="20"/>
      <w:bdr w:val="single" w:sz="18" w:space="0" w:color="auto"/>
    </w:rPr>
  </w:style>
  <w:style w:type="paragraph" w:customStyle="1" w:styleId="SecretUE">
    <w:name w:val="Secret UE"/>
    <w:basedOn w:val="Normal"/>
    <w:semiHidden/>
    <w:pPr>
      <w:spacing w:after="0" w:line="240" w:lineRule="auto"/>
      <w:jc w:val="center"/>
    </w:pPr>
    <w:rPr>
      <w:rFonts w:ascii="Times New Roman" w:eastAsia="Times New Roman" w:hAnsi="Times New Roman" w:cs="Times New Roman"/>
      <w:b/>
      <w:caps/>
      <w:color w:val="FF0000"/>
      <w:sz w:val="32"/>
      <w:szCs w:val="20"/>
      <w:bdr w:val="single" w:sz="18" w:space="0" w:color="FF0000"/>
    </w:rPr>
  </w:style>
  <w:style w:type="paragraph" w:customStyle="1" w:styleId="SectionTitle">
    <w:name w:val="SectionTitle"/>
    <w:basedOn w:val="Normal"/>
    <w:next w:val="Heading1"/>
    <w:uiPriority w:val="44"/>
    <w:qFormat/>
    <w:pPr>
      <w:keepNext/>
      <w:spacing w:after="480" w:line="240" w:lineRule="auto"/>
      <w:jc w:val="center"/>
      <w:outlineLvl w:val="0"/>
    </w:pPr>
    <w:rPr>
      <w:rFonts w:ascii="Times New Roman" w:eastAsia="Times New Roman" w:hAnsi="Times New Roman" w:cs="Times New Roman"/>
      <w:b/>
      <w:smallCaps/>
      <w:sz w:val="28"/>
      <w:szCs w:val="20"/>
    </w:rPr>
  </w:style>
  <w:style w:type="paragraph" w:styleId="Signature">
    <w:name w:val="Signature"/>
    <w:basedOn w:val="Normal"/>
    <w:link w:val="SignatureChar"/>
    <w:semiHidden/>
    <w:pPr>
      <w:spacing w:before="1200" w:after="0" w:line="240" w:lineRule="auto"/>
      <w:ind w:left="5102"/>
      <w:jc w:val="center"/>
    </w:pPr>
    <w:rPr>
      <w:rFonts w:ascii="Times New Roman" w:eastAsia="Times New Roman" w:hAnsi="Times New Roman" w:cs="Times New Roman"/>
      <w:sz w:val="24"/>
      <w:szCs w:val="20"/>
    </w:rPr>
  </w:style>
  <w:style w:type="character" w:customStyle="1" w:styleId="SignatureChar">
    <w:name w:val="Signature Char"/>
    <w:basedOn w:val="DefaultParagraphFont"/>
    <w:link w:val="Signature"/>
    <w:semiHidden/>
    <w:rPr>
      <w:rFonts w:ascii="Times New Roman" w:eastAsia="Times New Roman" w:hAnsi="Times New Roman" w:cs="Times New Roman"/>
      <w:sz w:val="24"/>
      <w:szCs w:val="20"/>
      <w:lang w:val="fr-FR"/>
    </w:rPr>
  </w:style>
  <w:style w:type="paragraph" w:customStyle="1" w:styleId="SignatureL">
    <w:name w:val="SignatureL"/>
    <w:basedOn w:val="Normal"/>
    <w:semiHidden/>
    <w:pPr>
      <w:spacing w:before="1200" w:after="0" w:line="240" w:lineRule="auto"/>
    </w:pPr>
    <w:rPr>
      <w:rFonts w:ascii="Times New Roman" w:eastAsia="Times New Roman" w:hAnsi="Times New Roman" w:cs="Times New Roman"/>
      <w:sz w:val="24"/>
      <w:szCs w:val="20"/>
    </w:rPr>
  </w:style>
  <w:style w:type="paragraph" w:customStyle="1" w:styleId="SubTitle1">
    <w:name w:val="SubTitle 1"/>
    <w:basedOn w:val="Normal"/>
    <w:next w:val="SubTitle2"/>
    <w:uiPriority w:val="41"/>
    <w:qFormat/>
    <w:pPr>
      <w:spacing w:after="240" w:line="240" w:lineRule="auto"/>
      <w:jc w:val="center"/>
    </w:pPr>
    <w:rPr>
      <w:rFonts w:ascii="Times New Roman" w:eastAsia="Times New Roman" w:hAnsi="Times New Roman" w:cs="Times New Roman"/>
      <w:b/>
      <w:sz w:val="40"/>
      <w:szCs w:val="20"/>
    </w:rPr>
  </w:style>
  <w:style w:type="paragraph" w:customStyle="1" w:styleId="SubTitle2">
    <w:name w:val="SubTitle 2"/>
    <w:basedOn w:val="Normal"/>
    <w:uiPriority w:val="41"/>
    <w:qFormat/>
    <w:pPr>
      <w:spacing w:after="240" w:line="240" w:lineRule="auto"/>
      <w:jc w:val="center"/>
    </w:pPr>
    <w:rPr>
      <w:rFonts w:ascii="Times New Roman" w:eastAsia="Times New Roman" w:hAnsi="Times New Roman" w:cs="Times New Roman"/>
      <w:b/>
      <w:sz w:val="32"/>
      <w:szCs w:val="20"/>
    </w:rPr>
  </w:style>
  <w:style w:type="paragraph" w:customStyle="1" w:styleId="TableListBullet">
    <w:name w:val="Table List Bullet"/>
    <w:basedOn w:val="TableText"/>
    <w:uiPriority w:val="55"/>
    <w:pPr>
      <w:numPr>
        <w:numId w:val="20"/>
      </w:numPr>
      <w:tabs>
        <w:tab w:val="clear" w:pos="283"/>
      </w:tabs>
      <w:ind w:left="0" w:firstLine="0"/>
    </w:pPr>
  </w:style>
  <w:style w:type="paragraph" w:customStyle="1" w:styleId="TableListBulletLevel2">
    <w:name w:val="Table List Bullet (Level 2)"/>
    <w:basedOn w:val="TableText"/>
    <w:uiPriority w:val="55"/>
    <w:semiHidden/>
    <w:unhideWhenUsed/>
    <w:pPr>
      <w:numPr>
        <w:ilvl w:val="1"/>
        <w:numId w:val="20"/>
      </w:numPr>
      <w:tabs>
        <w:tab w:val="clear" w:pos="567"/>
      </w:tabs>
      <w:ind w:left="0" w:firstLine="0"/>
    </w:pPr>
  </w:style>
  <w:style w:type="paragraph" w:customStyle="1" w:styleId="TableListBulletLevel3">
    <w:name w:val="Table List Bullet (Level 3)"/>
    <w:basedOn w:val="TableText"/>
    <w:uiPriority w:val="55"/>
    <w:semiHidden/>
    <w:unhideWhenUsed/>
    <w:pPr>
      <w:numPr>
        <w:ilvl w:val="2"/>
        <w:numId w:val="20"/>
      </w:numPr>
      <w:tabs>
        <w:tab w:val="clear" w:pos="850"/>
      </w:tabs>
      <w:ind w:left="0" w:firstLine="0"/>
    </w:pPr>
  </w:style>
  <w:style w:type="paragraph" w:customStyle="1" w:styleId="TableListBulletLevel4">
    <w:name w:val="Table List Bullet (Level 4)"/>
    <w:basedOn w:val="TableText"/>
    <w:uiPriority w:val="55"/>
    <w:semiHidden/>
    <w:unhideWhenUsed/>
    <w:pPr>
      <w:numPr>
        <w:ilvl w:val="3"/>
        <w:numId w:val="20"/>
      </w:numPr>
      <w:tabs>
        <w:tab w:val="clear" w:pos="1134"/>
      </w:tabs>
      <w:ind w:left="0" w:firstLine="0"/>
    </w:pPr>
  </w:style>
  <w:style w:type="paragraph" w:customStyle="1" w:styleId="TableListDash">
    <w:name w:val="Table List Dash"/>
    <w:basedOn w:val="TableText"/>
    <w:uiPriority w:val="55"/>
    <w:pPr>
      <w:numPr>
        <w:numId w:val="21"/>
      </w:numPr>
      <w:tabs>
        <w:tab w:val="clear" w:pos="283"/>
      </w:tabs>
      <w:ind w:left="0" w:firstLine="0"/>
    </w:pPr>
  </w:style>
  <w:style w:type="paragraph" w:customStyle="1" w:styleId="TableListDashLevel2">
    <w:name w:val="Table List Dash (Level 2)"/>
    <w:basedOn w:val="TableText"/>
    <w:uiPriority w:val="55"/>
    <w:semiHidden/>
    <w:unhideWhenUsed/>
    <w:pPr>
      <w:numPr>
        <w:ilvl w:val="1"/>
        <w:numId w:val="21"/>
      </w:numPr>
      <w:tabs>
        <w:tab w:val="clear" w:pos="567"/>
      </w:tabs>
      <w:ind w:left="0" w:firstLine="0"/>
    </w:pPr>
  </w:style>
  <w:style w:type="paragraph" w:customStyle="1" w:styleId="TableListDashLevel3">
    <w:name w:val="Table List Dash (Level 3)"/>
    <w:basedOn w:val="TableText"/>
    <w:uiPriority w:val="55"/>
    <w:semiHidden/>
    <w:unhideWhenUsed/>
    <w:pPr>
      <w:numPr>
        <w:ilvl w:val="2"/>
        <w:numId w:val="21"/>
      </w:numPr>
      <w:tabs>
        <w:tab w:val="clear" w:pos="850"/>
      </w:tabs>
      <w:ind w:left="0" w:firstLine="0"/>
    </w:pPr>
  </w:style>
  <w:style w:type="paragraph" w:customStyle="1" w:styleId="TableListDashLevel4">
    <w:name w:val="Table List Dash (Level 4)"/>
    <w:basedOn w:val="TableText"/>
    <w:uiPriority w:val="55"/>
    <w:semiHidden/>
    <w:unhideWhenUsed/>
    <w:pPr>
      <w:numPr>
        <w:ilvl w:val="3"/>
        <w:numId w:val="21"/>
      </w:numPr>
      <w:tabs>
        <w:tab w:val="clear" w:pos="1134"/>
      </w:tabs>
      <w:ind w:left="0" w:firstLine="0"/>
    </w:pPr>
  </w:style>
  <w:style w:type="paragraph" w:customStyle="1" w:styleId="TableListNumber">
    <w:name w:val="Table List Number"/>
    <w:basedOn w:val="TableText"/>
    <w:uiPriority w:val="55"/>
    <w:pPr>
      <w:numPr>
        <w:numId w:val="22"/>
      </w:numPr>
      <w:tabs>
        <w:tab w:val="clear" w:pos="454"/>
      </w:tabs>
      <w:ind w:left="0" w:firstLine="0"/>
    </w:pPr>
  </w:style>
  <w:style w:type="paragraph" w:customStyle="1" w:styleId="TableListNumberLevel2">
    <w:name w:val="Table List Number (Level 2)"/>
    <w:basedOn w:val="TableText"/>
    <w:uiPriority w:val="55"/>
    <w:semiHidden/>
    <w:unhideWhenUsed/>
    <w:pPr>
      <w:numPr>
        <w:ilvl w:val="1"/>
        <w:numId w:val="22"/>
      </w:numPr>
      <w:tabs>
        <w:tab w:val="clear" w:pos="907"/>
      </w:tabs>
      <w:ind w:left="0" w:firstLine="0"/>
    </w:pPr>
  </w:style>
  <w:style w:type="paragraph" w:customStyle="1" w:styleId="TableListNumberLevel3">
    <w:name w:val="Table List Number (Level 3)"/>
    <w:basedOn w:val="TableText"/>
    <w:uiPriority w:val="55"/>
    <w:semiHidden/>
    <w:unhideWhenUsed/>
    <w:pPr>
      <w:numPr>
        <w:ilvl w:val="2"/>
        <w:numId w:val="22"/>
      </w:numPr>
      <w:tabs>
        <w:tab w:val="clear" w:pos="1361"/>
      </w:tabs>
      <w:ind w:left="0" w:firstLine="0"/>
    </w:pPr>
  </w:style>
  <w:style w:type="paragraph" w:customStyle="1" w:styleId="TableListNumberLevel4">
    <w:name w:val="Table List Number (Level 4)"/>
    <w:basedOn w:val="TableText"/>
    <w:uiPriority w:val="55"/>
    <w:semiHidden/>
    <w:unhideWhenUsed/>
    <w:pPr>
      <w:numPr>
        <w:ilvl w:val="3"/>
        <w:numId w:val="22"/>
      </w:numPr>
      <w:tabs>
        <w:tab w:val="clear" w:pos="1814"/>
      </w:tabs>
      <w:ind w:left="0" w:firstLine="0"/>
    </w:pPr>
  </w:style>
  <w:style w:type="paragraph" w:customStyle="1" w:styleId="TableSource">
    <w:name w:val="Table Source"/>
    <w:basedOn w:val="Normal"/>
    <w:next w:val="Normal"/>
    <w:uiPriority w:val="99"/>
    <w:semiHidden/>
    <w:unhideWhenUsed/>
    <w:pPr>
      <w:spacing w:after="240" w:line="240" w:lineRule="auto"/>
      <w:jc w:val="both"/>
    </w:pPr>
    <w:rPr>
      <w:rFonts w:ascii="Times New Roman" w:eastAsia="Times New Roman" w:hAnsi="Times New Roman" w:cs="Times New Roman"/>
      <w:sz w:val="20"/>
      <w:szCs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line="240" w:lineRule="auto"/>
    </w:pPr>
    <w:rPr>
      <w:rFonts w:ascii="Times New Roman" w:eastAsia="Times New Roman" w:hAnsi="Times New Roman" w:cs="Times New Roman"/>
      <w:sz w:val="24"/>
      <w:szCs w:val="20"/>
    </w:rPr>
  </w:style>
  <w:style w:type="paragraph" w:customStyle="1" w:styleId="TableTitle">
    <w:name w:val="Table Title"/>
    <w:basedOn w:val="Normal"/>
    <w:uiPriority w:val="99"/>
    <w:semiHidden/>
    <w:unhideWhenUsed/>
    <w:pPr>
      <w:keepNext/>
      <w:spacing w:after="120" w:line="240" w:lineRule="auto"/>
      <w:jc w:val="both"/>
    </w:pPr>
    <w:rPr>
      <w:rFonts w:ascii="Times New Roman" w:eastAsia="Times New Roman" w:hAnsi="Times New Roman" w:cs="Times New Roman"/>
      <w:b/>
      <w:i/>
      <w:sz w:val="24"/>
      <w:szCs w:val="20"/>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spacing w:after="240" w:line="240" w:lineRule="auto"/>
      <w:ind w:left="482"/>
      <w:jc w:val="both"/>
    </w:pPr>
    <w:rPr>
      <w:rFonts w:ascii="Times New Roman" w:eastAsia="Times New Roman" w:hAnsi="Times New Roman" w:cs="Times New Roman"/>
      <w:sz w:val="24"/>
      <w:szCs w:val="20"/>
    </w:rPr>
  </w:style>
  <w:style w:type="paragraph" w:customStyle="1" w:styleId="Text2">
    <w:name w:val="Text 2"/>
    <w:basedOn w:val="Normal"/>
    <w:qFormat/>
    <w:pPr>
      <w:spacing w:after="240" w:line="240" w:lineRule="auto"/>
      <w:ind w:left="1202"/>
      <w:jc w:val="both"/>
    </w:pPr>
    <w:rPr>
      <w:rFonts w:ascii="Times New Roman" w:eastAsia="Times New Roman" w:hAnsi="Times New Roman" w:cs="Times New Roman"/>
      <w:sz w:val="24"/>
      <w:szCs w:val="20"/>
    </w:rPr>
  </w:style>
  <w:style w:type="paragraph" w:customStyle="1" w:styleId="Text3">
    <w:name w:val="Text 3"/>
    <w:basedOn w:val="Normal"/>
    <w:qFormat/>
    <w:pPr>
      <w:spacing w:after="240" w:line="240" w:lineRule="auto"/>
      <w:ind w:left="1202"/>
      <w:jc w:val="both"/>
    </w:pPr>
    <w:rPr>
      <w:rFonts w:ascii="Times New Roman" w:eastAsia="Times New Roman" w:hAnsi="Times New Roman" w:cs="Times New Roman"/>
      <w:sz w:val="24"/>
      <w:szCs w:val="20"/>
    </w:rPr>
  </w:style>
  <w:style w:type="paragraph" w:customStyle="1" w:styleId="Text4">
    <w:name w:val="Text 4"/>
    <w:basedOn w:val="Normal"/>
    <w:qFormat/>
    <w:pPr>
      <w:spacing w:after="240" w:line="240" w:lineRule="auto"/>
      <w:ind w:left="1202"/>
      <w:jc w:val="both"/>
    </w:pPr>
    <w:rPr>
      <w:rFonts w:ascii="Times New Roman" w:eastAsia="Times New Roman" w:hAnsi="Times New Roman" w:cs="Times New Roman"/>
      <w:sz w:val="24"/>
      <w:szCs w:val="20"/>
    </w:rPr>
  </w:style>
  <w:style w:type="paragraph" w:styleId="TOC1">
    <w:name w:val="toc 1"/>
    <w:basedOn w:val="Normal"/>
    <w:next w:val="Normal"/>
    <w:semiHidden/>
    <w:pPr>
      <w:tabs>
        <w:tab w:val="right" w:leader="dot" w:pos="8640"/>
      </w:tabs>
      <w:spacing w:before="120" w:after="120" w:line="240" w:lineRule="auto"/>
      <w:ind w:left="482" w:right="720" w:hanging="482"/>
      <w:jc w:val="both"/>
    </w:pPr>
    <w:rPr>
      <w:rFonts w:ascii="Times New Roman" w:eastAsia="Times New Roman" w:hAnsi="Times New Roman" w:cs="Times New Roman"/>
      <w:sz w:val="24"/>
      <w:szCs w:val="20"/>
    </w:rPr>
  </w:style>
  <w:style w:type="paragraph" w:styleId="TOC2">
    <w:name w:val="toc 2"/>
    <w:basedOn w:val="Normal"/>
    <w:next w:val="Normal"/>
    <w:semiHidden/>
    <w:pPr>
      <w:tabs>
        <w:tab w:val="right" w:leader="dot" w:pos="8640"/>
      </w:tabs>
      <w:spacing w:before="60" w:after="60" w:line="240" w:lineRule="auto"/>
      <w:ind w:left="1077" w:right="720" w:hanging="595"/>
      <w:jc w:val="both"/>
    </w:pPr>
    <w:rPr>
      <w:rFonts w:ascii="Times New Roman" w:eastAsia="Times New Roman" w:hAnsi="Times New Roman" w:cs="Times New Roman"/>
      <w:noProof/>
      <w:sz w:val="24"/>
      <w:szCs w:val="20"/>
    </w:rPr>
  </w:style>
  <w:style w:type="paragraph" w:styleId="TOC3">
    <w:name w:val="toc 3"/>
    <w:basedOn w:val="Normal"/>
    <w:next w:val="Normal"/>
    <w:semiHidden/>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rPr>
  </w:style>
  <w:style w:type="paragraph" w:styleId="TOC4">
    <w:name w:val="toc 4"/>
    <w:basedOn w:val="Normal"/>
    <w:next w:val="Normal"/>
    <w:semiHidden/>
    <w:pPr>
      <w:tabs>
        <w:tab w:val="right" w:leader="dot" w:pos="8640"/>
      </w:tabs>
      <w:spacing w:before="60" w:after="60" w:line="240" w:lineRule="auto"/>
      <w:ind w:left="2880" w:right="720" w:hanging="964"/>
      <w:jc w:val="both"/>
    </w:pPr>
    <w:rPr>
      <w:rFonts w:ascii="Times New Roman" w:eastAsia="Times New Roman" w:hAnsi="Times New Roman" w:cs="Times New Roman"/>
      <w:noProof/>
      <w:sz w:val="24"/>
      <w:szCs w:val="20"/>
    </w:rPr>
  </w:style>
  <w:style w:type="paragraph" w:styleId="TOC5">
    <w:name w:val="toc 5"/>
    <w:basedOn w:val="Normal"/>
    <w:next w:val="Normal"/>
    <w:semiHidden/>
    <w:pPr>
      <w:tabs>
        <w:tab w:val="right" w:leader="dot" w:pos="8640"/>
      </w:tabs>
      <w:spacing w:before="240" w:after="120" w:line="240" w:lineRule="auto"/>
      <w:ind w:right="720"/>
      <w:jc w:val="both"/>
    </w:pPr>
    <w:rPr>
      <w:rFonts w:ascii="Times New Roman" w:eastAsia="Times New Roman" w:hAnsi="Times New Roman" w:cs="Times New Roman"/>
      <w:caps/>
      <w:sz w:val="24"/>
      <w:szCs w:val="20"/>
    </w:rPr>
  </w:style>
  <w:style w:type="paragraph" w:styleId="TOC6">
    <w:name w:val="toc 6"/>
    <w:basedOn w:val="Normal"/>
    <w:next w:val="Normal"/>
    <w:semiHidden/>
    <w:pPr>
      <w:tabs>
        <w:tab w:val="right" w:leader="dot" w:pos="8640"/>
        <w:tab w:val="left" w:pos="2880"/>
      </w:tabs>
      <w:spacing w:before="120" w:after="120" w:line="240" w:lineRule="auto"/>
      <w:ind w:left="1916" w:right="720" w:hanging="1916"/>
      <w:jc w:val="both"/>
    </w:pPr>
    <w:rPr>
      <w:rFonts w:ascii="Times New Roman" w:eastAsia="Times New Roman" w:hAnsi="Times New Roman" w:cs="Times New Roman"/>
      <w:caps/>
      <w:sz w:val="24"/>
      <w:szCs w:val="20"/>
    </w:rPr>
  </w:style>
  <w:style w:type="paragraph" w:styleId="TOC7">
    <w:name w:val="toc 7"/>
    <w:basedOn w:val="Normal"/>
    <w:next w:val="Normal"/>
    <w:semiHidden/>
    <w:pPr>
      <w:tabs>
        <w:tab w:val="right" w:leader="dot" w:pos="8640"/>
      </w:tabs>
      <w:spacing w:after="240" w:line="240" w:lineRule="auto"/>
      <w:jc w:val="both"/>
    </w:pPr>
    <w:rPr>
      <w:rFonts w:ascii="Times New Roman" w:eastAsia="Times New Roman" w:hAnsi="Times New Roman" w:cs="Times New Roman"/>
      <w:sz w:val="24"/>
      <w:szCs w:val="20"/>
    </w:rPr>
  </w:style>
  <w:style w:type="paragraph" w:styleId="TOC8">
    <w:name w:val="toc 8"/>
    <w:basedOn w:val="Normal"/>
    <w:next w:val="Normal"/>
    <w:semiHidden/>
    <w:pPr>
      <w:tabs>
        <w:tab w:val="right" w:leader="dot" w:pos="8640"/>
      </w:tabs>
      <w:spacing w:after="240" w:line="240" w:lineRule="auto"/>
      <w:jc w:val="both"/>
    </w:pPr>
    <w:rPr>
      <w:rFonts w:ascii="Times New Roman" w:eastAsia="Times New Roman" w:hAnsi="Times New Roman" w:cs="Times New Roman"/>
      <w:sz w:val="24"/>
      <w:szCs w:val="20"/>
    </w:rPr>
  </w:style>
  <w:style w:type="paragraph" w:styleId="TOC9">
    <w:name w:val="toc 9"/>
    <w:basedOn w:val="Normal"/>
    <w:next w:val="Normal"/>
    <w:semiHidden/>
    <w:pPr>
      <w:tabs>
        <w:tab w:val="right" w:leader="dot" w:pos="8640"/>
      </w:tabs>
      <w:spacing w:after="240" w:line="240" w:lineRule="auto"/>
      <w:jc w:val="both"/>
    </w:pPr>
    <w:rPr>
      <w:rFonts w:ascii="Times New Roman" w:eastAsia="Times New Roman" w:hAnsi="Times New Roman" w:cs="Times New Roman"/>
      <w:sz w:val="24"/>
      <w:szCs w:val="20"/>
    </w:rPr>
  </w:style>
  <w:style w:type="paragraph" w:styleId="TOCHeading">
    <w:name w:val="TOC Heading"/>
    <w:basedOn w:val="Normal"/>
    <w:next w:val="Normal"/>
    <w:semiHidden/>
    <w:pPr>
      <w:spacing w:before="240" w:after="240" w:line="240" w:lineRule="auto"/>
      <w:jc w:val="center"/>
    </w:pPr>
    <w:rPr>
      <w:rFonts w:ascii="Times New Roman Bold" w:eastAsia="Times New Roman" w:hAnsi="Times New Roman Bold" w:cs="Times New Roman"/>
      <w:b/>
      <w:caps/>
      <w:sz w:val="24"/>
      <w:szCs w:val="20"/>
    </w:rPr>
  </w:style>
  <w:style w:type="paragraph" w:customStyle="1" w:styleId="TrsSecretUE">
    <w:name w:val="Très Secret UE"/>
    <w:basedOn w:val="Normal"/>
    <w:semiHidden/>
    <w:pPr>
      <w:spacing w:after="0" w:line="240" w:lineRule="auto"/>
      <w:jc w:val="center"/>
    </w:pPr>
    <w:rPr>
      <w:rFonts w:ascii="Times New Roman" w:eastAsia="Times New Roman" w:hAnsi="Times New Roman" w:cs="Times New Roman"/>
      <w:b/>
      <w:caps/>
      <w:color w:val="FF0000"/>
      <w:sz w:val="32"/>
      <w:szCs w:val="20"/>
      <w:bdr w:val="single" w:sz="18" w:space="0" w:color="FF0000"/>
    </w:rPr>
  </w:style>
  <w:style w:type="paragraph" w:customStyle="1" w:styleId="ZCom">
    <w:name w:val="Z_Com"/>
    <w:basedOn w:val="Normal"/>
    <w:next w:val="ZDGName"/>
    <w:semiHidden/>
    <w:pPr>
      <w:widowControl w:val="0"/>
      <w:spacing w:before="90" w:after="0" w:line="240" w:lineRule="auto"/>
      <w:ind w:right="85"/>
    </w:pPr>
    <w:rPr>
      <w:rFonts w:ascii="Times New Roman" w:eastAsia="Times New Roman" w:hAnsi="Times New Roman" w:cs="Times New Roman"/>
      <w:sz w:val="24"/>
      <w:szCs w:val="20"/>
    </w:rPr>
  </w:style>
  <w:style w:type="paragraph" w:customStyle="1" w:styleId="ZDGName">
    <w:name w:val="Z_DGName"/>
    <w:basedOn w:val="Normal"/>
    <w:semiHidden/>
    <w:pPr>
      <w:widowControl w:val="0"/>
      <w:spacing w:after="0" w:line="240" w:lineRule="auto"/>
      <w:ind w:right="85"/>
    </w:pPr>
    <w:rPr>
      <w:rFonts w:ascii="Times New Roman" w:eastAsia="Times New Roman" w:hAnsi="Times New Roman" w:cs="Times New Roman"/>
      <w:sz w:val="16"/>
      <w:szCs w:val="20"/>
    </w:rPr>
  </w:style>
  <w:style w:type="paragraph" w:customStyle="1" w:styleId="ZFlag">
    <w:name w:val="Z_Flag"/>
    <w:basedOn w:val="Normal"/>
    <w:next w:val="Normal"/>
    <w:semiHidden/>
    <w:pPr>
      <w:widowControl w:val="0"/>
      <w:spacing w:after="0" w:line="240" w:lineRule="auto"/>
      <w:ind w:right="85"/>
      <w:jc w:val="both"/>
    </w:pPr>
    <w:rPr>
      <w:rFonts w:ascii="Times New Roman" w:eastAsia="Times New Roman" w:hAnsi="Times New Roman" w:cs="Times New Roman"/>
      <w:sz w:val="24"/>
      <w:szCs w:val="20"/>
    </w:rPr>
  </w:style>
  <w:style w:type="table" w:customStyle="1" w:styleId="EurolookClassicBlue">
    <w:name w:val="Eurolook Classic Blue"/>
    <w:basedOn w:val="TableNormal"/>
    <w:uiPriority w:val="80"/>
    <w:pPr>
      <w:spacing w:after="240" w:line="240" w:lineRule="auto"/>
    </w:pPr>
    <w:rPr>
      <w:rFonts w:ascii="Times New Roman" w:eastAsia="Times New Roman" w:hAnsi="Times New Roman" w:cs="Times New Roman"/>
      <w:sz w:val="24"/>
      <w:szCs w:val="20"/>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line="240" w:lineRule="auto"/>
    </w:pPr>
    <w:rPr>
      <w:rFonts w:ascii="Times New Roman" w:eastAsia="Times New Roman" w:hAnsi="Times New Roman" w:cs="Times New Roman"/>
      <w:sz w:val="24"/>
      <w:szCs w:val="20"/>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line="240" w:lineRule="auto"/>
    </w:pPr>
    <w:rPr>
      <w:rFonts w:ascii="Times New Roman" w:eastAsia="Times New Roman" w:hAnsi="Times New Roman" w:cs="Times New Roman"/>
      <w:sz w:val="24"/>
      <w:szCs w:val="20"/>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line="240" w:lineRule="auto"/>
    </w:pPr>
    <w:rPr>
      <w:rFonts w:ascii="Times New Roman" w:eastAsia="Times New Roman" w:hAnsi="Times New Roman" w:cs="Times New Roman"/>
      <w:sz w:val="24"/>
      <w:szCs w:val="20"/>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line="240" w:lineRule="auto"/>
    </w:pPr>
    <w:rPr>
      <w:rFonts w:ascii="Times New Roman" w:eastAsia="Times New Roman" w:hAnsi="Times New Roman" w:cs="Times New Roman"/>
      <w:sz w:val="24"/>
      <w:szCs w:val="20"/>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line="240" w:lineRule="auto"/>
    </w:pPr>
    <w:rPr>
      <w:rFonts w:ascii="Times New Roman" w:eastAsia="Times New Roman" w:hAnsi="Times New Roman" w:cs="Times New Roman"/>
      <w:sz w:val="24"/>
      <w:szCs w:val="20"/>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line="240" w:lineRule="auto"/>
    </w:pPr>
    <w:rPr>
      <w:rFonts w:ascii="Times New Roman" w:eastAsia="Times New Roman" w:hAnsi="Times New Roman" w:cs="Times New Roman"/>
      <w:sz w:val="24"/>
      <w:szCs w:val="20"/>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line="240" w:lineRule="auto"/>
    </w:pPr>
    <w:rPr>
      <w:rFonts w:ascii="Times New Roman" w:eastAsia="Times New Roman" w:hAnsi="Times New Roman" w:cs="Times New Roman"/>
      <w:sz w:val="24"/>
      <w:szCs w:val="20"/>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line="240" w:lineRule="auto"/>
    </w:pPr>
    <w:rPr>
      <w:rFonts w:ascii="Times New Roman" w:eastAsia="Times New Roman" w:hAnsi="Times New Roman" w:cs="Times New Roman"/>
      <w:sz w:val="24"/>
      <w:szCs w:val="20"/>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line="240" w:lineRule="auto"/>
    </w:pPr>
    <w:rPr>
      <w:rFonts w:ascii="Times New Roman" w:eastAsia="Times New Roman" w:hAnsi="Times New Roman" w:cs="Times New Roman"/>
      <w:sz w:val="24"/>
      <w:szCs w:val="20"/>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line="240" w:lineRule="auto"/>
    </w:pPr>
    <w:rPr>
      <w:rFonts w:ascii="Times New Roman" w:eastAsia="Times New Roman" w:hAnsi="Times New Roman" w:cs="Times New Roman"/>
      <w:sz w:val="24"/>
      <w:szCs w:val="20"/>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line="240" w:lineRule="auto"/>
    </w:pPr>
    <w:rPr>
      <w:rFonts w:ascii="Times New Roman" w:eastAsia="Times New Roman" w:hAnsi="Times New Roman" w:cs="Times New Roman"/>
      <w:sz w:val="24"/>
      <w:szCs w:val="20"/>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line="240" w:lineRule="auto"/>
    </w:pPr>
    <w:rPr>
      <w:rFonts w:ascii="Times New Roman" w:eastAsia="Times New Roman" w:hAnsi="Times New Roman" w:cs="Times New Roman"/>
      <w:sz w:val="24"/>
      <w:szCs w:val="20"/>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pPr>
      <w:spacing w:after="0" w:line="240" w:lineRule="auto"/>
    </w:pPr>
    <w:rPr>
      <w:rFonts w:ascii="Times New Roman" w:eastAsia="Times New Roman" w:hAnsi="Times New Roman" w:cs="Times New Roman"/>
      <w:sz w:val="24"/>
      <w:szCs w:val="20"/>
      <w:lang w:val="en-IE" w:eastAsia="en-I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202" w:type="dxa"/>
    </w:tblPr>
    <w:tblStylePr w:type="firstRow">
      <w:rPr>
        <w:b/>
      </w:rPr>
      <w:tblPr/>
      <w:trPr>
        <w:cantSplit/>
        <w:tblHeader/>
      </w:trPr>
    </w:tblStylePr>
  </w:style>
  <w:style w:type="table" w:customStyle="1" w:styleId="EurolookTable3">
    <w:name w:val="Eurolook Table 3"/>
    <w:basedOn w:val="EurolookTable"/>
    <w:semiHidden/>
    <w:tblPr>
      <w:tblInd w:w="1202" w:type="dxa"/>
    </w:tblPr>
    <w:tblStylePr w:type="firstRow">
      <w:rPr>
        <w:b/>
      </w:rPr>
      <w:tblPr/>
      <w:trPr>
        <w:cantSplit/>
        <w:tblHeader/>
      </w:trPr>
    </w:tblStylePr>
  </w:style>
  <w:style w:type="table" w:customStyle="1" w:styleId="EurolookTable4">
    <w:name w:val="Eurolook Table 4"/>
    <w:basedOn w:val="EurolookTable"/>
    <w:semiHidden/>
    <w:tblPr>
      <w:tblInd w:w="1202" w:type="dxa"/>
    </w:tblPr>
    <w:tblStylePr w:type="firstRow">
      <w:rPr>
        <w:b/>
      </w:rPr>
      <w:tblPr/>
      <w:trPr>
        <w:cantSplit/>
        <w:tblHeader/>
      </w:trPr>
    </w:tblStylePr>
  </w:style>
  <w:style w:type="table" w:customStyle="1" w:styleId="HelperTableBase">
    <w:name w:val="Helper Table Base"/>
    <w:semiHidden/>
    <w:pPr>
      <w:spacing w:after="0" w:line="240" w:lineRule="auto"/>
    </w:pPr>
    <w:rPr>
      <w:rFonts w:ascii="Times New Roman" w:eastAsia="Times New Roman" w:hAnsi="Times New Roman" w:cs="Times New Roman"/>
      <w:sz w:val="24"/>
      <w:szCs w:val="20"/>
    </w:rPr>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pPr>
      <w:spacing w:after="0" w:line="240" w:lineRule="auto"/>
    </w:pPr>
    <w:rPr>
      <w:rFonts w:ascii="Times New Roman" w:eastAsia="Times New Roman" w:hAnsi="Times New Roman" w:cs="Times New Roman"/>
      <w:sz w:val="24"/>
      <w:szCs w:val="20"/>
    </w:rPr>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rFonts w:ascii="Times New Roman" w:eastAsia="Times New Roman" w:hAnsi="Times New Roman"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pPr>
      <w:spacing w:after="0" w:line="240" w:lineRule="auto"/>
    </w:pPr>
    <w:rPr>
      <w:rFonts w:ascii="Times New Roman" w:eastAsia="Times New Roman" w:hAnsi="Times New Roman" w:cs="Times New Roman"/>
      <w:sz w:val="24"/>
      <w:szCs w:val="20"/>
    </w:rPr>
    <w:tblPr>
      <w:tblCellMar>
        <w:left w:w="0" w:type="dxa"/>
        <w:bottom w:w="340" w:type="dxa"/>
        <w:right w:w="0" w:type="dxa"/>
      </w:tblCellMar>
    </w:tblPr>
  </w:style>
  <w:style w:type="paragraph" w:customStyle="1" w:styleId="Annex111">
    <w:name w:val="Annex1.1.1"/>
    <w:basedOn w:val="Heading3"/>
    <w:uiPriority w:val="1"/>
    <w:pPr>
      <w:keepLines w:val="0"/>
      <w:numPr>
        <w:ilvl w:val="2"/>
        <w:numId w:val="23"/>
      </w:numPr>
      <w:spacing w:before="240" w:after="60" w:line="280" w:lineRule="exact"/>
      <w:ind w:left="0" w:firstLine="0"/>
      <w:jc w:val="both"/>
    </w:pPr>
    <w:rPr>
      <w:rFonts w:ascii="EC Square Sans Pro" w:eastAsia="Arial Unicode MS" w:hAnsi="EC Square Sans Pro" w:cs="Open Sans Condensed"/>
      <w:b/>
      <w:color w:val="156082" w:themeColor="accent1"/>
      <w:sz w:val="24"/>
      <w:szCs w:val="22"/>
      <w:lang w:eastAsia="de-DE"/>
    </w:rPr>
  </w:style>
  <w:style w:type="character" w:styleId="Mention">
    <w:name w:val="Mention"/>
    <w:basedOn w:val="DefaultParagraphFont"/>
    <w:uiPriority w:val="99"/>
    <w:unhideWhenUsed/>
    <w:rPr>
      <w:color w:val="2B579A"/>
      <w:shd w:val="clear" w:color="auto" w:fill="E6E6E6"/>
    </w:rPr>
  </w:style>
  <w:style w:type="character" w:styleId="UnresolvedMention">
    <w:name w:val="Unresolved Mention"/>
    <w:basedOn w:val="DefaultParagraphFont"/>
    <w:uiPriority w:val="99"/>
    <w:semiHidden/>
    <w:unhideWhenUsed/>
    <w:rPr>
      <w:color w:val="605E5C"/>
      <w:shd w:val="clear" w:color="auto" w:fill="E1DFDD"/>
    </w:rPr>
  </w:style>
  <w:style w:type="paragraph" w:customStyle="1" w:styleId="Anx4">
    <w:name w:val="Anx4"/>
    <w:basedOn w:val="Heading4"/>
    <w:link w:val="Anx4Car"/>
    <w:uiPriority w:val="1"/>
    <w:qFormat/>
    <w:pPr>
      <w:keepLines w:val="0"/>
      <w:numPr>
        <w:ilvl w:val="3"/>
        <w:numId w:val="25"/>
      </w:numPr>
      <w:spacing w:before="240" w:after="60" w:line="280" w:lineRule="exact"/>
      <w:ind w:left="0" w:firstLine="0"/>
      <w:jc w:val="both"/>
    </w:pPr>
    <w:rPr>
      <w:rFonts w:ascii="EC Square Sans Pro" w:eastAsia="Arial Unicode MS" w:hAnsi="EC Square Sans Pro" w:cs="Open Sans Condensed"/>
      <w:b/>
      <w:bCs/>
      <w:i w:val="0"/>
      <w:iCs w:val="0"/>
      <w:noProof/>
      <w:szCs w:val="20"/>
      <w:lang w:eastAsia="de-DE"/>
    </w:rPr>
  </w:style>
  <w:style w:type="paragraph" w:customStyle="1" w:styleId="Anx1">
    <w:name w:val="Anx1"/>
    <w:basedOn w:val="Heading1"/>
    <w:uiPriority w:val="1"/>
    <w:qFormat/>
    <w:pPr>
      <w:keepNext w:val="0"/>
      <w:keepLines w:val="0"/>
      <w:numPr>
        <w:numId w:val="25"/>
      </w:numPr>
      <w:tabs>
        <w:tab w:val="left" w:pos="426"/>
        <w:tab w:val="right" w:leader="dot" w:pos="9629"/>
      </w:tabs>
      <w:spacing w:before="240" w:after="240" w:line="240" w:lineRule="auto"/>
      <w:ind w:left="0" w:firstLine="0"/>
      <w:contextualSpacing/>
    </w:pPr>
    <w:rPr>
      <w:rFonts w:ascii="EC Square Sans Pro" w:eastAsia="Times New Roman" w:hAnsi="EC Square Sans Pro" w:cs="Open Sans Condensed"/>
      <w:b/>
      <w:bCs/>
      <w:noProof/>
      <w:color w:val="156082" w:themeColor="accent1"/>
      <w:lang w:eastAsia="fr-FR"/>
    </w:rPr>
  </w:style>
  <w:style w:type="paragraph" w:customStyle="1" w:styleId="Anx2">
    <w:name w:val="Anx2"/>
    <w:basedOn w:val="Heading2"/>
    <w:uiPriority w:val="1"/>
    <w:qFormat/>
    <w:pPr>
      <w:keepLines w:val="0"/>
      <w:numPr>
        <w:ilvl w:val="1"/>
        <w:numId w:val="25"/>
      </w:numPr>
      <w:spacing w:before="240" w:after="120" w:line="280" w:lineRule="exact"/>
      <w:ind w:left="0" w:firstLine="0"/>
      <w:contextualSpacing/>
    </w:pPr>
    <w:rPr>
      <w:rFonts w:ascii="EC Square Sans Pro" w:eastAsia="Arial Unicode MS" w:hAnsi="EC Square Sans Pro" w:cs="Open Sans Condensed"/>
      <w:b/>
      <w:color w:val="E97132" w:themeColor="accent2"/>
      <w:sz w:val="26"/>
      <w:szCs w:val="24"/>
      <w:lang w:eastAsia="de-DE"/>
    </w:rPr>
  </w:style>
  <w:style w:type="paragraph" w:customStyle="1" w:styleId="Anx3">
    <w:name w:val="Anx3"/>
    <w:basedOn w:val="Heading3"/>
    <w:uiPriority w:val="1"/>
    <w:qFormat/>
    <w:pPr>
      <w:keepLines w:val="0"/>
      <w:numPr>
        <w:ilvl w:val="2"/>
        <w:numId w:val="25"/>
      </w:numPr>
      <w:spacing w:before="240" w:after="60" w:line="280" w:lineRule="exact"/>
      <w:ind w:left="0" w:firstLine="0"/>
      <w:jc w:val="both"/>
    </w:pPr>
    <w:rPr>
      <w:rFonts w:ascii="EC Square Sans Pro" w:eastAsia="Arial Unicode MS" w:hAnsi="EC Square Sans Pro" w:cs="Open Sans Condensed"/>
      <w:b/>
      <w:bCs/>
      <w:color w:val="156082" w:themeColor="accent1"/>
      <w:sz w:val="24"/>
      <w:szCs w:val="22"/>
      <w:lang w:eastAsia="de-DE"/>
    </w:rPr>
  </w:style>
  <w:style w:type="character" w:customStyle="1" w:styleId="texttitle1">
    <w:name w:val="texttitle1"/>
    <w:basedOn w:val="DefaultParagraphFont"/>
    <w:rPr>
      <w:b/>
      <w:bCs/>
      <w:color w:val="006699"/>
    </w:rPr>
  </w:style>
  <w:style w:type="character" w:customStyle="1" w:styleId="Anx4Car">
    <w:name w:val="Anx4 Car"/>
    <w:basedOn w:val="Heading4Char"/>
    <w:link w:val="Anx4"/>
    <w:uiPriority w:val="1"/>
    <w:rPr>
      <w:rFonts w:ascii="EC Square Sans Pro" w:eastAsia="Arial Unicode MS" w:hAnsi="EC Square Sans Pro" w:cs="Open Sans Condensed"/>
      <w:b/>
      <w:bCs/>
      <w:i w:val="0"/>
      <w:iCs w:val="0"/>
      <w:noProof/>
      <w:color w:val="0F4761" w:themeColor="accent1" w:themeShade="BF"/>
      <w:szCs w:val="20"/>
      <w:lang w:val="fr-FR" w:eastAsia="de-DE"/>
    </w:rPr>
  </w:style>
  <w:style w:type="paragraph" w:customStyle="1" w:styleId="Graphtablesub-title">
    <w:name w:val="Graph/table sub-title"/>
    <w:basedOn w:val="Caption"/>
    <w:link w:val="Graphtablesub-titleCar"/>
    <w:autoRedefine/>
    <w:qFormat/>
    <w:pPr>
      <w:keepNext/>
      <w:spacing w:before="0" w:after="0" w:line="240" w:lineRule="exact"/>
      <w:contextualSpacing/>
      <w:jc w:val="left"/>
    </w:pPr>
    <w:rPr>
      <w:rFonts w:ascii="EC Square Sans Pro" w:hAnsi="EC Square Sans Pro" w:cs="Open Sans Condensed"/>
      <w:i w:val="0"/>
      <w:noProof/>
      <w:color w:val="595959" w:themeColor="text1" w:themeTint="A6"/>
      <w:sz w:val="16"/>
      <w:szCs w:val="16"/>
      <w:lang w:eastAsia="de-DE"/>
    </w:rPr>
  </w:style>
  <w:style w:type="character" w:customStyle="1" w:styleId="Graphtablesub-titleCar">
    <w:name w:val="Graph/table sub-title Car"/>
    <w:basedOn w:val="DefaultParagraphFont"/>
    <w:link w:val="Graphtablesub-title"/>
    <w:rPr>
      <w:rFonts w:ascii="EC Square Sans Pro" w:eastAsia="Times New Roman" w:hAnsi="EC Square Sans Pro" w:cs="Open Sans Condensed"/>
      <w:noProof/>
      <w:color w:val="595959" w:themeColor="text1" w:themeTint="A6"/>
      <w:sz w:val="16"/>
      <w:szCs w:val="16"/>
      <w:lang w:val="fr-FR" w:eastAsia="de-DE"/>
    </w:rPr>
  </w:style>
  <w:style w:type="paragraph" w:customStyle="1" w:styleId="Box">
    <w:name w:val="Box"/>
    <w:basedOn w:val="Normal"/>
    <w:link w:val="BoxCar"/>
    <w:qFormat/>
    <w:pPr>
      <w:pBdr>
        <w:top w:val="single" w:sz="4" w:space="1" w:color="auto"/>
        <w:left w:val="single" w:sz="4" w:space="4" w:color="auto"/>
        <w:bottom w:val="single" w:sz="4" w:space="1" w:color="auto"/>
        <w:right w:val="single" w:sz="4" w:space="4" w:color="auto"/>
      </w:pBdr>
      <w:shd w:val="clear" w:color="auto" w:fill="DDF4FF"/>
      <w:overflowPunct w:val="0"/>
      <w:autoSpaceDE w:val="0"/>
      <w:autoSpaceDN w:val="0"/>
      <w:adjustRightInd w:val="0"/>
      <w:spacing w:before="240" w:after="0" w:line="280" w:lineRule="exact"/>
      <w:ind w:right="6"/>
      <w:textAlignment w:val="baseline"/>
    </w:pPr>
    <w:rPr>
      <w:rFonts w:ascii="EC Square Sans Pro" w:eastAsia="Times New Roman" w:hAnsi="EC Square Sans Pro" w:cs="Consolas"/>
      <w:sz w:val="21"/>
      <w:szCs w:val="21"/>
      <w:lang w:eastAsia="de-DE"/>
    </w:rPr>
  </w:style>
  <w:style w:type="character" w:customStyle="1" w:styleId="BoxCar">
    <w:name w:val="Box Car"/>
    <w:basedOn w:val="TextCar"/>
    <w:link w:val="Box"/>
    <w:rPr>
      <w:rFonts w:ascii="EC Square Sans Pro" w:eastAsia="Times New Roman" w:hAnsi="EC Square Sans Pro" w:cs="Consolas"/>
      <w:sz w:val="21"/>
      <w:szCs w:val="21"/>
      <w:shd w:val="clear" w:color="auto" w:fill="DDF4FF"/>
      <w:lang w:val="fr-FR" w:eastAsia="de-DE"/>
    </w:rPr>
  </w:style>
  <w:style w:type="character" w:customStyle="1" w:styleId="normaltextrun">
    <w:name w:val="normaltextrun"/>
    <w:basedOn w:val="DefaultParagraphFont"/>
  </w:style>
  <w:style w:type="character" w:styleId="EndnoteReference">
    <w:name w:val="endnote reference"/>
    <w:basedOn w:val="DefaultParagraphFont"/>
    <w:uiPriority w:val="99"/>
    <w:semiHidden/>
    <w:rPr>
      <w:vertAlign w:val="superscript"/>
    </w:rPr>
  </w:style>
  <w:style w:type="paragraph" w:customStyle="1" w:styleId="Languesfaisantfoi">
    <w:name w:val="Langues faisant foi"/>
    <w:basedOn w:val="Normal"/>
    <w:next w:val="Normal"/>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pPr>
      <w:spacing w:after="0"/>
    </w:pPr>
  </w:style>
  <w:style w:type="paragraph" w:customStyle="1" w:styleId="IntrtEEEPagedecouverture">
    <w:name w:val="Intérêt EEE (Page de couverture)"/>
    <w:basedOn w:val="IntrtEEE"/>
    <w:next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image" Target="media/image10.png"/><Relationship Id="rId39" Type="http://schemas.openxmlformats.org/officeDocument/2006/relationships/fontTable" Target="fontTable.xml"/><Relationship Id="rId21" Type="http://schemas.openxmlformats.org/officeDocument/2006/relationships/image" Target="media/image5.png"/><Relationship Id="rId34"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9.png"/><Relationship Id="rId33" Type="http://schemas.openxmlformats.org/officeDocument/2006/relationships/header" Target="header4.xml"/><Relationship Id="rId38"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png"/><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8.png"/><Relationship Id="rId32" Type="http://schemas.openxmlformats.org/officeDocument/2006/relationships/image" Target="media/image16.png"/><Relationship Id="rId37" Type="http://schemas.openxmlformats.org/officeDocument/2006/relationships/header" Target="header6.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image" Target="media/image1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footer" Target="footer4.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eurostat/databrowser/view/nrg_bal_c/default/table?category=nrg.nrg_quant.nrg_quanta.nrg_bal" TargetMode="External"/><Relationship Id="rId2" Type="http://schemas.openxmlformats.org/officeDocument/2006/relationships/hyperlink" Target="http://data.europa.eu/eli/C/2024/2807/oj" TargetMode="External"/><Relationship Id="rId1" Type="http://schemas.openxmlformats.org/officeDocument/2006/relationships/hyperlink" Target="http://data.europa.eu/eli/reg/2018/1999/oj" TargetMode="External"/><Relationship Id="rId6" Type="http://schemas.openxmlformats.org/officeDocument/2006/relationships/hyperlink" Target="https://commission.europa.eu/strategy-and-policy/strategy-documents/commission-work-programme/commission-work-programme-2026_en" TargetMode="External"/><Relationship Id="rId5" Type="http://schemas.openxmlformats.org/officeDocument/2006/relationships/hyperlink" Target="https://commission.europa.eu/document/download/eab354d1-64d2-450f-8ed4-eb3d42661974_en?filename=mission-letter-hoekstra.pdf" TargetMode="External"/><Relationship Id="rId4" Type="http://schemas.openxmlformats.org/officeDocument/2006/relationships/hyperlink" Target="https://commission.europa.eu/document/download/1c203799-0137-482e-bd18-4f6813535986_en?filename=Mission%20letter%20-%20JORGENS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CFDF3D715AA394A9B15E0E0FAA07E37" ma:contentTypeVersion="17" ma:contentTypeDescription="Create a new document." ma:contentTypeScope="" ma:versionID="b8330829613b53f335f7595c4d309107">
  <xsd:schema xmlns:xsd="http://www.w3.org/2001/XMLSchema" xmlns:xs="http://www.w3.org/2001/XMLSchema" xmlns:p="http://schemas.microsoft.com/office/2006/metadata/properties" xmlns:ns1="http://schemas.microsoft.com/sharepoint/v3" xmlns:ns2="33e07890-6196-4e26-9dd2-53178dae8e48" xmlns:ns3="faa54b14-608b-44ba-8621-4287d9574b27" targetNamespace="http://schemas.microsoft.com/office/2006/metadata/properties" ma:root="true" ma:fieldsID="9416b5fa44ca29fcb915ba6edc63c09b" ns1:_="" ns2:_="" ns3:_="">
    <xsd:import namespace="http://schemas.microsoft.com/sharepoint/v3"/>
    <xsd:import namespace="33e07890-6196-4e26-9dd2-53178dae8e48"/>
    <xsd:import namespace="faa54b14-608b-44ba-8621-4287d9574b2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1:_ip_UnifiedCompliancePolicyProperties" minOccurs="0"/>
                <xsd:element ref="ns1:_ip_UnifiedCompliancePolicyUIAction"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e07890-6196-4e26-9dd2-53178dae8e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aa54b14-608b-44ba-8621-4287d9574b2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e829834-dc43-4c00-a10e-52d3166c6bec}" ma:internalName="TaxCatchAll" ma:showField="CatchAllData" ma:web="faa54b14-608b-44ba-8621-4287d9574b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aa54b14-608b-44ba-8621-4287d9574b27" xsi:nil="true"/>
    <lcf76f155ced4ddcb4097134ff3c332f xmlns="33e07890-6196-4e26-9dd2-53178dae8e4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5F39F40-BD59-4522-903C-DF7950ABFEF7}">
  <ds:schemaRefs>
    <ds:schemaRef ds:uri="http://schemas.microsoft.com/sharepoint/v3/contenttype/forms"/>
  </ds:schemaRefs>
</ds:datastoreItem>
</file>

<file path=customXml/itemProps2.xml><?xml version="1.0" encoding="utf-8"?>
<ds:datastoreItem xmlns:ds="http://schemas.openxmlformats.org/officeDocument/2006/customXml" ds:itemID="{63788864-6675-47EB-8AFF-8E4C9D7DD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3e07890-6196-4e26-9dd2-53178dae8e48"/>
    <ds:schemaRef ds:uri="faa54b14-608b-44ba-8621-4287d9574b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26E35F-FBF3-42AE-8D86-588B36E84DD2}">
  <ds:schemaRefs>
    <ds:schemaRef ds:uri="http://schemas.openxmlformats.org/officeDocument/2006/bibliography"/>
  </ds:schemaRefs>
</ds:datastoreItem>
</file>

<file path=customXml/itemProps4.xml><?xml version="1.0" encoding="utf-8"?>
<ds:datastoreItem xmlns:ds="http://schemas.openxmlformats.org/officeDocument/2006/customXml" ds:itemID="{07C858C6-3BCF-4465-8806-1BE4097FB299}">
  <ds:schemaRefs>
    <ds:schemaRef ds:uri="http://schemas.microsoft.com/office/2006/metadata/properties"/>
    <ds:schemaRef ds:uri="http://schemas.microsoft.com/office/infopath/2007/PartnerControls"/>
    <ds:schemaRef ds:uri="http://schemas.microsoft.com/sharepoint/v3"/>
    <ds:schemaRef ds:uri="faa54b14-608b-44ba-8621-4287d9574b27"/>
    <ds:schemaRef ds:uri="33e07890-6196-4e26-9dd2-53178dae8e48"/>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2</Pages>
  <Words>3677</Words>
  <Characters>20965</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38</cp:revision>
  <dcterms:created xsi:type="dcterms:W3CDTF">2026-07-28T09:08:00Z</dcterms:created>
  <dcterms:modified xsi:type="dcterms:W3CDTF">2026-09-17T07:35:00Z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2026-07-09T10:14:01Z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80a048a5-f91b-465e-869a-5a93c0eb3d0c</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ContentTypeId">
    <vt:lpwstr>0x010100ECFDF3D715AA394A9B15E0E0FAA07E37</vt:lpwstr>
  </property>
  <property fmtid="{D5CDD505-2E9C-101B-9397-08002B2CF9AE}" pid="13" name="MediaServiceImageTags">
    <vt:lpwstr/>
  </property>
  <property fmtid="{D5CDD505-2E9C-101B-9397-08002B2CF9AE}" pid="14" name="Level of sensitivity">
    <vt:lpwstr>Standard treatment</vt:lpwstr>
  </property>
  <property fmtid="{D5CDD505-2E9C-101B-9397-08002B2CF9AE}" pid="15" name="Part">
    <vt:lpwstr>1</vt:lpwstr>
  </property>
  <property fmtid="{D5CDD505-2E9C-101B-9397-08002B2CF9AE}" pid="16" name="Total parts">
    <vt:lpwstr>1</vt:lpwstr>
  </property>
  <property fmtid="{D5CDD505-2E9C-101B-9397-08002B2CF9AE}" pid="17" name="CPTemplateID">
    <vt:lpwstr>CP-006</vt:lpwstr>
  </property>
</Properties>
</file>