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9636ACF-5208-43AB-9D16-39FD3AF0FDBC" style="width:455.25pt;height:359.2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BodyText"/>
        <w:jc w:val="center"/>
        <w:rPr>
          <w:b/>
          <w:bCs/>
          <w:noProof/>
        </w:rPr>
      </w:pPr>
      <w:r>
        <w:rPr>
          <w:b/>
          <w:noProof/>
        </w:rPr>
        <w:lastRenderedPageBreak/>
        <w:t>Remarques importantes sur la méthodologie</w:t>
      </w:r>
    </w:p>
    <w:p>
      <w:pPr>
        <w:pStyle w:val="BodyText"/>
        <w:jc w:val="both"/>
        <w:rPr>
          <w:noProof/>
        </w:rPr>
      </w:pPr>
      <w:r>
        <w:rPr>
          <w:noProof/>
        </w:rPr>
        <w:t>Le présent rapport s’appuie sur une étude externe menée pour le compte de la Commission</w:t>
      </w:r>
      <w:r>
        <w:rPr>
          <w:rStyle w:val="FootnoteReference"/>
          <w:rFonts w:eastAsia="MS Mincho"/>
          <w:noProof/>
        </w:rPr>
        <w:footnoteReference w:id="1"/>
      </w:r>
      <w:r>
        <w:rPr>
          <w:noProof/>
        </w:rPr>
        <w:t>. L’étude reposait sur une approche d’inventaire ascendante, consistant à recueillir des informations provenant de documents et de rapports budgétaires nationaux. Les données nationales sur les subventions ont été agrégées au niveau de l’UE et complétées par des données provenant de bases de données spécialisées reconnues appartenant à des institutions européennes et internationales</w:t>
      </w:r>
      <w:r>
        <w:rPr>
          <w:rStyle w:val="FootnoteReference"/>
          <w:rFonts w:eastAsia="MS Mincho"/>
          <w:noProof/>
        </w:rPr>
        <w:footnoteReference w:id="2"/>
      </w:r>
      <w:r>
        <w:rPr>
          <w:noProof/>
        </w:rPr>
        <w:t>. Dans les cas où les données de 2024 n’étaient pas entièrement disponibles ou validées, des estimations fondées sur les données de 2023 ont été utilisées</w:t>
      </w:r>
      <w:r>
        <w:rPr>
          <w:rStyle w:val="FootnoteReference"/>
          <w:rFonts w:eastAsia="MS Mincho"/>
          <w:noProof/>
        </w:rPr>
        <w:footnoteReference w:id="3"/>
      </w:r>
      <w:r>
        <w:rPr>
          <w:noProof/>
        </w:rPr>
        <w:t>. Comme lors des éditions précédentes du présent rapport, les États membres ont eu la possibilité de réagir sur les données utilisées pour l’étude.</w:t>
      </w:r>
    </w:p>
    <w:p>
      <w:pPr>
        <w:pStyle w:val="BodyText"/>
        <w:jc w:val="both"/>
        <w:rPr>
          <w:noProof/>
        </w:rPr>
      </w:pPr>
      <w:r>
        <w:rPr>
          <w:noProof/>
        </w:rPr>
        <w:t>L’inventaire des mesures de subvention à l’énergie établi pour l’étude a fourni des informations fiables sur l’incidence budgétaire des transferts budgétaires directs pour la consommation et la production d’énergie. Il s’agit d’un outil qui promeut la transparence des politiques publiques et contribue à l’identification de mesures de soutien spécifiques aux réformes.</w:t>
      </w:r>
    </w:p>
    <w:p>
      <w:pPr>
        <w:pStyle w:val="BodyText"/>
        <w:jc w:val="both"/>
        <w:rPr>
          <w:noProof/>
        </w:rPr>
      </w:pPr>
      <w:r>
        <w:rPr>
          <w:noProof/>
        </w:rPr>
        <w:t>Les montants des subventions qui étaient fondés sur des estimations des dépenses fiscales (recettes sacrifiées) dépendent des taux d’imposition de référence applicables dans chaque pays et peuvent ne pas être directement comparables d’un pays à l’autre en raison des approches nationales en matière de systèmes fiscaux de référence</w:t>
      </w:r>
      <w:r>
        <w:rPr>
          <w:rStyle w:val="FootnoteReference"/>
          <w:rFonts w:eastAsia="MS Mincho"/>
          <w:noProof/>
        </w:rPr>
        <w:footnoteReference w:id="4"/>
      </w:r>
      <w:r>
        <w:rPr>
          <w:noProof/>
        </w:rPr>
        <w:t>. Bien qu’elles reflètent de manière adéquate les coûts budgétaires des mesures de subvention, elles sont, à elles seules, moins bien adaptées pour comparer directement les incidences des subventions fiscales sur l’environnement, le climat et l’énergie entre les pays, notamment les effets incitatifs sur les combustibles fossiles</w:t>
      </w:r>
      <w:r>
        <w:rPr>
          <w:rStyle w:val="FootnoteReference"/>
          <w:rFonts w:eastAsia="MS Mincho"/>
          <w:noProof/>
        </w:rPr>
        <w:footnoteReference w:id="5"/>
      </w:r>
      <w:r>
        <w:rPr>
          <w:noProof/>
        </w:rPr>
        <w:t xml:space="preserve">. C’est la raison pour laquelle le présent rapport fournit également les montants des subventions aux combustibles fossiles, à l’exclusion des dépenses fiscales. Des travaux supplémentaires sont nécessaires pour analyser les taux d’imposition effectifs sur la </w:t>
      </w:r>
      <w:r>
        <w:rPr>
          <w:noProof/>
        </w:rPr>
        <w:lastRenderedPageBreak/>
        <w:t>consommation d’énergie et les émissions de carbone afin de compléter l’approche de l’inventaire et améliorer la comparabilité des mesures liées à l’imposition</w:t>
      </w:r>
      <w:r>
        <w:rPr>
          <w:rStyle w:val="FootnoteReference"/>
          <w:rFonts w:eastAsia="MS Mincho"/>
          <w:noProof/>
        </w:rPr>
        <w:footnoteReference w:id="6"/>
      </w:r>
      <w:r>
        <w:rPr>
          <w:noProof/>
        </w:rPr>
        <w:t>.</w:t>
      </w:r>
    </w:p>
    <w:p>
      <w:pPr>
        <w:pStyle w:val="BodyText"/>
        <w:jc w:val="both"/>
        <w:rPr>
          <w:noProof/>
        </w:rPr>
      </w:pPr>
      <w:r>
        <w:rPr>
          <w:noProof/>
        </w:rPr>
        <w:t xml:space="preserve">Les subventions implicites (par exemple, le coût de différents facteurs externes) ne sont pas couvertes en raison de problèmes méthodologiques liés à l’absence d’évaluation solide, fiable et comparable des incidences négatives, sociales et des coûts externes non liés au climat, associées aux subventions implicites. </w:t>
      </w:r>
    </w:p>
    <w:p>
      <w:pPr>
        <w:pStyle w:val="BodyText"/>
        <w:jc w:val="both"/>
        <w:rPr>
          <w:noProof/>
        </w:rPr>
      </w:pPr>
      <w:r>
        <w:rPr>
          <w:noProof/>
        </w:rPr>
        <w:t>Le rapport de cette année inclut pour la première fois la participation des pouvoirs publics et les apports de fonds propres en raison de leur rôle accru depuis la crise énergétique de 2022. À des fins de transparence, les montants des subventions excluant ces nouvelles catégories sont également indiqués.</w:t>
      </w: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MS Mincho">
    <w:altName w:val="Yu Gothic"/>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ab/>
        <w:t>Study on energy subsidies and other government interventions in the European Union (Étude sur les subventions à l’énergie et autres interventions gouvernementales dans l’Union européenne), édition 2025, Enerdata-Trinomics.</w:t>
      </w:r>
    </w:p>
  </w:footnote>
  <w:footnote w:id="2">
    <w:p>
      <w:pPr>
        <w:pStyle w:val="FootnoteText"/>
      </w:pPr>
      <w:r>
        <w:rPr>
          <w:rStyle w:val="FootnoteReference"/>
        </w:rPr>
        <w:footnoteRef/>
      </w:r>
      <w:r>
        <w:t xml:space="preserve"> Le présent rapport concerne les subventions à l’énergie. Les informations et l’analyse présentées ne doivent pas être interprétées comme se rapportant à une aide d’État. Les données sur les aides d’État sont disponibles dans le </w:t>
      </w:r>
      <w:hyperlink r:id="rId1" w:history="1">
        <w:r>
          <w:rPr>
            <w:rStyle w:val="Hyperlink"/>
          </w:rPr>
          <w:t>tableau de bord des aides d’État</w:t>
        </w:r>
      </w:hyperlink>
      <w:r>
        <w:t>.</w:t>
      </w:r>
    </w:p>
  </w:footnote>
  <w:footnote w:id="3">
    <w:p>
      <w:pPr>
        <w:pStyle w:val="FootnoteText"/>
      </w:pPr>
      <w:r>
        <w:rPr>
          <w:rStyle w:val="FootnoteReference"/>
        </w:rPr>
        <w:footnoteRef/>
      </w:r>
      <w:r>
        <w:rPr>
          <w:rStyle w:val="FootnoteReference"/>
        </w:rPr>
        <w:t xml:space="preserve"> </w:t>
      </w:r>
      <w:r>
        <w:t xml:space="preserve"> En tout, 34 milliards d’EUR, soit 10 % du montant total des subventions, sont basés sur des estimations pour toutes les catégories de subventions.</w:t>
      </w:r>
    </w:p>
  </w:footnote>
  <w:footnote w:id="4">
    <w:p>
      <w:pPr>
        <w:pStyle w:val="FootnoteText"/>
      </w:pPr>
      <w:r>
        <w:rPr>
          <w:rStyle w:val="FootnoteReference"/>
        </w:rPr>
        <w:footnoteRef/>
      </w:r>
      <w:r>
        <w:t xml:space="preserve"> Les différences de taux d’imposition de référence et de politiques budgétaires entraînent des différences dans l’incidence des dépenses fiscales d’un pays à l’autre.</w:t>
      </w:r>
    </w:p>
  </w:footnote>
  <w:footnote w:id="5">
    <w:p>
      <w:pPr>
        <w:pStyle w:val="FootnoteText"/>
      </w:pPr>
      <w:r>
        <w:rPr>
          <w:rStyle w:val="FootnoteReference"/>
        </w:rPr>
        <w:footnoteRef/>
      </w:r>
      <w:r>
        <w:tab/>
        <w:t>Un pays qui applique des taxes «de base» plus élevées, mais qui offre aussi des exonérations fiscales importantes peut avoir des niveaux de manque à gagner fiscal nettement plus élevés et donc des subventions nominales à l’énergie, tout en continuant à payer plus pour les combustibles fossiles qu’un pays ayant des taux d’imposition plus faibles, mais moins ou pas d’exonérations, ce qui se traduit par des niveaux plus faibles de manque à gagner fiscal et donc par une baisse des subventions aux combustibles fossiles, tout en encourageant davantage la consommation de combustibles fossiles.</w:t>
      </w:r>
    </w:p>
  </w:footnote>
  <w:footnote w:id="6">
    <w:p>
      <w:pPr>
        <w:pStyle w:val="FootnoteText"/>
      </w:pPr>
      <w:r>
        <w:rPr>
          <w:rStyle w:val="FootnoteReference"/>
        </w:rPr>
        <w:footnoteRef/>
      </w:r>
      <w:r>
        <w:tab/>
        <w:t>Des travaux préparatoires sont en cours dans les enceintes internationales (par exemple, l’OCDE) et au sein de l’UE sur la manière d’améliorer la méthode de définition et de comparaison, en particulier, des subventions d’ordre fiscal.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du"/>
    <w:docVar w:name="LW_ANNEX_NBR_FIRST" w:val="1"/>
    <w:docVar w:name="LW_ANNEX_NBR_LAST" w:val="1"/>
    <w:docVar w:name="LW_ANNEX_UNIQUE" w:val="1"/>
    <w:docVar w:name="LW_CORRIGENDUM" w:val="&lt;UNUSED&gt;"/>
    <w:docVar w:name="LW_COVERPAGE_EXISTS" w:val="True"/>
    <w:docVar w:name="LW_COVERPAGE_GUID" w:val="39636ACF-5208-43AB-9D16-39FD3AF0FDBC"/>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xelles, le "/>
    <w:docVar w:name="LW_EMISSION_SUFFIX" w:val=" "/>
    <w:docVar w:name="LW_ID_DOCTYPE_NONLW" w:val="CP-039"/>
    <w:docVar w:name="LW_LANGUE" w:val="FR"/>
    <w:docVar w:name="LW_LEVEL_OF_SENSITIVITY" w:val="Standard treatment"/>
    <w:docVar w:name="LW_NOM.INST" w:val="COMMISSION EUROPÉENNE"/>
    <w:docVar w:name="LW_NOM.INST_JOINTDOC" w:val="&lt;EMPTY&gt;"/>
    <w:docVar w:name="LW_OBJETACTEPRINCIPAL.CP" w:val="sur les subventions à l\u8217?énergie dans l\u8217?UE_x000d__x000d__x000d__x000d__x000d__x000d__x000b_"/>
    <w:docVar w:name="LW_PART_NBR" w:val="1"/>
    <w:docVar w:name="LW_PART_NBR_TOTAL" w:val="1"/>
    <w:docVar w:name="LW_REF.INST.NEW" w:val="COM"/>
    <w:docVar w:name="LW_REF.INST.NEW_ADOPTED" w:val="final"/>
    <w:docVar w:name="LW_REF.INST.NEW_TEXT" w:val="(2026) 47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RAPPORT DE LA COMMISSION AU PARLEMENT EUROPÉEN ET A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5B75023D-6EE6-4D87-9058-16BF4DF3E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CharCharChar">
    <w:name w:val="Char Char Char"/>
    <w:basedOn w:val="Normal"/>
    <w:link w:val="FootnoteReference"/>
    <w:pPr>
      <w:spacing w:line="240" w:lineRule="exact"/>
    </w:pPr>
    <w:rPr>
      <w:rFonts w:ascii="Times New Roman" w:eastAsia="Times New Roman" w:hAnsi="Times New Roman" w:cs="Times New Roman"/>
      <w:sz w:val="24"/>
      <w:szCs w:val="20"/>
      <w:vertAlign w:val="superscript"/>
    </w:rPr>
  </w:style>
  <w:style w:type="character" w:styleId="Hyperlink">
    <w:name w:val="Hyperlink"/>
    <w:aliases w:val=" Znak Znak Znak,Znak Znak Znak"/>
    <w:rPr>
      <w:color w:val="0000FF"/>
      <w:u w:val="single"/>
    </w:rPr>
  </w:style>
  <w:style w:type="paragraph" w:styleId="BodyText">
    <w:name w:val="Body Text"/>
    <w:basedOn w:val="Normal"/>
    <w:link w:val="BodyTextChar"/>
    <w:rPr>
      <w:rFonts w:ascii="Times New Roman" w:eastAsia="MS Mincho" w:hAnsi="Times New Roman" w:cs="Times New Roman"/>
      <w:sz w:val="24"/>
      <w:szCs w:val="24"/>
      <w:lang w:eastAsia="en-GB"/>
    </w:rPr>
  </w:style>
  <w:style w:type="character" w:customStyle="1" w:styleId="BodyTextChar">
    <w:name w:val="Body Text Char"/>
    <w:basedOn w:val="DefaultParagraphFont"/>
    <w:link w:val="BodyText"/>
    <w:rPr>
      <w:rFonts w:ascii="Times New Roman" w:eastAsia="MS Mincho" w:hAnsi="Times New Roman" w:cs="Times New Roman"/>
      <w:sz w:val="24"/>
      <w:szCs w:val="24"/>
      <w:lang w:val="fr-FR" w:eastAsia="en-GB"/>
    </w:rPr>
  </w:style>
  <w:style w:type="character" w:styleId="FootnoteReference">
    <w:name w:val="footnote reference"/>
    <w:aliases w:val="SUPERS,Odwołanie przypisu,Times 10 Point,Exposant 3 Point,Footnote symbol,Footnote reference number,number,Footnote Reference Superscript,stylish,Знак сноски-FN,Ciae niinee-FN,Знак сноски 1,(Footnote Reference), Exposant 3 Point"/>
    <w:link w:val="CharCharChar"/>
    <w:qFormat/>
    <w:rPr>
      <w:rFonts w:ascii="Times New Roman" w:eastAsia="Times New Roman" w:hAnsi="Times New Roman" w:cs="Times New Roman"/>
      <w:sz w:val="24"/>
      <w:szCs w:val="20"/>
      <w:vertAlign w:val="superscript"/>
      <w:lang w:val="fr-FR"/>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RSK-FT,o"/>
    <w:basedOn w:val="Normal"/>
    <w:link w:val="FootnoteTextChar"/>
    <w:uiPriority w:val="99"/>
    <w:qFormat/>
    <w:pPr>
      <w:spacing w:after="12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basedOn w:val="DefaultParagraphFont"/>
    <w:link w:val="FootnoteText"/>
    <w:uiPriority w:val="99"/>
    <w:rPr>
      <w:rFonts w:ascii="Times New Roman" w:eastAsia="Times New Roman" w:hAnsi="Times New Roman" w:cs="Times New Roman"/>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competition-policy.ec.europa.eu/state-aid/scoreboard_en?prefLang=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FDF3D715AA394A9B15E0E0FAA07E37" ma:contentTypeVersion="17" ma:contentTypeDescription="Create a new document." ma:contentTypeScope="" ma:versionID="b8330829613b53f335f7595c4d309107">
  <xsd:schema xmlns:xsd="http://www.w3.org/2001/XMLSchema" xmlns:xs="http://www.w3.org/2001/XMLSchema" xmlns:p="http://schemas.microsoft.com/office/2006/metadata/properties" xmlns:ns1="http://schemas.microsoft.com/sharepoint/v3" xmlns:ns2="33e07890-6196-4e26-9dd2-53178dae8e48" xmlns:ns3="faa54b14-608b-44ba-8621-4287d9574b27" targetNamespace="http://schemas.microsoft.com/office/2006/metadata/properties" ma:root="true" ma:fieldsID="9416b5fa44ca29fcb915ba6edc63c09b" ns1:_="" ns2:_="" ns3:_="">
    <xsd:import namespace="http://schemas.microsoft.com/sharepoint/v3"/>
    <xsd:import namespace="33e07890-6196-4e26-9dd2-53178dae8e48"/>
    <xsd:import namespace="faa54b14-608b-44ba-8621-4287d9574b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e07890-6196-4e26-9dd2-53178dae8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a54b14-608b-44ba-8621-4287d9574b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e829834-dc43-4c00-a10e-52d3166c6bec}" ma:internalName="TaxCatchAll" ma:showField="CatchAllData" ma:web="faa54b14-608b-44ba-8621-4287d9574b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aa54b14-608b-44ba-8621-4287d9574b27" xsi:nil="true"/>
    <lcf76f155ced4ddcb4097134ff3c332f xmlns="33e07890-6196-4e26-9dd2-53178dae8e4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CC0180-68CB-49B1-9AFB-98B9BC0A0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3e07890-6196-4e26-9dd2-53178dae8e48"/>
    <ds:schemaRef ds:uri="faa54b14-608b-44ba-8621-4287d9574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E0000F-DA3B-44B4-A5EB-30D8209D64B4}">
  <ds:schemaRefs>
    <ds:schemaRef ds:uri="http://schemas.microsoft.com/office/2006/metadata/properties"/>
    <ds:schemaRef ds:uri="http://schemas.microsoft.com/office/infopath/2007/PartnerControls"/>
    <ds:schemaRef ds:uri="http://schemas.microsoft.com/sharepoint/v3"/>
    <ds:schemaRef ds:uri="faa54b14-608b-44ba-8621-4287d9574b27"/>
    <ds:schemaRef ds:uri="33e07890-6196-4e26-9dd2-53178dae8e48"/>
  </ds:schemaRefs>
</ds:datastoreItem>
</file>

<file path=customXml/itemProps3.xml><?xml version="1.0" encoding="utf-8"?>
<ds:datastoreItem xmlns:ds="http://schemas.openxmlformats.org/officeDocument/2006/customXml" ds:itemID="{39D2D845-4199-4710-9A0A-8FD37940E9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432</Words>
  <Characters>2469</Characters>
  <Application>Microsoft Office Word</Application>
  <DocSecurity>0</DocSecurity>
  <Lines>20</Lines>
  <Paragraphs>5</Paragraphs>
  <ScaleCrop>false</ScaleCrop>
  <Manager/>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11</cp:revision>
  <dcterms:created xsi:type="dcterms:W3CDTF">2026-07-28T09:08:00Z</dcterms:created>
  <dcterms:modified xsi:type="dcterms:W3CDTF">2026-09-17T07:36:00Z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CPTemplateID">
    <vt:lpwstr>CP-039</vt:lpwstr>
  </property>
  <property fmtid="{D5CDD505-2E9C-101B-9397-08002B2CF9AE}" pid="10" name="Last edited using">
    <vt:lpwstr>LW 9.2, Build 20250828</vt:lpwstr>
  </property>
  <property fmtid="{D5CDD505-2E9C-101B-9397-08002B2CF9AE}" pid="11" name="Created using">
    <vt:lpwstr>LW 9.2, Build 20250828</vt:lpwstr>
  </property>
  <property fmtid="{D5CDD505-2E9C-101B-9397-08002B2CF9AE}" pid="12" name="MSIP_Label_6bd9ddd1-4d20-43f6-abfa-fc3c07406f94_Enabled">
    <vt:lpwstr>true</vt:lpwstr>
  </property>
  <property fmtid="{D5CDD505-2E9C-101B-9397-08002B2CF9AE}" pid="13" name="MSIP_Label_6bd9ddd1-4d20-43f6-abfa-fc3c07406f94_SetDate">
    <vt:lpwstr>2026-07-28T08:31:28Z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e545b900-ea2b-4ebd-b572-09f6fdbce000</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y fmtid="{D5CDD505-2E9C-101B-9397-08002B2CF9AE}" pid="20" name="ContentTypeId">
    <vt:lpwstr>0x010100ECFDF3D715AA394A9B15E0E0FAA07E37</vt:lpwstr>
  </property>
  <property fmtid="{D5CDD505-2E9C-101B-9397-08002B2CF9AE}" pid="21" name="MediaServiceImageTags">
    <vt:lpwstr/>
  </property>
</Properties>
</file>