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F631D7C-C745-46AF-93C2-515A8F1DAC30" style="width:455.25pt;height:286.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pStyle w:val="Heading1"/>
        <w:rPr>
          <w:noProof/>
        </w:rPr>
      </w:pPr>
      <w:r>
        <w:rPr>
          <w:noProof/>
        </w:rPr>
        <w:lastRenderedPageBreak/>
        <w:t>Introducere</w:t>
      </w:r>
    </w:p>
    <w:p>
      <w:pPr>
        <w:pStyle w:val="BodyText"/>
        <w:jc w:val="both"/>
        <w:rPr>
          <w:noProof/>
        </w:rPr>
      </w:pPr>
      <w:r>
        <w:rPr>
          <w:noProof/>
        </w:rPr>
        <w:t>Subvențiile pentru energie reprezintă o povară fiscală și un cost pentru bugetele publice. Prin urmare, este esențial ca subvențiile pentru energie să fie bine concepute, bine cheltuite și în concordanță cu obiectivele de politică ale UE pentru a realiza o economie competitivă și echitabilă, neutră din punctul de vedere al emisiilor de dioxid de carbon, alături de o aprovizionare cu energie sigură și curată până în 2050.</w:t>
      </w:r>
    </w:p>
    <w:p>
      <w:pPr>
        <w:pStyle w:val="BodyText"/>
        <w:jc w:val="both"/>
        <w:rPr>
          <w:noProof/>
        </w:rPr>
      </w:pPr>
      <w:r>
        <w:rPr>
          <w:noProof/>
        </w:rPr>
        <w:t>Prezentul raport, care vizează anul 2024, este cel de al șaptelea raport anual privind subvențiile pentru energie și progresele înregistrate în direcția eliminării treptate a subvențiilor pentru combustibilii fosili</w:t>
      </w:r>
      <w:r>
        <w:rPr>
          <w:rStyle w:val="FootnoteReference"/>
          <w:rFonts w:eastAsia="MS Mincho"/>
          <w:noProof/>
        </w:rPr>
        <w:footnoteReference w:id="1"/>
      </w:r>
      <w:r>
        <w:rPr>
          <w:noProof/>
        </w:rPr>
        <w:t>. Raportul confirmă că există o scădere semnificativă a subvențiilor temporare pentru combaterea prețurilor ridicate la energie care au rezultat în urma crizei energetice din 2022, o revenire a subvențiilor pentru energia din surse regenerabile, o creștere a sprijinului pentru eficiența energetică și infrastructură și o reducere globală a subvențiilor pentru combustibilii fosili față de anul 2023</w:t>
      </w:r>
      <w:r>
        <w:rPr>
          <w:rStyle w:val="FootnoteReference"/>
          <w:rFonts w:eastAsia="MS Mincho"/>
          <w:noProof/>
        </w:rPr>
        <w:footnoteReference w:id="2"/>
      </w:r>
      <w:r>
        <w:rPr>
          <w:noProof/>
        </w:rPr>
        <w:t>. Cu toate acestea, cheltuielile statelor membre cu subvențiile pentru energie, inclusiv pentru combustibilii fosili, sunt în continuare ridicate în comparație cu situația anterioară crizei din 2022.</w:t>
      </w:r>
    </w:p>
    <w:p>
      <w:pPr>
        <w:pStyle w:val="BodyText"/>
        <w:jc w:val="both"/>
        <w:rPr>
          <w:noProof/>
        </w:rPr>
      </w:pPr>
      <w:r>
        <w:rPr>
          <w:noProof/>
        </w:rPr>
        <w:t>Datele din prezentul raport nu vizează evoluțiile mai recente din 2025 și 2026 și nici răspunsurile statelor membre la conflictul din Orientul Mijlociu.</w:t>
      </w:r>
    </w:p>
    <w:p>
      <w:pPr>
        <w:pStyle w:val="BodyText"/>
        <w:pBdr>
          <w:top w:val="single" w:sz="4" w:space="1" w:color="auto"/>
          <w:left w:val="single" w:sz="4" w:space="4" w:color="auto"/>
          <w:bottom w:val="single" w:sz="4" w:space="1" w:color="auto"/>
          <w:right w:val="single" w:sz="4" w:space="4" w:color="auto"/>
        </w:pBdr>
        <w:jc w:val="both"/>
        <w:rPr>
          <w:b/>
          <w:bCs/>
          <w:i/>
          <w:iCs/>
          <w:noProof/>
        </w:rPr>
      </w:pPr>
      <w:bookmarkStart w:id="1" w:name="_Hlk223529024"/>
      <w:r>
        <w:rPr>
          <w:b/>
          <w:i/>
          <w:noProof/>
        </w:rPr>
        <w:t>Constatări principale:</w:t>
      </w:r>
    </w:p>
    <w:p>
      <w:pPr>
        <w:pStyle w:val="BodyText"/>
        <w:pBdr>
          <w:top w:val="single" w:sz="4" w:space="1" w:color="auto"/>
          <w:left w:val="single" w:sz="4" w:space="4" w:color="auto"/>
          <w:bottom w:val="single" w:sz="4" w:space="1" w:color="auto"/>
          <w:right w:val="single" w:sz="4" w:space="4" w:color="auto"/>
        </w:pBdr>
        <w:jc w:val="both"/>
        <w:rPr>
          <w:noProof/>
        </w:rPr>
      </w:pPr>
      <w:r>
        <w:rPr>
          <w:noProof/>
        </w:rPr>
        <w:t xml:space="preserve">În 2024, </w:t>
      </w:r>
      <w:r>
        <w:rPr>
          <w:i/>
          <w:noProof/>
        </w:rPr>
        <w:t>subvențiile totale pentru energie</w:t>
      </w:r>
      <w:r>
        <w:rPr>
          <w:noProof/>
        </w:rPr>
        <w:t xml:space="preserve"> în UE s-au ridicat la 340 de miliarde EUR, înregistrând o ușoară scădere (-5 %) față de 2023 (360 de miliarde EUR) și fiind semnificativ mai mici (-25 %) decât în 2022, în punctul culminant al crizei (457 de miliarde EUR). Cu toate acestea, ele au fost în continuare cu mult peste media istorică (190 de miliarde EUR în perioada 2015-2019).</w:t>
      </w:r>
    </w:p>
    <w:p>
      <w:pPr>
        <w:pStyle w:val="BodyText"/>
        <w:pBdr>
          <w:top w:val="single" w:sz="4" w:space="1" w:color="auto"/>
          <w:left w:val="single" w:sz="4" w:space="4" w:color="auto"/>
          <w:bottom w:val="single" w:sz="4" w:space="1" w:color="auto"/>
          <w:right w:val="single" w:sz="4" w:space="4" w:color="auto"/>
        </w:pBdr>
        <w:jc w:val="both"/>
        <w:rPr>
          <w:noProof/>
        </w:rPr>
      </w:pPr>
      <w:bookmarkStart w:id="2" w:name="_Hlk223529256"/>
      <w:bookmarkEnd w:id="1"/>
      <w:r>
        <w:rPr>
          <w:noProof/>
        </w:rPr>
        <w:t xml:space="preserve">Ponderea </w:t>
      </w:r>
      <w:r>
        <w:rPr>
          <w:i/>
          <w:noProof/>
        </w:rPr>
        <w:t>subvențiilor nespecifice pentru energie</w:t>
      </w:r>
      <w:r>
        <w:rPr>
          <w:noProof/>
        </w:rPr>
        <w:t>, în favoarea utilizării tuturor purtătorilor de energie la nivelul tuturor utilizatorilor finali în mod transsectorial, a fost în continuare ridicată, situându-se la aproape jumătate din totalul subvențiilor pentru energie (48 %) și la mai mult de dublul mediei istorice (21 % în perioada 2015-2019).</w:t>
      </w:r>
    </w:p>
    <w:p>
      <w:pPr>
        <w:pStyle w:val="BodyText"/>
        <w:pBdr>
          <w:top w:val="single" w:sz="4" w:space="1" w:color="auto"/>
          <w:left w:val="single" w:sz="4" w:space="4" w:color="auto"/>
          <w:bottom w:val="single" w:sz="4" w:space="1" w:color="auto"/>
          <w:right w:val="single" w:sz="4" w:space="4" w:color="auto"/>
        </w:pBdr>
        <w:jc w:val="both"/>
        <w:rPr>
          <w:noProof/>
        </w:rPr>
      </w:pPr>
      <w:r>
        <w:rPr>
          <w:i/>
          <w:noProof/>
        </w:rPr>
        <w:t>Măsurile temporare</w:t>
      </w:r>
      <w:r>
        <w:rPr>
          <w:noProof/>
        </w:rPr>
        <w:t xml:space="preserve"> care vizează abordarea prețurilor ridicate la energie au scăzut ca valoare cu 38 % (până la 98 de miliarde EUR) în 2024 față de 2023 și s-au situat sub jumătate din valoarea lor (-55 %) față de 2022 (219 miliarde EUR), deoarece statele membre au pus capăt multor astfel de măsuri de sprijin ca răspuns la scăderea prețurilor la energie după nivelurile lor maxime istorice din 2022 și 2023. Totuși, aceste valori nu au atins încă obiectivul stabilit de Consiliu de a elimina complet subvențiile legate de criza energetică până în 2024</w:t>
      </w:r>
      <w:r>
        <w:rPr>
          <w:rStyle w:val="FootnoteReference"/>
          <w:rFonts w:eastAsia="MS Mincho"/>
          <w:noProof/>
        </w:rPr>
        <w:footnoteReference w:id="3"/>
      </w:r>
      <w:r>
        <w:rPr>
          <w:noProof/>
        </w:rPr>
        <w:t>.</w:t>
      </w:r>
    </w:p>
    <w:p>
      <w:pPr>
        <w:pStyle w:val="BodyText"/>
        <w:pBdr>
          <w:top w:val="single" w:sz="4" w:space="1" w:color="auto"/>
          <w:left w:val="single" w:sz="4" w:space="4" w:color="auto"/>
          <w:bottom w:val="single" w:sz="4" w:space="1" w:color="auto"/>
          <w:right w:val="single" w:sz="4" w:space="4" w:color="auto"/>
        </w:pBdr>
        <w:jc w:val="both"/>
        <w:rPr>
          <w:noProof/>
        </w:rPr>
      </w:pPr>
      <w:r>
        <w:rPr>
          <w:noProof/>
        </w:rPr>
        <w:lastRenderedPageBreak/>
        <w:t xml:space="preserve">În 2024, </w:t>
      </w:r>
      <w:r>
        <w:rPr>
          <w:i/>
          <w:noProof/>
        </w:rPr>
        <w:t>subvențiile pentru energia din surse regenerabile</w:t>
      </w:r>
      <w:r>
        <w:rPr>
          <w:noProof/>
        </w:rPr>
        <w:t xml:space="preserve"> au crescut la 76 de miliarde EUR, ceea ce reprezintă o creștere cu 39 % a valorii față de 2023 (55 de miliarde EUR), rămânând totuși cu aproximativ 12 % sub media din perioada 2015-2021 (87 de miliarde EUR).</w:t>
      </w:r>
    </w:p>
    <w:p>
      <w:pPr>
        <w:pStyle w:val="BodyText"/>
        <w:pBdr>
          <w:top w:val="single" w:sz="4" w:space="1" w:color="auto"/>
          <w:left w:val="single" w:sz="4" w:space="4" w:color="auto"/>
          <w:bottom w:val="single" w:sz="4" w:space="1" w:color="auto"/>
          <w:right w:val="single" w:sz="4" w:space="4" w:color="auto"/>
        </w:pBdr>
        <w:jc w:val="both"/>
        <w:rPr>
          <w:noProof/>
        </w:rPr>
      </w:pPr>
      <w:r>
        <w:rPr>
          <w:noProof/>
        </w:rPr>
        <w:t xml:space="preserve">În 2024, </w:t>
      </w:r>
      <w:r>
        <w:rPr>
          <w:i/>
          <w:noProof/>
        </w:rPr>
        <w:t>subvențiile pentru combustibilii fosili</w:t>
      </w:r>
      <w:r>
        <w:rPr>
          <w:noProof/>
        </w:rPr>
        <w:t xml:space="preserve"> au fost în valoare de 97 de miliarde EUR, cu mult peste media de 60 de miliarde EUR</w:t>
      </w:r>
      <w:r>
        <w:rPr>
          <w:rStyle w:val="FootnoteReference"/>
          <w:rFonts w:eastAsia="MS Mincho"/>
          <w:noProof/>
        </w:rPr>
        <w:footnoteReference w:id="4"/>
      </w:r>
      <w:r>
        <w:rPr>
          <w:noProof/>
        </w:rPr>
        <w:t xml:space="preserve"> din perioada 2015-2019. Totuși, în 2024, din cauza eliminării treptate a multor măsuri temporare de criză, subvențiile pentru combustibilii fosili au scăzut cu 20 % față de 2023 (121 de miliarde EUR) și cu 42 % față de nivelul lor maxim din 2022 (168 de miliarde EUR).</w:t>
      </w:r>
    </w:p>
    <w:p>
      <w:pPr>
        <w:pStyle w:val="BodyText"/>
        <w:pBdr>
          <w:top w:val="single" w:sz="4" w:space="1" w:color="auto"/>
          <w:left w:val="single" w:sz="4" w:space="4" w:color="auto"/>
          <w:bottom w:val="single" w:sz="4" w:space="1" w:color="auto"/>
          <w:right w:val="single" w:sz="4" w:space="4" w:color="auto"/>
        </w:pBdr>
        <w:jc w:val="both"/>
        <w:rPr>
          <w:noProof/>
        </w:rPr>
      </w:pPr>
      <w:bookmarkStart w:id="3" w:name="_Hlk223529804"/>
      <w:bookmarkEnd w:id="2"/>
      <w:r>
        <w:rPr>
          <w:i/>
          <w:noProof/>
        </w:rPr>
        <w:t>Scopul subvențiilor pentru energie</w:t>
      </w:r>
      <w:r>
        <w:rPr>
          <w:noProof/>
        </w:rPr>
        <w:t xml:space="preserve"> a rămas în primul rând acela de a sprijini consumul de energie (70 % din totalul subvențiilor pentru energie sau 238 de miliarde EUR în 2024) și apoi de a sprijini producția de energie (24 % sau 82 de miliarde EUR).</w:t>
      </w:r>
    </w:p>
    <w:bookmarkEnd w:id="3"/>
    <w:p>
      <w:pPr>
        <w:pStyle w:val="BodyText"/>
        <w:pBdr>
          <w:top w:val="single" w:sz="4" w:space="1" w:color="auto"/>
          <w:left w:val="single" w:sz="4" w:space="4" w:color="auto"/>
          <w:bottom w:val="single" w:sz="4" w:space="1" w:color="auto"/>
          <w:right w:val="single" w:sz="4" w:space="4" w:color="auto"/>
        </w:pBdr>
        <w:jc w:val="both"/>
        <w:rPr>
          <w:noProof/>
        </w:rPr>
      </w:pPr>
      <w:r>
        <w:rPr>
          <w:noProof/>
        </w:rPr>
        <w:t xml:space="preserve">În 2024, </w:t>
      </w:r>
      <w:r>
        <w:rPr>
          <w:i/>
          <w:noProof/>
        </w:rPr>
        <w:t>subvențiile dăunătoare mediului</w:t>
      </w:r>
      <w:r>
        <w:rPr>
          <w:noProof/>
        </w:rPr>
        <w:t xml:space="preserve"> au scăzut cu 26 %, ajungând la 110 miliarde EUR (32 % din total), în timp ce </w:t>
      </w:r>
      <w:r>
        <w:rPr>
          <w:i/>
          <w:noProof/>
        </w:rPr>
        <w:t>subvențiile pentru energie care nu sunt dăunătoare mediului</w:t>
      </w:r>
      <w:r>
        <w:rPr>
          <w:noProof/>
        </w:rPr>
        <w:t xml:space="preserve"> au crescut cu 10 %, ajungând la 230 de miliarde EUR (68 %). </w:t>
      </w:r>
      <w:r>
        <w:rPr>
          <w:i/>
          <w:noProof/>
        </w:rPr>
        <w:t>Cea mai mare parte a subvențiilor dăunătoare mediului</w:t>
      </w:r>
      <w:r>
        <w:rPr>
          <w:noProof/>
        </w:rPr>
        <w:t xml:space="preserve"> (89 de miliarde EUR sau 81 %) a fost reprezentată de </w:t>
      </w:r>
      <w:r>
        <w:rPr>
          <w:i/>
          <w:noProof/>
        </w:rPr>
        <w:t>subvențiile pentru combustibilii fosili</w:t>
      </w:r>
      <w:r>
        <w:rPr>
          <w:rStyle w:val="FootnoteReference"/>
          <w:rFonts w:eastAsia="MS Mincho"/>
          <w:iCs/>
          <w:noProof/>
        </w:rPr>
        <w:footnoteReference w:id="5"/>
      </w:r>
      <w:r>
        <w:rPr>
          <w:noProof/>
        </w:rPr>
        <w:t>.</w:t>
      </w:r>
    </w:p>
    <w:p>
      <w:pPr>
        <w:pStyle w:val="BodyText"/>
        <w:pBdr>
          <w:top w:val="single" w:sz="4" w:space="1" w:color="auto"/>
          <w:left w:val="single" w:sz="4" w:space="4" w:color="auto"/>
          <w:bottom w:val="single" w:sz="4" w:space="1" w:color="auto"/>
          <w:right w:val="single" w:sz="4" w:space="4" w:color="auto"/>
        </w:pBdr>
        <w:jc w:val="both"/>
        <w:rPr>
          <w:noProof/>
        </w:rPr>
      </w:pPr>
      <w:bookmarkStart w:id="4" w:name="_Hlk223529821"/>
      <w:r>
        <w:rPr>
          <w:noProof/>
        </w:rPr>
        <w:t xml:space="preserve">Conform </w:t>
      </w:r>
      <w:r>
        <w:rPr>
          <w:i/>
          <w:noProof/>
        </w:rPr>
        <w:t>planurilor naționale de eliminare treptată comunicate de statele membre în 2023 și 2024</w:t>
      </w:r>
      <w:r>
        <w:rPr>
          <w:rStyle w:val="FootnoteReference"/>
          <w:rFonts w:eastAsia="MS Mincho"/>
          <w:iCs/>
          <w:noProof/>
        </w:rPr>
        <w:footnoteReference w:id="6"/>
      </w:r>
      <w:r>
        <w:rPr>
          <w:noProof/>
        </w:rPr>
        <w:t>, mai puțin de jumătate (39 % sau 38 de miliarde EUR) din totalul subvențiilor pentru combustibilii fosili aveau un termen-limită planificat înainte de 2025, alte 8 % (8 miliarde EUR) aveau un termen-limită planificat între 2026 și 2030, în timp ce restul de 52 % (50 de miliarde EUR) fie nu aveau un termen-limită, fie aveau un termen-limită stabilit după 2030.</w:t>
      </w:r>
    </w:p>
    <w:bookmarkEnd w:id="4"/>
    <w:p>
      <w:pPr>
        <w:pStyle w:val="BodyText"/>
        <w:jc w:val="both"/>
        <w:rPr>
          <w:noProof/>
        </w:rPr>
      </w:pPr>
    </w:p>
    <w:p>
      <w:pPr>
        <w:pStyle w:val="Heading1"/>
        <w:pageBreakBefore/>
        <w:rPr>
          <w:noProof/>
        </w:rPr>
      </w:pPr>
      <w:r>
        <w:rPr>
          <w:noProof/>
        </w:rPr>
        <w:lastRenderedPageBreak/>
        <w:t>Tendințele subvențiilor pentru energie în UE</w:t>
      </w:r>
    </w:p>
    <w:p>
      <w:pPr>
        <w:pStyle w:val="Bullet-1"/>
        <w:numPr>
          <w:ilvl w:val="0"/>
          <w:numId w:val="0"/>
        </w:numPr>
        <w:spacing w:after="200"/>
        <w:rPr>
          <w:noProof/>
          <w:sz w:val="24"/>
          <w:szCs w:val="24"/>
        </w:rPr>
      </w:pPr>
      <w:r>
        <w:rPr>
          <w:rFonts w:ascii="Times New Roman" w:hAnsi="Times New Roman"/>
          <w:noProof/>
          <w:sz w:val="24"/>
        </w:rPr>
        <w:t xml:space="preserve">În 2024, valoarea totală a </w:t>
      </w:r>
      <w:r>
        <w:rPr>
          <w:rFonts w:ascii="Times New Roman" w:hAnsi="Times New Roman"/>
          <w:b/>
          <w:noProof/>
          <w:sz w:val="24"/>
        </w:rPr>
        <w:t>subvențiilor pentru energie în UE-27 a scăzut</w:t>
      </w:r>
      <w:r>
        <w:rPr>
          <w:rFonts w:ascii="Times New Roman" w:hAnsi="Times New Roman"/>
          <w:noProof/>
          <w:sz w:val="24"/>
        </w:rPr>
        <w:t xml:space="preserve"> cu 5 %, ajungând la 340 de miliarde EUR, față de 358 de miliarde EUR în 2023. Acesta a fost al doilea an consecutiv în care valoarea totală a subvențiilor pentru energie a scăzut, ajungând la 25 % sub nivelul maxim istoric de 457 de miliarde EUR</w:t>
      </w:r>
      <w:r>
        <w:rPr>
          <w:rFonts w:ascii="Times New Roman" w:eastAsia="MS Mincho" w:hAnsi="Times New Roman"/>
          <w:noProof/>
          <w:sz w:val="24"/>
          <w:szCs w:val="24"/>
          <w:vertAlign w:val="superscript"/>
        </w:rPr>
        <w:footnoteReference w:id="7"/>
      </w:r>
      <w:r>
        <w:rPr>
          <w:rFonts w:ascii="Times New Roman" w:hAnsi="Times New Roman"/>
          <w:noProof/>
          <w:sz w:val="24"/>
        </w:rPr>
        <w:t xml:space="preserve"> atins în 2022. Această scădere reflectă deciziile mai multor state membre de a întrerupe măsurile temporare de protejare a gospodăriilor și a activității economice împotriva creșterii prețurilor la energie (</w:t>
      </w:r>
      <w:r>
        <w:rPr>
          <w:rFonts w:ascii="Times New Roman" w:hAnsi="Times New Roman"/>
          <w:noProof/>
          <w:color w:val="2B579A"/>
          <w:sz w:val="24"/>
          <w:shd w:val="clear" w:color="auto" w:fill="E6E6E6"/>
        </w:rPr>
        <w:fldChar w:fldCharType="begin"/>
      </w:r>
      <w:r>
        <w:rPr>
          <w:rFonts w:ascii="Times New Roman" w:hAnsi="Times New Roman"/>
          <w:noProof/>
          <w:sz w:val="24"/>
        </w:rPr>
        <w:instrText xml:space="preserve"> REF _Ref140835769 \h </w:instrText>
      </w:r>
      <w:r>
        <w:rPr>
          <w:rFonts w:ascii="Times New Roman" w:hAnsi="Times New Roman"/>
          <w:noProof/>
          <w:color w:val="2B579A"/>
          <w:sz w:val="24"/>
          <w:shd w:val="clear" w:color="auto" w:fill="E6E6E6"/>
        </w:rPr>
        <w:instrText xml:space="preserve"> \* MERGEFORMAT </w:instrText>
      </w:r>
      <w:r>
        <w:rPr>
          <w:rFonts w:ascii="Times New Roman" w:hAnsi="Times New Roman"/>
          <w:noProof/>
          <w:color w:val="2B579A"/>
          <w:sz w:val="24"/>
          <w:shd w:val="clear" w:color="auto" w:fill="E6E6E6"/>
        </w:rPr>
      </w:r>
      <w:r>
        <w:rPr>
          <w:rFonts w:ascii="Times New Roman" w:hAnsi="Times New Roman"/>
          <w:noProof/>
          <w:color w:val="2B579A"/>
          <w:sz w:val="24"/>
          <w:shd w:val="clear" w:color="auto" w:fill="E6E6E6"/>
        </w:rPr>
        <w:fldChar w:fldCharType="separate"/>
      </w:r>
      <w:r>
        <w:rPr>
          <w:rFonts w:ascii="Times New Roman" w:hAnsi="Times New Roman"/>
          <w:noProof/>
          <w:sz w:val="24"/>
        </w:rPr>
        <w:t>figura 1</w:t>
      </w:r>
      <w:r>
        <w:rPr>
          <w:rFonts w:ascii="Times New Roman" w:hAnsi="Times New Roman"/>
          <w:noProof/>
          <w:color w:val="2B579A"/>
          <w:sz w:val="24"/>
          <w:shd w:val="clear" w:color="auto" w:fill="E6E6E6"/>
        </w:rPr>
        <w:fldChar w:fldCharType="end"/>
      </w:r>
      <w:r>
        <w:rPr>
          <w:rFonts w:ascii="Times New Roman" w:hAnsi="Times New Roman"/>
          <w:noProof/>
          <w:sz w:val="24"/>
        </w:rPr>
        <w:t xml:space="preserve">). Totuși, valoarea totală a subvențiilor pentru energie a fost în continuare cu mult </w:t>
      </w:r>
      <w:r>
        <w:rPr>
          <w:rFonts w:ascii="Times New Roman" w:hAnsi="Times New Roman"/>
          <w:b/>
          <w:noProof/>
          <w:sz w:val="24"/>
        </w:rPr>
        <w:t>peste media istorică</w:t>
      </w:r>
      <w:r>
        <w:rPr>
          <w:rFonts w:ascii="Times New Roman" w:hAnsi="Times New Roman"/>
          <w:noProof/>
          <w:sz w:val="24"/>
        </w:rPr>
        <w:t xml:space="preserve"> (190 de miliarde EUR, 2015-2019).</w:t>
      </w:r>
    </w:p>
    <w:p>
      <w:pPr>
        <w:pStyle w:val="BodyText"/>
        <w:spacing w:after="0"/>
        <w:jc w:val="both"/>
        <w:rPr>
          <w:noProof/>
        </w:rPr>
      </w:pPr>
    </w:p>
    <w:p>
      <w:pPr>
        <w:pStyle w:val="BodyText"/>
        <w:spacing w:after="0"/>
        <w:jc w:val="both"/>
        <w:rPr>
          <w:noProof/>
        </w:rPr>
      </w:pPr>
    </w:p>
    <w:p>
      <w:pPr>
        <w:pStyle w:val="BodyText"/>
        <w:spacing w:after="0"/>
        <w:jc w:val="both"/>
        <w:rPr>
          <w:noProof/>
        </w:rPr>
      </w:pPr>
      <w:r>
        <w:rPr>
          <w:noProof/>
        </w:rPr>
        <w:drawing>
          <wp:inline distT="0" distB="0" distL="0" distR="0">
            <wp:extent cx="5557962" cy="2838711"/>
            <wp:effectExtent l="0" t="0" r="5080" b="0"/>
            <wp:docPr id="785070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571692" cy="2845724"/>
                    </a:xfrm>
                    <a:prstGeom prst="rect">
                      <a:avLst/>
                    </a:prstGeom>
                    <a:noFill/>
                    <a:ln>
                      <a:noFill/>
                    </a:ln>
                  </pic:spPr>
                </pic:pic>
              </a:graphicData>
            </a:graphic>
          </wp:inline>
        </w:drawing>
      </w:r>
    </w:p>
    <w:p>
      <w:pPr>
        <w:pStyle w:val="Caption"/>
        <w:spacing w:after="0"/>
        <w:contextualSpacing/>
        <w:jc w:val="center"/>
        <w:rPr>
          <w:noProof/>
        </w:rPr>
      </w:pPr>
      <w:bookmarkStart w:id="5" w:name="_Ref140835769"/>
      <w:bookmarkStart w:id="6" w:name="_Toc145348065"/>
      <w:bookmarkStart w:id="7" w:name="_Ref174543588"/>
      <w:r>
        <w:rPr>
          <w:noProof/>
        </w:rPr>
        <w:t xml:space="preserve">Figura </w:t>
      </w:r>
      <w:r>
        <w:rPr>
          <w:noProof/>
        </w:rPr>
        <w:fldChar w:fldCharType="begin"/>
      </w:r>
      <w:r>
        <w:rPr>
          <w:noProof/>
        </w:rPr>
        <w:instrText xml:space="preserve"> SEQ Figure \* ARABIC </w:instrText>
      </w:r>
      <w:r>
        <w:rPr>
          <w:noProof/>
        </w:rPr>
        <w:fldChar w:fldCharType="separate"/>
      </w:r>
      <w:r>
        <w:rPr>
          <w:noProof/>
        </w:rPr>
        <w:t>1</w:t>
      </w:r>
      <w:r>
        <w:rPr>
          <w:noProof/>
        </w:rPr>
        <w:fldChar w:fldCharType="end"/>
      </w:r>
      <w:bookmarkEnd w:id="5"/>
      <w:r>
        <w:rPr>
          <w:noProof/>
        </w:rPr>
        <w:t>: Totalul subvențiilor pentru energie în UE-27</w:t>
      </w:r>
      <w:bookmarkEnd w:id="6"/>
      <w:bookmarkEnd w:id="7"/>
      <w:r>
        <w:rPr>
          <w:noProof/>
        </w:rPr>
        <w:t xml:space="preserve"> în funcție de sursa de energie</w:t>
      </w:r>
    </w:p>
    <w:p>
      <w:pPr>
        <w:pStyle w:val="Caption"/>
        <w:spacing w:after="0"/>
        <w:contextualSpacing/>
        <w:jc w:val="center"/>
        <w:rPr>
          <w:noProof/>
        </w:rPr>
      </w:pPr>
      <w:r>
        <w:rPr>
          <w:rStyle w:val="SourceCar"/>
          <w:noProof/>
        </w:rPr>
        <w:t>Sursă: Enerdata, Trinomics, 2025. Notă: estimările pentru 2024 sunt reprezentate prin hașurare.</w:t>
      </w:r>
      <w:bookmarkStart w:id="8" w:name="_Hlk219971192"/>
    </w:p>
    <w:p>
      <w:pPr>
        <w:pStyle w:val="BodyText"/>
        <w:jc w:val="both"/>
        <w:rPr>
          <w:i/>
          <w:iCs/>
          <w:noProof/>
        </w:rPr>
      </w:pPr>
    </w:p>
    <w:p>
      <w:pPr>
        <w:rPr>
          <w:rFonts w:ascii="Times New Roman" w:hAnsi="Times New Roman" w:cs="Times New Roman"/>
          <w:noProof/>
          <w:sz w:val="24"/>
          <w:szCs w:val="24"/>
        </w:rPr>
      </w:pPr>
      <w:r>
        <w:rPr>
          <w:rFonts w:ascii="Times New Roman" w:hAnsi="Times New Roman"/>
          <w:noProof/>
          <w:sz w:val="24"/>
        </w:rPr>
        <w:t xml:space="preserve">În 2024, </w:t>
      </w:r>
      <w:r>
        <w:rPr>
          <w:rFonts w:ascii="Times New Roman" w:hAnsi="Times New Roman"/>
          <w:b/>
          <w:noProof/>
          <w:sz w:val="24"/>
        </w:rPr>
        <w:t>subvențiile pentru combustibilii fosili</w:t>
      </w:r>
      <w:r>
        <w:rPr>
          <w:rFonts w:ascii="Times New Roman" w:hAnsi="Times New Roman"/>
          <w:noProof/>
          <w:sz w:val="24"/>
        </w:rPr>
        <w:t xml:space="preserve"> (96 de miliarde EUR) </w:t>
      </w:r>
      <w:r>
        <w:rPr>
          <w:rFonts w:ascii="Times New Roman" w:hAnsi="Times New Roman"/>
          <w:b/>
          <w:noProof/>
          <w:sz w:val="24"/>
        </w:rPr>
        <w:t>au scăzut</w:t>
      </w:r>
      <w:r>
        <w:rPr>
          <w:rFonts w:ascii="Times New Roman" w:hAnsi="Times New Roman"/>
          <w:noProof/>
          <w:sz w:val="24"/>
        </w:rPr>
        <w:t xml:space="preserve"> cu 20 % față de 2023 (120 de miliarde EUR) și cu 42 % față de nivelul lor record din 2022 (168 de miliarde EUR). Totuși, ele au fost în continuare cu 62 % </w:t>
      </w:r>
      <w:r>
        <w:rPr>
          <w:rFonts w:ascii="Times New Roman" w:hAnsi="Times New Roman"/>
          <w:b/>
          <w:noProof/>
          <w:sz w:val="24"/>
        </w:rPr>
        <w:t>peste media istorică</w:t>
      </w:r>
      <w:r>
        <w:rPr>
          <w:rFonts w:ascii="Times New Roman" w:hAnsi="Times New Roman"/>
          <w:noProof/>
          <w:sz w:val="24"/>
        </w:rPr>
        <w:t xml:space="preserve"> pe cinci ani (59 de miliarde EUR în perioada 2015-2019).</w:t>
      </w:r>
    </w:p>
    <w:bookmarkEnd w:id="8"/>
    <w:p>
      <w:pPr>
        <w:pStyle w:val="BodyText"/>
        <w:jc w:val="both"/>
        <w:rPr>
          <w:noProof/>
        </w:rPr>
      </w:pPr>
      <w:r>
        <w:rPr>
          <w:b/>
          <w:noProof/>
        </w:rPr>
        <w:t>Subvențiile pentru energia din surse regenerabile au crescut</w:t>
      </w:r>
      <w:r>
        <w:rPr>
          <w:noProof/>
        </w:rPr>
        <w:t xml:space="preserve"> la 76 de miliarde EUR (+39 %) în 2024. Punerea în aplicare a programelor UE, în special a Mecanismului de redresare și reziliență, cu 27 de capitole dedicate REPowerEU, a stimulat statele membre să accelereze introducerea surselor regenerabile de energie. Cu toate acestea, </w:t>
      </w:r>
      <w:r>
        <w:rPr>
          <w:b/>
          <w:noProof/>
        </w:rPr>
        <w:t>subvențiile pentru energia din surse regenerabile erau</w:t>
      </w:r>
      <w:r>
        <w:rPr>
          <w:noProof/>
        </w:rPr>
        <w:t xml:space="preserve"> în continuare cu 12 % </w:t>
      </w:r>
      <w:r>
        <w:rPr>
          <w:b/>
          <w:noProof/>
        </w:rPr>
        <w:t>sub media lor istorică</w:t>
      </w:r>
      <w:r>
        <w:rPr>
          <w:noProof/>
        </w:rPr>
        <w:t xml:space="preserve"> (86 de miliarde EUR în perioada 2015-2019). Subvențiile pentru anumiți purtători de energie din surse regenerabile au crescut considerabil, în timp ce subvențiile pentru toți vectorii de combustibili fosili au scăzut substanțial. </w:t>
      </w:r>
      <w:r>
        <w:rPr>
          <w:b/>
          <w:noProof/>
        </w:rPr>
        <w:t>Subvențiile pentru hidrogen au fost de trei ori mai mari</w:t>
      </w:r>
      <w:r>
        <w:rPr>
          <w:noProof/>
        </w:rPr>
        <w:t xml:space="preserve"> decât </w:t>
      </w:r>
      <w:r>
        <w:rPr>
          <w:noProof/>
        </w:rPr>
        <w:lastRenderedPageBreak/>
        <w:t xml:space="preserve">în 2023 și de patru ori mai mari decât în 2022, în timp ce </w:t>
      </w:r>
      <w:r>
        <w:rPr>
          <w:b/>
          <w:noProof/>
        </w:rPr>
        <w:t>subvențiile pentru bioenergie au avut valori aproape de două ori mai mari</w:t>
      </w:r>
      <w:r>
        <w:rPr>
          <w:noProof/>
        </w:rPr>
        <w:t xml:space="preserve"> decât în 2023.</w:t>
      </w:r>
    </w:p>
    <w:p>
      <w:pPr>
        <w:pStyle w:val="BodyText"/>
        <w:jc w:val="both"/>
        <w:rPr>
          <w:noProof/>
        </w:rPr>
      </w:pPr>
      <w:r>
        <w:rPr>
          <w:b/>
          <w:noProof/>
        </w:rPr>
        <w:t>Subvențiile pentru cărbune</w:t>
      </w:r>
      <w:r>
        <w:rPr>
          <w:noProof/>
        </w:rPr>
        <w:t xml:space="preserve"> au înregistrat cea mai mare scădere (-37 %), urmate de cele pentru </w:t>
      </w:r>
      <w:r>
        <w:rPr>
          <w:b/>
          <w:noProof/>
        </w:rPr>
        <w:t>gaze naturale</w:t>
      </w:r>
      <w:r>
        <w:rPr>
          <w:noProof/>
        </w:rPr>
        <w:t xml:space="preserve"> (-23 %) și, respectiv, </w:t>
      </w:r>
      <w:r>
        <w:rPr>
          <w:b/>
          <w:noProof/>
        </w:rPr>
        <w:t>petrol</w:t>
      </w:r>
      <w:r>
        <w:rPr>
          <w:noProof/>
        </w:rPr>
        <w:t xml:space="preserve"> (-10 %).</w:t>
      </w:r>
    </w:p>
    <w:p>
      <w:pPr>
        <w:pStyle w:val="BodyText"/>
        <w:jc w:val="both"/>
        <w:rPr>
          <w:rFonts w:cs="Consolas"/>
          <w:noProof/>
        </w:rPr>
      </w:pPr>
      <w:r>
        <w:rPr>
          <w:noProof/>
        </w:rPr>
        <w:t xml:space="preserve">În 2024, </w:t>
      </w:r>
      <w:r>
        <w:rPr>
          <w:b/>
          <w:noProof/>
        </w:rPr>
        <w:t>subvențiile nespecifice pentru energie</w:t>
      </w:r>
      <w:r>
        <w:rPr>
          <w:noProof/>
        </w:rPr>
        <w:t xml:space="preserve"> („toate tipurile de energie”), care alocă sprijin financiar pentru toate sursele de energie sau pentru mai multe surse de energie, au reprezentat </w:t>
      </w:r>
      <w:r>
        <w:rPr>
          <w:b/>
          <w:noProof/>
        </w:rPr>
        <w:t>aproape jumătate din totalul subvențiilor pentru energie</w:t>
      </w:r>
      <w:r>
        <w:rPr>
          <w:noProof/>
        </w:rPr>
        <w:t xml:space="preserve"> (48 %) (figura </w:t>
      </w:r>
      <w:r>
        <w:rPr>
          <w:noProof/>
        </w:rPr>
        <w:fldChar w:fldCharType="begin"/>
      </w:r>
      <w:r>
        <w:rPr>
          <w:noProof/>
        </w:rPr>
        <w:instrText xml:space="preserve"> SEQ Figure \* ARABIC </w:instrText>
      </w:r>
      <w:r>
        <w:rPr>
          <w:noProof/>
        </w:rPr>
        <w:fldChar w:fldCharType="separate"/>
      </w:r>
      <w:r>
        <w:rPr>
          <w:noProof/>
        </w:rPr>
        <w:t>2</w:t>
      </w:r>
      <w:r>
        <w:rPr>
          <w:noProof/>
        </w:rPr>
        <w:fldChar w:fldCharType="end"/>
      </w:r>
      <w:r>
        <w:rPr>
          <w:noProof/>
          <w:color w:val="2B579A"/>
          <w:shd w:val="clear" w:color="auto" w:fill="E6E6E6"/>
        </w:rPr>
        <w:t>)</w:t>
      </w:r>
      <w:r>
        <w:rPr>
          <w:noProof/>
        </w:rPr>
        <w:t xml:space="preserve">. Deși ponderea subvențiilor nespecifice a scăzut moderat de la an la an (-2 puncte procentuale de la 50 % în 2023), aceasta s-a situat în continuare peste </w:t>
      </w:r>
      <w:r>
        <w:rPr>
          <w:b/>
          <w:noProof/>
        </w:rPr>
        <w:t>dublul mediei istorice</w:t>
      </w:r>
      <w:r>
        <w:rPr>
          <w:noProof/>
        </w:rPr>
        <w:t xml:space="preserve"> (21 %), reflectând valoarea încă ridicată a subvențiilor temporare acordate de statele membre pentru a atenua impactul crizei din 2022 asupra majorității surselor de energie, categoriilor de consumatori și sectoarelor.</w:t>
      </w:r>
    </w:p>
    <w:p>
      <w:pPr>
        <w:pStyle w:val="BodyText"/>
        <w:jc w:val="both"/>
        <w:rPr>
          <w:rFonts w:cs="Consolas"/>
          <w:noProof/>
        </w:rPr>
      </w:pPr>
      <w:r>
        <w:rPr>
          <w:rFonts w:cs="Consolas"/>
          <w:noProof/>
        </w:rPr>
        <w:drawing>
          <wp:inline distT="0" distB="0" distL="0" distR="0">
            <wp:extent cx="5744845" cy="2521279"/>
            <wp:effectExtent l="0" t="0" r="8255" b="0"/>
            <wp:docPr id="11185135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70774" cy="2532658"/>
                    </a:xfrm>
                    <a:prstGeom prst="rect">
                      <a:avLst/>
                    </a:prstGeom>
                    <a:noFill/>
                  </pic:spPr>
                </pic:pic>
              </a:graphicData>
            </a:graphic>
          </wp:inline>
        </w:drawing>
      </w:r>
    </w:p>
    <w:p>
      <w:pPr>
        <w:pStyle w:val="Caption"/>
        <w:spacing w:after="0"/>
        <w:contextualSpacing/>
        <w:jc w:val="center"/>
        <w:rPr>
          <w:noProof/>
        </w:rPr>
      </w:pPr>
      <w:r>
        <w:rPr>
          <w:noProof/>
        </w:rPr>
        <w:t xml:space="preserve">Figura </w:t>
      </w:r>
      <w:r>
        <w:rPr>
          <w:noProof/>
          <w:color w:val="2B579A"/>
          <w:shd w:val="clear" w:color="auto" w:fill="E6E6E6"/>
        </w:rPr>
        <w:t>2</w:t>
      </w:r>
      <w:r>
        <w:rPr>
          <w:noProof/>
        </w:rPr>
        <w:t>: Principalele surse de energie ca pondere în totalul subvențiilor pentru energie în UE-27</w:t>
      </w:r>
    </w:p>
    <w:p>
      <w:pPr>
        <w:pStyle w:val="Caption"/>
        <w:spacing w:after="0"/>
        <w:contextualSpacing/>
        <w:jc w:val="center"/>
        <w:rPr>
          <w:noProof/>
        </w:rPr>
      </w:pPr>
      <w:r>
        <w:rPr>
          <w:rStyle w:val="SourceCar"/>
          <w:noProof/>
        </w:rPr>
        <w:t>Sursă: Enerdata, Trinomics, 2025. Notă: estimările pentru 2024 sunt reprezentate prin hașurare.</w:t>
      </w:r>
    </w:p>
    <w:p>
      <w:pPr>
        <w:pStyle w:val="BodyText"/>
        <w:jc w:val="both"/>
        <w:rPr>
          <w:noProof/>
        </w:rPr>
      </w:pPr>
      <w:r>
        <w:rPr>
          <w:b/>
          <w:i/>
          <w:noProof/>
        </w:rPr>
        <w:t>Subvențiile</w:t>
      </w:r>
      <w:r>
        <w:rPr>
          <w:b/>
          <w:noProof/>
        </w:rPr>
        <w:t xml:space="preserve"> menite în mod specific să sprijine combustibilii fosili au reprezentat 28 % din totalul subvențiilor pentru energie în 2024</w:t>
      </w:r>
      <w:r>
        <w:rPr>
          <w:noProof/>
        </w:rPr>
        <w:t>, în scădere de la 34 % în 2023 și 37 % în 2022 și sub media istorică de 31 % (</w:t>
      </w:r>
      <w:r>
        <w:rPr>
          <w:noProof/>
          <w:color w:val="2B579A"/>
          <w:shd w:val="clear" w:color="auto" w:fill="E6E6E6"/>
        </w:rPr>
        <w:fldChar w:fldCharType="begin"/>
      </w:r>
      <w:r>
        <w:rPr>
          <w:noProof/>
        </w:rPr>
        <w:instrText xml:space="preserve"> REF _Ref145583430 \h </w:instrText>
      </w:r>
      <w:r>
        <w:rPr>
          <w:noProof/>
          <w:color w:val="2B579A"/>
          <w:shd w:val="clear" w:color="auto" w:fill="E6E6E6"/>
        </w:rPr>
        <w:instrText xml:space="preserve"> \* MERGEFORMAT </w:instrText>
      </w:r>
      <w:r>
        <w:rPr>
          <w:noProof/>
          <w:color w:val="2B579A"/>
          <w:shd w:val="clear" w:color="auto" w:fill="E6E6E6"/>
        </w:rPr>
      </w:r>
      <w:r>
        <w:rPr>
          <w:noProof/>
          <w:color w:val="2B579A"/>
          <w:shd w:val="clear" w:color="auto" w:fill="E6E6E6"/>
        </w:rPr>
        <w:fldChar w:fldCharType="separate"/>
      </w:r>
      <w:r>
        <w:rPr>
          <w:noProof/>
        </w:rPr>
        <w:t>figura 3</w:t>
      </w:r>
      <w:r>
        <w:rPr>
          <w:noProof/>
          <w:color w:val="2B579A"/>
          <w:shd w:val="clear" w:color="auto" w:fill="E6E6E6"/>
        </w:rPr>
        <w:fldChar w:fldCharType="end"/>
      </w:r>
      <w:r>
        <w:rPr>
          <w:noProof/>
        </w:rPr>
        <w:t xml:space="preserve">). </w:t>
      </w:r>
      <w:r>
        <w:rPr>
          <w:b/>
          <w:i/>
          <w:noProof/>
        </w:rPr>
        <w:t>Sursele regenerabile de energie</w:t>
      </w:r>
      <w:r>
        <w:rPr>
          <w:b/>
          <w:noProof/>
        </w:rPr>
        <w:t xml:space="preserve"> au primit 22 % din subvențiile pentru energie</w:t>
      </w:r>
      <w:r>
        <w:rPr>
          <w:noProof/>
        </w:rPr>
        <w:t xml:space="preserve"> în 2024 (în creștere de la 15 % în 2023 și 17 % în 2023), deoarece scăderea prețurilor de pe piață a sporit nevoia de sprijin financiar din partea instrumentelor dinamice de piață.</w:t>
      </w:r>
    </w:p>
    <w:p>
      <w:pPr>
        <w:pStyle w:val="BodyText"/>
        <w:jc w:val="both"/>
        <w:rPr>
          <w:noProof/>
        </w:rPr>
      </w:pPr>
      <w:r>
        <w:rPr>
          <w:noProof/>
        </w:rPr>
        <w:t xml:space="preserve">În ceea ce privește instrumentele de acordare a subvențiilor pentru energie, măsurile de </w:t>
      </w:r>
      <w:r>
        <w:rPr>
          <w:i/>
          <w:noProof/>
        </w:rPr>
        <w:t>sprijin pentru venituri și prețuri</w:t>
      </w:r>
      <w:r>
        <w:rPr>
          <w:noProof/>
        </w:rPr>
        <w:t xml:space="preserve"> au fost în continuare cea mai des întâlnită categorie de subvenții, reprezentând 41,5 % din total (</w:t>
      </w:r>
      <w:r>
        <w:rPr>
          <w:noProof/>
          <w:color w:val="2B579A"/>
          <w:shd w:val="clear" w:color="auto" w:fill="E6E6E6"/>
        </w:rPr>
        <w:fldChar w:fldCharType="begin"/>
      </w:r>
      <w:r>
        <w:rPr>
          <w:noProof/>
        </w:rPr>
        <w:instrText xml:space="preserve"> REF _Ref145583430 \h  \* MERGEFORMAT </w:instrText>
      </w:r>
      <w:r>
        <w:rPr>
          <w:noProof/>
          <w:color w:val="2B579A"/>
          <w:shd w:val="clear" w:color="auto" w:fill="E6E6E6"/>
        </w:rPr>
      </w:r>
      <w:r>
        <w:rPr>
          <w:noProof/>
          <w:color w:val="2B579A"/>
          <w:shd w:val="clear" w:color="auto" w:fill="E6E6E6"/>
        </w:rPr>
        <w:fldChar w:fldCharType="separate"/>
      </w:r>
      <w:r>
        <w:rPr>
          <w:noProof/>
        </w:rPr>
        <w:t>figura 3</w:t>
      </w:r>
      <w:r>
        <w:rPr>
          <w:noProof/>
          <w:color w:val="2B579A"/>
          <w:shd w:val="clear" w:color="auto" w:fill="E6E6E6"/>
        </w:rPr>
        <w:fldChar w:fldCharType="end"/>
      </w:r>
      <w:r>
        <w:rPr>
          <w:noProof/>
        </w:rPr>
        <w:t xml:space="preserve">), urmate de </w:t>
      </w:r>
      <w:r>
        <w:rPr>
          <w:i/>
          <w:noProof/>
        </w:rPr>
        <w:t>transferurile directe</w:t>
      </w:r>
      <w:r>
        <w:rPr>
          <w:noProof/>
        </w:rPr>
        <w:t xml:space="preserve"> (26,9 %) și, respectiv, </w:t>
      </w:r>
      <w:r>
        <w:rPr>
          <w:i/>
          <w:noProof/>
        </w:rPr>
        <w:t>măsurile fiscale</w:t>
      </w:r>
      <w:r>
        <w:rPr>
          <w:noProof/>
        </w:rPr>
        <w:t xml:space="preserve"> (26 %)</w:t>
      </w:r>
      <w:r>
        <w:rPr>
          <w:rStyle w:val="FootnoteReference"/>
          <w:rFonts w:eastAsia="MS Mincho"/>
          <w:noProof/>
        </w:rPr>
        <w:footnoteReference w:id="8"/>
      </w:r>
      <w:r>
        <w:rPr>
          <w:noProof/>
        </w:rPr>
        <w:t>.</w:t>
      </w:r>
    </w:p>
    <w:p>
      <w:pPr>
        <w:pStyle w:val="Caption"/>
        <w:spacing w:after="0"/>
        <w:jc w:val="center"/>
        <w:rPr>
          <w:rStyle w:val="SourceCar"/>
          <w:rFonts w:ascii="Calibri" w:eastAsia="Calibri" w:hAnsi="Calibri" w:cs="Arial"/>
          <w:i/>
          <w:iCs w:val="0"/>
          <w:noProof/>
          <w:color w:val="1F497D"/>
        </w:rPr>
      </w:pPr>
      <w:bookmarkStart w:id="9" w:name="_Ref145583430"/>
      <w:r>
        <w:rPr>
          <w:noProof/>
        </w:rPr>
        <w:t xml:space="preserve">Figura </w:t>
      </w:r>
      <w:r>
        <w:rPr>
          <w:noProof/>
        </w:rPr>
        <w:fldChar w:fldCharType="begin"/>
      </w:r>
      <w:r>
        <w:rPr>
          <w:noProof/>
        </w:rPr>
        <w:instrText xml:space="preserve"> SEQ Figure \* ARABIC </w:instrText>
      </w:r>
      <w:r>
        <w:rPr>
          <w:noProof/>
        </w:rPr>
        <w:fldChar w:fldCharType="separate"/>
      </w:r>
      <w:r>
        <w:rPr>
          <w:noProof/>
        </w:rPr>
        <w:t>3</w:t>
      </w:r>
      <w:r>
        <w:rPr>
          <w:noProof/>
        </w:rPr>
        <w:fldChar w:fldCharType="end"/>
      </w:r>
      <w:bookmarkEnd w:id="9"/>
      <w:r>
        <w:rPr>
          <w:noProof/>
        </w:rPr>
        <w:t>: Distribuția subvențiilor pe categorii (2024)</w:t>
      </w:r>
    </w:p>
    <w:p>
      <w:pPr>
        <w:jc w:val="center"/>
        <w:rPr>
          <w:rStyle w:val="SourceCar"/>
          <w:rFonts w:eastAsia="MS Mincho"/>
          <w:noProof/>
        </w:rPr>
      </w:pPr>
      <w:r>
        <w:rPr>
          <w:rStyle w:val="SourceCar"/>
          <w:rFonts w:asciiTheme="minorHAnsi" w:eastAsiaTheme="minorHAnsi" w:hAnsiTheme="minorHAnsi" w:cstheme="minorBidi"/>
          <w:i w:val="0"/>
          <w:iCs w:val="0"/>
          <w:noProof/>
          <w:color w:val="auto"/>
          <w:sz w:val="22"/>
          <w:szCs w:val="22"/>
          <w:lang w:eastAsia="en-US"/>
        </w:rPr>
        <w:lastRenderedPageBreak/>
        <w:drawing>
          <wp:inline distT="0" distB="0" distL="0" distR="0">
            <wp:extent cx="5731279" cy="1916264"/>
            <wp:effectExtent l="0" t="0" r="3175" b="8255"/>
            <wp:docPr id="3815325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45639" cy="1921065"/>
                    </a:xfrm>
                    <a:prstGeom prst="rect">
                      <a:avLst/>
                    </a:prstGeom>
                    <a:noFill/>
                    <a:ln>
                      <a:noFill/>
                    </a:ln>
                  </pic:spPr>
                </pic:pic>
              </a:graphicData>
            </a:graphic>
          </wp:inline>
        </w:drawing>
      </w:r>
      <w:r>
        <w:rPr>
          <w:rStyle w:val="SourceCar"/>
          <w:rFonts w:eastAsiaTheme="minorHAnsi"/>
          <w:noProof/>
        </w:rPr>
        <w:t>Sursă: Enerdata, Trinomics, 2025.</w:t>
      </w:r>
    </w:p>
    <w:p>
      <w:pPr>
        <w:jc w:val="center"/>
        <w:rPr>
          <w:rStyle w:val="SourceCar"/>
          <w:rFonts w:eastAsia="MS Mincho"/>
          <w:noProof/>
        </w:rPr>
      </w:pPr>
    </w:p>
    <w:p>
      <w:pPr>
        <w:pStyle w:val="Heading2"/>
        <w:rPr>
          <w:noProof/>
        </w:rPr>
      </w:pPr>
      <w:r>
        <w:rPr>
          <w:noProof/>
        </w:rPr>
        <w:t>Subvenții în funcție de purtătorul de energie</w:t>
      </w:r>
    </w:p>
    <w:p>
      <w:pPr>
        <w:pStyle w:val="Text"/>
        <w:rPr>
          <w:rFonts w:ascii="Times New Roman" w:eastAsia="MS Mincho" w:hAnsi="Times New Roman" w:cs="Times New Roman"/>
          <w:noProof/>
          <w:sz w:val="24"/>
          <w:szCs w:val="24"/>
        </w:rPr>
      </w:pPr>
      <w:r>
        <w:rPr>
          <w:rFonts w:ascii="Times New Roman" w:hAnsi="Times New Roman"/>
          <w:noProof/>
          <w:sz w:val="24"/>
        </w:rPr>
        <w:t xml:space="preserve">În 2024, </w:t>
      </w:r>
      <w:r>
        <w:rPr>
          <w:rFonts w:ascii="Times New Roman" w:hAnsi="Times New Roman"/>
          <w:b/>
          <w:noProof/>
          <w:sz w:val="24"/>
        </w:rPr>
        <w:t>energia electrică a fost în continuare cel mai subvenționat purtător de energie</w:t>
      </w:r>
      <w:r>
        <w:rPr>
          <w:rFonts w:ascii="Times New Roman" w:hAnsi="Times New Roman"/>
          <w:noProof/>
          <w:sz w:val="24"/>
        </w:rPr>
        <w:t xml:space="preserve">, reprezentând 166 de miliarde EUR (aproape 45 %) din totalul subvențiilor pentru energie. Sprijinul pentru „toate tipurile de </w:t>
      </w:r>
      <w:bookmarkStart w:id="10" w:name="_Int_9iPd8PBY"/>
      <w:r>
        <w:rPr>
          <w:rFonts w:ascii="Times New Roman" w:hAnsi="Times New Roman"/>
          <w:noProof/>
          <w:sz w:val="24"/>
        </w:rPr>
        <w:t>energie”</w:t>
      </w:r>
      <w:bookmarkEnd w:id="10"/>
      <w:r>
        <w:rPr>
          <w:rFonts w:ascii="Times New Roman" w:hAnsi="Times New Roman"/>
          <w:noProof/>
          <w:sz w:val="24"/>
        </w:rPr>
        <w:t xml:space="preserve"> și </w:t>
      </w:r>
      <w:r>
        <w:rPr>
          <w:rFonts w:ascii="Times New Roman" w:hAnsi="Times New Roman"/>
          <w:b/>
          <w:noProof/>
          <w:sz w:val="24"/>
        </w:rPr>
        <w:t>subvențiile pentru gaze au scăzut</w:t>
      </w:r>
      <w:r>
        <w:rPr>
          <w:rFonts w:ascii="Times New Roman" w:hAnsi="Times New Roman"/>
          <w:noProof/>
          <w:sz w:val="24"/>
        </w:rPr>
        <w:t xml:space="preserve"> în 2024 la 59 de miliarde EUR</w:t>
      </w:r>
      <w:r>
        <w:rPr>
          <w:rStyle w:val="FootnoteReference"/>
          <w:rFonts w:eastAsia="MS Mincho"/>
          <w:noProof/>
          <w:szCs w:val="24"/>
        </w:rPr>
        <w:footnoteReference w:id="9"/>
      </w:r>
      <w:r>
        <w:rPr>
          <w:rFonts w:ascii="Times New Roman" w:hAnsi="Times New Roman"/>
          <w:noProof/>
          <w:sz w:val="24"/>
        </w:rPr>
        <w:t xml:space="preserve"> și, respectiv, 42 de miliarde EUR (17 % și, respectiv, 12 % din totalul subvențiilor). </w:t>
      </w:r>
      <w:r>
        <w:rPr>
          <w:rFonts w:ascii="Times New Roman" w:hAnsi="Times New Roman"/>
          <w:b/>
          <w:noProof/>
          <w:sz w:val="24"/>
        </w:rPr>
        <w:t>Sprijinul pentru petrol s-a menținut stabil</w:t>
      </w:r>
      <w:r>
        <w:rPr>
          <w:rFonts w:ascii="Times New Roman" w:hAnsi="Times New Roman"/>
          <w:noProof/>
          <w:sz w:val="24"/>
        </w:rPr>
        <w:t xml:space="preserve"> față de 2023 (și anume 27 de miliarde EUR sau 8 %), în timp ce </w:t>
      </w:r>
      <w:r>
        <w:rPr>
          <w:rFonts w:ascii="Times New Roman" w:hAnsi="Times New Roman"/>
          <w:b/>
          <w:noProof/>
          <w:sz w:val="24"/>
        </w:rPr>
        <w:t>sprijinul pentru energie termică</w:t>
      </w:r>
      <w:r>
        <w:rPr>
          <w:rFonts w:ascii="Times New Roman" w:hAnsi="Times New Roman"/>
          <w:noProof/>
          <w:sz w:val="24"/>
        </w:rPr>
        <w:t xml:space="preserve"> – care aproape </w:t>
      </w:r>
      <w:r>
        <w:rPr>
          <w:rFonts w:ascii="Times New Roman" w:hAnsi="Times New Roman"/>
          <w:b/>
          <w:noProof/>
          <w:sz w:val="24"/>
        </w:rPr>
        <w:t>s-a dublat în 2023</w:t>
      </w:r>
      <w:r>
        <w:rPr>
          <w:rFonts w:ascii="Times New Roman" w:hAnsi="Times New Roman"/>
          <w:noProof/>
          <w:sz w:val="24"/>
        </w:rPr>
        <w:t xml:space="preserve"> – </w:t>
      </w:r>
      <w:r>
        <w:rPr>
          <w:rFonts w:ascii="Times New Roman" w:hAnsi="Times New Roman"/>
          <w:b/>
          <w:noProof/>
          <w:sz w:val="24"/>
        </w:rPr>
        <w:t>a scăzut ușor în 2024</w:t>
      </w:r>
      <w:r>
        <w:rPr>
          <w:rFonts w:ascii="Times New Roman" w:hAnsi="Times New Roman"/>
          <w:noProof/>
          <w:sz w:val="24"/>
        </w:rPr>
        <w:t xml:space="preserve">, ajungând la 21 de miliarde EUR (7 %). </w:t>
      </w:r>
      <w:r>
        <w:rPr>
          <w:rFonts w:ascii="Times New Roman" w:hAnsi="Times New Roman"/>
          <w:b/>
          <w:noProof/>
          <w:sz w:val="24"/>
        </w:rPr>
        <w:t>Sprijinul pentru hidrogen</w:t>
      </w:r>
      <w:r>
        <w:rPr>
          <w:rFonts w:ascii="Times New Roman" w:hAnsi="Times New Roman"/>
          <w:noProof/>
          <w:sz w:val="24"/>
        </w:rPr>
        <w:t xml:space="preserve"> a crescut considerabil din 2022, cu o </w:t>
      </w:r>
      <w:r>
        <w:rPr>
          <w:rFonts w:ascii="Times New Roman" w:hAnsi="Times New Roman"/>
          <w:b/>
          <w:noProof/>
          <w:sz w:val="24"/>
        </w:rPr>
        <w:t>sumă record de 13,5 miliarde EUR</w:t>
      </w:r>
      <w:r>
        <w:rPr>
          <w:rFonts w:ascii="Times New Roman" w:hAnsi="Times New Roman"/>
          <w:noProof/>
          <w:sz w:val="24"/>
        </w:rPr>
        <w:t xml:space="preserve"> alocată în 2024 (3 %).</w:t>
      </w:r>
    </w:p>
    <w:p>
      <w:pPr>
        <w:pStyle w:val="BodyText"/>
        <w:jc w:val="both"/>
        <w:rPr>
          <w:noProof/>
        </w:rPr>
      </w:pPr>
      <w:r>
        <w:rPr>
          <w:noProof/>
        </w:rPr>
        <w:drawing>
          <wp:inline distT="0" distB="0" distL="0" distR="0">
            <wp:extent cx="5589270" cy="2556096"/>
            <wp:effectExtent l="0" t="0" r="0" b="0"/>
            <wp:docPr id="3471132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07607" cy="2564482"/>
                    </a:xfrm>
                    <a:prstGeom prst="rect">
                      <a:avLst/>
                    </a:prstGeom>
                    <a:noFill/>
                  </pic:spPr>
                </pic:pic>
              </a:graphicData>
            </a:graphic>
          </wp:inline>
        </w:drawing>
      </w:r>
    </w:p>
    <w:p>
      <w:pPr>
        <w:pStyle w:val="BodyText"/>
        <w:spacing w:after="0"/>
        <w:jc w:val="center"/>
        <w:rPr>
          <w:noProof/>
        </w:rPr>
      </w:pPr>
      <w:bookmarkStart w:id="11" w:name="_Ref109033563"/>
      <w:bookmarkStart w:id="12" w:name="_Toc214884921"/>
      <w:bookmarkStart w:id="13" w:name="_Toc217052925"/>
      <w:r>
        <w:rPr>
          <w:i/>
          <w:noProof/>
          <w:sz w:val="22"/>
        </w:rPr>
        <w:t xml:space="preserve">Figura </w:t>
      </w:r>
      <w:r>
        <w:rPr>
          <w:rFonts w:eastAsia="Times New Roman"/>
          <w:i/>
          <w:noProof/>
          <w:color w:val="2B579A"/>
          <w:sz w:val="22"/>
          <w:shd w:val="clear" w:color="auto" w:fill="E6E6E6"/>
        </w:rPr>
        <w:fldChar w:fldCharType="begin"/>
      </w:r>
      <w:r>
        <w:rPr>
          <w:rFonts w:eastAsia="Times New Roman"/>
          <w:i/>
          <w:noProof/>
          <w:color w:val="2B579A"/>
          <w:sz w:val="22"/>
          <w:shd w:val="clear" w:color="auto" w:fill="E6E6E6"/>
        </w:rPr>
        <w:instrText xml:space="preserve"> SEQ Figure \* ARABIC </w:instrText>
      </w:r>
      <w:r>
        <w:rPr>
          <w:rFonts w:eastAsia="Times New Roman"/>
          <w:i/>
          <w:noProof/>
          <w:color w:val="2B579A"/>
          <w:sz w:val="22"/>
          <w:shd w:val="clear" w:color="auto" w:fill="E6E6E6"/>
        </w:rPr>
        <w:fldChar w:fldCharType="separate"/>
      </w:r>
      <w:r>
        <w:rPr>
          <w:rFonts w:eastAsia="Times New Roman"/>
          <w:i/>
          <w:noProof/>
          <w:color w:val="2B579A"/>
          <w:sz w:val="22"/>
          <w:shd w:val="clear" w:color="auto" w:fill="E6E6E6"/>
        </w:rPr>
        <w:t>4</w:t>
      </w:r>
      <w:r>
        <w:rPr>
          <w:rFonts w:eastAsia="Times New Roman"/>
          <w:i/>
          <w:noProof/>
          <w:color w:val="2B579A"/>
          <w:sz w:val="22"/>
          <w:shd w:val="clear" w:color="auto" w:fill="E6E6E6"/>
        </w:rPr>
        <w:fldChar w:fldCharType="end"/>
      </w:r>
      <w:bookmarkEnd w:id="11"/>
      <w:r>
        <w:rPr>
          <w:i/>
          <w:noProof/>
          <w:sz w:val="22"/>
        </w:rPr>
        <w:t>: Subvențiile pentru energie în funcție de principalii purtători de energie în UE-27</w:t>
      </w:r>
      <w:bookmarkEnd w:id="12"/>
      <w:bookmarkEnd w:id="13"/>
      <w:r>
        <w:rPr>
          <w:i/>
          <w:noProof/>
          <w:sz w:val="22"/>
        </w:rPr>
        <w:t xml:space="preserve"> în perioada 2015-2024 (miliarde EUR </w:t>
      </w:r>
      <w:r>
        <w:rPr>
          <w:noProof/>
        </w:rPr>
        <w:t>la prețurile din 2024</w:t>
      </w:r>
      <w:r>
        <w:rPr>
          <w:i/>
          <w:noProof/>
          <w:sz w:val="22"/>
        </w:rPr>
        <w:t xml:space="preserve">) </w:t>
      </w:r>
    </w:p>
    <w:p>
      <w:pPr>
        <w:pStyle w:val="Caption"/>
        <w:spacing w:before="0" w:after="0"/>
        <w:contextualSpacing/>
        <w:jc w:val="center"/>
        <w:rPr>
          <w:noProof/>
        </w:rPr>
      </w:pPr>
      <w:r>
        <w:rPr>
          <w:rStyle w:val="SourceCar"/>
          <w:noProof/>
        </w:rPr>
        <w:t>Sursă: Enerdata, 2025. Estimările pentru 2024 sunt reprezentate prin hașurare.</w:t>
      </w:r>
    </w:p>
    <w:p>
      <w:pPr>
        <w:pStyle w:val="BodyText"/>
        <w:jc w:val="both"/>
        <w:rPr>
          <w:i/>
          <w:iCs/>
          <w:noProof/>
        </w:rPr>
      </w:pPr>
    </w:p>
    <w:p>
      <w:pPr>
        <w:spacing w:after="0"/>
        <w:rPr>
          <w:rFonts w:ascii="Times New Roman" w:hAnsi="Times New Roman" w:cs="Times New Roman"/>
          <w:noProof/>
          <w:sz w:val="24"/>
          <w:szCs w:val="24"/>
        </w:rPr>
      </w:pPr>
      <w:r>
        <w:rPr>
          <w:rFonts w:ascii="Times New Roman" w:hAnsi="Times New Roman"/>
          <w:b/>
          <w:noProof/>
          <w:sz w:val="24"/>
        </w:rPr>
        <w:lastRenderedPageBreak/>
        <w:t xml:space="preserve">Tendința descendentă a subvențiilor pentru combustibilii fosili a continuat </w:t>
      </w:r>
      <w:r>
        <w:rPr>
          <w:rFonts w:ascii="Times New Roman" w:hAnsi="Times New Roman"/>
          <w:noProof/>
          <w:sz w:val="24"/>
        </w:rPr>
        <w:t>(</w:t>
      </w:r>
      <w:r>
        <w:rPr>
          <w:rFonts w:ascii="Times New Roman" w:hAnsi="Times New Roman" w:cs="Times New Roman"/>
          <w:noProof/>
          <w:color w:val="2B579A"/>
          <w:sz w:val="24"/>
          <w:shd w:val="clear" w:color="auto" w:fill="E6E6E6"/>
        </w:rPr>
        <w:fldChar w:fldCharType="begin"/>
      </w:r>
      <w:r>
        <w:rPr>
          <w:rFonts w:ascii="Times New Roman" w:hAnsi="Times New Roman" w:cs="Times New Roman"/>
          <w:noProof/>
          <w:color w:val="2B579A"/>
          <w:sz w:val="24"/>
          <w:shd w:val="clear" w:color="auto" w:fill="E6E6E6"/>
        </w:rPr>
        <w:instrText xml:space="preserve"> REF  _Ref107090333 \h  \* MERGEFORMAT </w:instrText>
      </w:r>
      <w:r>
        <w:rPr>
          <w:rFonts w:ascii="Times New Roman" w:hAnsi="Times New Roman" w:cs="Times New Roman"/>
          <w:noProof/>
          <w:color w:val="2B579A"/>
          <w:sz w:val="24"/>
          <w:shd w:val="clear" w:color="auto" w:fill="E6E6E6"/>
        </w:rPr>
      </w:r>
      <w:r>
        <w:rPr>
          <w:rFonts w:ascii="Times New Roman" w:hAnsi="Times New Roman" w:cs="Times New Roman"/>
          <w:noProof/>
          <w:color w:val="2B579A"/>
          <w:sz w:val="24"/>
          <w:shd w:val="clear" w:color="auto" w:fill="E6E6E6"/>
        </w:rPr>
        <w:fldChar w:fldCharType="separate"/>
      </w:r>
      <w:r>
        <w:rPr>
          <w:rFonts w:ascii="Times New Roman" w:eastAsia="Times New Roman" w:hAnsi="Times New Roman" w:cs="Times New Roman"/>
          <w:noProof/>
          <w:sz w:val="24"/>
        </w:rPr>
        <w:t xml:space="preserve">figura </w:t>
      </w:r>
      <w:r>
        <w:rPr>
          <w:rFonts w:ascii="Times New Roman" w:eastAsia="Times New Roman" w:hAnsi="Times New Roman" w:cs="Times New Roman"/>
          <w:noProof/>
          <w:color w:val="2B579A"/>
          <w:sz w:val="24"/>
          <w:shd w:val="clear" w:color="auto" w:fill="E6E6E6"/>
        </w:rPr>
        <w:t>5</w:t>
      </w:r>
      <w:r>
        <w:rPr>
          <w:rFonts w:ascii="Times New Roman" w:hAnsi="Times New Roman" w:cs="Times New Roman"/>
          <w:noProof/>
          <w:color w:val="2B579A"/>
          <w:sz w:val="24"/>
          <w:shd w:val="clear" w:color="auto" w:fill="E6E6E6"/>
        </w:rPr>
        <w:fldChar w:fldCharType="end"/>
      </w:r>
      <w:r>
        <w:rPr>
          <w:rFonts w:ascii="Times New Roman" w:hAnsi="Times New Roman"/>
          <w:noProof/>
          <w:color w:val="2B579A"/>
          <w:sz w:val="24"/>
          <w:shd w:val="clear" w:color="auto" w:fill="E6E6E6"/>
        </w:rPr>
        <w:t>)</w:t>
      </w:r>
      <w:r>
        <w:rPr>
          <w:rFonts w:ascii="Times New Roman" w:hAnsi="Times New Roman"/>
          <w:noProof/>
          <w:sz w:val="24"/>
        </w:rPr>
        <w:t xml:space="preserve">, dar acestea au fost </w:t>
      </w:r>
      <w:r>
        <w:rPr>
          <w:rFonts w:ascii="Times New Roman" w:hAnsi="Times New Roman"/>
          <w:b/>
          <w:noProof/>
          <w:sz w:val="24"/>
        </w:rPr>
        <w:t>în continuare</w:t>
      </w:r>
      <w:r>
        <w:rPr>
          <w:rFonts w:ascii="Times New Roman" w:hAnsi="Times New Roman"/>
          <w:noProof/>
          <w:sz w:val="24"/>
        </w:rPr>
        <w:t xml:space="preserve"> cu 64</w:t>
      </w:r>
      <w:r>
        <w:rPr>
          <w:rFonts w:ascii="Times New Roman" w:hAnsi="Times New Roman"/>
          <w:b/>
          <w:noProof/>
          <w:sz w:val="24"/>
        </w:rPr>
        <w:t> </w:t>
      </w:r>
      <w:r>
        <w:rPr>
          <w:rFonts w:ascii="Times New Roman" w:hAnsi="Times New Roman"/>
          <w:noProof/>
          <w:sz w:val="24"/>
        </w:rPr>
        <w:t xml:space="preserve">% </w:t>
      </w:r>
      <w:r>
        <w:rPr>
          <w:rFonts w:ascii="Times New Roman" w:hAnsi="Times New Roman"/>
          <w:b/>
          <w:noProof/>
          <w:sz w:val="24"/>
        </w:rPr>
        <w:t>peste media istorică</w:t>
      </w:r>
      <w:r>
        <w:rPr>
          <w:rFonts w:ascii="Times New Roman" w:hAnsi="Times New Roman"/>
          <w:noProof/>
          <w:sz w:val="24"/>
        </w:rPr>
        <w:t xml:space="preserve"> anterioară crizei (60 de miliarde EUR)</w:t>
      </w:r>
      <w:r>
        <w:rPr>
          <w:rStyle w:val="FootnoteReference"/>
          <w:rFonts w:eastAsia="MS Mincho"/>
          <w:noProof/>
          <w:szCs w:val="24"/>
        </w:rPr>
        <w:footnoteReference w:id="10"/>
      </w:r>
      <w:r>
        <w:rPr>
          <w:rFonts w:ascii="Times New Roman" w:hAnsi="Times New Roman"/>
          <w:noProof/>
          <w:sz w:val="24"/>
        </w:rPr>
        <w:t>.</w:t>
      </w:r>
    </w:p>
    <w:p>
      <w:pPr>
        <w:pStyle w:val="BodyText"/>
        <w:jc w:val="both"/>
        <w:rPr>
          <w:noProof/>
        </w:rPr>
      </w:pPr>
      <w:r>
        <w:rPr>
          <w:noProof/>
        </w:rPr>
        <w:drawing>
          <wp:inline distT="0" distB="0" distL="0" distR="0">
            <wp:extent cx="5541840" cy="2154803"/>
            <wp:effectExtent l="0" t="0" r="1905" b="0"/>
            <wp:docPr id="16580290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88550" cy="2172965"/>
                    </a:xfrm>
                    <a:prstGeom prst="rect">
                      <a:avLst/>
                    </a:prstGeom>
                    <a:noFill/>
                  </pic:spPr>
                </pic:pic>
              </a:graphicData>
            </a:graphic>
          </wp:inline>
        </w:drawing>
      </w:r>
    </w:p>
    <w:p>
      <w:pPr>
        <w:pStyle w:val="Caption"/>
        <w:spacing w:after="0"/>
        <w:jc w:val="center"/>
        <w:rPr>
          <w:noProof/>
        </w:rPr>
      </w:pPr>
      <w:bookmarkStart w:id="14" w:name="_Ref107090333"/>
      <w:bookmarkStart w:id="15" w:name="_Toc145348068"/>
      <w:r>
        <w:rPr>
          <w:noProof/>
        </w:rPr>
        <w:t xml:space="preserve">Figura </w:t>
      </w:r>
      <w:r>
        <w:rPr>
          <w:noProof/>
          <w:color w:val="2B579A"/>
          <w:shd w:val="clear" w:color="auto" w:fill="E6E6E6"/>
        </w:rPr>
        <w:fldChar w:fldCharType="begin"/>
      </w:r>
      <w:r>
        <w:rPr>
          <w:noProof/>
          <w:color w:val="2B579A"/>
          <w:shd w:val="clear" w:color="auto" w:fill="E6E6E6"/>
        </w:rPr>
        <w:instrText xml:space="preserve"> SEQ Figure \* ARABIC </w:instrText>
      </w:r>
      <w:r>
        <w:rPr>
          <w:noProof/>
          <w:color w:val="2B579A"/>
          <w:shd w:val="clear" w:color="auto" w:fill="E6E6E6"/>
        </w:rPr>
        <w:fldChar w:fldCharType="separate"/>
      </w:r>
      <w:r>
        <w:rPr>
          <w:noProof/>
          <w:color w:val="2B579A"/>
          <w:shd w:val="clear" w:color="auto" w:fill="E6E6E6"/>
        </w:rPr>
        <w:t>5</w:t>
      </w:r>
      <w:r>
        <w:rPr>
          <w:noProof/>
          <w:color w:val="2B579A"/>
          <w:shd w:val="clear" w:color="auto" w:fill="E6E6E6"/>
        </w:rPr>
        <w:fldChar w:fldCharType="end"/>
      </w:r>
      <w:bookmarkEnd w:id="14"/>
      <w:r>
        <w:rPr>
          <w:noProof/>
        </w:rPr>
        <w:t>: Subvenții pentru combustibilii fosili în funcție de vectorul energetic (miliarde EUR la prețurile din 2024)</w:t>
      </w:r>
      <w:bookmarkEnd w:id="15"/>
    </w:p>
    <w:p>
      <w:pPr>
        <w:jc w:val="center"/>
        <w:rPr>
          <w:rStyle w:val="SourceCar"/>
          <w:rFonts w:eastAsia="MS Mincho"/>
          <w:noProof/>
        </w:rPr>
      </w:pPr>
      <w:r>
        <w:rPr>
          <w:rStyle w:val="SourceCar"/>
          <w:rFonts w:eastAsiaTheme="minorHAnsi"/>
          <w:noProof/>
        </w:rPr>
        <w:t>Sursă: Enerdata, Trinomics, 2024. *„Altele” includ subvențiile direcționate către toți combustibilii fosili și energia termică din surse fosile. Cifrele din grafic includ cheltuielile fiscale care nu pot fi comparate direct de la o țară la alta.</w:t>
      </w:r>
    </w:p>
    <w:p>
      <w:pPr>
        <w:rPr>
          <w:rFonts w:ascii="Times New Roman" w:hAnsi="Times New Roman" w:cs="Times New Roman"/>
          <w:noProof/>
          <w:sz w:val="24"/>
          <w:szCs w:val="24"/>
        </w:rPr>
      </w:pPr>
      <w:r>
        <w:rPr>
          <w:rFonts w:ascii="Times New Roman" w:hAnsi="Times New Roman"/>
          <w:noProof/>
          <w:sz w:val="24"/>
        </w:rPr>
        <w:t xml:space="preserve">În 2024, </w:t>
      </w:r>
      <w:r>
        <w:rPr>
          <w:rFonts w:ascii="Times New Roman" w:hAnsi="Times New Roman"/>
          <w:b/>
          <w:noProof/>
          <w:sz w:val="24"/>
        </w:rPr>
        <w:t>subvențiile pentru combustibilii fosili, excluzând „cheltuielile fiscale”</w:t>
      </w:r>
      <w:r>
        <w:rPr>
          <w:rFonts w:ascii="Times New Roman" w:hAnsi="Times New Roman"/>
          <w:noProof/>
          <w:sz w:val="24"/>
        </w:rPr>
        <w:t xml:space="preserve"> (43 de miliarde EUR), „participarea din partea statului” și „infuzia de capital” (10 miliarde EUR), au reprezentat 45 % din total sau </w:t>
      </w:r>
      <w:r>
        <w:rPr>
          <w:rFonts w:ascii="Times New Roman" w:hAnsi="Times New Roman"/>
          <w:b/>
          <w:noProof/>
          <w:sz w:val="24"/>
        </w:rPr>
        <w:t>44 de miliarde EUR</w:t>
      </w:r>
      <w:r>
        <w:rPr>
          <w:rFonts w:ascii="Times New Roman" w:hAnsi="Times New Roman"/>
          <w:noProof/>
          <w:sz w:val="24"/>
        </w:rPr>
        <w:t>.</w:t>
      </w:r>
    </w:p>
    <w:p>
      <w:pPr>
        <w:jc w:val="center"/>
        <w:rPr>
          <w:noProof/>
        </w:rPr>
      </w:pPr>
      <w:r>
        <w:rPr>
          <w:noProof/>
        </w:rPr>
        <w:drawing>
          <wp:inline distT="0" distB="0" distL="0" distR="0">
            <wp:extent cx="4579951" cy="1994017"/>
            <wp:effectExtent l="0" t="0" r="0" b="6350"/>
            <wp:docPr id="4863156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11533" cy="2007767"/>
                    </a:xfrm>
                    <a:prstGeom prst="rect">
                      <a:avLst/>
                    </a:prstGeom>
                    <a:noFill/>
                  </pic:spPr>
                </pic:pic>
              </a:graphicData>
            </a:graphic>
          </wp:inline>
        </w:drawing>
      </w:r>
    </w:p>
    <w:p>
      <w:pPr>
        <w:pStyle w:val="Caption"/>
        <w:spacing w:after="0"/>
        <w:jc w:val="center"/>
        <w:rPr>
          <w:noProof/>
        </w:rPr>
      </w:pPr>
      <w:r>
        <w:rPr>
          <w:noProof/>
        </w:rPr>
        <w:t xml:space="preserve">Figura </w:t>
      </w:r>
      <w:r>
        <w:rPr>
          <w:noProof/>
          <w:color w:val="2B579A"/>
          <w:shd w:val="clear" w:color="auto" w:fill="E6E6E6"/>
        </w:rPr>
        <w:fldChar w:fldCharType="begin"/>
      </w:r>
      <w:r>
        <w:rPr>
          <w:noProof/>
          <w:color w:val="2B579A"/>
          <w:shd w:val="clear" w:color="auto" w:fill="E6E6E6"/>
        </w:rPr>
        <w:instrText xml:space="preserve"> SEQ Figure \* ARABIC </w:instrText>
      </w:r>
      <w:r>
        <w:rPr>
          <w:noProof/>
          <w:color w:val="2B579A"/>
          <w:shd w:val="clear" w:color="auto" w:fill="E6E6E6"/>
        </w:rPr>
        <w:fldChar w:fldCharType="separate"/>
      </w:r>
      <w:r>
        <w:rPr>
          <w:noProof/>
          <w:color w:val="2B579A"/>
          <w:shd w:val="clear" w:color="auto" w:fill="E6E6E6"/>
        </w:rPr>
        <w:t>6</w:t>
      </w:r>
      <w:r>
        <w:rPr>
          <w:noProof/>
          <w:color w:val="2B579A"/>
          <w:shd w:val="clear" w:color="auto" w:fill="E6E6E6"/>
        </w:rPr>
        <w:fldChar w:fldCharType="end"/>
      </w:r>
      <w:r>
        <w:rPr>
          <w:noProof/>
        </w:rPr>
        <w:t>: Subvenții pentru combustibilii fosili, excluzând cheltuielile fiscale, participarea din partea statului/infuzia de capital, în funcție de sursele de energie (miliarde EUR la prețurile din 2024)</w:t>
      </w:r>
    </w:p>
    <w:p>
      <w:pPr>
        <w:jc w:val="center"/>
        <w:rPr>
          <w:rStyle w:val="SourceCar"/>
          <w:rFonts w:eastAsia="MS Mincho"/>
          <w:noProof/>
        </w:rPr>
      </w:pPr>
      <w:r>
        <w:rPr>
          <w:rStyle w:val="SourceCar"/>
          <w:rFonts w:eastAsiaTheme="minorHAnsi"/>
          <w:noProof/>
        </w:rPr>
        <w:t>Sursă: Enerdata, Trinomics, 2025. *„Altele” includ subvențiile direcționate către toți combustibilii fosili și energia termică din surse fosile. Cifrele din grafic includ cheltuielile fiscale care nu pot fi comparate direct de la o țară la alta.</w:t>
      </w:r>
    </w:p>
    <w:p>
      <w:pPr>
        <w:jc w:val="both"/>
        <w:rPr>
          <w:rFonts w:ascii="Times New Roman" w:hAnsi="Times New Roman" w:cs="Times New Roman"/>
          <w:noProof/>
          <w:sz w:val="24"/>
          <w:szCs w:val="24"/>
        </w:rPr>
      </w:pPr>
      <w:r>
        <w:rPr>
          <w:rFonts w:ascii="Times New Roman" w:hAnsi="Times New Roman"/>
          <w:b/>
          <w:noProof/>
          <w:sz w:val="24"/>
        </w:rPr>
        <w:t>Subvențiile pentru combustibilii fosili destinate combaterii sărăciei energetice au scăzut</w:t>
      </w:r>
      <w:r>
        <w:rPr>
          <w:rFonts w:ascii="Times New Roman" w:hAnsi="Times New Roman"/>
          <w:noProof/>
          <w:sz w:val="24"/>
        </w:rPr>
        <w:t xml:space="preserve"> la 1,3 miliarde EUR în 2024, dar au fost în continuare </w:t>
      </w:r>
      <w:r>
        <w:rPr>
          <w:rFonts w:ascii="Times New Roman" w:hAnsi="Times New Roman"/>
          <w:b/>
          <w:noProof/>
          <w:sz w:val="24"/>
        </w:rPr>
        <w:t>peste media istorică</w:t>
      </w:r>
      <w:r>
        <w:rPr>
          <w:rStyle w:val="FootnoteReference"/>
          <w:rFonts w:eastAsiaTheme="minorHAnsi"/>
          <w:b/>
          <w:bCs/>
          <w:noProof/>
        </w:rPr>
        <w:footnoteReference w:id="11"/>
      </w:r>
      <w:r>
        <w:rPr>
          <w:rFonts w:ascii="Times New Roman" w:hAnsi="Times New Roman"/>
          <w:noProof/>
          <w:sz w:val="24"/>
        </w:rPr>
        <w:t xml:space="preserve"> de aproximativ 980 de milioane EUR pe an.</w:t>
      </w:r>
    </w:p>
    <w:p>
      <w:pPr>
        <w:jc w:val="both"/>
        <w:rPr>
          <w:rFonts w:ascii="Times New Roman" w:hAnsi="Times New Roman" w:cs="Times New Roman"/>
          <w:noProof/>
          <w:sz w:val="24"/>
          <w:szCs w:val="24"/>
        </w:rPr>
      </w:pPr>
      <w:r>
        <w:rPr>
          <w:rFonts w:ascii="Times New Roman" w:hAnsi="Times New Roman"/>
          <w:b/>
          <w:noProof/>
          <w:sz w:val="24"/>
        </w:rPr>
        <w:t>Subvențiile pentru combustibilii fosili menite să consolideze securitatea aprovizionării</w:t>
      </w:r>
      <w:r>
        <w:rPr>
          <w:rFonts w:ascii="Times New Roman" w:hAnsi="Times New Roman"/>
          <w:noProof/>
          <w:sz w:val="24"/>
        </w:rPr>
        <w:t xml:space="preserve">, care au scăzut la 15 miliarde EUR în 2023, au scăzut din nou în 2024, ajungând la 11 miliarde </w:t>
      </w:r>
      <w:r>
        <w:rPr>
          <w:rFonts w:ascii="Times New Roman" w:hAnsi="Times New Roman"/>
          <w:noProof/>
          <w:sz w:val="24"/>
        </w:rPr>
        <w:lastRenderedPageBreak/>
        <w:t xml:space="preserve">EUR. Totuși, acestea au fost în continuare </w:t>
      </w:r>
      <w:r>
        <w:rPr>
          <w:rFonts w:ascii="Times New Roman" w:hAnsi="Times New Roman"/>
          <w:b/>
          <w:noProof/>
          <w:sz w:val="24"/>
        </w:rPr>
        <w:t>cu mult peste nivelurile anterioare crizei</w:t>
      </w:r>
      <w:r>
        <w:rPr>
          <w:rStyle w:val="FootnoteReference"/>
          <w:rFonts w:eastAsiaTheme="minorHAnsi"/>
          <w:b/>
          <w:bCs/>
          <w:noProof/>
        </w:rPr>
        <w:footnoteReference w:id="12"/>
      </w:r>
      <w:r>
        <w:rPr>
          <w:rFonts w:ascii="Times New Roman" w:hAnsi="Times New Roman"/>
          <w:noProof/>
          <w:sz w:val="24"/>
        </w:rPr>
        <w:t>, de aproximativ 1 miliard EUR.</w:t>
      </w:r>
    </w:p>
    <w:p>
      <w:pPr>
        <w:jc w:val="both"/>
        <w:rPr>
          <w:rFonts w:ascii="Times New Roman" w:hAnsi="Times New Roman" w:cs="Times New Roman"/>
          <w:noProof/>
          <w:sz w:val="24"/>
          <w:szCs w:val="24"/>
        </w:rPr>
      </w:pPr>
      <w:r>
        <w:rPr>
          <w:rFonts w:ascii="Times New Roman" w:hAnsi="Times New Roman"/>
          <w:noProof/>
          <w:sz w:val="24"/>
        </w:rPr>
        <w:t xml:space="preserve">În 2024, </w:t>
      </w:r>
      <w:r>
        <w:rPr>
          <w:rFonts w:ascii="Times New Roman" w:hAnsi="Times New Roman"/>
          <w:b/>
          <w:noProof/>
          <w:sz w:val="24"/>
        </w:rPr>
        <w:t>subvențiile pentru sursele regenerabile de energie au crescut</w:t>
      </w:r>
      <w:r>
        <w:rPr>
          <w:rFonts w:ascii="Times New Roman" w:hAnsi="Times New Roman"/>
          <w:noProof/>
          <w:sz w:val="24"/>
        </w:rPr>
        <w:t xml:space="preserve"> la 76 de miliarde EUR, ceea ce reprezintă o creștere de 39 % față de 2023, când au atins cel mai scăzut nivel din 2015 (55 de miliarde EUR). Totuși, acestea </w:t>
      </w:r>
      <w:r>
        <w:rPr>
          <w:rFonts w:ascii="Times New Roman" w:hAnsi="Times New Roman"/>
          <w:b/>
          <w:noProof/>
          <w:sz w:val="24"/>
        </w:rPr>
        <w:t>erau</w:t>
      </w:r>
      <w:r>
        <w:rPr>
          <w:rFonts w:ascii="Times New Roman" w:hAnsi="Times New Roman"/>
          <w:noProof/>
          <w:sz w:val="24"/>
        </w:rPr>
        <w:t xml:space="preserve"> în continuare cu 12 % </w:t>
      </w:r>
      <w:r>
        <w:rPr>
          <w:rFonts w:ascii="Times New Roman" w:hAnsi="Times New Roman"/>
          <w:b/>
          <w:noProof/>
          <w:sz w:val="24"/>
        </w:rPr>
        <w:t>sub media istorică</w:t>
      </w:r>
      <w:r>
        <w:rPr>
          <w:rFonts w:ascii="Times New Roman" w:hAnsi="Times New Roman"/>
          <w:noProof/>
          <w:sz w:val="24"/>
        </w:rPr>
        <w:t xml:space="preserve"> din perioada 2015-2019, de aproximativ 86 de miliarde EUR pe an.</w:t>
      </w:r>
    </w:p>
    <w:p>
      <w:pPr>
        <w:pStyle w:val="BodyText"/>
        <w:jc w:val="both"/>
        <w:rPr>
          <w:noProof/>
        </w:rPr>
      </w:pPr>
    </w:p>
    <w:p>
      <w:pPr>
        <w:pStyle w:val="BodyText"/>
        <w:jc w:val="both"/>
        <w:rPr>
          <w:noProof/>
        </w:rPr>
      </w:pPr>
      <w:r>
        <w:rPr>
          <w:noProof/>
        </w:rPr>
        <w:drawing>
          <wp:inline distT="0" distB="0" distL="0" distR="0">
            <wp:extent cx="4945711" cy="2355172"/>
            <wp:effectExtent l="0" t="0" r="7620" b="7620"/>
            <wp:docPr id="4498533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982097" cy="2372499"/>
                    </a:xfrm>
                    <a:prstGeom prst="rect">
                      <a:avLst/>
                    </a:prstGeom>
                    <a:noFill/>
                  </pic:spPr>
                </pic:pic>
              </a:graphicData>
            </a:graphic>
          </wp:inline>
        </w:drawing>
      </w:r>
    </w:p>
    <w:p>
      <w:pPr>
        <w:pStyle w:val="Caption"/>
        <w:spacing w:after="0"/>
        <w:jc w:val="center"/>
        <w:rPr>
          <w:noProof/>
        </w:rPr>
      </w:pPr>
      <w:bookmarkStart w:id="16" w:name="_Ref141343568"/>
      <w:bookmarkStart w:id="17" w:name="_Ref77327975"/>
      <w:bookmarkStart w:id="18" w:name="_Ref80805197"/>
      <w:bookmarkStart w:id="19" w:name="_Toc80799168"/>
      <w:bookmarkStart w:id="20" w:name="_Toc145348073"/>
      <w:r>
        <w:rPr>
          <w:noProof/>
        </w:rPr>
        <w:t xml:space="preserve">Figura </w:t>
      </w:r>
      <w:r>
        <w:rPr>
          <w:noProof/>
        </w:rPr>
        <w:fldChar w:fldCharType="begin"/>
      </w:r>
      <w:r>
        <w:rPr>
          <w:noProof/>
        </w:rPr>
        <w:instrText xml:space="preserve"> SEQ Figure \* ARABIC </w:instrText>
      </w:r>
      <w:r>
        <w:rPr>
          <w:noProof/>
        </w:rPr>
        <w:fldChar w:fldCharType="separate"/>
      </w:r>
      <w:r>
        <w:rPr>
          <w:noProof/>
        </w:rPr>
        <w:t>7</w:t>
      </w:r>
      <w:r>
        <w:rPr>
          <w:noProof/>
        </w:rPr>
        <w:fldChar w:fldCharType="end"/>
      </w:r>
      <w:bookmarkEnd w:id="16"/>
      <w:bookmarkEnd w:id="17"/>
      <w:bookmarkEnd w:id="18"/>
      <w:r>
        <w:rPr>
          <w:noProof/>
        </w:rPr>
        <w:t xml:space="preserve">: </w:t>
      </w:r>
      <w:bookmarkStart w:id="21" w:name="_Ref108018998"/>
      <w:r>
        <w:rPr>
          <w:noProof/>
        </w:rPr>
        <w:t>Subvenții pentru energia din surse regenerabile în funcție de tehnologie (miliarde EUR la prețurile din 2024)</w:t>
      </w:r>
      <w:bookmarkEnd w:id="19"/>
      <w:bookmarkEnd w:id="20"/>
      <w:bookmarkEnd w:id="21"/>
    </w:p>
    <w:p>
      <w:pPr>
        <w:pStyle w:val="Source"/>
        <w:rPr>
          <w:noProof/>
        </w:rPr>
      </w:pPr>
      <w:r>
        <w:rPr>
          <w:noProof/>
        </w:rPr>
        <w:t>Sursă: Enerdata, 2025. Notă: estimările pentru 2024 sunt reprezentate cu culoare deschisă.</w:t>
      </w:r>
    </w:p>
    <w:p>
      <w:pPr>
        <w:pStyle w:val="Source"/>
        <w:rPr>
          <w:noProof/>
        </w:rPr>
      </w:pPr>
    </w:p>
    <w:p>
      <w:pPr>
        <w:pStyle w:val="BodyText"/>
        <w:jc w:val="both"/>
        <w:rPr>
          <w:noProof/>
        </w:rPr>
      </w:pPr>
      <w:r>
        <w:rPr>
          <w:b/>
          <w:noProof/>
        </w:rPr>
        <w:t>Energia solară a primit de departe cea mai mare parte a subvențiilor</w:t>
      </w:r>
      <w:r>
        <w:rPr>
          <w:noProof/>
        </w:rPr>
        <w:t xml:space="preserve"> în 2024 (39 % sau aproximativ 30 de miliarde EUR), </w:t>
      </w:r>
      <w:r>
        <w:rPr>
          <w:b/>
          <w:noProof/>
        </w:rPr>
        <w:t>urmată de bioenergie</w:t>
      </w:r>
      <w:r>
        <w:rPr>
          <w:noProof/>
        </w:rPr>
        <w:t xml:space="preserve"> (20 % sau aproximativ 15 miliarde EUR) și </w:t>
      </w:r>
      <w:r>
        <w:rPr>
          <w:b/>
          <w:noProof/>
        </w:rPr>
        <w:t>energia eoliană</w:t>
      </w:r>
      <w:r>
        <w:rPr>
          <w:noProof/>
        </w:rPr>
        <w:t xml:space="preserve"> (12 % sau aproximativ 9 miliarde EUR) (</w:t>
      </w:r>
      <w:r>
        <w:rPr>
          <w:noProof/>
        </w:rPr>
        <w:fldChar w:fldCharType="begin"/>
      </w:r>
      <w:r>
        <w:rPr>
          <w:noProof/>
        </w:rPr>
        <w:instrText xml:space="preserve"> REF _Ref141343568 \h  \* MERGEFORMAT </w:instrText>
      </w:r>
      <w:r>
        <w:rPr>
          <w:noProof/>
        </w:rPr>
      </w:r>
      <w:r>
        <w:rPr>
          <w:noProof/>
        </w:rPr>
        <w:fldChar w:fldCharType="separate"/>
      </w:r>
      <w:r>
        <w:rPr>
          <w:noProof/>
        </w:rPr>
        <w:t>figura 8</w:t>
      </w:r>
      <w:r>
        <w:rPr>
          <w:noProof/>
        </w:rPr>
        <w:fldChar w:fldCharType="end"/>
      </w:r>
      <w:r>
        <w:rPr>
          <w:noProof/>
        </w:rPr>
        <w:t xml:space="preserve">). În 2024, </w:t>
      </w:r>
      <w:r>
        <w:rPr>
          <w:b/>
          <w:noProof/>
        </w:rPr>
        <w:t>subvențiile pentru toate sursele regenerabile majore de energie au crescut</w:t>
      </w:r>
      <w:r>
        <w:rPr>
          <w:noProof/>
        </w:rPr>
        <w:t>: cu 75 % pentru energia eoliană, cu 19 % pentru energia solară și cu 51 % pentru toate celelalte surse (bioenergie, energie hidroelectrică, altele/multiSRE). În comparație cu media istorică pe cinci ani (2015-2019), subvențiile pentru toate sursele regenerabile de energie au scăzut cu un procent cuprins între 12 % (energia solară) și 53 % (energia eoliană), cu excepția subvențiilor pentru mai multe surse regenerabile de energie (+132 %).</w:t>
      </w:r>
    </w:p>
    <w:p>
      <w:pPr>
        <w:pStyle w:val="BodyText"/>
        <w:jc w:val="both"/>
        <w:rPr>
          <w:noProof/>
        </w:rPr>
      </w:pPr>
      <w:r>
        <w:rPr>
          <w:noProof/>
        </w:rPr>
        <w:lastRenderedPageBreak/>
        <w:drawing>
          <wp:inline distT="0" distB="0" distL="0" distR="0">
            <wp:extent cx="5469890" cy="2639833"/>
            <wp:effectExtent l="0" t="0" r="0" b="8255"/>
            <wp:docPr id="7998491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96799" cy="2652820"/>
                    </a:xfrm>
                    <a:prstGeom prst="rect">
                      <a:avLst/>
                    </a:prstGeom>
                    <a:noFill/>
                  </pic:spPr>
                </pic:pic>
              </a:graphicData>
            </a:graphic>
          </wp:inline>
        </w:drawing>
      </w:r>
    </w:p>
    <w:p>
      <w:pPr>
        <w:pStyle w:val="Caption"/>
        <w:spacing w:after="0"/>
        <w:jc w:val="center"/>
        <w:rPr>
          <w:noProof/>
        </w:rPr>
      </w:pPr>
      <w:r>
        <w:rPr>
          <w:noProof/>
        </w:rPr>
        <w:t xml:space="preserve">Figura </w:t>
      </w:r>
      <w:r>
        <w:rPr>
          <w:noProof/>
        </w:rPr>
        <w:fldChar w:fldCharType="begin"/>
      </w:r>
      <w:r>
        <w:rPr>
          <w:noProof/>
        </w:rPr>
        <w:instrText xml:space="preserve"> SEQ Figure \* ARABIC </w:instrText>
      </w:r>
      <w:r>
        <w:rPr>
          <w:noProof/>
        </w:rPr>
        <w:fldChar w:fldCharType="separate"/>
      </w:r>
      <w:r>
        <w:rPr>
          <w:noProof/>
        </w:rPr>
        <w:t>8</w:t>
      </w:r>
      <w:r>
        <w:rPr>
          <w:noProof/>
        </w:rPr>
        <w:fldChar w:fldCharType="end"/>
      </w:r>
      <w:r>
        <w:rPr>
          <w:noProof/>
        </w:rPr>
        <w:t>: Subvenții pentru energia din surse regenerabile în funcție de instrument (miliarde EUR la prețurile din 2024)</w:t>
      </w:r>
    </w:p>
    <w:p>
      <w:pPr>
        <w:pStyle w:val="Source"/>
        <w:rPr>
          <w:noProof/>
        </w:rPr>
      </w:pPr>
      <w:r>
        <w:rPr>
          <w:noProof/>
        </w:rPr>
        <w:t>Sursă: Enerdata, 2025. Notă: estimările pentru 2024 sunt reprezentate cu culoare deschisă.</w:t>
      </w:r>
    </w:p>
    <w:p>
      <w:pPr>
        <w:pStyle w:val="BodyText"/>
        <w:jc w:val="both"/>
        <w:rPr>
          <w:noProof/>
        </w:rPr>
      </w:pPr>
    </w:p>
    <w:p>
      <w:pPr>
        <w:pStyle w:val="Text"/>
        <w:rPr>
          <w:rFonts w:ascii="Times New Roman" w:hAnsi="Times New Roman" w:cs="Times New Roman"/>
          <w:bCs/>
          <w:noProof/>
          <w:sz w:val="24"/>
          <w:szCs w:val="24"/>
        </w:rPr>
      </w:pPr>
      <w:r>
        <w:rPr>
          <w:rFonts w:ascii="Times New Roman" w:hAnsi="Times New Roman"/>
          <w:noProof/>
          <w:sz w:val="24"/>
        </w:rPr>
        <w:t>Sprijinul pentru diferitele tehnologii din domeniul energiei din surse regenerabile a variat semnificativ de la un stat membru la altul, reflectând diferitele priorități ale politicii energetice și potențialul local al surselor regenerabile de energie (</w:t>
      </w:r>
      <w:r>
        <w:rPr>
          <w:rFonts w:ascii="Times New Roman" w:hAnsi="Times New Roman" w:cs="Times New Roman"/>
          <w:noProof/>
          <w:sz w:val="24"/>
        </w:rPr>
        <w:fldChar w:fldCharType="begin"/>
      </w:r>
      <w:r>
        <w:rPr>
          <w:rFonts w:ascii="Times New Roman" w:hAnsi="Times New Roman" w:cs="Times New Roman"/>
          <w:noProof/>
          <w:sz w:val="24"/>
        </w:rPr>
        <w:instrText xml:space="preserve"> REF _Ref139457743 \h  \* MERGEFORMAT </w:instrText>
      </w:r>
      <w:r>
        <w:rPr>
          <w:rFonts w:ascii="Times New Roman" w:hAnsi="Times New Roman" w:cs="Times New Roman"/>
          <w:noProof/>
          <w:sz w:val="24"/>
        </w:rPr>
      </w:r>
      <w:r>
        <w:rPr>
          <w:rFonts w:ascii="Times New Roman" w:hAnsi="Times New Roman" w:cs="Times New Roman"/>
          <w:noProof/>
          <w:sz w:val="24"/>
        </w:rPr>
        <w:fldChar w:fldCharType="separate"/>
      </w:r>
      <w:r>
        <w:rPr>
          <w:rFonts w:ascii="Times New Roman" w:hAnsi="Times New Roman" w:cs="Times New Roman"/>
          <w:noProof/>
          <w:sz w:val="24"/>
        </w:rPr>
        <w:t>figura 10</w:t>
      </w:r>
      <w:r>
        <w:rPr>
          <w:rFonts w:ascii="Times New Roman" w:hAnsi="Times New Roman" w:cs="Times New Roman"/>
          <w:noProof/>
          <w:sz w:val="24"/>
        </w:rPr>
        <w:fldChar w:fldCharType="end"/>
      </w:r>
      <w:r>
        <w:rPr>
          <w:rFonts w:ascii="Times New Roman" w:hAnsi="Times New Roman"/>
          <w:noProof/>
          <w:sz w:val="24"/>
        </w:rPr>
        <w:t xml:space="preserve">). Țările cu un nivel ridicat de radiație solară, cum ar fi Malta, Grecia, Cipru, Italia și Spania, au preferat să acorde sprijin pentru </w:t>
      </w:r>
      <w:r>
        <w:rPr>
          <w:rFonts w:ascii="Times New Roman" w:hAnsi="Times New Roman"/>
          <w:i/>
          <w:noProof/>
          <w:sz w:val="24"/>
        </w:rPr>
        <w:t>energia solară</w:t>
      </w:r>
      <w:r>
        <w:rPr>
          <w:rFonts w:ascii="Times New Roman" w:hAnsi="Times New Roman"/>
          <w:noProof/>
          <w:sz w:val="24"/>
        </w:rPr>
        <w:t xml:space="preserve">, în timp ce țările cu mai multe suprafețe împădurite, cum ar fi Croația, Finlanda și Suedia, au acordat mai mult sprijin pentru </w:t>
      </w:r>
      <w:r>
        <w:rPr>
          <w:rFonts w:ascii="Times New Roman" w:hAnsi="Times New Roman"/>
          <w:i/>
          <w:noProof/>
          <w:sz w:val="24"/>
        </w:rPr>
        <w:t>bioenergie</w:t>
      </w:r>
      <w:r>
        <w:rPr>
          <w:rFonts w:ascii="Times New Roman" w:hAnsi="Times New Roman"/>
          <w:noProof/>
          <w:sz w:val="24"/>
        </w:rPr>
        <w:t xml:space="preserve">. </w:t>
      </w:r>
      <w:r>
        <w:rPr>
          <w:rFonts w:ascii="Times New Roman" w:hAnsi="Times New Roman"/>
          <w:i/>
          <w:noProof/>
          <w:sz w:val="24"/>
        </w:rPr>
        <w:t>Energia eoliană</w:t>
      </w:r>
      <w:r>
        <w:rPr>
          <w:rFonts w:ascii="Times New Roman" w:hAnsi="Times New Roman"/>
          <w:noProof/>
          <w:sz w:val="24"/>
        </w:rPr>
        <w:t xml:space="preserve"> (offshore) a reprezentat o proporție substanțială din subvențiile pentru energia din surse regenerabile în Polonia și Belgia. Abordarea preferată în țări precum Germania, Franța, Slovacia, Cehia, Slovenia și Letonia a fost cheltuirea </w:t>
      </w:r>
      <w:r>
        <w:rPr>
          <w:rFonts w:ascii="Times New Roman" w:hAnsi="Times New Roman"/>
          <w:i/>
          <w:noProof/>
          <w:sz w:val="24"/>
        </w:rPr>
        <w:t>echilibrată și neutră din punct de vedere tehnologic</w:t>
      </w:r>
      <w:r>
        <w:rPr>
          <w:rFonts w:ascii="Times New Roman" w:hAnsi="Times New Roman"/>
          <w:noProof/>
          <w:sz w:val="24"/>
        </w:rPr>
        <w:t xml:space="preserve"> pentru diferite surse regenerabile de energie</w:t>
      </w:r>
      <w:r>
        <w:rPr>
          <w:noProof/>
        </w:rPr>
        <w:t>.</w:t>
      </w:r>
    </w:p>
    <w:p>
      <w:pPr>
        <w:pStyle w:val="BodyText"/>
        <w:jc w:val="both"/>
        <w:rPr>
          <w:noProof/>
        </w:rPr>
      </w:pPr>
      <w:r>
        <w:rPr>
          <w:noProof/>
        </w:rPr>
        <w:drawing>
          <wp:inline distT="0" distB="0" distL="0" distR="0">
            <wp:extent cx="5013325" cy="2829001"/>
            <wp:effectExtent l="0" t="0" r="0" b="9525"/>
            <wp:docPr id="4257096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024800" cy="2835476"/>
                    </a:xfrm>
                    <a:prstGeom prst="rect">
                      <a:avLst/>
                    </a:prstGeom>
                    <a:noFill/>
                  </pic:spPr>
                </pic:pic>
              </a:graphicData>
            </a:graphic>
          </wp:inline>
        </w:drawing>
      </w:r>
    </w:p>
    <w:p>
      <w:pPr>
        <w:pStyle w:val="Caption"/>
        <w:spacing w:after="0"/>
        <w:jc w:val="center"/>
        <w:rPr>
          <w:noProof/>
        </w:rPr>
      </w:pPr>
      <w:bookmarkStart w:id="22" w:name="_Ref77336392"/>
      <w:bookmarkStart w:id="23" w:name="_Ref109228329"/>
      <w:bookmarkStart w:id="24" w:name="_Ref139457743"/>
      <w:bookmarkStart w:id="25" w:name="_Toc80799171"/>
      <w:bookmarkStart w:id="26" w:name="_Toc81236957"/>
      <w:bookmarkStart w:id="27" w:name="_Toc145348076"/>
      <w:r>
        <w:rPr>
          <w:noProof/>
        </w:rPr>
        <w:t xml:space="preserve">Figura </w:t>
      </w:r>
      <w:r>
        <w:rPr>
          <w:noProof/>
        </w:rPr>
        <w:fldChar w:fldCharType="begin"/>
      </w:r>
      <w:r>
        <w:rPr>
          <w:noProof/>
        </w:rPr>
        <w:instrText xml:space="preserve"> SEQ Figure \* ARABIC </w:instrText>
      </w:r>
      <w:r>
        <w:rPr>
          <w:noProof/>
        </w:rPr>
        <w:fldChar w:fldCharType="separate"/>
      </w:r>
      <w:r>
        <w:rPr>
          <w:noProof/>
        </w:rPr>
        <w:t>9</w:t>
      </w:r>
      <w:r>
        <w:rPr>
          <w:noProof/>
        </w:rPr>
        <w:fldChar w:fldCharType="end"/>
      </w:r>
      <w:bookmarkEnd w:id="22"/>
      <w:bookmarkEnd w:id="23"/>
      <w:bookmarkEnd w:id="24"/>
      <w:r>
        <w:rPr>
          <w:noProof/>
        </w:rPr>
        <w:t>: Ponderea subvențiilor pentru SRE în funcție de tehnologie și de statul membru (%)</w:t>
      </w:r>
      <w:bookmarkEnd w:id="25"/>
      <w:bookmarkEnd w:id="26"/>
      <w:bookmarkEnd w:id="27"/>
    </w:p>
    <w:p>
      <w:pPr>
        <w:jc w:val="center"/>
        <w:rPr>
          <w:noProof/>
        </w:rPr>
      </w:pPr>
      <w:r>
        <w:rPr>
          <w:rStyle w:val="SourceCar"/>
          <w:rFonts w:eastAsiaTheme="minorHAnsi"/>
          <w:noProof/>
        </w:rPr>
        <w:t>Sursă: Enerdata, Trinomics, 2025.</w:t>
      </w:r>
    </w:p>
    <w:p>
      <w:pPr>
        <w:pStyle w:val="BodyText"/>
        <w:jc w:val="both"/>
        <w:rPr>
          <w:noProof/>
        </w:rPr>
      </w:pPr>
    </w:p>
    <w:p>
      <w:pPr>
        <w:pStyle w:val="Heading2"/>
        <w:rPr>
          <w:noProof/>
        </w:rPr>
      </w:pPr>
      <w:r>
        <w:rPr>
          <w:noProof/>
        </w:rPr>
        <w:t>Subvenții în funcție de scopul economic</w:t>
      </w:r>
    </w:p>
    <w:p>
      <w:pPr>
        <w:rPr>
          <w:rFonts w:ascii="Times New Roman" w:hAnsi="Times New Roman" w:cs="Times New Roman"/>
          <w:noProof/>
          <w:sz w:val="24"/>
          <w:szCs w:val="24"/>
        </w:rPr>
      </w:pPr>
      <w:r>
        <w:rPr>
          <w:rFonts w:ascii="Times New Roman" w:hAnsi="Times New Roman"/>
          <w:b/>
          <w:noProof/>
          <w:sz w:val="24"/>
        </w:rPr>
        <w:t>Subvențiile destinate sprijinirii cererii de energie</w:t>
      </w:r>
      <w:r>
        <w:rPr>
          <w:rFonts w:ascii="Times New Roman" w:hAnsi="Times New Roman"/>
          <w:noProof/>
          <w:sz w:val="24"/>
        </w:rPr>
        <w:t xml:space="preserve"> au reprezentat principalul scop economic pentru acordarea de subvenții începând din 2021, reprezentând 163 de miliarde EUR (48 % din total) în 2024. Astfel de subvenții vizează reducerea costului consumului de energie, de exemplu prin rate de impozitare mai mici pentru produsele energetice sau prin sprijinirea directă a prețurilor.</w:t>
      </w:r>
    </w:p>
    <w:p>
      <w:pPr>
        <w:rPr>
          <w:noProof/>
        </w:rPr>
      </w:pPr>
      <w:r>
        <w:rPr>
          <w:noProof/>
        </w:rPr>
        <w:drawing>
          <wp:inline distT="0" distB="0" distL="0" distR="0">
            <wp:extent cx="5731510" cy="2298065"/>
            <wp:effectExtent l="0" t="0" r="2540" b="6985"/>
            <wp:docPr id="2734548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1510" cy="2298065"/>
                    </a:xfrm>
                    <a:prstGeom prst="rect">
                      <a:avLst/>
                    </a:prstGeom>
                    <a:noFill/>
                    <a:ln>
                      <a:noFill/>
                    </a:ln>
                  </pic:spPr>
                </pic:pic>
              </a:graphicData>
            </a:graphic>
          </wp:inline>
        </w:drawing>
      </w:r>
    </w:p>
    <w:p>
      <w:pPr>
        <w:spacing w:after="0"/>
        <w:jc w:val="center"/>
        <w:rPr>
          <w:rStyle w:val="SourceCar"/>
          <w:rFonts w:eastAsia="MS Mincho"/>
          <w:noProof/>
        </w:rPr>
      </w:pPr>
      <w:bookmarkStart w:id="28" w:name="_Ref107099227"/>
      <w:bookmarkStart w:id="29" w:name="_Ref175576596"/>
      <w:bookmarkStart w:id="30" w:name="_Ref139365854"/>
      <w:bookmarkStart w:id="31" w:name="_Ref106288803"/>
      <w:bookmarkStart w:id="32" w:name="_Ref107253300"/>
      <w:bookmarkStart w:id="33" w:name="_Toc80799174"/>
      <w:bookmarkStart w:id="34" w:name="_Ref106892037"/>
      <w:bookmarkStart w:id="35" w:name="_Toc145348080"/>
      <w:r>
        <w:rPr>
          <w:rFonts w:ascii="Times New Roman" w:hAnsi="Times New Roman"/>
          <w:i/>
          <w:noProof/>
        </w:rPr>
        <w:t>Figura</w:t>
      </w:r>
      <w:bookmarkEnd w:id="28"/>
      <w:r>
        <w:rPr>
          <w:rFonts w:ascii="Times New Roman" w:hAnsi="Times New Roman"/>
          <w:i/>
          <w:noProof/>
        </w:rPr>
        <w:t> </w:t>
      </w:r>
      <w:r>
        <w:rPr>
          <w:rFonts w:ascii="Times New Roman" w:eastAsia="Times New Roman" w:hAnsi="Times New Roman" w:cs="Times New Roman"/>
          <w:i/>
          <w:noProof/>
        </w:rPr>
        <w:fldChar w:fldCharType="begin"/>
      </w:r>
      <w:r>
        <w:rPr>
          <w:rFonts w:ascii="Times New Roman" w:eastAsia="Times New Roman" w:hAnsi="Times New Roman" w:cs="Times New Roman"/>
          <w:i/>
          <w:noProof/>
        </w:rPr>
        <w:instrText xml:space="preserve"> SEQ Figure \* ARABIC </w:instrText>
      </w:r>
      <w:r>
        <w:rPr>
          <w:rFonts w:ascii="Times New Roman" w:eastAsia="Times New Roman" w:hAnsi="Times New Roman" w:cs="Times New Roman"/>
          <w:i/>
          <w:noProof/>
        </w:rPr>
        <w:fldChar w:fldCharType="separate"/>
      </w:r>
      <w:r>
        <w:rPr>
          <w:rFonts w:ascii="Times New Roman" w:eastAsia="Times New Roman" w:hAnsi="Times New Roman" w:cs="Times New Roman"/>
          <w:i/>
          <w:noProof/>
        </w:rPr>
        <w:t>10</w:t>
      </w:r>
      <w:r>
        <w:rPr>
          <w:rFonts w:ascii="Times New Roman" w:eastAsia="Times New Roman" w:hAnsi="Times New Roman" w:cs="Times New Roman"/>
          <w:i/>
          <w:noProof/>
        </w:rPr>
        <w:fldChar w:fldCharType="end"/>
      </w:r>
      <w:r>
        <w:rPr>
          <w:rFonts w:ascii="Times New Roman" w:eastAsia="Times New Roman" w:hAnsi="Times New Roman" w:cs="Times New Roman"/>
          <w:i/>
          <w:noProof/>
        </w:rPr>
        <w:fldChar w:fldCharType="begin"/>
      </w:r>
      <w:bookmarkEnd w:id="29"/>
      <w:bookmarkEnd w:id="30"/>
      <w:bookmarkEnd w:id="31"/>
      <w:bookmarkEnd w:id="32"/>
      <w:r>
        <w:rPr>
          <w:rFonts w:ascii="Times New Roman" w:eastAsia="Times New Roman" w:hAnsi="Times New Roman" w:cs="Times New Roman"/>
          <w:i/>
          <w:noProof/>
        </w:rPr>
        <w:fldChar w:fldCharType="separate"/>
      </w:r>
      <w:r>
        <w:rPr>
          <w:rFonts w:ascii="Times New Roman" w:eastAsia="Times New Roman" w:hAnsi="Times New Roman" w:cs="Times New Roman"/>
          <w:i/>
          <w:noProof/>
        </w:rPr>
        <w:t>16</w:t>
      </w:r>
      <w:r>
        <w:rPr>
          <w:rFonts w:ascii="Times New Roman" w:eastAsia="Times New Roman" w:hAnsi="Times New Roman" w:cs="Times New Roman"/>
          <w:i/>
          <w:noProof/>
        </w:rPr>
        <w:fldChar w:fldCharType="end"/>
      </w:r>
      <w:r>
        <w:rPr>
          <w:rFonts w:ascii="Times New Roman" w:hAnsi="Times New Roman"/>
          <w:i/>
          <w:noProof/>
        </w:rPr>
        <w:t>: Subvenții pentru energie în funcție de scopul economic (miliarde EUR la prețurile din 2024)</w:t>
      </w:r>
      <w:bookmarkEnd w:id="33"/>
      <w:bookmarkEnd w:id="34"/>
      <w:bookmarkEnd w:id="35"/>
    </w:p>
    <w:p>
      <w:pPr>
        <w:spacing w:after="0"/>
        <w:jc w:val="center"/>
        <w:rPr>
          <w:rStyle w:val="SourceCar"/>
          <w:rFonts w:eastAsia="MS Mincho"/>
          <w:noProof/>
        </w:rPr>
      </w:pPr>
      <w:r>
        <w:rPr>
          <w:rStyle w:val="SourceCar"/>
          <w:rFonts w:eastAsiaTheme="minorHAnsi"/>
          <w:noProof/>
        </w:rPr>
        <w:t>Sursă: Enerdata, Trinomics, 2025. Notă: estimările pentru 2024 sunt reprezentate prin hașurare.</w:t>
      </w:r>
    </w:p>
    <w:p>
      <w:pPr>
        <w:pStyle w:val="BodyText"/>
        <w:jc w:val="both"/>
        <w:rPr>
          <w:noProof/>
        </w:rPr>
      </w:pPr>
    </w:p>
    <w:p>
      <w:pPr>
        <w:pStyle w:val="BodyText"/>
        <w:jc w:val="both"/>
        <w:rPr>
          <w:noProof/>
        </w:rPr>
      </w:pPr>
      <w:r>
        <w:rPr>
          <w:b/>
          <w:noProof/>
        </w:rPr>
        <w:t>Subvențiile pentru combustibilii fosili destinate sprijinirii cererii de energie</w:t>
      </w:r>
      <w:r>
        <w:rPr>
          <w:noProof/>
        </w:rPr>
        <w:t xml:space="preserve"> au reprezentat o pondere cuprinsă între 63 și 75 % din valoarea totală a subvențiilor pentru combustibilii fosili în perioada 2015-2024 (figura </w:t>
      </w:r>
      <w:r>
        <w:rPr>
          <w:noProof/>
        </w:rPr>
        <w:fldChar w:fldCharType="begin"/>
      </w:r>
      <w:r>
        <w:rPr>
          <w:noProof/>
        </w:rPr>
        <w:instrText xml:space="preserve"> SEQ Figure \* ARABIC </w:instrText>
      </w:r>
      <w:r>
        <w:rPr>
          <w:noProof/>
        </w:rPr>
        <w:fldChar w:fldCharType="separate"/>
      </w:r>
      <w:r>
        <w:rPr>
          <w:noProof/>
        </w:rPr>
        <w:t>11</w:t>
      </w:r>
      <w:r>
        <w:rPr>
          <w:noProof/>
        </w:rPr>
        <w:fldChar w:fldCharType="end"/>
      </w:r>
      <w:r>
        <w:rPr>
          <w:noProof/>
        </w:rPr>
        <w:t>).</w:t>
      </w:r>
    </w:p>
    <w:p>
      <w:pPr>
        <w:pStyle w:val="BodyText"/>
        <w:jc w:val="both"/>
        <w:rPr>
          <w:noProof/>
        </w:rPr>
      </w:pPr>
    </w:p>
    <w:p>
      <w:pPr>
        <w:pStyle w:val="BodyText"/>
        <w:jc w:val="both"/>
        <w:rPr>
          <w:noProof/>
        </w:rPr>
      </w:pPr>
      <w:r>
        <w:rPr>
          <w:noProof/>
        </w:rPr>
        <w:drawing>
          <wp:inline distT="0" distB="0" distL="0" distR="0">
            <wp:extent cx="5731510" cy="2313829"/>
            <wp:effectExtent l="0" t="0" r="2540" b="0"/>
            <wp:docPr id="7677589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39637" cy="2317110"/>
                    </a:xfrm>
                    <a:prstGeom prst="rect">
                      <a:avLst/>
                    </a:prstGeom>
                    <a:noFill/>
                    <a:ln>
                      <a:noFill/>
                    </a:ln>
                  </pic:spPr>
                </pic:pic>
              </a:graphicData>
            </a:graphic>
          </wp:inline>
        </w:drawing>
      </w:r>
    </w:p>
    <w:p>
      <w:pPr>
        <w:pStyle w:val="Caption"/>
        <w:spacing w:after="0"/>
        <w:jc w:val="center"/>
        <w:rPr>
          <w:noProof/>
        </w:rPr>
      </w:pPr>
      <w:bookmarkStart w:id="36" w:name="_Ref106291386"/>
      <w:bookmarkStart w:id="37" w:name="_Ref109228410"/>
      <w:bookmarkStart w:id="38" w:name="_Toc145348081"/>
      <w:r>
        <w:rPr>
          <w:noProof/>
        </w:rPr>
        <w:t>Figura </w:t>
      </w:r>
      <w:bookmarkEnd w:id="36"/>
      <w:bookmarkEnd w:id="37"/>
      <w:r>
        <w:rPr>
          <w:noProof/>
          <w:color w:val="2B579A"/>
          <w:shd w:val="clear" w:color="auto" w:fill="E6E6E6"/>
        </w:rPr>
        <w:t>11:</w:t>
      </w:r>
      <w:r>
        <w:rPr>
          <w:noProof/>
        </w:rPr>
        <w:t xml:space="preserve"> Subvențiile pentru combustibilii fosili în UE-27 în funcție de scop</w:t>
      </w:r>
      <w:bookmarkEnd w:id="38"/>
    </w:p>
    <w:p>
      <w:pPr>
        <w:jc w:val="center"/>
        <w:rPr>
          <w:rStyle w:val="SourceCar"/>
          <w:rFonts w:eastAsia="MS Mincho"/>
          <w:noProof/>
        </w:rPr>
      </w:pPr>
      <w:r>
        <w:rPr>
          <w:rStyle w:val="SourceCar"/>
          <w:rFonts w:eastAsiaTheme="minorHAnsi"/>
          <w:noProof/>
        </w:rPr>
        <w:t>Sursă: Enerdata, Trinomics, 2025. Notă: estimările pentru 2023 sunt reprezentate prin hașurare.</w:t>
      </w:r>
    </w:p>
    <w:p>
      <w:pPr>
        <w:pStyle w:val="Heading2"/>
        <w:rPr>
          <w:noProof/>
        </w:rPr>
      </w:pPr>
      <w:r>
        <w:rPr>
          <w:noProof/>
        </w:rPr>
        <w:lastRenderedPageBreak/>
        <w:t>Subvenții legate de criza energetică din 2022</w:t>
      </w:r>
    </w:p>
    <w:p>
      <w:pPr>
        <w:jc w:val="both"/>
        <w:rPr>
          <w:rFonts w:ascii="Times New Roman" w:hAnsi="Times New Roman" w:cs="Times New Roman"/>
          <w:noProof/>
          <w:sz w:val="24"/>
          <w:szCs w:val="24"/>
        </w:rPr>
      </w:pPr>
      <w:r>
        <w:rPr>
          <w:rFonts w:ascii="Times New Roman" w:hAnsi="Times New Roman"/>
          <w:noProof/>
          <w:sz w:val="24"/>
        </w:rPr>
        <w:t>Creșterile prețurilor la energie cauzate de redresarea economică de scurtă durată în urma pandemiei de COVID-19 din 2021 și de criza energetică care a rezultat în urma invadării pe scară largă a Ucrainei de către Rusia în 2022 au determinat Comisia și statele membre să ia măsuri. Pe lângă politicile de la nivelul UE, fiecare stat membru a adoptat măsuri naționale specifice pentru a-și proteja cetățenii și economia de efectele creșterii prețurilor la energie și ale volatilității prețurilor. De când prețurile au început să scadă în 2023 și 2024, sprijinul în situații de criză a scăzut semnificativ (la 98 de miliarde EUR, -38 %), majoritatea măsurilor de criză fiind în prezent eliminate treptat.</w:t>
      </w:r>
    </w:p>
    <w:p>
      <w:pPr>
        <w:pStyle w:val="BodyText"/>
        <w:jc w:val="both"/>
        <w:rPr>
          <w:noProof/>
        </w:rPr>
      </w:pPr>
      <w:r>
        <w:rPr>
          <w:noProof/>
        </w:rPr>
        <w:drawing>
          <wp:inline distT="0" distB="0" distL="0" distR="0">
            <wp:extent cx="5422790" cy="2424880"/>
            <wp:effectExtent l="0" t="0" r="6985" b="0"/>
            <wp:docPr id="12914468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53333" cy="2438538"/>
                    </a:xfrm>
                    <a:prstGeom prst="rect">
                      <a:avLst/>
                    </a:prstGeom>
                    <a:noFill/>
                    <a:ln>
                      <a:noFill/>
                    </a:ln>
                  </pic:spPr>
                </pic:pic>
              </a:graphicData>
            </a:graphic>
          </wp:inline>
        </w:drawing>
      </w:r>
    </w:p>
    <w:p>
      <w:pPr>
        <w:pStyle w:val="Caption"/>
        <w:spacing w:after="0"/>
        <w:jc w:val="center"/>
        <w:rPr>
          <w:noProof/>
        </w:rPr>
      </w:pPr>
      <w:bookmarkStart w:id="39" w:name="_Ref139457779"/>
      <w:bookmarkStart w:id="40" w:name="_Ref138844831"/>
      <w:bookmarkStart w:id="41" w:name="_Toc145348083"/>
      <w:r>
        <w:rPr>
          <w:noProof/>
        </w:rPr>
        <w:t xml:space="preserve">Figura </w:t>
      </w:r>
      <w:r>
        <w:rPr>
          <w:noProof/>
        </w:rPr>
        <w:fldChar w:fldCharType="begin"/>
      </w:r>
      <w:r>
        <w:rPr>
          <w:noProof/>
        </w:rPr>
        <w:instrText xml:space="preserve"> SEQ Figure \* ARABIC </w:instrText>
      </w:r>
      <w:r>
        <w:rPr>
          <w:noProof/>
        </w:rPr>
        <w:fldChar w:fldCharType="separate"/>
      </w:r>
      <w:r>
        <w:rPr>
          <w:noProof/>
        </w:rPr>
        <w:t>12</w:t>
      </w:r>
      <w:r>
        <w:rPr>
          <w:noProof/>
        </w:rPr>
        <w:fldChar w:fldCharType="end"/>
      </w:r>
      <w:bookmarkEnd w:id="39"/>
      <w:bookmarkEnd w:id="40"/>
      <w:r>
        <w:rPr>
          <w:noProof/>
          <w:color w:val="2B579A"/>
          <w:shd w:val="clear" w:color="auto" w:fill="E6E6E6"/>
        </w:rPr>
        <w:fldChar w:fldCharType="begin"/>
      </w:r>
      <w:r>
        <w:rPr>
          <w:noProof/>
          <w:color w:val="2B579A"/>
          <w:shd w:val="clear" w:color="auto" w:fill="E6E6E6"/>
        </w:rPr>
        <w:fldChar w:fldCharType="end"/>
      </w:r>
      <w:r>
        <w:rPr>
          <w:noProof/>
        </w:rPr>
        <w:t>: Subvenții structurale și legate de criza energetică</w:t>
      </w:r>
      <w:bookmarkEnd w:id="41"/>
      <w:r>
        <w:rPr>
          <w:noProof/>
        </w:rPr>
        <w:t>; ponderea subvențiilor legate de criză în totalul subvențiilor pentru energie</w:t>
      </w:r>
    </w:p>
    <w:p>
      <w:pPr>
        <w:jc w:val="center"/>
        <w:rPr>
          <w:noProof/>
        </w:rPr>
      </w:pPr>
      <w:r>
        <w:rPr>
          <w:rStyle w:val="SourceCar"/>
          <w:rFonts w:eastAsiaTheme="minorHAnsi"/>
          <w:noProof/>
        </w:rPr>
        <w:t>Sursă: Enerdata, Trinomics, 2025.</w:t>
      </w:r>
    </w:p>
    <w:p>
      <w:pPr>
        <w:pStyle w:val="Heading2"/>
        <w:rPr>
          <w:noProof/>
        </w:rPr>
      </w:pPr>
      <w:r>
        <w:rPr>
          <w:noProof/>
        </w:rPr>
        <w:t>Subvenții în funcție de sectorul economic</w:t>
      </w:r>
    </w:p>
    <w:p>
      <w:pPr>
        <w:pStyle w:val="BodyText"/>
        <w:jc w:val="both"/>
        <w:rPr>
          <w:noProof/>
        </w:rPr>
      </w:pPr>
      <w:r>
        <w:rPr>
          <w:noProof/>
        </w:rPr>
        <w:t xml:space="preserve">În 2024, </w:t>
      </w:r>
      <w:r>
        <w:rPr>
          <w:b/>
          <w:noProof/>
        </w:rPr>
        <w:t>industria energetică</w:t>
      </w:r>
      <w:r>
        <w:rPr>
          <w:noProof/>
        </w:rPr>
        <w:t xml:space="preserve"> a devenit sectorul care </w:t>
      </w:r>
      <w:r>
        <w:rPr>
          <w:b/>
          <w:noProof/>
        </w:rPr>
        <w:t>a primit cele mai ridicate niveluri de subvenții specifice</w:t>
      </w:r>
      <w:r>
        <w:rPr>
          <w:noProof/>
        </w:rPr>
        <w:t xml:space="preserve">, în valoare de 114 miliarde EUR (33 % din total), </w:t>
      </w:r>
      <w:r>
        <w:rPr>
          <w:b/>
          <w:noProof/>
        </w:rPr>
        <w:t>urmat de gospodării</w:t>
      </w:r>
      <w:r>
        <w:rPr>
          <w:noProof/>
        </w:rPr>
        <w:t xml:space="preserve"> (64 de miliarde EUR, 19 %) (</w:t>
      </w:r>
      <w:r>
        <w:rPr>
          <w:noProof/>
          <w:color w:val="2B579A"/>
          <w:shd w:val="clear" w:color="auto" w:fill="E6E6E6"/>
        </w:rPr>
        <w:fldChar w:fldCharType="begin"/>
      </w:r>
      <w:r>
        <w:rPr>
          <w:noProof/>
        </w:rPr>
        <w:instrText xml:space="preserve"> REF _Ref139457866 \h  \* MERGEFORMAT </w:instrText>
      </w:r>
      <w:r>
        <w:rPr>
          <w:noProof/>
          <w:color w:val="2B579A"/>
          <w:shd w:val="clear" w:color="auto" w:fill="E6E6E6"/>
        </w:rPr>
      </w:r>
      <w:r>
        <w:rPr>
          <w:noProof/>
          <w:color w:val="2B579A"/>
          <w:shd w:val="clear" w:color="auto" w:fill="E6E6E6"/>
        </w:rPr>
        <w:fldChar w:fldCharType="separate"/>
      </w:r>
      <w:r>
        <w:rPr>
          <w:noProof/>
        </w:rPr>
        <w:t>figura 15</w:t>
      </w:r>
      <w:r>
        <w:rPr>
          <w:noProof/>
          <w:color w:val="2B579A"/>
          <w:shd w:val="clear" w:color="auto" w:fill="E6E6E6"/>
        </w:rPr>
        <w:fldChar w:fldCharType="end"/>
      </w:r>
      <w:r>
        <w:rPr>
          <w:noProof/>
        </w:rPr>
        <w:t xml:space="preserve">). Începând din 2021, </w:t>
      </w:r>
      <w:r>
        <w:rPr>
          <w:b/>
          <w:noProof/>
        </w:rPr>
        <w:t>subvențiile care vizează mai multe sectoare sau care nu vizează niciun sector specific</w:t>
      </w:r>
      <w:r>
        <w:rPr>
          <w:noProof/>
        </w:rPr>
        <w:t xml:space="preserve"> (și anume subvențiile transsectoriale) </w:t>
      </w:r>
      <w:r>
        <w:rPr>
          <w:b/>
          <w:noProof/>
        </w:rPr>
        <w:t>au crescut brusc</w:t>
      </w:r>
      <w:r>
        <w:rPr>
          <w:noProof/>
        </w:rPr>
        <w:t>, ajungând la 88 de miliarde EUR (26 % din total) în 2024. Subvențiile au fost mai mici pentru sectoarele industriale</w:t>
      </w:r>
      <w:r>
        <w:rPr>
          <w:rStyle w:val="FootnoteReference"/>
          <w:rFonts w:eastAsia="MS Mincho"/>
          <w:noProof/>
        </w:rPr>
        <w:footnoteReference w:id="13"/>
      </w:r>
      <w:r>
        <w:rPr>
          <w:noProof/>
        </w:rPr>
        <w:t xml:space="preserve"> și transporturi, ajungând la 40 de miliarde EUR (12 %) și, respectiv, 19 miliarde EUR (6 %), în timp ce sectorul terțiar</w:t>
      </w:r>
      <w:r>
        <w:rPr>
          <w:rStyle w:val="FootnoteReference"/>
          <w:rFonts w:eastAsia="MS Mincho"/>
          <w:noProof/>
        </w:rPr>
        <w:footnoteReference w:id="14"/>
      </w:r>
      <w:r>
        <w:rPr>
          <w:noProof/>
        </w:rPr>
        <w:t xml:space="preserve"> și agricultura au primit cel mai puțin, și anume 9 miliarde EUR (3 %) și, respectiv, 7 miliarde EUR (2 %).</w:t>
      </w:r>
    </w:p>
    <w:p>
      <w:pPr>
        <w:pStyle w:val="BodyText"/>
        <w:jc w:val="both"/>
        <w:rPr>
          <w:noProof/>
        </w:rPr>
      </w:pPr>
      <w:r>
        <w:rPr>
          <w:noProof/>
        </w:rPr>
        <w:lastRenderedPageBreak/>
        <w:drawing>
          <wp:inline distT="0" distB="0" distL="0" distR="0">
            <wp:extent cx="5478449" cy="2494122"/>
            <wp:effectExtent l="0" t="0" r="8255" b="1905"/>
            <wp:docPr id="37255319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518352" cy="2512288"/>
                    </a:xfrm>
                    <a:prstGeom prst="rect">
                      <a:avLst/>
                    </a:prstGeom>
                    <a:noFill/>
                  </pic:spPr>
                </pic:pic>
              </a:graphicData>
            </a:graphic>
          </wp:inline>
        </w:drawing>
      </w:r>
    </w:p>
    <w:p>
      <w:pPr>
        <w:pStyle w:val="Caption"/>
        <w:spacing w:before="0" w:after="0"/>
        <w:jc w:val="center"/>
        <w:rPr>
          <w:noProof/>
        </w:rPr>
      </w:pPr>
      <w:bookmarkStart w:id="42" w:name="_Ref106965075"/>
      <w:bookmarkStart w:id="43" w:name="_Ref108708328"/>
      <w:bookmarkStart w:id="44" w:name="_Ref139457866"/>
      <w:bookmarkStart w:id="45" w:name="_Ref138923563"/>
      <w:bookmarkStart w:id="46" w:name="_Ref138923600"/>
      <w:bookmarkStart w:id="47" w:name="_Toc145348087"/>
      <w:bookmarkStart w:id="48" w:name="_Ref77353810"/>
      <w:bookmarkStart w:id="49" w:name="_Ref80878928"/>
      <w:bookmarkStart w:id="50" w:name="_Toc80799176"/>
      <w:r>
        <w:rPr>
          <w:noProof/>
        </w:rPr>
        <w:t xml:space="preserve">Figura </w:t>
      </w:r>
      <w:r>
        <w:rPr>
          <w:noProof/>
        </w:rPr>
        <w:fldChar w:fldCharType="begin"/>
      </w:r>
      <w:r>
        <w:rPr>
          <w:noProof/>
        </w:rPr>
        <w:instrText xml:space="preserve"> SEQ Figure \* ARABIC </w:instrText>
      </w:r>
      <w:r>
        <w:rPr>
          <w:noProof/>
        </w:rPr>
        <w:fldChar w:fldCharType="separate"/>
      </w:r>
      <w:r>
        <w:rPr>
          <w:noProof/>
        </w:rPr>
        <w:t>13</w:t>
      </w:r>
      <w:r>
        <w:rPr>
          <w:noProof/>
        </w:rPr>
        <w:fldChar w:fldCharType="end"/>
      </w:r>
      <w:bookmarkEnd w:id="42"/>
      <w:bookmarkEnd w:id="43"/>
      <w:bookmarkEnd w:id="44"/>
      <w:r>
        <w:rPr>
          <w:noProof/>
        </w:rPr>
        <w:fldChar w:fldCharType="begin"/>
      </w:r>
      <w:r>
        <w:rPr>
          <w:noProof/>
        </w:rPr>
        <w:fldChar w:fldCharType="end"/>
      </w:r>
      <w:r>
        <w:rPr>
          <w:noProof/>
        </w:rPr>
        <w:t>: Subvenții pentru energie în funcție de sectorul economic (miliarde EUR la prețurile din 2024)</w:t>
      </w:r>
      <w:bookmarkEnd w:id="45"/>
      <w:bookmarkEnd w:id="46"/>
      <w:bookmarkEnd w:id="47"/>
    </w:p>
    <w:bookmarkEnd w:id="48"/>
    <w:bookmarkEnd w:id="49"/>
    <w:bookmarkEnd w:id="50"/>
    <w:p>
      <w:pPr>
        <w:jc w:val="center"/>
        <w:rPr>
          <w:rStyle w:val="SourceCar"/>
          <w:rFonts w:eastAsia="MS Mincho"/>
          <w:noProof/>
        </w:rPr>
      </w:pPr>
      <w:r>
        <w:rPr>
          <w:rStyle w:val="SourceCar"/>
          <w:rFonts w:eastAsiaTheme="minorHAnsi"/>
          <w:noProof/>
        </w:rPr>
        <w:t>Sursă: Enerdata, 2025. Notă: estimările pentru 2024 sunt reprezentate cu culoare deschisă.</w:t>
      </w:r>
    </w:p>
    <w:p>
      <w:pPr>
        <w:pStyle w:val="Heading2"/>
        <w:rPr>
          <w:noProof/>
        </w:rPr>
      </w:pPr>
      <w:bookmarkStart w:id="51" w:name="_Toc145348051"/>
      <w:bookmarkStart w:id="52" w:name="_Ref183430904"/>
      <w:r>
        <w:rPr>
          <w:noProof/>
        </w:rPr>
        <w:t>Subvenții în funcție de impactul asupra mediului</w:t>
      </w:r>
      <w:bookmarkEnd w:id="51"/>
      <w:bookmarkEnd w:id="52"/>
    </w:p>
    <w:p>
      <w:pPr>
        <w:pStyle w:val="BodyText"/>
        <w:jc w:val="both"/>
        <w:rPr>
          <w:noProof/>
        </w:rPr>
      </w:pPr>
      <w:r>
        <w:rPr>
          <w:noProof/>
        </w:rPr>
        <w:t xml:space="preserve">Un alt obiectiv al acestui raport este de a furniza o evaluare cuprinzătoare a impactului asupra mediului al </w:t>
      </w:r>
      <w:r>
        <w:rPr>
          <w:i/>
          <w:noProof/>
        </w:rPr>
        <w:t>subvențiilor pentru energie</w:t>
      </w:r>
      <w:r>
        <w:rPr>
          <w:noProof/>
        </w:rPr>
        <w:t xml:space="preserve"> în UE. În acest context, a fost utilizată următoarea definiție:</w:t>
      </w:r>
    </w:p>
    <w:p>
      <w:pPr>
        <w:jc w:val="both"/>
        <w:rPr>
          <w:noProof/>
        </w:rPr>
      </w:pPr>
      <w:r>
        <w:rPr>
          <w:rFonts w:ascii="Times New Roman" w:hAnsi="Times New Roman"/>
          <w:i/>
          <w:noProof/>
          <w:sz w:val="24"/>
        </w:rPr>
        <w:t>Subvențiile pentru energie sunt dăunătoare mediului dacă reducerea prețurilor sau a costurilor pe care o generează stimulează utilizarea și/sau menținerea sau creșterea disponibilității surselor de energie care au un impact negativ considerabil mai mare asupra mediului</w:t>
      </w:r>
      <w:r>
        <w:rPr>
          <w:rStyle w:val="FootnoteReference"/>
          <w:rFonts w:eastAsiaTheme="minorHAnsi"/>
          <w:iCs/>
          <w:noProof/>
        </w:rPr>
        <w:footnoteReference w:id="15"/>
      </w:r>
      <w:r>
        <w:rPr>
          <w:i/>
          <w:noProof/>
        </w:rPr>
        <w:t>.</w:t>
      </w:r>
    </w:p>
    <w:p>
      <w:pPr>
        <w:jc w:val="both"/>
        <w:rPr>
          <w:rStyle w:val="normaltextrun"/>
          <w:rFonts w:ascii="Times New Roman" w:hAnsi="Times New Roman" w:cs="Times New Roman"/>
          <w:noProof/>
          <w:color w:val="000000"/>
          <w:sz w:val="24"/>
          <w:szCs w:val="24"/>
          <w:shd w:val="clear" w:color="auto" w:fill="FFFFFF"/>
        </w:rPr>
      </w:pPr>
      <w:r>
        <w:rPr>
          <w:rFonts w:ascii="Times New Roman" w:hAnsi="Times New Roman"/>
          <w:b/>
          <w:noProof/>
          <w:sz w:val="24"/>
        </w:rPr>
        <w:t>Majoritatea subvențiilor pentru energie</w:t>
      </w:r>
      <w:r>
        <w:rPr>
          <w:rFonts w:ascii="Times New Roman" w:hAnsi="Times New Roman"/>
          <w:noProof/>
          <w:sz w:val="24"/>
        </w:rPr>
        <w:t xml:space="preserve"> din 2024 (230 de miliarde EUR sau 68 % din total) au fost clasificate ca </w:t>
      </w:r>
      <w:r>
        <w:rPr>
          <w:rFonts w:ascii="Times New Roman" w:hAnsi="Times New Roman"/>
          <w:b/>
          <w:i/>
          <w:noProof/>
          <w:sz w:val="24"/>
        </w:rPr>
        <w:t>nefiind dăunătoare mediului</w:t>
      </w:r>
      <w:r>
        <w:rPr>
          <w:rFonts w:ascii="Times New Roman" w:hAnsi="Times New Roman"/>
          <w:noProof/>
          <w:sz w:val="24"/>
        </w:rPr>
        <w:t xml:space="preserve">. Între timp, ponderea </w:t>
      </w:r>
      <w:r>
        <w:rPr>
          <w:rFonts w:ascii="Times New Roman" w:hAnsi="Times New Roman"/>
          <w:b/>
          <w:i/>
          <w:noProof/>
          <w:sz w:val="24"/>
        </w:rPr>
        <w:t>subvențiilor pentru energie dăunătoare mediului</w:t>
      </w:r>
      <w:r>
        <w:rPr>
          <w:rFonts w:ascii="Times New Roman" w:hAnsi="Times New Roman"/>
          <w:noProof/>
          <w:sz w:val="24"/>
        </w:rPr>
        <w:t xml:space="preserve"> a fost estimată la </w:t>
      </w:r>
      <w:r>
        <w:rPr>
          <w:rFonts w:ascii="Times New Roman" w:hAnsi="Times New Roman"/>
          <w:b/>
          <w:noProof/>
          <w:sz w:val="24"/>
        </w:rPr>
        <w:t>110 miliarde EUR</w:t>
      </w:r>
      <w:r>
        <w:rPr>
          <w:rFonts w:ascii="Times New Roman" w:hAnsi="Times New Roman"/>
          <w:noProof/>
          <w:sz w:val="24"/>
        </w:rPr>
        <w:t xml:space="preserve"> (sau 32 % din total)</w:t>
      </w:r>
      <w:r>
        <w:rPr>
          <w:rStyle w:val="FootnoteReference"/>
          <w:rFonts w:eastAsia="Calibri"/>
          <w:noProof/>
          <w:szCs w:val="24"/>
        </w:rPr>
        <w:footnoteReference w:id="16"/>
      </w:r>
      <w:r>
        <w:rPr>
          <w:rFonts w:ascii="Times New Roman" w:hAnsi="Times New Roman"/>
          <w:noProof/>
          <w:sz w:val="24"/>
        </w:rPr>
        <w:t xml:space="preserve"> (</w:t>
      </w:r>
      <w:r>
        <w:rPr>
          <w:rFonts w:ascii="Times New Roman" w:hAnsi="Times New Roman" w:cs="Times New Roman"/>
          <w:noProof/>
          <w:sz w:val="24"/>
        </w:rPr>
        <w:fldChar w:fldCharType="begin"/>
      </w:r>
      <w:r>
        <w:rPr>
          <w:rFonts w:ascii="Times New Roman" w:hAnsi="Times New Roman" w:cs="Times New Roman"/>
          <w:noProof/>
          <w:sz w:val="24"/>
        </w:rPr>
        <w:instrText xml:space="preserve"> REF _Ref138344643 \h  \* MERGEFORMAT </w:instrText>
      </w:r>
      <w:r>
        <w:rPr>
          <w:rFonts w:ascii="Times New Roman" w:hAnsi="Times New Roman" w:cs="Times New Roman"/>
          <w:noProof/>
          <w:sz w:val="24"/>
        </w:rPr>
      </w:r>
      <w:r>
        <w:rPr>
          <w:rFonts w:ascii="Times New Roman" w:hAnsi="Times New Roman" w:cs="Times New Roman"/>
          <w:noProof/>
          <w:sz w:val="24"/>
        </w:rPr>
        <w:fldChar w:fldCharType="separate"/>
      </w:r>
      <w:r>
        <w:rPr>
          <w:rFonts w:ascii="Times New Roman" w:hAnsi="Times New Roman" w:cs="Times New Roman"/>
          <w:noProof/>
          <w:sz w:val="24"/>
        </w:rPr>
        <w:t>figura 14</w:t>
      </w:r>
      <w:r>
        <w:rPr>
          <w:rFonts w:ascii="Times New Roman" w:hAnsi="Times New Roman" w:cs="Times New Roman"/>
          <w:noProof/>
          <w:sz w:val="24"/>
        </w:rPr>
        <w:fldChar w:fldCharType="end"/>
      </w:r>
      <w:r>
        <w:rPr>
          <w:rFonts w:ascii="Times New Roman" w:hAnsi="Times New Roman"/>
          <w:noProof/>
          <w:sz w:val="24"/>
        </w:rPr>
        <w:t xml:space="preserve">). Ponderea subvențiilor pentru energie </w:t>
      </w:r>
      <w:r>
        <w:rPr>
          <w:rFonts w:ascii="Times New Roman" w:hAnsi="Times New Roman"/>
          <w:i/>
          <w:noProof/>
          <w:sz w:val="24"/>
        </w:rPr>
        <w:t>care nu sunt dăunătoare mediului</w:t>
      </w:r>
      <w:r>
        <w:rPr>
          <w:rFonts w:ascii="Times New Roman" w:hAnsi="Times New Roman"/>
          <w:noProof/>
          <w:sz w:val="24"/>
        </w:rPr>
        <w:t xml:space="preserve"> a crescut cu 10 % în 2024 față de 2023.</w:t>
      </w:r>
      <w:r>
        <w:rPr>
          <w:rFonts w:ascii="Times New Roman" w:hAnsi="Times New Roman"/>
          <w:b/>
          <w:noProof/>
          <w:sz w:val="24"/>
        </w:rPr>
        <w:t xml:space="preserve"> </w:t>
      </w:r>
      <w:r>
        <w:rPr>
          <w:rFonts w:ascii="Times New Roman" w:hAnsi="Times New Roman"/>
          <w:noProof/>
          <w:sz w:val="24"/>
        </w:rPr>
        <w:t xml:space="preserve">În schimb, </w:t>
      </w:r>
      <w:r>
        <w:rPr>
          <w:rStyle w:val="normaltextrun"/>
          <w:rFonts w:ascii="Times New Roman" w:hAnsi="Times New Roman"/>
          <w:noProof/>
          <w:color w:val="000000"/>
          <w:sz w:val="24"/>
          <w:shd w:val="clear" w:color="auto" w:fill="FFFFFF"/>
        </w:rPr>
        <w:t xml:space="preserve">ponderea totală a </w:t>
      </w:r>
      <w:r>
        <w:rPr>
          <w:rFonts w:ascii="Times New Roman" w:hAnsi="Times New Roman"/>
          <w:noProof/>
          <w:sz w:val="24"/>
        </w:rPr>
        <w:t>subvențiilor pentru energie dăunătoare mediului</w:t>
      </w:r>
      <w:r>
        <w:rPr>
          <w:rStyle w:val="normaltextrun"/>
          <w:rFonts w:ascii="Times New Roman" w:hAnsi="Times New Roman"/>
          <w:noProof/>
          <w:color w:val="000000"/>
          <w:sz w:val="24"/>
          <w:shd w:val="clear" w:color="auto" w:fill="FFFFFF"/>
        </w:rPr>
        <w:t xml:space="preserve"> a scăzut cu 26 % în 2024 față de 2023, adică într-un ritm mai rapid decât totalul subvențiilor pentru energie, care a scăzut cu 5 % în 2024 față de 2023.</w:t>
      </w:r>
    </w:p>
    <w:p>
      <w:pPr>
        <w:rPr>
          <w:rFonts w:cs="Consolas"/>
          <w:noProof/>
        </w:rPr>
      </w:pPr>
      <w:r>
        <w:rPr>
          <w:rFonts w:ascii="Times New Roman" w:hAnsi="Times New Roman"/>
          <w:noProof/>
          <w:sz w:val="24"/>
        </w:rPr>
        <w:t xml:space="preserve">Cea mai mare parte a </w:t>
      </w:r>
      <w:r>
        <w:rPr>
          <w:rFonts w:ascii="Times New Roman" w:hAnsi="Times New Roman"/>
          <w:i/>
          <w:noProof/>
          <w:sz w:val="24"/>
        </w:rPr>
        <w:t>subvențiilor pentru energie dăunătoare mediului</w:t>
      </w:r>
      <w:r>
        <w:rPr>
          <w:rFonts w:ascii="Times New Roman" w:hAnsi="Times New Roman"/>
          <w:noProof/>
          <w:sz w:val="24"/>
        </w:rPr>
        <w:t xml:space="preserve"> (81 %, 89 de miliarde EUR) au fost acordate pentru combustibilii fosili, urmați de „toate tipurile de energie” </w:t>
      </w:r>
      <w:r>
        <w:rPr>
          <w:rFonts w:ascii="Times New Roman" w:hAnsi="Times New Roman"/>
          <w:noProof/>
          <w:sz w:val="24"/>
        </w:rPr>
        <w:lastRenderedPageBreak/>
        <w:t>(15 %)</w:t>
      </w:r>
      <w:r>
        <w:rPr>
          <w:noProof/>
        </w:rPr>
        <w:t> (</w:t>
      </w:r>
      <w:r>
        <w:rPr>
          <w:rStyle w:val="FootnoteReference"/>
          <w:rFonts w:eastAsiaTheme="minorHAnsi" w:cs="Consolas"/>
          <w:noProof/>
        </w:rPr>
        <w:footnoteReference w:id="17"/>
      </w:r>
      <w:r>
        <w:rPr>
          <w:noProof/>
        </w:rPr>
        <w:t xml:space="preserve">), </w:t>
      </w:r>
      <w:r>
        <w:rPr>
          <w:rFonts w:ascii="Times New Roman" w:hAnsi="Times New Roman"/>
          <w:noProof/>
          <w:sz w:val="24"/>
        </w:rPr>
        <w:t>în timp ce 3 % au fost acordate pentru energia electrică și mai puțin de 1 % pentru generarea de energie termică</w:t>
      </w:r>
      <w:r>
        <w:rPr>
          <w:rStyle w:val="FootnoteReference"/>
          <w:rFonts w:eastAsiaTheme="minorHAnsi"/>
          <w:noProof/>
        </w:rPr>
        <w:footnoteReference w:id="18"/>
      </w:r>
      <w:r>
        <w:rPr>
          <w:noProof/>
        </w:rPr>
        <w:t>.</w:t>
      </w:r>
    </w:p>
    <w:p>
      <w:pPr>
        <w:pStyle w:val="BodyText"/>
        <w:jc w:val="both"/>
        <w:rPr>
          <w:rFonts w:eastAsia="Calibri"/>
          <w:noProof/>
        </w:rPr>
      </w:pPr>
      <w:r>
        <w:rPr>
          <w:rFonts w:eastAsia="Calibri"/>
          <w:noProof/>
        </w:rPr>
        <w:drawing>
          <wp:inline distT="0" distB="0" distL="0" distR="0">
            <wp:extent cx="5523829" cy="3004174"/>
            <wp:effectExtent l="0" t="0" r="1270" b="6350"/>
            <wp:docPr id="164449969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541547" cy="3013810"/>
                    </a:xfrm>
                    <a:prstGeom prst="rect">
                      <a:avLst/>
                    </a:prstGeom>
                    <a:noFill/>
                  </pic:spPr>
                </pic:pic>
              </a:graphicData>
            </a:graphic>
          </wp:inline>
        </w:drawing>
      </w:r>
    </w:p>
    <w:p>
      <w:pPr>
        <w:pStyle w:val="Caption"/>
        <w:spacing w:before="0" w:after="0"/>
        <w:jc w:val="center"/>
        <w:rPr>
          <w:i w:val="0"/>
          <w:iCs/>
          <w:noProof/>
        </w:rPr>
      </w:pPr>
      <w:bookmarkStart w:id="53" w:name="_Ref138344643"/>
      <w:bookmarkStart w:id="54" w:name="_Toc145348094"/>
      <w:r>
        <w:rPr>
          <w:noProof/>
        </w:rPr>
        <w:t xml:space="preserve">Figura </w:t>
      </w:r>
      <w:r>
        <w:rPr>
          <w:noProof/>
        </w:rPr>
        <w:fldChar w:fldCharType="begin"/>
      </w:r>
      <w:r>
        <w:rPr>
          <w:noProof/>
        </w:rPr>
        <w:instrText xml:space="preserve"> SEQ Figure \* ARABIC </w:instrText>
      </w:r>
      <w:r>
        <w:rPr>
          <w:noProof/>
        </w:rPr>
        <w:fldChar w:fldCharType="separate"/>
      </w:r>
      <w:r>
        <w:rPr>
          <w:noProof/>
        </w:rPr>
        <w:t>14</w:t>
      </w:r>
      <w:r>
        <w:rPr>
          <w:noProof/>
        </w:rPr>
        <w:fldChar w:fldCharType="end"/>
      </w:r>
      <w:bookmarkEnd w:id="53"/>
      <w:r>
        <w:rPr>
          <w:noProof/>
        </w:rPr>
        <w:t>: Subvenții pentru energie în funcție de impactul asupra mediului (miliarde EUR la prețurile din 2024)</w:t>
      </w:r>
      <w:bookmarkEnd w:id="54"/>
    </w:p>
    <w:p>
      <w:pPr>
        <w:jc w:val="center"/>
        <w:rPr>
          <w:rStyle w:val="SourceCar"/>
          <w:rFonts w:eastAsia="MS Mincho"/>
          <w:noProof/>
        </w:rPr>
      </w:pPr>
      <w:r>
        <w:rPr>
          <w:rStyle w:val="SourceCar"/>
          <w:rFonts w:eastAsiaTheme="minorHAnsi"/>
          <w:noProof/>
        </w:rPr>
        <w:t>Sursă: Enerdata, Trinomics, 2025. Notă: estimările pentru 2024 sunt reprezentate prin hașurare.</w:t>
      </w:r>
    </w:p>
    <w:p>
      <w:pPr>
        <w:jc w:val="center"/>
        <w:rPr>
          <w:rStyle w:val="SourceCar"/>
          <w:rFonts w:eastAsia="MS Mincho"/>
          <w:noProof/>
        </w:rPr>
      </w:pPr>
    </w:p>
    <w:p>
      <w:pPr>
        <w:pStyle w:val="Heading2"/>
        <w:rPr>
          <w:noProof/>
        </w:rPr>
      </w:pPr>
      <w:bookmarkStart w:id="55" w:name="_Ref176964143"/>
      <w:r>
        <w:rPr>
          <w:noProof/>
        </w:rPr>
        <w:t>Planurile naționale privind subvențiile pentru combustibilii fosili</w:t>
      </w:r>
      <w:bookmarkEnd w:id="55"/>
    </w:p>
    <w:p>
      <w:pPr>
        <w:spacing w:after="120"/>
        <w:textAlignment w:val="baseline"/>
        <w:rPr>
          <w:noProof/>
        </w:rPr>
      </w:pPr>
      <w:r>
        <w:rPr>
          <w:rFonts w:ascii="Times New Roman" w:hAnsi="Times New Roman"/>
          <w:noProof/>
          <w:sz w:val="24"/>
        </w:rPr>
        <w:t>În 2024, valoarea subvențiilor pentru combustibilii fosili</w:t>
      </w:r>
      <w:r>
        <w:rPr>
          <w:rStyle w:val="FootnoteReference"/>
          <w:rFonts w:eastAsiaTheme="minorHAnsi" w:cs="Consolas"/>
          <w:noProof/>
        </w:rPr>
        <w:footnoteReference w:id="19"/>
      </w:r>
      <w:r>
        <w:rPr>
          <w:noProof/>
        </w:rPr>
        <w:t xml:space="preserve"> </w:t>
      </w:r>
      <w:r>
        <w:rPr>
          <w:rFonts w:ascii="Times New Roman" w:hAnsi="Times New Roman"/>
          <w:noProof/>
          <w:sz w:val="24"/>
        </w:rPr>
        <w:t>în UE-27 a ajuns la 97 de miliarde EUR sau 0,5 % din PIB-ul UE. Dintre aceste subvenții, 39 % (38</w:t>
      </w:r>
      <w:r>
        <w:rPr>
          <w:rFonts w:ascii="Times New Roman" w:hAnsi="Times New Roman" w:cs="Times New Roman"/>
          <w:noProof/>
          <w:sz w:val="24"/>
        </w:rPr>
        <w:fldChar w:fldCharType="begin"/>
      </w:r>
      <w:r>
        <w:rPr>
          <w:rFonts w:ascii="Times New Roman" w:hAnsi="Times New Roman" w:cs="Times New Roman"/>
          <w:noProof/>
          <w:sz w:val="24"/>
        </w:rPr>
        <w:fldChar w:fldCharType="separate"/>
      </w:r>
      <w:r>
        <w:rPr>
          <w:rFonts w:ascii="Times New Roman" w:hAnsi="Times New Roman" w:cs="Times New Roman"/>
          <w:noProof/>
          <w:sz w:val="24"/>
        </w:rPr>
        <w:fldChar w:fldCharType="end"/>
      </w:r>
      <w:r>
        <w:rPr>
          <w:rFonts w:ascii="Times New Roman" w:hAnsi="Times New Roman"/>
          <w:noProof/>
          <w:sz w:val="24"/>
        </w:rPr>
        <w:t xml:space="preserve"> de miliarde EUR) au un termen-limită planificat în 2025, 8 % (8 miliarde EUR) au un termen-limită între 2026 și 2030, iar restul de 52 % (50 de miliarde EUR) fie nu au încă un termen-limită, fie au un termen-limită stabilit după 2030 (</w:t>
      </w:r>
      <w:r>
        <w:rPr>
          <w:rFonts w:ascii="Times New Roman" w:hAnsi="Times New Roman" w:cs="Times New Roman"/>
          <w:noProof/>
          <w:sz w:val="24"/>
        </w:rPr>
        <w:fldChar w:fldCharType="begin"/>
      </w:r>
      <w:r>
        <w:rPr>
          <w:rFonts w:ascii="Times New Roman" w:hAnsi="Times New Roman" w:cs="Times New Roman"/>
          <w:noProof/>
          <w:sz w:val="24"/>
        </w:rPr>
        <w:instrText xml:space="preserve"> REF _Ref141370935 \h  \* MERGEFORMAT </w:instrText>
      </w:r>
      <w:r>
        <w:rPr>
          <w:rFonts w:ascii="Times New Roman" w:hAnsi="Times New Roman" w:cs="Times New Roman"/>
          <w:noProof/>
          <w:sz w:val="24"/>
        </w:rPr>
      </w:r>
      <w:r>
        <w:rPr>
          <w:rFonts w:ascii="Times New Roman" w:hAnsi="Times New Roman" w:cs="Times New Roman"/>
          <w:noProof/>
          <w:sz w:val="24"/>
        </w:rPr>
        <w:fldChar w:fldCharType="separate"/>
      </w:r>
      <w:r>
        <w:rPr>
          <w:rFonts w:ascii="Times New Roman" w:hAnsi="Times New Roman" w:cs="Times New Roman"/>
          <w:noProof/>
          <w:sz w:val="24"/>
        </w:rPr>
        <w:t>figura 15</w:t>
      </w:r>
      <w:r>
        <w:rPr>
          <w:rFonts w:ascii="Times New Roman" w:hAnsi="Times New Roman" w:cs="Times New Roman"/>
          <w:noProof/>
          <w:sz w:val="24"/>
        </w:rPr>
        <w:fldChar w:fldCharType="end"/>
      </w:r>
      <w:r>
        <w:rPr>
          <w:rFonts w:ascii="Times New Roman" w:hAnsi="Times New Roman"/>
          <w:noProof/>
          <w:sz w:val="24"/>
        </w:rPr>
        <w:t>)</w:t>
      </w:r>
      <w:bookmarkStart w:id="56" w:name="_Ref138835695"/>
      <w:r>
        <w:rPr>
          <w:rStyle w:val="FootnoteReference"/>
          <w:rFonts w:eastAsiaTheme="minorHAnsi"/>
          <w:noProof/>
        </w:rPr>
        <w:footnoteReference w:id="20"/>
      </w:r>
      <w:r>
        <w:rPr>
          <w:noProof/>
        </w:rPr>
        <w:t>.</w:t>
      </w:r>
    </w:p>
    <w:p>
      <w:pPr>
        <w:spacing w:after="120"/>
        <w:textAlignment w:val="baseline"/>
        <w:rPr>
          <w:noProof/>
        </w:rPr>
      </w:pPr>
    </w:p>
    <w:p>
      <w:pPr>
        <w:spacing w:after="120"/>
        <w:textAlignment w:val="baseline"/>
        <w:rPr>
          <w:noProof/>
        </w:rPr>
      </w:pPr>
      <w:r>
        <w:rPr>
          <w:noProof/>
        </w:rPr>
        <w:lastRenderedPageBreak/>
        <w:drawing>
          <wp:inline distT="0" distB="0" distL="0" distR="0">
            <wp:extent cx="5561634" cy="3795200"/>
            <wp:effectExtent l="0" t="0" r="1270" b="0"/>
            <wp:docPr id="11735255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585841" cy="3811719"/>
                    </a:xfrm>
                    <a:prstGeom prst="rect">
                      <a:avLst/>
                    </a:prstGeom>
                    <a:noFill/>
                  </pic:spPr>
                </pic:pic>
              </a:graphicData>
            </a:graphic>
          </wp:inline>
        </w:drawing>
      </w:r>
    </w:p>
    <w:p>
      <w:pPr>
        <w:pStyle w:val="Caption"/>
        <w:spacing w:before="0" w:after="0"/>
        <w:jc w:val="center"/>
        <w:rPr>
          <w:noProof/>
        </w:rPr>
      </w:pPr>
      <w:bookmarkStart w:id="57" w:name="_Ref141370935"/>
      <w:bookmarkStart w:id="58" w:name="_Ref145576888"/>
      <w:bookmarkStart w:id="59" w:name="_Toc145348098"/>
      <w:bookmarkStart w:id="60" w:name="_Ref145576883"/>
      <w:r>
        <w:rPr>
          <w:noProof/>
        </w:rPr>
        <w:t xml:space="preserve">Figura </w:t>
      </w:r>
      <w:r>
        <w:rPr>
          <w:noProof/>
        </w:rPr>
        <w:fldChar w:fldCharType="begin"/>
      </w:r>
      <w:r>
        <w:rPr>
          <w:noProof/>
        </w:rPr>
        <w:instrText xml:space="preserve"> SEQ Figure \* ARABIC </w:instrText>
      </w:r>
      <w:r>
        <w:rPr>
          <w:noProof/>
        </w:rPr>
        <w:fldChar w:fldCharType="separate"/>
      </w:r>
      <w:r>
        <w:rPr>
          <w:noProof/>
        </w:rPr>
        <w:t>15</w:t>
      </w:r>
      <w:r>
        <w:rPr>
          <w:noProof/>
        </w:rPr>
        <w:fldChar w:fldCharType="end"/>
      </w:r>
      <w:bookmarkEnd w:id="57"/>
      <w:bookmarkEnd w:id="58"/>
      <w:r>
        <w:rPr>
          <w:noProof/>
        </w:rPr>
        <w:t>: Ponderea subvențiilor pentru combustibilii fosili în funcție de termenul-limită per unitate de PIB și ponderea subvențiilor pentru combustibilii fosili în totalul subvențiilor pentru energie</w:t>
      </w:r>
      <w:bookmarkEnd w:id="59"/>
      <w:bookmarkEnd w:id="60"/>
    </w:p>
    <w:p>
      <w:pPr>
        <w:spacing w:after="0"/>
        <w:jc w:val="center"/>
        <w:rPr>
          <w:rStyle w:val="SourceCar"/>
          <w:rFonts w:eastAsia="MS Mincho"/>
          <w:noProof/>
        </w:rPr>
      </w:pPr>
      <w:r>
        <w:rPr>
          <w:rStyle w:val="SourceCar"/>
          <w:rFonts w:eastAsiaTheme="minorHAnsi"/>
          <w:noProof/>
        </w:rPr>
        <w:t>Sursă: Enerdata, Trinomics, 2025.</w:t>
      </w:r>
    </w:p>
    <w:bookmarkEnd w:id="56"/>
    <w:p>
      <w:pPr>
        <w:rPr>
          <w:rFonts w:ascii="Times New Roman" w:eastAsia="MS Mincho" w:hAnsi="Times New Roman" w:cs="Times New Roman"/>
          <w:noProof/>
          <w:sz w:val="24"/>
          <w:szCs w:val="24"/>
        </w:rPr>
      </w:pPr>
      <w:r>
        <w:rPr>
          <w:rFonts w:ascii="Times New Roman" w:hAnsi="Times New Roman"/>
          <w:noProof/>
          <w:sz w:val="24"/>
        </w:rPr>
        <w:t>Aproape toate statele membre ale UE intenționează să renunțe la combustibilii fosili. Totuși, doar opt state membre</w:t>
      </w:r>
      <w:r>
        <w:rPr>
          <w:rStyle w:val="FootnoteReference"/>
          <w:rFonts w:eastAsiaTheme="minorHAnsi"/>
          <w:noProof/>
        </w:rPr>
        <w:footnoteReference w:id="21"/>
      </w:r>
      <w:r>
        <w:rPr>
          <w:noProof/>
        </w:rPr>
        <w:t xml:space="preserve"> </w:t>
      </w:r>
      <w:r>
        <w:rPr>
          <w:rFonts w:ascii="Times New Roman" w:hAnsi="Times New Roman"/>
          <w:noProof/>
          <w:sz w:val="24"/>
        </w:rPr>
        <w:t>și-au exprimat intenția sau au făcut planuri de eliminare treptată completă a subvențiilor pentru combustibilii fosili din economia lor</w:t>
      </w:r>
      <w:r>
        <w:rPr>
          <w:rStyle w:val="FootnoteReference"/>
          <w:rFonts w:eastAsiaTheme="minorHAnsi"/>
          <w:noProof/>
        </w:rPr>
        <w:footnoteReference w:id="22"/>
      </w:r>
      <w:r>
        <w:rPr>
          <w:noProof/>
        </w:rPr>
        <w:t xml:space="preserve">. </w:t>
      </w:r>
      <w:r>
        <w:rPr>
          <w:rFonts w:ascii="Times New Roman" w:hAnsi="Times New Roman"/>
          <w:noProof/>
          <w:sz w:val="24"/>
        </w:rPr>
        <w:t>Lipsesc în continuare termene-limită, politici și măsuri concrete, astfel cum confirmă analiza Comisiei din 2025 a celor mai recente rapoarte naționale intermediare privind energia și clima transmise de statele membre</w:t>
      </w:r>
      <w:r>
        <w:rPr>
          <w:rStyle w:val="FootnoteReference"/>
          <w:rFonts w:eastAsiaTheme="minorHAnsi"/>
          <w:noProof/>
          <w:lang w:eastAsia="en-GB"/>
        </w:rPr>
        <w:footnoteReference w:id="23"/>
      </w:r>
      <w:r>
        <w:rPr>
          <w:rFonts w:ascii="Times New Roman" w:hAnsi="Times New Roman"/>
          <w:noProof/>
          <w:sz w:val="24"/>
        </w:rPr>
        <w:t>.</w:t>
      </w:r>
    </w:p>
    <w:p>
      <w:pPr>
        <w:pStyle w:val="Heading1"/>
        <w:rPr>
          <w:noProof/>
        </w:rPr>
      </w:pPr>
      <w:r>
        <w:rPr>
          <w:noProof/>
        </w:rPr>
        <w:t>Concluzii</w:t>
      </w:r>
    </w:p>
    <w:p>
      <w:pPr>
        <w:pStyle w:val="BodyText"/>
        <w:jc w:val="both"/>
        <w:rPr>
          <w:noProof/>
        </w:rPr>
      </w:pPr>
      <w:r>
        <w:rPr>
          <w:noProof/>
        </w:rPr>
        <w:t>În 2024, subvențiile pentru energie, inclusiv pentru combustibilii fosili, au scăzut moderat față de 2023, dar au scăzut considerabil față de 2022, punctul culminant al crizei energetice. Totuși, ele au fost în continuare ridicate în comparație cu nivelurile istorice.</w:t>
      </w:r>
    </w:p>
    <w:p>
      <w:pPr>
        <w:pStyle w:val="BodyText"/>
        <w:jc w:val="both"/>
        <w:rPr>
          <w:noProof/>
        </w:rPr>
      </w:pPr>
      <w:r>
        <w:rPr>
          <w:noProof/>
        </w:rPr>
        <w:t xml:space="preserve">Ponderea tuturor subvențiilor corespunzătoare sprijinului pentru energia din surse regenerabile a crescut, rămânând totuși cu mult sub media istorică, ceea ce indică o creștere a competitivității surselor regenerabile de energie. În plus, au existat mai puține subvenții temporare pentru combaterea crizei din 2022, în timp ce jumătate din subvențiile pentru combustibilii fosili </w:t>
      </w:r>
      <w:r>
        <w:rPr>
          <w:noProof/>
        </w:rPr>
        <w:lastRenderedPageBreak/>
        <w:t>aveau un termen-limită planificat în 2025 sau până în 2030. Subvențiile pentru transporturi și petrol au început să scadă din nou în 2024, aproape atingând nivelurile din 2021. Ponderea subvențiilor pentru energie dăunătoare mediului a scăzut, în timp ce ponderea subvențiilor pentru energie care nu sunt dăunătoare mediului a crescut.</w:t>
      </w:r>
    </w:p>
    <w:p>
      <w:pPr>
        <w:pStyle w:val="BodyText"/>
        <w:jc w:val="both"/>
        <w:rPr>
          <w:noProof/>
        </w:rPr>
      </w:pPr>
      <w:r>
        <w:rPr>
          <w:noProof/>
        </w:rPr>
        <w:t>În pofida unor tendințe pozitive, subvențiile pentru combustibilii fosili au fost în continuare cu mult peste media istorică</w:t>
      </w:r>
      <w:r>
        <w:rPr>
          <w:rStyle w:val="FootnoteReference"/>
          <w:rFonts w:eastAsia="MS Mincho"/>
          <w:noProof/>
        </w:rPr>
        <w:footnoteReference w:id="24"/>
      </w:r>
      <w:r>
        <w:rPr>
          <w:noProof/>
        </w:rPr>
        <w:t>, în timp ce ponderea subvențiilor nespecifice era, de asemenea, încă ridicată. În plus, subvențiile pentru combustibilii fosili menite să sprijine consumul de energie, care reprezintă majoritatea subvențiilor pentru combustibilii fosili, nu au fost utilizate în mod specific pentru a aborda sărăcia energetică, securitatea aprovizionării sau competitivitatea.</w:t>
      </w:r>
    </w:p>
    <w:p>
      <w:pPr>
        <w:pStyle w:val="BodyText"/>
        <w:jc w:val="both"/>
        <w:rPr>
          <w:noProof/>
          <w:szCs w:val="22"/>
        </w:rPr>
      </w:pPr>
      <w:r>
        <w:rPr>
          <w:noProof/>
        </w:rPr>
        <w:t>Este important de remarcat faptul că, în 2024, nu s-au observat progrese în ceea ce privește planurile naționale de eliminare treptată a combustibililor fosili. Numărul țărilor care s-au angajat să elimine treptat subvențiile pentru combustibilii fosili a rămas neschimbat față de 2023. Lipseau termene-limită, politici și măsuri concrete chiar și pentru statele membre care s-au angajat să elimine treptat combustibilii fosili. Prin urmare, statele membre mai au încă multe de făcut în această privință dacă se dorește ca UE să își îndeplinească obiectivul politic de a elimina treptat subvențiile pentru combustibilii fosili și de a face Europa neutră din punct de vedere climatic până în 2050.</w:t>
      </w:r>
    </w:p>
    <w:p>
      <w:pPr>
        <w:pStyle w:val="BodyText"/>
        <w:jc w:val="both"/>
        <w:rPr>
          <w:noProof/>
        </w:rPr>
      </w:pPr>
      <w:r>
        <w:rPr>
          <w:noProof/>
        </w:rPr>
        <w:t>Reformarea, reducerea și, în cele din urmă, eliminarea subvențiilor pentru combustibilii fosili reprezintă o prioritate pentru Comisia Europeană, în conformitate cu angajamentele asumate de UE în cadrul Acordului de la Paris</w:t>
      </w:r>
      <w:bookmarkStart w:id="61" w:name="_Hlk183451322"/>
      <w:r>
        <w:rPr>
          <w:noProof/>
        </w:rPr>
        <w:t xml:space="preserve">, al Legii europene a climei și al celui de-al optulea Program de acțiune pentru mediu. În scrisorile de misiune adresate atât comisarului pentru energie și locuințe, cât și comisarului pentru climă, zero emisii nete și creștere curată, președinta von der Leyen a emis un mandat </w:t>
      </w:r>
      <w:bookmarkEnd w:id="61"/>
      <w:r>
        <w:rPr>
          <w:noProof/>
        </w:rPr>
        <w:t>pentru crearea unui cadru pentru reducerea și eliminarea treptată a utilizării subvențiilor pentru combustibilii fosili</w:t>
      </w:r>
      <w:r>
        <w:rPr>
          <w:rStyle w:val="FootnoteReference"/>
          <w:rFonts w:eastAsia="MS Mincho"/>
          <w:noProof/>
        </w:rPr>
        <w:footnoteReference w:id="25"/>
      </w:r>
      <w:r>
        <w:rPr>
          <w:noProof/>
        </w:rPr>
        <w:t>.</w:t>
      </w:r>
    </w:p>
    <w:p>
      <w:pPr>
        <w:pStyle w:val="BodyText"/>
        <w:jc w:val="both"/>
        <w:rPr>
          <w:noProof/>
        </w:rPr>
      </w:pPr>
      <w:r>
        <w:rPr>
          <w:noProof/>
        </w:rPr>
        <w:t>Astfel cum se menționează în comunicarea AccelerateEU</w:t>
      </w:r>
      <w:r>
        <w:rPr>
          <w:rStyle w:val="FootnoteReference"/>
          <w:rFonts w:eastAsia="MS Mincho"/>
          <w:noProof/>
        </w:rPr>
        <w:footnoteReference w:id="26"/>
      </w:r>
      <w:r>
        <w:rPr>
          <w:noProof/>
        </w:rPr>
        <w:t>, conflictul din 2026 din Orientul Mijlociu poate necesita măsuri suplimentare prompte, specifice și temporare pentru a proteja consumatorii cei mai vulnerabili, pentru a accelera tranziția către o energie curată și electrificarea și pentru a proteja competitivitatea industriei europene. Cu toate acestea, nicio măsură de ajutor pe termen scurt nu trebuie să aducă atingere obiectivului pe termen lung de eliminare treptată a subvențiilor pentru combustibilii fosili</w:t>
      </w:r>
      <w:r>
        <w:rPr>
          <w:rStyle w:val="FootnoteReference"/>
          <w:rFonts w:eastAsia="MS Mincho"/>
          <w:noProof/>
        </w:rPr>
        <w:footnoteReference w:id="27"/>
      </w:r>
      <w:r>
        <w:rPr>
          <w:noProof/>
        </w:rPr>
        <w:t>.</w:t>
      </w:r>
    </w:p>
    <w:p>
      <w:pPr>
        <w:pStyle w:val="BodyText"/>
        <w:jc w:val="both"/>
        <w:rPr>
          <w:noProof/>
        </w:rPr>
      </w:pPr>
      <w:r>
        <w:rPr>
          <w:noProof/>
        </w:rPr>
        <w:lastRenderedPageBreak/>
        <w:t>În consecință, Comisia intenționează să adopte, până la sfârșitul anului 2026, o propunere de actualizare a guvernanței uniunii energetice și a acțiunilor climatice, care va viza eliminarea treptată a subvențiilor pentru combustibilii fosili</w:t>
      </w:r>
      <w:r>
        <w:rPr>
          <w:rStyle w:val="FootnoteReference"/>
          <w:rFonts w:eastAsia="MS Mincho"/>
          <w:noProof/>
        </w:rPr>
        <w:footnoteReference w:id="28"/>
      </w:r>
      <w:r>
        <w:rPr>
          <w:noProof/>
        </w:rPr>
        <w:t>.</w:t>
      </w:r>
    </w:p>
    <w:p>
      <w:pPr>
        <w:rPr>
          <w:rFonts w:eastAsia="MS Mincho"/>
          <w:noProof/>
          <w:szCs w:val="24"/>
        </w:rPr>
      </w:pPr>
      <w:r>
        <w:rPr>
          <w:noProof/>
        </w:rPr>
        <w:br w:type="page"/>
      </w:r>
    </w:p>
    <w:sectPr>
      <w:headerReference w:type="even" r:id="rId33"/>
      <w:headerReference w:type="default" r:id="rId34"/>
      <w:footerReference w:type="even" r:id="rId35"/>
      <w:footerReference w:type="default" r:id="rId36"/>
      <w:headerReference w:type="first" r:id="rId37"/>
      <w:footerReference w:type="first" r:id="rId3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C Square Sans Pro">
    <w:altName w:val="Calibri"/>
    <w:charset w:val="00"/>
    <w:family w:val="swiss"/>
    <w:pitch w:val="variable"/>
    <w:sig w:usb0="20000287" w:usb1="00000001" w:usb2="00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Open Sans Condensed">
    <w:altName w:val="Segoe UI"/>
    <w:charset w:val="00"/>
    <w:family w:val="swiss"/>
    <w:pitch w:val="variable"/>
    <w:sig w:usb0="E00002EF" w:usb1="4000205B" w:usb2="00000028" w:usb3="00000000" w:csb0="0000019F" w:csb1="00000000"/>
  </w:font>
  <w:font w:name="Times New Roman Bold">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360" w:hanging="360"/>
      </w:pPr>
      <w:r>
        <w:rPr>
          <w:rStyle w:val="FootnoteReference"/>
          <w:szCs w:val="16"/>
        </w:rPr>
        <w:footnoteRef/>
      </w:r>
      <w:r>
        <w:tab/>
        <w:t xml:space="preserve">Articolul 35 litera (n) din Regulamentul (UE) 2018/1999 al Parlamentului European și al Consiliului din 11 decembrie 2018 privind guvernanța uniunii energetice și a acțiunilor climatice (JO L 328, 21.12.2018, p. 1, ELI: </w:t>
      </w:r>
      <w:hyperlink r:id="rId1" w:history="1">
        <w:r>
          <w:rPr>
            <w:rStyle w:val="Hyperlink"/>
          </w:rPr>
          <w:t>http://data.europa.eu/eli/reg/2018/1999/oj</w:t>
        </w:r>
      </w:hyperlink>
      <w:r>
        <w:t>).</w:t>
      </w:r>
    </w:p>
  </w:footnote>
  <w:footnote w:id="2">
    <w:p>
      <w:pPr>
        <w:pStyle w:val="FootnoteText"/>
      </w:pPr>
      <w:r>
        <w:rPr>
          <w:rStyle w:val="FootnoteReference"/>
        </w:rPr>
        <w:footnoteRef/>
      </w:r>
      <w:r>
        <w:tab/>
        <w:t>Metodologia aplicată pentru colectarea și analiza datelor este prezentată în anexa la prezentul raport.</w:t>
      </w:r>
    </w:p>
  </w:footnote>
  <w:footnote w:id="3">
    <w:p>
      <w:pPr>
        <w:pStyle w:val="FootnoteText"/>
      </w:pPr>
      <w:r>
        <w:rPr>
          <w:rStyle w:val="FootnoteReference"/>
        </w:rPr>
        <w:footnoteRef/>
      </w:r>
      <w:r>
        <w:tab/>
        <w:t xml:space="preserve">Recomandarea Consiliului din 12 aprilie 2024 privind politica economică a zonei euro, ST/6316/2024/INIT (JO C, C/2024/2807, 23.4.2024. ELI: </w:t>
      </w:r>
      <w:hyperlink r:id="rId2" w:history="1">
        <w:r>
          <w:rPr>
            <w:rStyle w:val="Hyperlink"/>
          </w:rPr>
          <w:t>http://data.europa.eu/eli/C/2024/2807/oj</w:t>
        </w:r>
      </w:hyperlink>
      <w:r>
        <w:t>).</w:t>
      </w:r>
    </w:p>
  </w:footnote>
  <w:footnote w:id="4">
    <w:p>
      <w:pPr>
        <w:pStyle w:val="FootnoteText"/>
        <w:spacing w:after="0"/>
      </w:pPr>
      <w:r>
        <w:rPr>
          <w:rStyle w:val="FootnoteReference"/>
          <w:szCs w:val="16"/>
        </w:rPr>
        <w:footnoteRef/>
      </w:r>
      <w:r>
        <w:tab/>
        <w:t>Aceste cifre includ cheltuielile fiscale (43 de miliarde EUR în 2024) care nu pot fi comparate direct de la o țară la alta, precum și măsurile privind participarea din partea statului/infuzia de capital (10 miliarde EUR în 2024), care au devenit din ce în ce mai importante de la criza energetică din 2022.</w:t>
      </w:r>
    </w:p>
  </w:footnote>
  <w:footnote w:id="5">
    <w:p>
      <w:pPr>
        <w:pStyle w:val="FootnoteText"/>
      </w:pPr>
      <w:r>
        <w:rPr>
          <w:rStyle w:val="FootnoteReference"/>
        </w:rPr>
        <w:footnoteRef/>
      </w:r>
      <w:r>
        <w:tab/>
        <w:t>Printre exemplele de subvenții care nu sunt calificate drept dăunătoare mediului se numără subvențiile pentru sursele regenerabile de energie, electrificare și investiții în tranziția energetică, securitatea aprovizionării sau protecția consumatorilor vulnerabili, chiar dacă sunt atribuite combustibililor fosili. Printre exemplele de subvenții dăunătoare mediului care nu sunt atribuite combustibililor fosili se numără subvențiile pentru hidrogen, energie termică și energie electrică care nu sunt produse din surse regenerabile de energie (SRE) sau care nu vizează eficiența energetică și subvențiile nespecifice, atunci când ponderea energiei din surse regenerabile nu a putut fi identificată.</w:t>
      </w:r>
    </w:p>
  </w:footnote>
  <w:footnote w:id="6">
    <w:p>
      <w:pPr>
        <w:pStyle w:val="FootnoteText"/>
      </w:pPr>
      <w:r>
        <w:rPr>
          <w:rStyle w:val="FootnoteReference"/>
        </w:rPr>
        <w:footnoteRef/>
      </w:r>
      <w:r>
        <w:tab/>
        <w:t>Planuri de eliminare treptată a subvențiilor pentru combustibilii fosili începând din 2024.</w:t>
      </w:r>
    </w:p>
  </w:footnote>
  <w:footnote w:id="7">
    <w:p>
      <w:pPr>
        <w:pStyle w:val="FootnoteText"/>
      </w:pPr>
      <w:r>
        <w:rPr>
          <w:rStyle w:val="FootnoteReference"/>
        </w:rPr>
        <w:footnoteRef/>
      </w:r>
      <w:r>
        <w:tab/>
        <w:t>Toate valorile monetare din acest studiu sunt exprimate la prețurile în EUR din 2024. Cifrele din edițiile anterioare au fost ajustate în funcție de inflație.</w:t>
      </w:r>
    </w:p>
  </w:footnote>
  <w:footnote w:id="8">
    <w:p>
      <w:pPr>
        <w:pStyle w:val="FootnoteText"/>
      </w:pPr>
      <w:r>
        <w:rPr>
          <w:rStyle w:val="FootnoteReference"/>
        </w:rPr>
        <w:footnoteRef/>
      </w:r>
      <w:r>
        <w:t xml:space="preserve"> CD&amp;D: cercetare, dezvoltare și demonstrare. </w:t>
      </w:r>
    </w:p>
  </w:footnote>
  <w:footnote w:id="9">
    <w:p>
      <w:pPr>
        <w:pStyle w:val="FootnoteText"/>
      </w:pPr>
      <w:r>
        <w:rPr>
          <w:rStyle w:val="FootnoteReference"/>
        </w:rPr>
        <w:footnoteRef/>
      </w:r>
      <w:r>
        <w:tab/>
        <w:t>Dacă se iau în calcul „toți combustibilii fosili”, suma și proporția sunt mai mari.</w:t>
      </w:r>
    </w:p>
  </w:footnote>
  <w:footnote w:id="10">
    <w:p>
      <w:pPr>
        <w:pStyle w:val="FootnoteText"/>
      </w:pPr>
      <w:r>
        <w:rPr>
          <w:rStyle w:val="FootnoteReference"/>
        </w:rPr>
        <w:footnoteRef/>
      </w:r>
      <w:r>
        <w:tab/>
        <w:t>Nivelul istoric (anterior crizei) se referă la media din perioada 2015-2019.</w:t>
      </w:r>
    </w:p>
  </w:footnote>
  <w:footnote w:id="11">
    <w:p>
      <w:pPr>
        <w:pStyle w:val="FootnoteText"/>
      </w:pPr>
      <w:r>
        <w:rPr>
          <w:rStyle w:val="FootnoteReference"/>
        </w:rPr>
        <w:footnoteRef/>
      </w:r>
      <w:r>
        <w:tab/>
        <w:t>Din perioada 2015-2019.</w:t>
      </w:r>
    </w:p>
  </w:footnote>
  <w:footnote w:id="12">
    <w:p>
      <w:pPr>
        <w:pStyle w:val="FootnoteText"/>
      </w:pPr>
      <w:r>
        <w:rPr>
          <w:rStyle w:val="FootnoteReference"/>
        </w:rPr>
        <w:footnoteRef/>
      </w:r>
      <w:r>
        <w:tab/>
        <w:t>În perioada 2015-2017, cheltuielile anuale au rămas stabile, la aproximativ 300 de milioane EUR. Acestea au crescut la aproximativ 1,1 miliarde EUR în perioada 2018-2021.</w:t>
      </w:r>
    </w:p>
  </w:footnote>
  <w:footnote w:id="13">
    <w:p>
      <w:pPr>
        <w:pStyle w:val="FootnoteText"/>
        <w:ind w:left="360" w:hanging="360"/>
      </w:pPr>
      <w:r>
        <w:rPr>
          <w:rStyle w:val="FootnoteReference"/>
        </w:rPr>
        <w:footnoteRef/>
      </w:r>
      <w:r>
        <w:tab/>
        <w:t>Sectoarele industriale includ industria, mineritul și construcțiile.</w:t>
      </w:r>
    </w:p>
  </w:footnote>
  <w:footnote w:id="14">
    <w:p>
      <w:pPr>
        <w:pStyle w:val="FootnoteText"/>
        <w:ind w:left="360" w:hanging="360"/>
      </w:pPr>
      <w:r>
        <w:rPr>
          <w:rStyle w:val="FootnoteReference"/>
        </w:rPr>
        <w:footnoteRef/>
      </w:r>
      <w:r>
        <w:tab/>
        <w:t>Sectorul terțiar cuprinde sectorul serviciilor, sectorul public și cel al întreprinderilor.</w:t>
      </w:r>
    </w:p>
  </w:footnote>
  <w:footnote w:id="15">
    <w:p>
      <w:pPr>
        <w:pStyle w:val="FootnoteText"/>
      </w:pPr>
      <w:r>
        <w:rPr>
          <w:rStyle w:val="FootnoteReference"/>
        </w:rPr>
        <w:footnoteRef/>
      </w:r>
      <w:r>
        <w:tab/>
        <w:t xml:space="preserve">Formularea </w:t>
      </w:r>
      <w:r>
        <w:rPr>
          <w:i/>
        </w:rPr>
        <w:t>„impact negativ considerabil mai mare asupra mediului”</w:t>
      </w:r>
      <w:r>
        <w:t xml:space="preserve"> este aliniată la Regulamentul privind taxonomia UE și adaptată la sectorul energetic prin axarea pe două obiective de mediu ale regulamentului respectiv care sunt legate de climă, și anume (i) atenuarea schimbărilor climatice și (ii) adaptarea la schimbările climatice. Studiul de fond s-a axat pe subvențiile pentru energie, deși s-a considerat că nu este posibil să se evalueze impactul asupra mediului al subvențiilor pentru energie în ceea ce privește toate cele șase obiective de mediu, deoarece acest lucru ar necesita o evaluare de la caz la caz.</w:t>
      </w:r>
    </w:p>
  </w:footnote>
  <w:footnote w:id="16">
    <w:p>
      <w:pPr>
        <w:pStyle w:val="FootnoteText"/>
        <w:spacing w:after="0"/>
        <w:ind w:left="360" w:hanging="360"/>
      </w:pPr>
      <w:r>
        <w:rPr>
          <w:rStyle w:val="FootnoteReference"/>
        </w:rPr>
        <w:footnoteRef/>
      </w:r>
      <w:r>
        <w:tab/>
        <w:t>Din care 17 miliarde EUR reprezintă estimări bazate pe datele din 2023.</w:t>
      </w:r>
    </w:p>
  </w:footnote>
  <w:footnote w:id="17">
    <w:p>
      <w:pPr>
        <w:pStyle w:val="FootnoteText"/>
        <w:spacing w:after="0"/>
        <w:ind w:left="360" w:hanging="360"/>
      </w:pPr>
      <w:r>
        <w:rPr>
          <w:rStyle w:val="FootnoteReference"/>
        </w:rPr>
        <w:footnoteRef/>
      </w:r>
      <w:r>
        <w:tab/>
        <w:t xml:space="preserve">În cazul subvențiilor pentru energie care nu vizau un purtător de energie specific (și anume „toate tipurile de energie”), ponderea combustibililor fosili în mixul energetic al fiecărui stat membru, exprimată ca %, pe baza datelor Eurostat pentru 2022 (din setul de date </w:t>
      </w:r>
      <w:hyperlink r:id="rId3" w:history="1">
        <w:r>
          <w:rPr>
            <w:rStyle w:val="Hyperlink"/>
          </w:rPr>
          <w:t>[nrg_bal_c]</w:t>
        </w:r>
      </w:hyperlink>
      <w:r>
        <w:t>), a fost utilizată pentru a determina partea care este dăunătoare mediului.</w:t>
      </w:r>
    </w:p>
  </w:footnote>
  <w:footnote w:id="18">
    <w:p>
      <w:pPr>
        <w:pStyle w:val="FootnoteText"/>
        <w:spacing w:after="0"/>
        <w:ind w:left="360" w:hanging="360"/>
      </w:pPr>
      <w:r>
        <w:rPr>
          <w:rStyle w:val="FootnoteReference"/>
        </w:rPr>
        <w:footnoteRef/>
      </w:r>
      <w:r>
        <w:tab/>
        <w:t>Majoritatea subvențiilor pentru energia electrică nu sunt considerate dăunătoare. Reprezintă o excepție situația în care subvențiile sunt legate în mod clar de energia electrică produsă din surse de combustibili fosili.</w:t>
      </w:r>
    </w:p>
  </w:footnote>
  <w:footnote w:id="19">
    <w:p>
      <w:pPr>
        <w:pStyle w:val="FootnoteText"/>
        <w:spacing w:after="0"/>
        <w:ind w:left="360" w:hanging="360"/>
      </w:pPr>
      <w:r>
        <w:rPr>
          <w:rStyle w:val="FootnoteReference"/>
        </w:rPr>
        <w:footnoteRef/>
      </w:r>
      <w:r>
        <w:tab/>
        <w:t>Inclusiv subvențiile pentru care nu au fost disponibile date și care au fost estimate la 3 miliarde EUR pe baza nivelurilor din 2023.</w:t>
      </w:r>
    </w:p>
  </w:footnote>
  <w:footnote w:id="20">
    <w:p>
      <w:pPr>
        <w:pStyle w:val="FootnoteText"/>
        <w:spacing w:after="0"/>
        <w:ind w:left="360" w:hanging="360"/>
      </w:pPr>
      <w:r>
        <w:rPr>
          <w:rStyle w:val="FootnoteReference"/>
        </w:rPr>
        <w:footnoteRef/>
      </w:r>
      <w:r>
        <w:tab/>
        <w:t>Analiza se bazează pe anexele VIII și XV la rapoartele naționale intermediare privind energia și clima din 2025 și pe actualizările sau anunțurile puse la dispoziția publicului.</w:t>
      </w:r>
    </w:p>
  </w:footnote>
  <w:footnote w:id="21">
    <w:p>
      <w:pPr>
        <w:pStyle w:val="FootnoteText"/>
        <w:spacing w:after="0"/>
      </w:pPr>
      <w:r>
        <w:rPr>
          <w:rStyle w:val="FootnoteReference"/>
        </w:rPr>
        <w:footnoteRef/>
      </w:r>
      <w:r>
        <w:tab/>
        <w:t>Belgia, Franța, Germania, Italia, Letonia, Lituania, Luxemburg și Portugalia.</w:t>
      </w:r>
    </w:p>
  </w:footnote>
  <w:footnote w:id="22">
    <w:p>
      <w:pPr>
        <w:pStyle w:val="FootnoteText"/>
        <w:spacing w:after="0"/>
      </w:pPr>
      <w:r>
        <w:rPr>
          <w:rStyle w:val="FootnoteReference"/>
          <w:rFonts w:eastAsiaTheme="minorHAnsi"/>
        </w:rPr>
        <w:footnoteRef/>
      </w:r>
      <w:r>
        <w:tab/>
        <w:t>Regulamentul de punere în aplicare (UE) 2022/2299 al Comisiei impune statelor membre să raporteze o dată la doi ani cu privire la progresele înregistrate în direcția punerii în aplicare a planurilor naționale integrate privind energia și clima, prin intermediul rapoartelor naționale intermediare privind energia și clima (RNIEC). RNIEC trebuiau prezentate până la 15 martie 2025.</w:t>
      </w:r>
    </w:p>
  </w:footnote>
  <w:footnote w:id="23">
    <w:p>
      <w:pPr>
        <w:pStyle w:val="FootnoteText"/>
        <w:spacing w:after="0"/>
      </w:pPr>
      <w:r>
        <w:rPr>
          <w:rStyle w:val="FootnoteReference"/>
        </w:rPr>
        <w:footnoteRef/>
      </w:r>
      <w:r>
        <w:tab/>
        <w:t>Evaluarea la nivelul UE a planurilor naționale finale actualizate privind energia și clima – Îndeplinirea obiectivului Uniunii în materie de energie și climă pentru 2030, Bruxelles, 27.5.2025, COM(2025) 274 final.</w:t>
      </w:r>
    </w:p>
  </w:footnote>
  <w:footnote w:id="24">
    <w:p>
      <w:pPr>
        <w:pStyle w:val="FootnoteText"/>
      </w:pPr>
      <w:r>
        <w:rPr>
          <w:rStyle w:val="FootnoteReference"/>
        </w:rPr>
        <w:footnoteRef/>
      </w:r>
      <w:r>
        <w:tab/>
        <w:t>Media pentru perioada 2015-2019, și anume înainte de pandemia de COVID-19 și de războiul de agresiune al Rusiei împotriva Ucrainei, care au afectat prețurile la energie în moduri atipice, făcându-le mai puțin reprezentative pentru analiză.</w:t>
      </w:r>
    </w:p>
  </w:footnote>
  <w:footnote w:id="25">
    <w:p>
      <w:pPr>
        <w:pStyle w:val="FootnoteText"/>
        <w:ind w:left="360" w:hanging="360"/>
        <w:rPr>
          <w:sz w:val="16"/>
          <w:szCs w:val="16"/>
        </w:rPr>
      </w:pPr>
      <w:r>
        <w:rPr>
          <w:rStyle w:val="FootnoteReference"/>
        </w:rPr>
        <w:footnoteRef/>
      </w:r>
      <w:r>
        <w:tab/>
      </w:r>
      <w:hyperlink r:id="rId4" w:history="1">
        <w:r>
          <w:rPr>
            <w:rStyle w:val="Hyperlink"/>
          </w:rPr>
          <w:t>Scrisoare de misiune adresată domului Dan Jørgensen, comisar pentru energie și locuințe</w:t>
        </w:r>
      </w:hyperlink>
      <w:r>
        <w:t xml:space="preserve">; </w:t>
      </w:r>
      <w:hyperlink r:id="rId5" w:history="1">
        <w:r>
          <w:rPr>
            <w:rStyle w:val="Hyperlink"/>
          </w:rPr>
          <w:t>eab354d1-64d2-450f-8ed4-eb3d42661974_en</w:t>
        </w:r>
      </w:hyperlink>
      <w:r>
        <w:t>.</w:t>
      </w:r>
    </w:p>
  </w:footnote>
  <w:footnote w:id="26">
    <w:p>
      <w:pPr>
        <w:pStyle w:val="FootnoteText"/>
      </w:pPr>
      <w:r>
        <w:rPr>
          <w:rStyle w:val="FootnoteReference"/>
        </w:rPr>
        <w:footnoteRef/>
      </w:r>
      <w:r>
        <w:tab/>
        <w:t>COM(2026) 370 final, 22.4.2026.</w:t>
      </w:r>
    </w:p>
  </w:footnote>
  <w:footnote w:id="27">
    <w:p>
      <w:pPr>
        <w:pStyle w:val="FootnoteText"/>
      </w:pPr>
      <w:r>
        <w:rPr>
          <w:rStyle w:val="FootnoteReference"/>
        </w:rPr>
        <w:footnoteRef/>
      </w:r>
      <w:r>
        <w:tab/>
        <w:t>A se vedea recomandările din Semestrul european 2025 – pachetul de primăvară, Bruxelles, 4.6.2025, COM(2025) 200 final.</w:t>
      </w:r>
    </w:p>
  </w:footnote>
  <w:footnote w:id="28">
    <w:p>
      <w:pPr>
        <w:pStyle w:val="FootnoteText"/>
      </w:pPr>
      <w:r>
        <w:rPr>
          <w:rStyle w:val="FootnoteReference"/>
        </w:rPr>
        <w:footnoteRef/>
      </w:r>
      <w:r>
        <w:tab/>
        <w:t xml:space="preserve">Programul de lucru al Comisiei Europene pentru 2026, anexa I, Noi inițiative, inițiativa 8. </w:t>
      </w:r>
      <w:hyperlink r:id="rId6" w:history="1">
        <w:r>
          <w:rPr>
            <w:rStyle w:val="Hyperlink"/>
          </w:rPr>
          <w:t>Programul de lucru al Comisiei pentru 2026 – Comisia Europeană</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900F7"/>
    <w:multiLevelType w:val="multilevel"/>
    <w:tmpl w:val="FA9CBA30"/>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4040267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45F0597A"/>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3798270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6ABADF24"/>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5798EC78"/>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87566386"/>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8A34F5E"/>
    <w:multiLevelType w:val="hybridMultilevel"/>
    <w:tmpl w:val="18F60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7B624F"/>
    <w:multiLevelType w:val="multilevel"/>
    <w:tmpl w:val="B8C6257A"/>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5C23C87"/>
    <w:multiLevelType w:val="multilevel"/>
    <w:tmpl w:val="1E506A44"/>
    <w:name w:val="Anx122"/>
    <w:lvl w:ilvl="0">
      <w:start w:val="1"/>
      <w:numFmt w:val="upperLetter"/>
      <w:pStyle w:val="Anx1"/>
      <w:lvlText w:val="%1."/>
      <w:lvlJc w:val="left"/>
      <w:pPr>
        <w:ind w:left="644" w:hanging="360"/>
      </w:pPr>
      <w:rPr>
        <w:rFonts w:hint="default"/>
      </w:rPr>
    </w:lvl>
    <w:lvl w:ilvl="1">
      <w:start w:val="1"/>
      <w:numFmt w:val="decimal"/>
      <w:pStyle w:val="Anx2"/>
      <w:lvlText w:val="%1.%2."/>
      <w:lvlJc w:val="left"/>
      <w:pPr>
        <w:ind w:left="708" w:hanging="708"/>
      </w:pPr>
      <w:rPr>
        <w:rFonts w:hint="default"/>
        <w:b/>
        <w:bCs/>
        <w:i w:val="0"/>
        <w:iCs w:val="0"/>
        <w:caps w:val="0"/>
        <w:smallCaps w:val="0"/>
        <w:strike w:val="0"/>
        <w:dstrike w:val="0"/>
        <w:vanish w:val="0"/>
        <w:color w:val="E97132" w:themeColor="accent2"/>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pStyle w:val="Anx3"/>
      <w:lvlText w:val="%1.%2.%3."/>
      <w:lvlJc w:val="left"/>
      <w:pPr>
        <w:ind w:left="1417" w:hanging="708"/>
      </w:pPr>
      <w:rPr>
        <w:rFonts w:hint="default"/>
        <w:b/>
        <w:bCs/>
        <w:i w:val="0"/>
        <w:iCs w:val="0"/>
        <w:caps w:val="0"/>
        <w:smallCaps w:val="0"/>
        <w:strike w:val="0"/>
        <w:dstrike w:val="0"/>
        <w:vanish w:val="0"/>
        <w:color w:val="0E2841" w:themeColor="text2"/>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Anx4"/>
      <w:lvlText w:val="%1.%2.%3.%4."/>
      <w:lvlJc w:val="left"/>
      <w:pPr>
        <w:ind w:left="2835" w:hanging="708"/>
      </w:pPr>
      <w:rPr>
        <w:rFonts w:hint="default"/>
      </w:rPr>
    </w:lvl>
    <w:lvl w:ilvl="4">
      <w:start w:val="1"/>
      <w:numFmt w:val="decimal"/>
      <w:lvlText w:val="%1.%2.%3.%4.%5."/>
      <w:lvlJc w:val="left"/>
      <w:pPr>
        <w:ind w:left="3539" w:hanging="708"/>
      </w:pPr>
      <w:rPr>
        <w:rFonts w:hint="default"/>
      </w:rPr>
    </w:lvl>
    <w:lvl w:ilvl="5">
      <w:start w:val="1"/>
      <w:numFmt w:val="decimal"/>
      <w:lvlText w:val="%1.%2.%3.%4.%5.%6."/>
      <w:lvlJc w:val="left"/>
      <w:pPr>
        <w:ind w:left="4247" w:hanging="708"/>
      </w:pPr>
      <w:rPr>
        <w:rFonts w:hint="default"/>
      </w:rPr>
    </w:lvl>
    <w:lvl w:ilvl="6">
      <w:start w:val="1"/>
      <w:numFmt w:val="decimal"/>
      <w:lvlText w:val="%1.%2.%3.%4.%5.%6.%7."/>
      <w:lvlJc w:val="left"/>
      <w:pPr>
        <w:ind w:left="4955" w:hanging="708"/>
      </w:pPr>
      <w:rPr>
        <w:rFonts w:hint="default"/>
      </w:rPr>
    </w:lvl>
    <w:lvl w:ilvl="7">
      <w:start w:val="1"/>
      <w:numFmt w:val="decimal"/>
      <w:lvlText w:val="%1.%2.%3.%4.%5.%6.%7.%8."/>
      <w:lvlJc w:val="left"/>
      <w:pPr>
        <w:ind w:left="5663" w:hanging="708"/>
      </w:pPr>
      <w:rPr>
        <w:rFonts w:hint="default"/>
      </w:rPr>
    </w:lvl>
    <w:lvl w:ilvl="8">
      <w:start w:val="1"/>
      <w:numFmt w:val="decimal"/>
      <w:lvlText w:val="%1.%2.%3.%4.%5.%6.%7.%8.%9."/>
      <w:lvlJc w:val="left"/>
      <w:pPr>
        <w:ind w:left="6371" w:hanging="708"/>
      </w:pPr>
      <w:rPr>
        <w:rFonts w:hint="default"/>
      </w:rPr>
    </w:lvl>
  </w:abstractNum>
  <w:abstractNum w:abstractNumId="10" w15:restartNumberingAfterBreak="0">
    <w:nsid w:val="2C8DFDF8"/>
    <w:multiLevelType w:val="multilevel"/>
    <w:tmpl w:val="B0565F96"/>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E3"/>
    <w:multiLevelType w:val="multilevel"/>
    <w:tmpl w:val="19EA6AC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F4"/>
    <w:multiLevelType w:val="multilevel"/>
    <w:tmpl w:val="463485E8"/>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25359E4"/>
    <w:multiLevelType w:val="hybridMultilevel"/>
    <w:tmpl w:val="B50AD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324F1E"/>
    <w:multiLevelType w:val="multilevel"/>
    <w:tmpl w:val="32AC7638"/>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7CB1E1C"/>
    <w:multiLevelType w:val="multilevel"/>
    <w:tmpl w:val="5EE28F6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A7730C4"/>
    <w:multiLevelType w:val="multilevel"/>
    <w:tmpl w:val="C9C0754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29E662A"/>
    <w:multiLevelType w:val="multilevel"/>
    <w:tmpl w:val="B56678C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6F556DD"/>
    <w:multiLevelType w:val="hybridMultilevel"/>
    <w:tmpl w:val="53D2F236"/>
    <w:lvl w:ilvl="0" w:tplc="91B0A804">
      <w:start w:val="1"/>
      <w:numFmt w:val="decimal"/>
      <w:pStyle w:val="Annex111"/>
      <w:lvlText w:val="%1."/>
      <w:lvlJc w:val="left"/>
      <w:pPr>
        <w:ind w:left="3905" w:hanging="360"/>
      </w:pPr>
    </w:lvl>
    <w:lvl w:ilvl="1" w:tplc="08090019" w:tentative="1">
      <w:start w:val="1"/>
      <w:numFmt w:val="lowerLetter"/>
      <w:lvlText w:val="%2."/>
      <w:lvlJc w:val="left"/>
      <w:pPr>
        <w:ind w:left="4625" w:hanging="360"/>
      </w:pPr>
    </w:lvl>
    <w:lvl w:ilvl="2" w:tplc="0809001B">
      <w:start w:val="1"/>
      <w:numFmt w:val="lowerRoman"/>
      <w:pStyle w:val="Annex111"/>
      <w:lvlText w:val="%3."/>
      <w:lvlJc w:val="right"/>
      <w:pPr>
        <w:ind w:left="5345" w:hanging="180"/>
      </w:pPr>
    </w:lvl>
    <w:lvl w:ilvl="3" w:tplc="0809000F" w:tentative="1">
      <w:start w:val="1"/>
      <w:numFmt w:val="decimal"/>
      <w:lvlText w:val="%4."/>
      <w:lvlJc w:val="left"/>
      <w:pPr>
        <w:ind w:left="6065" w:hanging="360"/>
      </w:pPr>
    </w:lvl>
    <w:lvl w:ilvl="4" w:tplc="08090019" w:tentative="1">
      <w:start w:val="1"/>
      <w:numFmt w:val="lowerLetter"/>
      <w:lvlText w:val="%5."/>
      <w:lvlJc w:val="left"/>
      <w:pPr>
        <w:ind w:left="6785" w:hanging="360"/>
      </w:pPr>
    </w:lvl>
    <w:lvl w:ilvl="5" w:tplc="0809001B" w:tentative="1">
      <w:start w:val="1"/>
      <w:numFmt w:val="lowerRoman"/>
      <w:lvlText w:val="%6."/>
      <w:lvlJc w:val="right"/>
      <w:pPr>
        <w:ind w:left="7505" w:hanging="180"/>
      </w:pPr>
    </w:lvl>
    <w:lvl w:ilvl="6" w:tplc="0809000F" w:tentative="1">
      <w:start w:val="1"/>
      <w:numFmt w:val="decimal"/>
      <w:lvlText w:val="%7."/>
      <w:lvlJc w:val="left"/>
      <w:pPr>
        <w:ind w:left="8225" w:hanging="360"/>
      </w:pPr>
    </w:lvl>
    <w:lvl w:ilvl="7" w:tplc="08090019" w:tentative="1">
      <w:start w:val="1"/>
      <w:numFmt w:val="lowerLetter"/>
      <w:lvlText w:val="%8."/>
      <w:lvlJc w:val="left"/>
      <w:pPr>
        <w:ind w:left="8945" w:hanging="360"/>
      </w:pPr>
    </w:lvl>
    <w:lvl w:ilvl="8" w:tplc="0809001B" w:tentative="1">
      <w:start w:val="1"/>
      <w:numFmt w:val="lowerRoman"/>
      <w:lvlText w:val="%9."/>
      <w:lvlJc w:val="right"/>
      <w:pPr>
        <w:ind w:left="9665" w:hanging="180"/>
      </w:pPr>
    </w:lvl>
  </w:abstractNum>
  <w:abstractNum w:abstractNumId="19" w15:restartNumberingAfterBreak="0">
    <w:nsid w:val="4C174643"/>
    <w:multiLevelType w:val="hybridMultilevel"/>
    <w:tmpl w:val="FBFC9F6E"/>
    <w:lvl w:ilvl="0" w:tplc="0850681E">
      <w:start w:val="1"/>
      <w:numFmt w:val="bullet"/>
      <w:lvlText w:val=""/>
      <w:lvlJc w:val="left"/>
      <w:pPr>
        <w:ind w:left="720" w:hanging="360"/>
      </w:pPr>
      <w:rPr>
        <w:rFonts w:ascii="Wingdings" w:hAnsi="Wingdings" w:hint="default"/>
        <w:b/>
        <w:i w:val="0"/>
        <w:color w:val="E97132"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E1A63DF"/>
    <w:multiLevelType w:val="multilevel"/>
    <w:tmpl w:val="7B088668"/>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E1A982C"/>
    <w:multiLevelType w:val="multilevel"/>
    <w:tmpl w:val="318E639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5072619B"/>
    <w:multiLevelType w:val="multilevel"/>
    <w:tmpl w:val="D30ABD5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50729B52"/>
    <w:multiLevelType w:val="multilevel"/>
    <w:tmpl w:val="BB924040"/>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6977472E"/>
    <w:multiLevelType w:val="multilevel"/>
    <w:tmpl w:val="388A6B16"/>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6F3F1BE7"/>
    <w:multiLevelType w:val="hybridMultilevel"/>
    <w:tmpl w:val="1F4E41FE"/>
    <w:lvl w:ilvl="0" w:tplc="FFFFFFFF">
      <w:start w:val="1"/>
      <w:numFmt w:val="bullet"/>
      <w:pStyle w:val="Bullet-1"/>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15:restartNumberingAfterBreak="0">
    <w:nsid w:val="711927D6"/>
    <w:multiLevelType w:val="hybridMultilevel"/>
    <w:tmpl w:val="05C26312"/>
    <w:lvl w:ilvl="0" w:tplc="17BC0D08">
      <w:start w:val="1"/>
      <w:numFmt w:val="bullet"/>
      <w:lvlText w:val=""/>
      <w:lvlJc w:val="left"/>
      <w:pPr>
        <w:ind w:left="1440" w:hanging="360"/>
      </w:pPr>
      <w:rPr>
        <w:rFonts w:ascii="Symbol" w:hAnsi="Symbol"/>
      </w:rPr>
    </w:lvl>
    <w:lvl w:ilvl="1" w:tplc="49828EDA">
      <w:start w:val="1"/>
      <w:numFmt w:val="bullet"/>
      <w:lvlText w:val=""/>
      <w:lvlJc w:val="left"/>
      <w:pPr>
        <w:ind w:left="1440" w:hanging="360"/>
      </w:pPr>
      <w:rPr>
        <w:rFonts w:ascii="Symbol" w:hAnsi="Symbol"/>
      </w:rPr>
    </w:lvl>
    <w:lvl w:ilvl="2" w:tplc="CCC2E606">
      <w:start w:val="1"/>
      <w:numFmt w:val="bullet"/>
      <w:lvlText w:val=""/>
      <w:lvlJc w:val="left"/>
      <w:pPr>
        <w:ind w:left="1440" w:hanging="360"/>
      </w:pPr>
      <w:rPr>
        <w:rFonts w:ascii="Symbol" w:hAnsi="Symbol"/>
      </w:rPr>
    </w:lvl>
    <w:lvl w:ilvl="3" w:tplc="F0544AEA">
      <w:start w:val="1"/>
      <w:numFmt w:val="bullet"/>
      <w:lvlText w:val=""/>
      <w:lvlJc w:val="left"/>
      <w:pPr>
        <w:ind w:left="1440" w:hanging="360"/>
      </w:pPr>
      <w:rPr>
        <w:rFonts w:ascii="Symbol" w:hAnsi="Symbol"/>
      </w:rPr>
    </w:lvl>
    <w:lvl w:ilvl="4" w:tplc="85662576">
      <w:start w:val="1"/>
      <w:numFmt w:val="bullet"/>
      <w:lvlText w:val=""/>
      <w:lvlJc w:val="left"/>
      <w:pPr>
        <w:ind w:left="1440" w:hanging="360"/>
      </w:pPr>
      <w:rPr>
        <w:rFonts w:ascii="Symbol" w:hAnsi="Symbol"/>
      </w:rPr>
    </w:lvl>
    <w:lvl w:ilvl="5" w:tplc="7D2EE0DA">
      <w:start w:val="1"/>
      <w:numFmt w:val="bullet"/>
      <w:lvlText w:val=""/>
      <w:lvlJc w:val="left"/>
      <w:pPr>
        <w:ind w:left="1440" w:hanging="360"/>
      </w:pPr>
      <w:rPr>
        <w:rFonts w:ascii="Symbol" w:hAnsi="Symbol"/>
      </w:rPr>
    </w:lvl>
    <w:lvl w:ilvl="6" w:tplc="B4500BF2">
      <w:start w:val="1"/>
      <w:numFmt w:val="bullet"/>
      <w:lvlText w:val=""/>
      <w:lvlJc w:val="left"/>
      <w:pPr>
        <w:ind w:left="1440" w:hanging="360"/>
      </w:pPr>
      <w:rPr>
        <w:rFonts w:ascii="Symbol" w:hAnsi="Symbol"/>
      </w:rPr>
    </w:lvl>
    <w:lvl w:ilvl="7" w:tplc="96663886">
      <w:start w:val="1"/>
      <w:numFmt w:val="bullet"/>
      <w:lvlText w:val=""/>
      <w:lvlJc w:val="left"/>
      <w:pPr>
        <w:ind w:left="1440" w:hanging="360"/>
      </w:pPr>
      <w:rPr>
        <w:rFonts w:ascii="Symbol" w:hAnsi="Symbol"/>
      </w:rPr>
    </w:lvl>
    <w:lvl w:ilvl="8" w:tplc="C4125822">
      <w:start w:val="1"/>
      <w:numFmt w:val="bullet"/>
      <w:lvlText w:val=""/>
      <w:lvlJc w:val="left"/>
      <w:pPr>
        <w:ind w:left="1440" w:hanging="360"/>
      </w:pPr>
      <w:rPr>
        <w:rFonts w:ascii="Symbol" w:hAnsi="Symbol"/>
      </w:rPr>
    </w:lvl>
  </w:abstractNum>
  <w:abstractNum w:abstractNumId="27"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5"/>
  </w:num>
  <w:num w:numId="2">
    <w:abstractNumId w:val="0"/>
  </w:num>
  <w:num w:numId="3">
    <w:abstractNumId w:val="14"/>
  </w:num>
  <w:num w:numId="4">
    <w:abstractNumId w:val="8"/>
  </w:num>
  <w:num w:numId="5">
    <w:abstractNumId w:val="15"/>
  </w:num>
  <w:num w:numId="6">
    <w:abstractNumId w:val="22"/>
  </w:num>
  <w:num w:numId="7">
    <w:abstractNumId w:val="24"/>
  </w:num>
  <w:num w:numId="8">
    <w:abstractNumId w:val="1"/>
  </w:num>
  <w:num w:numId="9">
    <w:abstractNumId w:val="6"/>
  </w:num>
  <w:num w:numId="10">
    <w:abstractNumId w:val="17"/>
  </w:num>
  <w:num w:numId="11">
    <w:abstractNumId w:val="2"/>
  </w:num>
  <w:num w:numId="12">
    <w:abstractNumId w:val="4"/>
  </w:num>
  <w:num w:numId="13">
    <w:abstractNumId w:val="5"/>
  </w:num>
  <w:num w:numId="14">
    <w:abstractNumId w:val="10"/>
  </w:num>
  <w:num w:numId="15">
    <w:abstractNumId w:val="16"/>
  </w:num>
  <w:num w:numId="16">
    <w:abstractNumId w:val="21"/>
  </w:num>
  <w:num w:numId="17">
    <w:abstractNumId w:val="11"/>
  </w:num>
  <w:num w:numId="18">
    <w:abstractNumId w:val="12"/>
  </w:num>
  <w:num w:numId="19">
    <w:abstractNumId w:val="27"/>
  </w:num>
  <w:num w:numId="20">
    <w:abstractNumId w:val="20"/>
  </w:num>
  <w:num w:numId="21">
    <w:abstractNumId w:val="23"/>
  </w:num>
  <w:num w:numId="22">
    <w:abstractNumId w:val="3"/>
  </w:num>
  <w:num w:numId="23">
    <w:abstractNumId w:val="18"/>
  </w:num>
  <w:num w:numId="24">
    <w:abstractNumId w:val="7"/>
  </w:num>
  <w:num w:numId="25">
    <w:abstractNumId w:val="9"/>
  </w:num>
  <w:num w:numId="26">
    <w:abstractNumId w:val="13"/>
  </w:num>
  <w:num w:numId="27">
    <w:abstractNumId w:val="19"/>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0F631D7C-C745-46AF-93C2-515A8F1DAC30"/>
    <w:docVar w:name="LW_COVERPAGE_TYPE" w:val="1"/>
    <w:docVar w:name="LW_CROSSREFERENCE" w:val="&lt;UNUSED&gt;"/>
    <w:docVar w:name="LW_DocType" w:val="NORMAL"/>
    <w:docVar w:name="LW_EMISSION" w:val="17.9.2026"/>
    <w:docVar w:name="LW_EMISSION_ISODATE" w:val="2026-09-17"/>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47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subven\u539?iile pentru energie în UE&lt;/FMT&gt;_x000b_"/>
    <w:docVar w:name="LW_TYPE.DOC.CP" w:val="RAPORT AL COMISIEI C\u258?TRE PARLAMENTUL EUROPEAN \u536?I CONSILIU"/>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AE0F3B20-A60F-4712-98B0-C5CDE1E58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0" w:qFormat="1"/>
    <w:lsdException w:name="heading 2" w:semiHidden="1" w:uiPriority="10" w:unhideWhenUsed="1" w:qFormat="1"/>
    <w:lsdException w:name="heading 3" w:semiHidden="1" w:uiPriority="10" w:unhideWhenUsed="1" w:qFormat="1"/>
    <w:lsdException w:name="heading 4" w:semiHidden="1" w:uiPriority="1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5" w:unhideWhenUsed="1"/>
    <w:lsdException w:name="List Number" w:semiHidden="1" w:uiPriority="3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5" w:unhideWhenUsed="1"/>
    <w:lsdException w:name="List Bullet 3" w:semiHidden="1" w:uiPriority="35" w:unhideWhenUsed="1"/>
    <w:lsdException w:name="List Bullet 4" w:semiHidden="1" w:uiPriority="35" w:unhideWhenUsed="1"/>
    <w:lsdException w:name="List Bullet 5" w:semiHidden="1" w:unhideWhenUsed="1"/>
    <w:lsdException w:name="List Number 2" w:semiHidden="1" w:uiPriority="30" w:unhideWhenUsed="1"/>
    <w:lsdException w:name="List Number 3" w:semiHidden="1" w:uiPriority="30" w:unhideWhenUsed="1"/>
    <w:lsdException w:name="List Number 4" w:semiHidden="1" w:uiPriority="30" w:unhideWhenUsed="1"/>
    <w:lsdException w:name="List Number 5" w:semiHidden="1" w:unhideWhenUsed="1"/>
    <w:lsdException w:name="Title" w:uiPriority="4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0"/>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0"/>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10"/>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10"/>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Pr>
      <w:rFonts w:eastAsiaTheme="majorEastAsia" w:cstheme="majorBidi"/>
      <w:i/>
      <w:iCs/>
      <w:color w:val="0F4761" w:themeColor="accent1" w:themeShade="BF"/>
    </w:rPr>
  </w:style>
  <w:style w:type="character" w:customStyle="1" w:styleId="Heading5Char">
    <w:name w:val="Heading 5 Char"/>
    <w:basedOn w:val="DefaultParagraphFont"/>
    <w:link w:val="Heading5"/>
    <w:rPr>
      <w:rFonts w:eastAsiaTheme="majorEastAsia" w:cstheme="majorBidi"/>
      <w:color w:val="0F4761" w:themeColor="accent1" w:themeShade="BF"/>
    </w:rPr>
  </w:style>
  <w:style w:type="character" w:customStyle="1" w:styleId="Heading6Char">
    <w:name w:val="Heading 6 Char"/>
    <w:basedOn w:val="DefaultParagraphFont"/>
    <w:link w:val="Heading6"/>
    <w:rPr>
      <w:rFonts w:eastAsiaTheme="majorEastAsia" w:cstheme="majorBidi"/>
      <w:i/>
      <w:iCs/>
      <w:color w:val="595959" w:themeColor="text1" w:themeTint="A6"/>
    </w:rPr>
  </w:style>
  <w:style w:type="character" w:customStyle="1" w:styleId="Heading7Char">
    <w:name w:val="Heading 7 Char"/>
    <w:basedOn w:val="DefaultParagraphFont"/>
    <w:link w:val="Heading7"/>
    <w:rPr>
      <w:rFonts w:eastAsiaTheme="majorEastAsia" w:cstheme="majorBidi"/>
      <w:color w:val="595959" w:themeColor="text1" w:themeTint="A6"/>
    </w:rPr>
  </w:style>
  <w:style w:type="character" w:customStyle="1" w:styleId="Heading8Char">
    <w:name w:val="Heading 8 Char"/>
    <w:basedOn w:val="DefaultParagraphFont"/>
    <w:link w:val="Heading8"/>
    <w:rPr>
      <w:rFonts w:eastAsiaTheme="majorEastAsia" w:cstheme="majorBidi"/>
      <w:i/>
      <w:iCs/>
      <w:color w:val="272727" w:themeColor="text1" w:themeTint="D8"/>
    </w:rPr>
  </w:style>
  <w:style w:type="character" w:customStyle="1" w:styleId="Heading9Char">
    <w:name w:val="Heading 9 Char"/>
    <w:basedOn w:val="DefaultParagraphFont"/>
    <w:link w:val="Heading9"/>
    <w:rPr>
      <w:rFonts w:eastAsiaTheme="majorEastAsia" w:cstheme="majorBidi"/>
      <w:color w:val="272727" w:themeColor="text1" w:themeTint="D8"/>
    </w:rPr>
  </w:style>
  <w:style w:type="paragraph" w:styleId="Title">
    <w:name w:val="Title"/>
    <w:basedOn w:val="Normal"/>
    <w:next w:val="Normal"/>
    <w:link w:val="TitleChar"/>
    <w:uiPriority w:val="4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Pr>
      <w:rFonts w:eastAsiaTheme="majorEastAsia" w:cstheme="majorBidi"/>
      <w:color w:val="595959" w:themeColor="text1" w:themeTint="A6"/>
      <w:spacing w:val="15"/>
      <w:sz w:val="28"/>
      <w:szCs w:val="28"/>
    </w:rPr>
  </w:style>
  <w:style w:type="paragraph" w:styleId="Quote">
    <w:name w:val="Quote"/>
    <w:basedOn w:val="Normal"/>
    <w:next w:val="Normal"/>
    <w:link w:val="QuoteChar"/>
    <w:qFormat/>
    <w:pPr>
      <w:spacing w:before="160"/>
      <w:jc w:val="center"/>
    </w:pPr>
    <w:rPr>
      <w:i/>
      <w:iCs/>
      <w:color w:val="404040" w:themeColor="text1" w:themeTint="BF"/>
    </w:rPr>
  </w:style>
  <w:style w:type="character" w:customStyle="1" w:styleId="QuoteChar">
    <w:name w:val="Quote Char"/>
    <w:basedOn w:val="DefaultParagraphFont"/>
    <w:link w:val="Quote"/>
    <w:rPr>
      <w:i/>
      <w:iCs/>
      <w:color w:val="404040" w:themeColor="text1" w:themeTint="BF"/>
    </w:rPr>
  </w:style>
  <w:style w:type="paragraph" w:styleId="ListParagraph">
    <w:name w:val="List Paragraph"/>
    <w:aliases w:val="1st elvel bullet green,Numbered Para 1,Dot pt,No Spacing1,List Paragraph Char Char Char,Indicator Text,Bullet 1,List Paragraph1,Bullet Points,MAIN CONTENT,List Paragraph12,F5 List Paragraph,Heading 2_sj,Report Para,WinDForce-Letter,H"/>
    <w:basedOn w:val="Normal"/>
    <w:link w:val="ListParagraphChar"/>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nhideWhenUsed/>
    <w:pPr>
      <w:tabs>
        <w:tab w:val="center" w:pos="4513"/>
        <w:tab w:val="right" w:pos="9026"/>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FootnoteTextChar">
    <w:name w:val="Footnote Text Char"/>
    <w:aliases w:val="Footnote Text Char Char Char,Footnote text Char,Geneva 9 Char,Font: Geneva 9 Char,Boston 10 Char,f Char,Footnote Char,Fußnote Char,Fußnote Char Char Char Char1,Fußnote Char Char Char1,Fußnote Char Char Char Char Char Char Char,fn Char"/>
    <w:uiPriority w:val="99"/>
    <w:qFormat/>
    <w:rPr>
      <w:sz w:val="20"/>
    </w:rPr>
  </w:style>
  <w:style w:type="paragraph" w:customStyle="1" w:styleId="CharCharChar">
    <w:name w:val="Char Char Char"/>
    <w:basedOn w:val="Normal"/>
    <w:link w:val="FootnoteReference"/>
    <w:pPr>
      <w:spacing w:line="240" w:lineRule="exact"/>
    </w:pPr>
    <w:rPr>
      <w:rFonts w:ascii="Times New Roman" w:eastAsia="Times New Roman" w:hAnsi="Times New Roman" w:cs="Times New Roman"/>
      <w:sz w:val="24"/>
      <w:szCs w:val="20"/>
      <w:vertAlign w:val="superscript"/>
    </w:rPr>
  </w:style>
  <w:style w:type="character" w:styleId="Hyperlink">
    <w:name w:val="Hyperlink"/>
    <w:aliases w:val=" Znak Znak Znak,Znak Znak Znak"/>
    <w:rPr>
      <w:color w:val="0000FF"/>
      <w:u w:val="single"/>
    </w:rPr>
  </w:style>
  <w:style w:type="paragraph" w:styleId="BalloonText">
    <w:name w:val="Balloon Text"/>
    <w:basedOn w:val="Normal"/>
    <w:link w:val="BalloonTextChar"/>
    <w:pPr>
      <w:spacing w:after="0"/>
    </w:pPr>
    <w:rPr>
      <w:rFonts w:ascii="Segoe UI" w:eastAsia="MS Mincho" w:hAnsi="Segoe UI" w:cs="Segoe UI"/>
      <w:sz w:val="18"/>
      <w:szCs w:val="18"/>
      <w:lang w:eastAsia="en-GB"/>
    </w:rPr>
  </w:style>
  <w:style w:type="character" w:customStyle="1" w:styleId="BalloonTextChar">
    <w:name w:val="Balloon Text Char"/>
    <w:basedOn w:val="DefaultParagraphFont"/>
    <w:link w:val="BalloonText"/>
    <w:rPr>
      <w:rFonts w:ascii="Segoe UI" w:eastAsia="MS Mincho" w:hAnsi="Segoe UI" w:cs="Segoe UI"/>
      <w:sz w:val="18"/>
      <w:szCs w:val="18"/>
      <w:lang w:val="ro-RO" w:eastAsia="en-GB"/>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rFonts w:ascii="Calibri" w:eastAsia="Calibri" w:hAnsi="Calibri" w:cs="Arial"/>
      <w:sz w:val="20"/>
      <w:szCs w:val="20"/>
      <w:lang w:eastAsia="en-GB"/>
    </w:rPr>
  </w:style>
  <w:style w:type="character" w:customStyle="1" w:styleId="CommentTextChar">
    <w:name w:val="Comment Text Char"/>
    <w:basedOn w:val="DefaultParagraphFont"/>
    <w:link w:val="CommentText"/>
    <w:uiPriority w:val="99"/>
    <w:rPr>
      <w:rFonts w:ascii="Calibri" w:eastAsia="Calibri" w:hAnsi="Calibri" w:cs="Arial"/>
      <w:sz w:val="20"/>
      <w:szCs w:val="20"/>
      <w:lang w:val="ro-RO"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Calibri" w:eastAsia="Calibri" w:hAnsi="Calibri" w:cs="Arial"/>
      <w:b/>
      <w:bCs/>
      <w:sz w:val="20"/>
      <w:szCs w:val="20"/>
      <w:lang w:val="ro-RO" w:eastAsia="en-GB"/>
    </w:rPr>
  </w:style>
  <w:style w:type="character" w:styleId="FollowedHyperlink">
    <w:name w:val="FollowedHyperlink"/>
    <w:rPr>
      <w:color w:val="800080"/>
      <w:u w:val="single"/>
    </w:rPr>
  </w:style>
  <w:style w:type="paragraph" w:styleId="Revision">
    <w:name w:val="Revision"/>
    <w:hidden/>
    <w:pPr>
      <w:spacing w:after="0" w:line="240" w:lineRule="auto"/>
    </w:pPr>
    <w:rPr>
      <w:rFonts w:ascii="Calibri" w:eastAsia="Calibri" w:hAnsi="Calibri" w:cs="Arial"/>
      <w:lang w:eastAsia="en-GB"/>
    </w:rPr>
  </w:style>
  <w:style w:type="character" w:customStyle="1" w:styleId="CaptionChar">
    <w:name w:val="Caption Char"/>
    <w:aliases w:val="Caption-tables Char,Tasks Char,Beschriftung Char2 Char,Beschriftung Char1 Char1 Char,Beschriftung Char Char Char1 Char,Beschriftung Char1 Char Char Char,Beschriftung Char Char Char Char Char,Beschriftung Char Char1 Char Char,Eco Char"/>
    <w:rPr>
      <w:i/>
      <w:sz w:val="22"/>
    </w:rPr>
  </w:style>
  <w:style w:type="paragraph" w:customStyle="1" w:styleId="Source">
    <w:name w:val="Source"/>
    <w:basedOn w:val="Normal"/>
    <w:link w:val="SourceCar"/>
    <w:uiPriority w:val="1"/>
    <w:qFormat/>
    <w:pPr>
      <w:spacing w:after="0" w:line="280" w:lineRule="exact"/>
      <w:jc w:val="center"/>
    </w:pPr>
    <w:rPr>
      <w:rFonts w:ascii="EC Square Sans Pro" w:eastAsia="Times New Roman" w:hAnsi="EC Square Sans Pro" w:cs="Times New Roman"/>
      <w:i/>
      <w:iCs/>
      <w:color w:val="989393"/>
      <w:sz w:val="18"/>
      <w:szCs w:val="18"/>
      <w:lang w:eastAsia="en-GB"/>
    </w:rPr>
  </w:style>
  <w:style w:type="character" w:customStyle="1" w:styleId="SourceCar">
    <w:name w:val="Source Car"/>
    <w:link w:val="Source"/>
    <w:uiPriority w:val="1"/>
    <w:rPr>
      <w:rFonts w:ascii="EC Square Sans Pro" w:eastAsia="Times New Roman" w:hAnsi="EC Square Sans Pro" w:cs="Times New Roman"/>
      <w:i/>
      <w:iCs/>
      <w:color w:val="989393"/>
      <w:sz w:val="18"/>
      <w:szCs w:val="18"/>
      <w:lang w:val="ro-RO" w:eastAsia="en-GB"/>
    </w:rPr>
  </w:style>
  <w:style w:type="paragraph" w:customStyle="1" w:styleId="Text">
    <w:name w:val="Text"/>
    <w:basedOn w:val="PlainText"/>
    <w:link w:val="TextCar"/>
    <w:uiPriority w:val="1"/>
    <w:qFormat/>
    <w:pPr>
      <w:spacing w:after="200" w:line="280" w:lineRule="exact"/>
      <w:jc w:val="both"/>
    </w:pPr>
    <w:rPr>
      <w:rFonts w:ascii="EC Square Sans Pro" w:eastAsia="Times New Roman" w:hAnsi="EC Square Sans Pro" w:cs="Consolas"/>
    </w:rPr>
  </w:style>
  <w:style w:type="character" w:customStyle="1" w:styleId="TextCar">
    <w:name w:val="Text Car"/>
    <w:link w:val="Text"/>
    <w:uiPriority w:val="1"/>
    <w:rPr>
      <w:rFonts w:ascii="EC Square Sans Pro" w:eastAsia="Times New Roman" w:hAnsi="EC Square Sans Pro" w:cs="Consolas"/>
      <w:sz w:val="21"/>
      <w:szCs w:val="21"/>
      <w:lang w:val="ro-RO" w:eastAsia="en-GB"/>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qFormat/>
    <w:pPr>
      <w:spacing w:line="240" w:lineRule="exact"/>
    </w:pPr>
    <w:rPr>
      <w:rFonts w:ascii="EC Square Sans Pro" w:eastAsia="Times New Roman" w:hAnsi="EC Square Sans Pro" w:cs="Times New Roman"/>
      <w:vertAlign w:val="superscript"/>
      <w:lang w:eastAsia="en-GB"/>
    </w:rPr>
  </w:style>
  <w:style w:type="paragraph" w:styleId="PlainText">
    <w:name w:val="Plain Text"/>
    <w:basedOn w:val="Normal"/>
    <w:link w:val="PlainTextChar"/>
    <w:pPr>
      <w:spacing w:after="0"/>
    </w:pPr>
    <w:rPr>
      <w:rFonts w:ascii="Consolas" w:eastAsia="MS Mincho" w:hAnsi="Consolas" w:cs="Arial"/>
      <w:sz w:val="21"/>
      <w:szCs w:val="21"/>
      <w:lang w:eastAsia="en-GB"/>
    </w:rPr>
  </w:style>
  <w:style w:type="character" w:customStyle="1" w:styleId="PlainTextChar">
    <w:name w:val="Plain Text Char"/>
    <w:basedOn w:val="DefaultParagraphFont"/>
    <w:link w:val="PlainText"/>
    <w:rPr>
      <w:rFonts w:ascii="Consolas" w:eastAsia="MS Mincho" w:hAnsi="Consolas" w:cs="Arial"/>
      <w:sz w:val="21"/>
      <w:szCs w:val="21"/>
      <w:lang w:val="ro-RO" w:eastAsia="en-GB"/>
    </w:rPr>
  </w:style>
  <w:style w:type="paragraph" w:styleId="BodyText">
    <w:name w:val="Body Text"/>
    <w:basedOn w:val="Normal"/>
    <w:link w:val="BodyTextChar"/>
    <w:rPr>
      <w:rFonts w:ascii="Times New Roman" w:eastAsia="MS Mincho" w:hAnsi="Times New Roman" w:cs="Times New Roman"/>
      <w:sz w:val="24"/>
      <w:szCs w:val="24"/>
      <w:lang w:eastAsia="en-GB"/>
    </w:rPr>
  </w:style>
  <w:style w:type="character" w:customStyle="1" w:styleId="BodyTextChar">
    <w:name w:val="Body Text Char"/>
    <w:basedOn w:val="DefaultParagraphFont"/>
    <w:link w:val="BodyText"/>
    <w:rPr>
      <w:rFonts w:ascii="Times New Roman" w:eastAsia="MS Mincho" w:hAnsi="Times New Roman" w:cs="Times New Roman"/>
      <w:sz w:val="24"/>
      <w:szCs w:val="24"/>
      <w:lang w:val="ro-RO" w:eastAsia="en-GB"/>
    </w:rPr>
  </w:style>
  <w:style w:type="paragraph" w:styleId="BodyText2">
    <w:name w:val="Body Text 2"/>
    <w:basedOn w:val="Normal"/>
    <w:link w:val="BodyText2Char"/>
    <w:pPr>
      <w:spacing w:after="120"/>
    </w:pPr>
    <w:rPr>
      <w:rFonts w:ascii="Calibri" w:eastAsia="Calibri" w:hAnsi="Calibri" w:cs="Arial"/>
      <w:lang w:eastAsia="en-GB"/>
    </w:rPr>
  </w:style>
  <w:style w:type="character" w:customStyle="1" w:styleId="BodyText2Char">
    <w:name w:val="Body Text 2 Char"/>
    <w:basedOn w:val="DefaultParagraphFont"/>
    <w:link w:val="BodyText2"/>
    <w:rPr>
      <w:rFonts w:ascii="Calibri" w:eastAsia="Calibri" w:hAnsi="Calibri" w:cs="Arial"/>
      <w:lang w:val="ro-RO" w:eastAsia="en-GB"/>
    </w:rPr>
  </w:style>
  <w:style w:type="character" w:customStyle="1" w:styleId="ListParagraphChar">
    <w:name w:val="List Paragraph Char"/>
    <w:aliases w:val="1st elvel bullet green Char,Numbered Para 1 Char,Dot pt Char,No Spacing1 Char,List Paragraph Char Char Char Char,Indicator Text Char,Bullet 1 Char,List Paragraph1 Char,Bullet Points Char,MAIN CONTENT Char,List Paragraph12 Char,H Char"/>
    <w:link w:val="ListParagraph"/>
    <w:uiPriority w:val="34"/>
    <w:qFormat/>
  </w:style>
  <w:style w:type="paragraph" w:customStyle="1" w:styleId="foonote">
    <w:name w:val="foonote"/>
    <w:basedOn w:val="FootnoteText"/>
    <w:link w:val="foonoteChar"/>
    <w:pPr>
      <w:spacing w:after="0" w:line="259" w:lineRule="auto"/>
      <w:ind w:left="0" w:firstLine="0"/>
      <w:contextualSpacing/>
      <w:jc w:val="left"/>
    </w:pPr>
    <w:rPr>
      <w:rFonts w:ascii="EC Square Sans Pro" w:eastAsia="Verdana" w:hAnsi="EC Square Sans Pro" w:cs="Open Sans Condensed"/>
      <w:color w:val="000000"/>
      <w:sz w:val="16"/>
      <w:szCs w:val="16"/>
      <w:lang w:eastAsia="en-GB"/>
    </w:rPr>
  </w:style>
  <w:style w:type="character" w:customStyle="1" w:styleId="foonoteChar">
    <w:name w:val="foonote Char"/>
    <w:link w:val="foonote"/>
    <w:rPr>
      <w:rFonts w:ascii="EC Square Sans Pro" w:eastAsia="Verdana" w:hAnsi="EC Square Sans Pro" w:cs="Open Sans Condensed"/>
      <w:color w:val="000000"/>
      <w:sz w:val="16"/>
      <w:szCs w:val="16"/>
      <w:lang w:val="ro-RO" w:eastAsia="en-GB"/>
    </w:rPr>
  </w:style>
  <w:style w:type="paragraph" w:customStyle="1" w:styleId="Bullet-1">
    <w:name w:val="Bullet-1"/>
    <w:basedOn w:val="Normal"/>
    <w:link w:val="Bullet-1Car"/>
    <w:uiPriority w:val="1"/>
    <w:qFormat/>
    <w:pPr>
      <w:numPr>
        <w:numId w:val="1"/>
      </w:numPr>
      <w:spacing w:after="120" w:line="280" w:lineRule="exact"/>
      <w:ind w:left="0" w:firstLine="0"/>
      <w:jc w:val="both"/>
    </w:pPr>
    <w:rPr>
      <w:rFonts w:ascii="EC Square Sans Pro" w:eastAsia="Verdana" w:hAnsi="EC Square Sans Pro" w:cs="Times New Roman"/>
      <w:lang w:eastAsia="en-GB"/>
    </w:rPr>
  </w:style>
  <w:style w:type="character" w:customStyle="1" w:styleId="Bullet-1Car">
    <w:name w:val="Bullet-1 Car"/>
    <w:link w:val="Bullet-1"/>
    <w:uiPriority w:val="1"/>
    <w:rPr>
      <w:rFonts w:ascii="EC Square Sans Pro" w:eastAsia="Verdana" w:hAnsi="EC Square Sans Pro" w:cs="Times New Roman"/>
      <w:lang w:val="ro-RO" w:eastAsia="en-GB"/>
    </w:rPr>
  </w:style>
  <w:style w:type="paragraph" w:customStyle="1" w:styleId="FooterLandscape">
    <w:name w:val="FooterLandscape"/>
    <w:basedOn w:val="Normal"/>
    <w:pPr>
      <w:tabs>
        <w:tab w:val="center" w:pos="7285"/>
        <w:tab w:val="center" w:pos="10913"/>
        <w:tab w:val="right" w:pos="15137"/>
      </w:tabs>
      <w:spacing w:before="360" w:after="0"/>
      <w:ind w:left="-567" w:right="-567"/>
    </w:pPr>
    <w:rPr>
      <w:rFonts w:ascii="Times New Roman" w:eastAsia="MS Mincho" w:hAnsi="Times New Roman" w:cs="Times New Roman"/>
      <w:sz w:val="24"/>
      <w:szCs w:val="24"/>
      <w:lang w:eastAsia="en-GB"/>
    </w:rPr>
  </w:style>
  <w:style w:type="paragraph" w:customStyle="1" w:styleId="HeaderLandscape">
    <w:name w:val="HeaderLandscape"/>
    <w:basedOn w:val="Normal"/>
    <w:pPr>
      <w:tabs>
        <w:tab w:val="center" w:pos="7285"/>
        <w:tab w:val="right" w:pos="14003"/>
      </w:tabs>
      <w:spacing w:after="120"/>
      <w:jc w:val="both"/>
    </w:pPr>
    <w:rPr>
      <w:rFonts w:ascii="Times New Roman" w:eastAsia="MS Mincho" w:hAnsi="Times New Roman" w:cs="Times New Roman"/>
      <w:sz w:val="24"/>
      <w:szCs w:val="24"/>
      <w:lang w:eastAsia="en-GB"/>
    </w:rPr>
  </w:style>
  <w:style w:type="character" w:customStyle="1" w:styleId="Marker2">
    <w:name w:val="Marker2"/>
    <w:rPr>
      <w:color w:val="FF0000"/>
      <w:shd w:val="clear" w:color="auto" w:fill="auto"/>
    </w:rPr>
  </w:style>
  <w:style w:type="paragraph" w:customStyle="1" w:styleId="Confidentialit">
    <w:name w:val="Confidentialité"/>
    <w:basedOn w:val="Normal"/>
    <w:next w:val="TypedudocumentPagedecouverture"/>
    <w:pPr>
      <w:spacing w:before="240" w:after="240"/>
      <w:ind w:left="5103"/>
    </w:pPr>
    <w:rPr>
      <w:rFonts w:ascii="Times New Roman" w:eastAsia="Calibri" w:hAnsi="Times New Roman" w:cs="Times New Roman"/>
      <w:i/>
      <w:iCs/>
      <w:sz w:val="32"/>
      <w:szCs w:val="32"/>
      <w:lang w:eastAsia="en-GB"/>
    </w:rPr>
  </w:style>
  <w:style w:type="paragraph" w:customStyle="1" w:styleId="Emission">
    <w:name w:val="Emission"/>
    <w:basedOn w:val="Normal"/>
    <w:next w:val="Rfrenceinstitutionnelle"/>
    <w:pPr>
      <w:spacing w:after="0"/>
      <w:ind w:left="5103"/>
    </w:pPr>
    <w:rPr>
      <w:rFonts w:ascii="Times New Roman" w:eastAsia="Calibri" w:hAnsi="Times New Roman" w:cs="Times New Roman"/>
      <w:sz w:val="24"/>
      <w:szCs w:val="24"/>
      <w:lang w:eastAsia="en-GB"/>
    </w:rPr>
  </w:style>
  <w:style w:type="paragraph" w:customStyle="1" w:styleId="Nomdelinstitution">
    <w:name w:val="Nom de l'institution"/>
    <w:basedOn w:val="Normal"/>
    <w:next w:val="Emission"/>
    <w:pPr>
      <w:spacing w:after="0"/>
    </w:pPr>
    <w:rPr>
      <w:rFonts w:ascii="Arial" w:eastAsia="Calibri" w:hAnsi="Arial" w:cs="Arial"/>
      <w:sz w:val="24"/>
      <w:szCs w:val="24"/>
      <w:lang w:eastAsia="en-GB"/>
    </w:rPr>
  </w:style>
  <w:style w:type="paragraph" w:customStyle="1" w:styleId="Rfrenceinstitutionnelle">
    <w:name w:val="Référence institutionnelle"/>
    <w:basedOn w:val="Normal"/>
    <w:next w:val="Confidentialit"/>
    <w:pPr>
      <w:spacing w:after="240"/>
      <w:ind w:left="5103"/>
    </w:pPr>
    <w:rPr>
      <w:rFonts w:ascii="Times New Roman" w:eastAsia="Calibri" w:hAnsi="Times New Roman" w:cs="Times New Roman"/>
      <w:sz w:val="24"/>
      <w:szCs w:val="24"/>
      <w:lang w:eastAsia="en-GB"/>
    </w:rPr>
  </w:style>
  <w:style w:type="paragraph" w:customStyle="1" w:styleId="TitreobjetPagedecouverture">
    <w:name w:val="Titre objet (Page de couverture)"/>
    <w:basedOn w:val="Normal"/>
    <w:next w:val="Normal"/>
    <w:pPr>
      <w:spacing w:before="360" w:after="360"/>
      <w:jc w:val="center"/>
    </w:pPr>
    <w:rPr>
      <w:rFonts w:ascii="Times New Roman" w:eastAsia="Calibri" w:hAnsi="Times New Roman" w:cs="Times New Roman"/>
      <w:b/>
      <w:bCs/>
      <w:sz w:val="24"/>
      <w:szCs w:val="24"/>
      <w:lang w:eastAsia="en-GB"/>
    </w:rPr>
  </w:style>
  <w:style w:type="paragraph" w:customStyle="1" w:styleId="TypedudocumentPagedecouverture">
    <w:name w:val="Type du document (Page de couverture)"/>
    <w:basedOn w:val="Normal"/>
    <w:next w:val="TitreobjetPagedecouverture"/>
    <w:pPr>
      <w:spacing w:before="360" w:after="0"/>
      <w:jc w:val="center"/>
    </w:pPr>
    <w:rPr>
      <w:rFonts w:ascii="Times New Roman" w:eastAsia="Calibri" w:hAnsi="Times New Roman" w:cs="Times New Roman"/>
      <w:b/>
      <w:bCs/>
      <w:sz w:val="24"/>
      <w:szCs w:val="24"/>
      <w:lang w:eastAsia="en-GB"/>
    </w:rPr>
  </w:style>
  <w:style w:type="character" w:customStyle="1" w:styleId="EndnoteTextChar">
    <w:name w:val="Endnote Text Char"/>
    <w:rPr>
      <w:sz w:val="20"/>
    </w:rPr>
  </w:style>
  <w:style w:type="character" w:customStyle="1" w:styleId="UnresolvedMention1">
    <w:name w:val="Unresolved Mention1"/>
    <w:rPr>
      <w:color w:val="605E5C"/>
      <w:shd w:val="clear" w:color="auto" w:fill="E1DFDD"/>
    </w:rPr>
  </w:style>
  <w:style w:type="paragraph" w:styleId="Index3">
    <w:name w:val="index 3"/>
    <w:basedOn w:val="Normal"/>
    <w:next w:val="Normal"/>
    <w:autoRedefine/>
    <w:pPr>
      <w:spacing w:after="240" w:line="240" w:lineRule="auto"/>
      <w:ind w:left="720" w:hanging="240"/>
      <w:jc w:val="both"/>
    </w:pPr>
    <w:rPr>
      <w:rFonts w:ascii="Times New Roman" w:eastAsia="Times New Roman" w:hAnsi="Times New Roman" w:cs="Times New Roman"/>
      <w:sz w:val="24"/>
      <w:szCs w:val="20"/>
      <w:lang w:eastAsia="en-GB"/>
    </w:rPr>
  </w:style>
  <w:style w:type="character" w:customStyle="1" w:styleId="Mention1">
    <w:name w:val="Mention1"/>
    <w:rPr>
      <w:color w:val="2B579A"/>
      <w:shd w:val="clear" w:color="auto" w:fill="E6E6E6"/>
    </w:rPr>
  </w:style>
  <w:style w:type="paragraph" w:customStyle="1" w:styleId="Bullet-1noSpace">
    <w:name w:val="Bullet-1_no_Space"/>
    <w:basedOn w:val="Bullet-1"/>
    <w:link w:val="Bullet-1noSpaceCar"/>
    <w:qFormat/>
    <w:pPr>
      <w:ind w:left="709" w:hanging="357"/>
      <w:contextualSpacing/>
    </w:pPr>
    <w:rPr>
      <w:iCs/>
      <w:szCs w:val="20"/>
    </w:rPr>
  </w:style>
  <w:style w:type="character" w:customStyle="1" w:styleId="Bullet-1noSpaceCar">
    <w:name w:val="Bullet-1_no_Space Car"/>
    <w:link w:val="Bullet-1noSpace"/>
    <w:rPr>
      <w:rFonts w:ascii="EC Square Sans Pro" w:eastAsia="Verdana" w:hAnsi="EC Square Sans Pro" w:cs="Times New Roman"/>
      <w:iCs/>
      <w:szCs w:val="20"/>
      <w:lang w:val="ro-RO" w:eastAsia="en-GB"/>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SUPERS,Odwołanie przypisu,Times 10 Point,Exposant 3 Point,Footnote symbol,Footnote reference number,number,Footnote Reference Superscript,stylish,Знак сноски-FN,Ciae niinee-FN,Знак сноски 1,(Footnote Reference), Exposant 3 Point"/>
    <w:link w:val="CharCharChar"/>
    <w:qFormat/>
    <w:rPr>
      <w:rFonts w:ascii="Times New Roman" w:eastAsia="Times New Roman" w:hAnsi="Times New Roman" w:cs="Times New Roman"/>
      <w:sz w:val="24"/>
      <w:szCs w:val="20"/>
      <w:vertAlign w:val="superscript"/>
      <w:lang w:val="ro-RO"/>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pPr>
      <w:spacing w:after="0" w:line="240" w:lineRule="auto"/>
    </w:pPr>
    <w:rPr>
      <w:rFonts w:ascii="Times New Roman" w:eastAsia="Times New Roman" w:hAnsi="Times New Roman" w:cs="Times New Roman"/>
      <w:sz w:val="4"/>
      <w:szCs w:val="20"/>
    </w:rPr>
  </w:style>
  <w:style w:type="paragraph" w:customStyle="1" w:styleId="AnnexTitle">
    <w:name w:val="AnnexTitle"/>
    <w:basedOn w:val="Normal"/>
    <w:next w:val="Normal"/>
    <w:uiPriority w:val="45"/>
    <w:qFormat/>
    <w:pPr>
      <w:pageBreakBefore/>
      <w:numPr>
        <w:numId w:val="19"/>
      </w:numPr>
      <w:tabs>
        <w:tab w:val="clear" w:pos="2268"/>
      </w:tabs>
      <w:spacing w:after="480" w:line="240" w:lineRule="auto"/>
      <w:ind w:left="0" w:firstLine="0"/>
      <w:jc w:val="both"/>
      <w:outlineLvl w:val="0"/>
    </w:pPr>
    <w:rPr>
      <w:rFonts w:ascii="Times New Roman" w:eastAsia="Times New Roman" w:hAnsi="Times New Roman" w:cs="Times New Roman"/>
      <w:b/>
      <w:sz w:val="32"/>
      <w:szCs w:val="20"/>
    </w:rPr>
  </w:style>
  <w:style w:type="paragraph" w:styleId="Caption">
    <w:name w:val="caption"/>
    <w:aliases w:val="Caption-tables,Tasks,Beschriftung Char2,Beschriftung Char1 Char1,Beschriftung Char Char Char1,Beschriftung Char1 Char Char,Beschriftung Char Char Char Char,Beschriftung Char Char1 Char,Beschriftung Char Char2,Beschriftung Char1 Cha...,Eco,Legend"/>
    <w:basedOn w:val="Normal"/>
    <w:next w:val="Normal"/>
    <w:qFormat/>
    <w:pPr>
      <w:spacing w:before="160" w:after="240" w:line="240" w:lineRule="auto"/>
      <w:jc w:val="both"/>
    </w:pPr>
    <w:rPr>
      <w:rFonts w:ascii="Times New Roman" w:eastAsia="Times New Roman" w:hAnsi="Times New Roman" w:cs="Times New Roman"/>
      <w:i/>
      <w:szCs w:val="20"/>
    </w:rPr>
  </w:style>
  <w:style w:type="paragraph" w:customStyle="1" w:styleId="ChapterTitle">
    <w:name w:val="ChapterTitle"/>
    <w:basedOn w:val="Normal"/>
    <w:next w:val="SectionTitle"/>
    <w:uiPriority w:val="43"/>
    <w:qFormat/>
    <w:pPr>
      <w:keepNext/>
      <w:spacing w:after="480" w:line="240" w:lineRule="auto"/>
      <w:jc w:val="center"/>
      <w:outlineLvl w:val="0"/>
    </w:pPr>
    <w:rPr>
      <w:rFonts w:ascii="Times New Roman" w:eastAsia="Times New Roman" w:hAnsi="Times New Roman" w:cs="Times New Roman"/>
      <w:b/>
      <w:sz w:val="32"/>
      <w:szCs w:val="20"/>
    </w:rPr>
  </w:style>
  <w:style w:type="paragraph" w:customStyle="1" w:styleId="ConfidentialUE">
    <w:name w:val="Confidential UE"/>
    <w:basedOn w:val="Normal"/>
    <w:semiHidden/>
    <w:pPr>
      <w:spacing w:after="0" w:line="240" w:lineRule="auto"/>
      <w:jc w:val="center"/>
    </w:pPr>
    <w:rPr>
      <w:rFonts w:ascii="Times New Roman" w:eastAsia="Times New Roman" w:hAnsi="Times New Roman" w:cs="Times New Roman"/>
      <w:b/>
      <w:caps/>
      <w:sz w:val="32"/>
      <w:szCs w:val="20"/>
      <w:bdr w:val="single" w:sz="18" w:space="0" w:color="auto"/>
    </w:rPr>
  </w:style>
  <w:style w:type="paragraph" w:customStyle="1" w:styleId="Contact">
    <w:name w:val="Contact"/>
    <w:basedOn w:val="Normal"/>
    <w:semiHidden/>
    <w:pPr>
      <w:spacing w:before="480" w:after="0" w:line="240" w:lineRule="auto"/>
      <w:ind w:left="567" w:hanging="567"/>
      <w:contextualSpacing/>
    </w:pPr>
    <w:rPr>
      <w:rFonts w:ascii="Times New Roman" w:eastAsia="Times New Roman" w:hAnsi="Times New Roman" w:cs="Times New Roman"/>
      <w:sz w:val="24"/>
      <w:szCs w:val="20"/>
    </w:rPr>
  </w:style>
  <w:style w:type="paragraph" w:customStyle="1" w:styleId="ContNum">
    <w:name w:val="ContNum"/>
    <w:basedOn w:val="Normal"/>
    <w:uiPriority w:val="20"/>
    <w:qFormat/>
    <w:pPr>
      <w:numPr>
        <w:numId w:val="18"/>
      </w:numPr>
      <w:tabs>
        <w:tab w:val="clear" w:pos="476"/>
      </w:tabs>
      <w:spacing w:after="240" w:line="240" w:lineRule="auto"/>
      <w:ind w:left="0" w:firstLine="0"/>
      <w:jc w:val="both"/>
    </w:pPr>
    <w:rPr>
      <w:rFonts w:ascii="Times New Roman" w:eastAsia="Times New Roman" w:hAnsi="Times New Roman" w:cs="Times New Roman"/>
      <w:sz w:val="24"/>
      <w:szCs w:val="20"/>
    </w:rPr>
  </w:style>
  <w:style w:type="paragraph" w:customStyle="1" w:styleId="ContNumLevel2">
    <w:name w:val="ContNum (Level 2)"/>
    <w:basedOn w:val="Normal"/>
    <w:uiPriority w:val="20"/>
    <w:pPr>
      <w:numPr>
        <w:ilvl w:val="1"/>
        <w:numId w:val="18"/>
      </w:numPr>
      <w:tabs>
        <w:tab w:val="clear" w:pos="952"/>
      </w:tabs>
      <w:spacing w:after="240" w:line="240" w:lineRule="auto"/>
      <w:ind w:left="0" w:firstLine="0"/>
      <w:jc w:val="both"/>
    </w:pPr>
    <w:rPr>
      <w:rFonts w:ascii="Times New Roman" w:eastAsia="Times New Roman" w:hAnsi="Times New Roman" w:cs="Times New Roman"/>
      <w:sz w:val="24"/>
      <w:szCs w:val="20"/>
    </w:rPr>
  </w:style>
  <w:style w:type="paragraph" w:customStyle="1" w:styleId="ContNumLevel3">
    <w:name w:val="ContNum (Level 3)"/>
    <w:basedOn w:val="Normal"/>
    <w:uiPriority w:val="20"/>
    <w:pPr>
      <w:numPr>
        <w:ilvl w:val="2"/>
        <w:numId w:val="18"/>
      </w:numPr>
      <w:tabs>
        <w:tab w:val="clear" w:pos="1429"/>
      </w:tabs>
      <w:spacing w:after="240" w:line="240" w:lineRule="auto"/>
      <w:ind w:left="0" w:firstLine="0"/>
      <w:jc w:val="both"/>
    </w:pPr>
    <w:rPr>
      <w:rFonts w:ascii="Times New Roman" w:eastAsia="Times New Roman" w:hAnsi="Times New Roman" w:cs="Times New Roman"/>
      <w:sz w:val="24"/>
      <w:szCs w:val="20"/>
    </w:rPr>
  </w:style>
  <w:style w:type="paragraph" w:styleId="Date">
    <w:name w:val="Date"/>
    <w:basedOn w:val="Normal"/>
    <w:next w:val="References"/>
    <w:link w:val="DateChar"/>
    <w:semiHidden/>
    <w:pPr>
      <w:spacing w:after="0" w:line="240" w:lineRule="auto"/>
      <w:ind w:left="5102" w:right="-567"/>
    </w:pPr>
    <w:rPr>
      <w:rFonts w:ascii="Times New Roman" w:eastAsia="Times New Roman" w:hAnsi="Times New Roman" w:cs="Times New Roman"/>
      <w:sz w:val="24"/>
      <w:szCs w:val="20"/>
    </w:rPr>
  </w:style>
  <w:style w:type="character" w:customStyle="1" w:styleId="DateChar">
    <w:name w:val="Date Char"/>
    <w:basedOn w:val="DefaultParagraphFont"/>
    <w:link w:val="Date"/>
    <w:semiHidden/>
    <w:rPr>
      <w:rFonts w:ascii="Times New Roman" w:eastAsia="Times New Roman" w:hAnsi="Times New Roman" w:cs="Times New Roman"/>
      <w:sz w:val="24"/>
      <w:szCs w:val="20"/>
      <w:lang w:val="ro-RO"/>
    </w:rPr>
  </w:style>
  <w:style w:type="paragraph" w:customStyle="1" w:styleId="Designator">
    <w:name w:val="Designator"/>
    <w:basedOn w:val="Normal"/>
    <w:semiHidden/>
    <w:pPr>
      <w:spacing w:after="0" w:line="240" w:lineRule="auto"/>
      <w:jc w:val="center"/>
    </w:pPr>
    <w:rPr>
      <w:rFonts w:ascii="Times New Roman" w:eastAsia="Times New Roman" w:hAnsi="Times New Roman" w:cs="Times New Roman"/>
      <w:b/>
      <w:caps/>
      <w:sz w:val="32"/>
      <w:szCs w:val="20"/>
    </w:rPr>
  </w:style>
  <w:style w:type="paragraph" w:customStyle="1" w:styleId="DoubSign">
    <w:name w:val="DoubSign"/>
    <w:basedOn w:val="Normal"/>
    <w:semiHidden/>
    <w:pPr>
      <w:spacing w:before="1200" w:after="0" w:line="240" w:lineRule="auto"/>
    </w:pPr>
    <w:rPr>
      <w:rFonts w:ascii="Times New Roman" w:eastAsia="Times New Roman" w:hAnsi="Times New Roman" w:cs="Times New Roman"/>
      <w:sz w:val="24"/>
      <w:szCs w:val="20"/>
    </w:rPr>
  </w:style>
  <w:style w:type="paragraph" w:customStyle="1" w:styleId="EmptyParagraph">
    <w:name w:val="Empty Paragraph"/>
    <w:basedOn w:val="Normal"/>
    <w:next w:val="Normal"/>
    <w:semiHidden/>
    <w:pPr>
      <w:spacing w:before="240" w:after="240" w:line="240" w:lineRule="auto"/>
      <w:jc w:val="both"/>
    </w:pPr>
    <w:rPr>
      <w:rFonts w:ascii="Times New Roman" w:eastAsia="Times New Roman" w:hAnsi="Times New Roman" w:cs="Times New Roman"/>
      <w:sz w:val="24"/>
      <w:szCs w:val="20"/>
    </w:rPr>
  </w:style>
  <w:style w:type="paragraph" w:styleId="EndnoteText">
    <w:name w:val="endnote text"/>
    <w:basedOn w:val="Normal"/>
    <w:link w:val="EndnoteTextChar1"/>
    <w:semiHidden/>
    <w:pPr>
      <w:spacing w:after="120" w:line="240" w:lineRule="auto"/>
      <w:ind w:left="357" w:hanging="357"/>
      <w:jc w:val="both"/>
    </w:pPr>
    <w:rPr>
      <w:rFonts w:ascii="Times New Roman" w:eastAsia="Times New Roman" w:hAnsi="Times New Roman" w:cs="Times New Roman"/>
      <w:sz w:val="20"/>
      <w:szCs w:val="20"/>
    </w:rPr>
  </w:style>
  <w:style w:type="character" w:customStyle="1" w:styleId="EndnoteTextChar1">
    <w:name w:val="Endnote Text Char1"/>
    <w:basedOn w:val="DefaultParagraphFont"/>
    <w:link w:val="EndnoteText"/>
    <w:semiHidden/>
    <w:rPr>
      <w:rFonts w:ascii="Times New Roman" w:eastAsia="Times New Roman" w:hAnsi="Times New Roman" w:cs="Times New Roman"/>
      <w:sz w:val="20"/>
      <w:szCs w:val="20"/>
      <w:lang w:val="ro-RO"/>
    </w:rPr>
  </w:style>
  <w:style w:type="paragraph" w:customStyle="1" w:styleId="FigureBody">
    <w:name w:val="Figure Body"/>
    <w:basedOn w:val="Normal"/>
    <w:next w:val="FigureSource"/>
    <w:uiPriority w:val="99"/>
    <w:semiHidden/>
    <w:unhideWhenUsed/>
    <w:pPr>
      <w:keepNext/>
      <w:spacing w:after="40" w:line="240" w:lineRule="auto"/>
      <w:jc w:val="both"/>
    </w:pPr>
    <w:rPr>
      <w:rFonts w:ascii="Times New Roman" w:eastAsia="Times New Roman" w:hAnsi="Times New Roman" w:cs="Times New Roman"/>
      <w:sz w:val="24"/>
      <w:szCs w:val="20"/>
    </w:r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pPr>
      <w:spacing w:after="240" w:line="240" w:lineRule="auto"/>
      <w:jc w:val="both"/>
    </w:pPr>
    <w:rPr>
      <w:rFonts w:ascii="Times New Roman" w:eastAsia="Times New Roman" w:hAnsi="Times New Roman" w:cs="Times New Roman"/>
      <w:sz w:val="20"/>
      <w:szCs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line="240" w:lineRule="auto"/>
      <w:jc w:val="both"/>
    </w:pPr>
    <w:rPr>
      <w:rFonts w:ascii="Times New Roman" w:eastAsia="Times New Roman" w:hAnsi="Times New Roman" w:cs="Times New Roman"/>
      <w:b/>
      <w:i/>
      <w:sz w:val="24"/>
      <w:szCs w:val="20"/>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customStyle="1" w:styleId="FooterLine">
    <w:name w:val="Footer Line"/>
    <w:basedOn w:val="Footer"/>
    <w:next w:val="Footer"/>
    <w:semiHidden/>
    <w:pPr>
      <w:tabs>
        <w:tab w:val="clear" w:pos="4513"/>
        <w:tab w:val="clear" w:pos="9026"/>
        <w:tab w:val="right" w:pos="8646"/>
      </w:tabs>
      <w:spacing w:before="120" w:line="264" w:lineRule="auto"/>
      <w:jc w:val="both"/>
    </w:pPr>
    <w:rPr>
      <w:rFonts w:ascii="Times New Roman" w:eastAsia="Times New Roman" w:hAnsi="Times New Roman" w:cs="Times New Roman"/>
      <w:sz w:val="16"/>
      <w:szCs w:val="20"/>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RSK-FT,o"/>
    <w:basedOn w:val="Normal"/>
    <w:uiPriority w:val="99"/>
    <w:qFormat/>
    <w:pPr>
      <w:spacing w:after="120" w:line="240" w:lineRule="auto"/>
      <w:ind w:left="357" w:hanging="357"/>
      <w:jc w:val="both"/>
    </w:pPr>
    <w:rPr>
      <w:rFonts w:ascii="Times New Roman" w:eastAsia="Times New Roman" w:hAnsi="Times New Roman" w:cs="Times New Roman"/>
      <w:sz w:val="20"/>
      <w:szCs w:val="20"/>
    </w:rPr>
  </w:style>
  <w:style w:type="character" w:customStyle="1" w:styleId="FootnoteTextChar1">
    <w:name w:val="Footnote Text Char1"/>
    <w:aliases w:val="Fußnotentextf Char,Fußnotentextr Char,stile 1 Char,Footnote Char1,Footnote1 Char,Footnote2 Char,Footnote3 Char,Footnote4 Char,Footnote5 Char,Footnote6 Char,Footnote7 Char,Footnote8 Char,Footnote9 Char,Footnote10 Char,Footnote11 Char"/>
    <w:basedOn w:val="DefaultParagraphFont"/>
    <w:uiPriority w:val="99"/>
    <w:rPr>
      <w:rFonts w:ascii="Times New Roman" w:eastAsia="Times New Roman" w:hAnsi="Times New Roman" w:cs="Times New Roman"/>
      <w:sz w:val="20"/>
      <w:szCs w:val="20"/>
      <w:lang w:val="ro-RO"/>
    </w:rPr>
  </w:style>
  <w:style w:type="paragraph" w:customStyle="1" w:styleId="HistoryTable">
    <w:name w:val="HistoryTable"/>
    <w:basedOn w:val="Normal"/>
    <w:semiHidden/>
    <w:pPr>
      <w:spacing w:before="60" w:after="60" w:line="240" w:lineRule="auto"/>
    </w:pPr>
    <w:rPr>
      <w:rFonts w:ascii="Times New Roman" w:eastAsia="Times New Roman" w:hAnsi="Times New Roman" w:cs="Times New Roman"/>
      <w:sz w:val="20"/>
      <w:szCs w:val="20"/>
    </w:rPr>
  </w:style>
  <w:style w:type="paragraph" w:customStyle="1" w:styleId="HistTableHeading">
    <w:name w:val="HistTableHeading"/>
    <w:basedOn w:val="Normal"/>
    <w:next w:val="HistoryTable"/>
    <w:semiHidden/>
    <w:pPr>
      <w:spacing w:before="240" w:after="240" w:line="240" w:lineRule="auto"/>
      <w:jc w:val="center"/>
    </w:pPr>
    <w:rPr>
      <w:rFonts w:ascii="Times New Roman Bold" w:eastAsia="Times New Roman" w:hAnsi="Times New Roman Bold" w:cs="Times New Roman"/>
      <w:b/>
      <w:caps/>
      <w:sz w:val="24"/>
      <w:szCs w:val="20"/>
    </w:rPr>
  </w:style>
  <w:style w:type="paragraph" w:customStyle="1" w:styleId="LegalNumPar">
    <w:name w:val="LegalNumPar"/>
    <w:basedOn w:val="Normal"/>
    <w:uiPriority w:val="20"/>
    <w:qFormat/>
    <w:pPr>
      <w:numPr>
        <w:numId w:val="17"/>
      </w:numPr>
      <w:tabs>
        <w:tab w:val="clear" w:pos="476"/>
      </w:tabs>
      <w:spacing w:after="240" w:line="360" w:lineRule="auto"/>
      <w:ind w:left="0" w:firstLine="0"/>
      <w:jc w:val="both"/>
    </w:pPr>
    <w:rPr>
      <w:rFonts w:ascii="Times New Roman" w:eastAsia="Times New Roman" w:hAnsi="Times New Roman" w:cs="Times New Roman"/>
      <w:sz w:val="24"/>
      <w:szCs w:val="20"/>
    </w:rPr>
  </w:style>
  <w:style w:type="paragraph" w:customStyle="1" w:styleId="LegalNumPar2">
    <w:name w:val="LegalNumPar2"/>
    <w:basedOn w:val="Normal"/>
    <w:uiPriority w:val="20"/>
    <w:pPr>
      <w:numPr>
        <w:ilvl w:val="1"/>
        <w:numId w:val="17"/>
      </w:numPr>
      <w:tabs>
        <w:tab w:val="clear" w:pos="952"/>
      </w:tabs>
      <w:spacing w:after="240" w:line="360" w:lineRule="auto"/>
      <w:ind w:left="0" w:firstLine="0"/>
      <w:jc w:val="both"/>
    </w:pPr>
    <w:rPr>
      <w:rFonts w:ascii="Times New Roman" w:eastAsia="Times New Roman" w:hAnsi="Times New Roman" w:cs="Times New Roman"/>
      <w:sz w:val="24"/>
      <w:szCs w:val="20"/>
    </w:rPr>
  </w:style>
  <w:style w:type="paragraph" w:customStyle="1" w:styleId="LegalNumPar3">
    <w:name w:val="LegalNumPar3"/>
    <w:basedOn w:val="Normal"/>
    <w:uiPriority w:val="20"/>
    <w:pPr>
      <w:numPr>
        <w:ilvl w:val="2"/>
        <w:numId w:val="17"/>
      </w:numPr>
      <w:tabs>
        <w:tab w:val="clear" w:pos="1429"/>
      </w:tabs>
      <w:spacing w:after="240" w:line="360" w:lineRule="auto"/>
      <w:ind w:left="0" w:firstLine="0"/>
      <w:jc w:val="both"/>
    </w:pPr>
    <w:rPr>
      <w:rFonts w:ascii="Times New Roman" w:eastAsia="Times New Roman" w:hAnsi="Times New Roman" w:cs="Times New Roman"/>
      <w:sz w:val="24"/>
      <w:szCs w:val="20"/>
    </w:rPr>
  </w:style>
  <w:style w:type="paragraph" w:styleId="ListBullet">
    <w:name w:val="List Bullet"/>
    <w:basedOn w:val="Normal"/>
    <w:uiPriority w:val="35"/>
    <w:pPr>
      <w:numPr>
        <w:numId w:val="16"/>
      </w:numPr>
      <w:tabs>
        <w:tab w:val="clear" w:pos="283"/>
      </w:tabs>
      <w:spacing w:after="240" w:line="240" w:lineRule="auto"/>
      <w:ind w:left="0" w:firstLine="0"/>
      <w:jc w:val="both"/>
    </w:pPr>
    <w:rPr>
      <w:rFonts w:ascii="Times New Roman" w:eastAsia="Times New Roman" w:hAnsi="Times New Roman" w:cs="Times New Roman"/>
      <w:sz w:val="24"/>
      <w:szCs w:val="20"/>
    </w:rPr>
  </w:style>
  <w:style w:type="paragraph" w:customStyle="1" w:styleId="ListBulletLevel2">
    <w:name w:val="List Bullet (Level 2)"/>
    <w:basedOn w:val="Normal"/>
    <w:uiPriority w:val="35"/>
    <w:semiHidden/>
    <w:unhideWhenUsed/>
    <w:pPr>
      <w:numPr>
        <w:ilvl w:val="1"/>
        <w:numId w:val="16"/>
      </w:numPr>
      <w:tabs>
        <w:tab w:val="clear" w:pos="567"/>
      </w:tabs>
      <w:spacing w:after="240" w:line="240" w:lineRule="auto"/>
      <w:ind w:left="0" w:firstLine="0"/>
      <w:jc w:val="both"/>
    </w:pPr>
    <w:rPr>
      <w:rFonts w:ascii="Times New Roman" w:eastAsia="Times New Roman" w:hAnsi="Times New Roman" w:cs="Times New Roman"/>
      <w:sz w:val="24"/>
      <w:szCs w:val="20"/>
    </w:rPr>
  </w:style>
  <w:style w:type="paragraph" w:customStyle="1" w:styleId="ListBulletLevel3">
    <w:name w:val="List Bullet (Level 3)"/>
    <w:basedOn w:val="Normal"/>
    <w:uiPriority w:val="35"/>
    <w:semiHidden/>
    <w:unhideWhenUsed/>
    <w:pPr>
      <w:numPr>
        <w:ilvl w:val="2"/>
        <w:numId w:val="16"/>
      </w:numPr>
      <w:tabs>
        <w:tab w:val="clear" w:pos="850"/>
      </w:tabs>
      <w:spacing w:after="240" w:line="240" w:lineRule="auto"/>
      <w:ind w:left="0" w:firstLine="0"/>
      <w:jc w:val="both"/>
    </w:pPr>
    <w:rPr>
      <w:rFonts w:ascii="Times New Roman" w:eastAsia="Times New Roman" w:hAnsi="Times New Roman" w:cs="Times New Roman"/>
      <w:sz w:val="24"/>
      <w:szCs w:val="20"/>
    </w:rPr>
  </w:style>
  <w:style w:type="paragraph" w:customStyle="1" w:styleId="ListBulletLevel4">
    <w:name w:val="List Bullet (Level 4)"/>
    <w:basedOn w:val="Normal"/>
    <w:uiPriority w:val="35"/>
    <w:semiHidden/>
    <w:unhideWhenUsed/>
    <w:pPr>
      <w:numPr>
        <w:ilvl w:val="3"/>
        <w:numId w:val="16"/>
      </w:numPr>
      <w:tabs>
        <w:tab w:val="clear" w:pos="1134"/>
      </w:tabs>
      <w:spacing w:after="240" w:line="240" w:lineRule="auto"/>
      <w:ind w:left="0" w:firstLine="0"/>
      <w:jc w:val="both"/>
    </w:pPr>
    <w:rPr>
      <w:rFonts w:ascii="Times New Roman" w:eastAsia="Times New Roman" w:hAnsi="Times New Roman" w:cs="Times New Roman"/>
      <w:sz w:val="24"/>
      <w:szCs w:val="20"/>
    </w:rPr>
  </w:style>
  <w:style w:type="paragraph" w:customStyle="1" w:styleId="ListBullet1">
    <w:name w:val="List Bullet 1"/>
    <w:basedOn w:val="Text1"/>
    <w:uiPriority w:val="35"/>
    <w:pPr>
      <w:numPr>
        <w:numId w:val="15"/>
      </w:numPr>
      <w:tabs>
        <w:tab w:val="clear" w:pos="765"/>
      </w:tabs>
      <w:ind w:left="0" w:firstLine="0"/>
    </w:pPr>
  </w:style>
  <w:style w:type="paragraph" w:customStyle="1" w:styleId="ListBullet1Level2">
    <w:name w:val="List Bullet 1 (Level 2)"/>
    <w:basedOn w:val="Text1"/>
    <w:uiPriority w:val="35"/>
    <w:semiHidden/>
    <w:unhideWhenUsed/>
    <w:pPr>
      <w:numPr>
        <w:ilvl w:val="1"/>
        <w:numId w:val="15"/>
      </w:numPr>
      <w:tabs>
        <w:tab w:val="clear" w:pos="1049"/>
      </w:tabs>
      <w:ind w:left="0" w:firstLine="0"/>
    </w:pPr>
  </w:style>
  <w:style w:type="paragraph" w:customStyle="1" w:styleId="ListBullet1Level3">
    <w:name w:val="List Bullet 1 (Level 3)"/>
    <w:basedOn w:val="Text1"/>
    <w:uiPriority w:val="35"/>
    <w:semiHidden/>
    <w:unhideWhenUsed/>
    <w:pPr>
      <w:numPr>
        <w:ilvl w:val="2"/>
        <w:numId w:val="15"/>
      </w:numPr>
      <w:tabs>
        <w:tab w:val="clear" w:pos="1332"/>
      </w:tabs>
      <w:ind w:left="0" w:firstLine="0"/>
    </w:pPr>
  </w:style>
  <w:style w:type="paragraph" w:customStyle="1" w:styleId="ListBullet1Level4">
    <w:name w:val="List Bullet 1 (Level 4)"/>
    <w:basedOn w:val="Text1"/>
    <w:uiPriority w:val="35"/>
    <w:semiHidden/>
    <w:unhideWhenUsed/>
    <w:pPr>
      <w:numPr>
        <w:ilvl w:val="3"/>
        <w:numId w:val="15"/>
      </w:numPr>
      <w:tabs>
        <w:tab w:val="clear" w:pos="1616"/>
      </w:tabs>
      <w:ind w:left="0" w:firstLine="0"/>
    </w:pPr>
  </w:style>
  <w:style w:type="paragraph" w:styleId="ListBullet2">
    <w:name w:val="List Bullet 2"/>
    <w:basedOn w:val="Text2"/>
    <w:uiPriority w:val="35"/>
    <w:pPr>
      <w:numPr>
        <w:numId w:val="14"/>
      </w:numPr>
      <w:tabs>
        <w:tab w:val="clear" w:pos="1485"/>
      </w:tabs>
      <w:ind w:left="0" w:firstLine="0"/>
    </w:pPr>
  </w:style>
  <w:style w:type="paragraph" w:customStyle="1" w:styleId="ListBullet2Level2">
    <w:name w:val="List Bullet 2 (Level 2)"/>
    <w:basedOn w:val="Text2"/>
    <w:uiPriority w:val="35"/>
    <w:semiHidden/>
    <w:unhideWhenUsed/>
    <w:pPr>
      <w:numPr>
        <w:ilvl w:val="1"/>
        <w:numId w:val="14"/>
      </w:numPr>
      <w:tabs>
        <w:tab w:val="clear" w:pos="1769"/>
      </w:tabs>
      <w:ind w:left="0" w:firstLine="0"/>
    </w:pPr>
  </w:style>
  <w:style w:type="paragraph" w:customStyle="1" w:styleId="ListBullet2Level3">
    <w:name w:val="List Bullet 2 (Level 3)"/>
    <w:basedOn w:val="Text2"/>
    <w:uiPriority w:val="35"/>
    <w:semiHidden/>
    <w:unhideWhenUsed/>
    <w:pPr>
      <w:numPr>
        <w:ilvl w:val="2"/>
        <w:numId w:val="14"/>
      </w:numPr>
      <w:tabs>
        <w:tab w:val="clear" w:pos="2052"/>
      </w:tabs>
      <w:ind w:left="0" w:firstLine="0"/>
    </w:pPr>
  </w:style>
  <w:style w:type="paragraph" w:customStyle="1" w:styleId="ListBullet2Level4">
    <w:name w:val="List Bullet 2 (Level 4)"/>
    <w:basedOn w:val="Text2"/>
    <w:uiPriority w:val="35"/>
    <w:semiHidden/>
    <w:unhideWhenUsed/>
    <w:pPr>
      <w:numPr>
        <w:ilvl w:val="3"/>
        <w:numId w:val="14"/>
      </w:numPr>
      <w:tabs>
        <w:tab w:val="clear" w:pos="2336"/>
      </w:tabs>
      <w:ind w:left="0" w:firstLine="0"/>
    </w:pPr>
  </w:style>
  <w:style w:type="paragraph" w:styleId="ListBullet3">
    <w:name w:val="List Bullet 3"/>
    <w:basedOn w:val="Text3"/>
    <w:uiPriority w:val="35"/>
    <w:pPr>
      <w:numPr>
        <w:numId w:val="13"/>
      </w:numPr>
      <w:tabs>
        <w:tab w:val="clear" w:pos="1485"/>
      </w:tabs>
      <w:ind w:left="0" w:firstLine="0"/>
    </w:pPr>
  </w:style>
  <w:style w:type="paragraph" w:customStyle="1" w:styleId="ListBullet3Level2">
    <w:name w:val="List Bullet 3 (Level 2)"/>
    <w:basedOn w:val="Text3"/>
    <w:uiPriority w:val="35"/>
    <w:semiHidden/>
    <w:unhideWhenUsed/>
    <w:pPr>
      <w:numPr>
        <w:ilvl w:val="1"/>
        <w:numId w:val="13"/>
      </w:numPr>
      <w:tabs>
        <w:tab w:val="clear" w:pos="1769"/>
      </w:tabs>
      <w:ind w:left="0" w:firstLine="0"/>
    </w:pPr>
  </w:style>
  <w:style w:type="paragraph" w:customStyle="1" w:styleId="ListBullet3Level3">
    <w:name w:val="List Bullet 3 (Level 3)"/>
    <w:basedOn w:val="Text3"/>
    <w:uiPriority w:val="35"/>
    <w:semiHidden/>
    <w:unhideWhenUsed/>
    <w:pPr>
      <w:numPr>
        <w:ilvl w:val="2"/>
        <w:numId w:val="13"/>
      </w:numPr>
      <w:tabs>
        <w:tab w:val="clear" w:pos="2052"/>
      </w:tabs>
      <w:ind w:left="0" w:firstLine="0"/>
    </w:pPr>
  </w:style>
  <w:style w:type="paragraph" w:customStyle="1" w:styleId="ListBullet3Level4">
    <w:name w:val="List Bullet 3 (Level 4)"/>
    <w:basedOn w:val="Text3"/>
    <w:uiPriority w:val="35"/>
    <w:semiHidden/>
    <w:unhideWhenUsed/>
    <w:pPr>
      <w:numPr>
        <w:ilvl w:val="3"/>
        <w:numId w:val="13"/>
      </w:numPr>
      <w:tabs>
        <w:tab w:val="clear" w:pos="2336"/>
      </w:tabs>
      <w:ind w:left="0" w:firstLine="0"/>
    </w:pPr>
  </w:style>
  <w:style w:type="paragraph" w:styleId="ListBullet4">
    <w:name w:val="List Bullet 4"/>
    <w:basedOn w:val="Text4"/>
    <w:uiPriority w:val="35"/>
    <w:pPr>
      <w:numPr>
        <w:numId w:val="12"/>
      </w:numPr>
      <w:tabs>
        <w:tab w:val="clear" w:pos="1485"/>
      </w:tabs>
      <w:ind w:left="0" w:firstLine="0"/>
    </w:pPr>
  </w:style>
  <w:style w:type="paragraph" w:customStyle="1" w:styleId="ListBullet4Level2">
    <w:name w:val="List Bullet 4 (Level 2)"/>
    <w:basedOn w:val="Text4"/>
    <w:uiPriority w:val="35"/>
    <w:semiHidden/>
    <w:unhideWhenUsed/>
    <w:pPr>
      <w:numPr>
        <w:ilvl w:val="1"/>
        <w:numId w:val="12"/>
      </w:numPr>
      <w:tabs>
        <w:tab w:val="clear" w:pos="1769"/>
      </w:tabs>
      <w:ind w:left="0" w:firstLine="0"/>
    </w:pPr>
  </w:style>
  <w:style w:type="paragraph" w:customStyle="1" w:styleId="ListBullet4Level3">
    <w:name w:val="List Bullet 4 (Level 3)"/>
    <w:basedOn w:val="Text4"/>
    <w:uiPriority w:val="35"/>
    <w:semiHidden/>
    <w:unhideWhenUsed/>
    <w:pPr>
      <w:numPr>
        <w:ilvl w:val="2"/>
        <w:numId w:val="12"/>
      </w:numPr>
      <w:tabs>
        <w:tab w:val="clear" w:pos="2052"/>
      </w:tabs>
      <w:ind w:left="0" w:firstLine="0"/>
    </w:pPr>
  </w:style>
  <w:style w:type="paragraph" w:customStyle="1" w:styleId="ListBullet4Level4">
    <w:name w:val="List Bullet 4 (Level 4)"/>
    <w:basedOn w:val="Text4"/>
    <w:uiPriority w:val="35"/>
    <w:semiHidden/>
    <w:unhideWhenUsed/>
    <w:pPr>
      <w:numPr>
        <w:ilvl w:val="3"/>
        <w:numId w:val="12"/>
      </w:numPr>
      <w:tabs>
        <w:tab w:val="clear" w:pos="2336"/>
      </w:tabs>
      <w:ind w:left="0" w:firstLine="0"/>
    </w:pPr>
  </w:style>
  <w:style w:type="paragraph" w:customStyle="1" w:styleId="ListDash">
    <w:name w:val="List Dash"/>
    <w:basedOn w:val="Normal"/>
    <w:uiPriority w:val="35"/>
    <w:pPr>
      <w:numPr>
        <w:numId w:val="6"/>
      </w:numPr>
      <w:tabs>
        <w:tab w:val="clear" w:pos="283"/>
      </w:tabs>
      <w:spacing w:after="240" w:line="240" w:lineRule="auto"/>
      <w:ind w:left="0" w:firstLine="0"/>
      <w:jc w:val="both"/>
    </w:pPr>
    <w:rPr>
      <w:rFonts w:ascii="Times New Roman" w:eastAsia="Times New Roman" w:hAnsi="Times New Roman" w:cs="Times New Roman"/>
      <w:sz w:val="24"/>
      <w:szCs w:val="20"/>
    </w:rPr>
  </w:style>
  <w:style w:type="paragraph" w:customStyle="1" w:styleId="ListDashLevel2">
    <w:name w:val="List Dash (Level 2)"/>
    <w:basedOn w:val="Normal"/>
    <w:semiHidden/>
    <w:unhideWhenUsed/>
    <w:pPr>
      <w:numPr>
        <w:ilvl w:val="1"/>
        <w:numId w:val="6"/>
      </w:numPr>
      <w:tabs>
        <w:tab w:val="clear" w:pos="567"/>
      </w:tabs>
      <w:spacing w:after="240" w:line="240" w:lineRule="auto"/>
      <w:ind w:left="0" w:firstLine="0"/>
      <w:jc w:val="both"/>
    </w:pPr>
    <w:rPr>
      <w:rFonts w:ascii="Times New Roman" w:eastAsia="Times New Roman" w:hAnsi="Times New Roman" w:cs="Times New Roman"/>
      <w:sz w:val="24"/>
      <w:szCs w:val="20"/>
    </w:rPr>
  </w:style>
  <w:style w:type="paragraph" w:customStyle="1" w:styleId="ListDashLevel3">
    <w:name w:val="List Dash (Level 3)"/>
    <w:basedOn w:val="Normal"/>
    <w:semiHidden/>
    <w:unhideWhenUsed/>
    <w:pPr>
      <w:numPr>
        <w:ilvl w:val="2"/>
        <w:numId w:val="6"/>
      </w:numPr>
      <w:tabs>
        <w:tab w:val="clear" w:pos="850"/>
      </w:tabs>
      <w:spacing w:after="240" w:line="240" w:lineRule="auto"/>
      <w:ind w:left="0" w:firstLine="0"/>
      <w:jc w:val="both"/>
    </w:pPr>
    <w:rPr>
      <w:rFonts w:ascii="Times New Roman" w:eastAsia="Times New Roman" w:hAnsi="Times New Roman" w:cs="Times New Roman"/>
      <w:sz w:val="24"/>
      <w:szCs w:val="20"/>
    </w:rPr>
  </w:style>
  <w:style w:type="paragraph" w:customStyle="1" w:styleId="ListDashLevel4">
    <w:name w:val="List Dash (Level 4)"/>
    <w:basedOn w:val="Normal"/>
    <w:semiHidden/>
    <w:unhideWhenUsed/>
    <w:pPr>
      <w:numPr>
        <w:ilvl w:val="3"/>
        <w:numId w:val="6"/>
      </w:numPr>
      <w:tabs>
        <w:tab w:val="clear" w:pos="1134"/>
      </w:tabs>
      <w:spacing w:after="240" w:line="240" w:lineRule="auto"/>
      <w:ind w:left="0" w:firstLine="0"/>
      <w:jc w:val="both"/>
    </w:pPr>
    <w:rPr>
      <w:rFonts w:ascii="Times New Roman" w:eastAsia="Times New Roman" w:hAnsi="Times New Roman" w:cs="Times New Roman"/>
      <w:sz w:val="24"/>
      <w:szCs w:val="20"/>
    </w:rPr>
  </w:style>
  <w:style w:type="paragraph" w:customStyle="1" w:styleId="ListDash1">
    <w:name w:val="List Dash 1"/>
    <w:basedOn w:val="Text1"/>
    <w:uiPriority w:val="35"/>
    <w:pPr>
      <w:numPr>
        <w:numId w:val="5"/>
      </w:numPr>
      <w:tabs>
        <w:tab w:val="clear" w:pos="765"/>
      </w:tabs>
      <w:ind w:left="0" w:firstLine="0"/>
    </w:pPr>
  </w:style>
  <w:style w:type="paragraph" w:customStyle="1" w:styleId="ListDash1Level2">
    <w:name w:val="List Dash 1 (Level 2)"/>
    <w:basedOn w:val="Text1"/>
    <w:uiPriority w:val="35"/>
    <w:semiHidden/>
    <w:unhideWhenUsed/>
    <w:pPr>
      <w:numPr>
        <w:ilvl w:val="1"/>
        <w:numId w:val="5"/>
      </w:numPr>
      <w:tabs>
        <w:tab w:val="clear" w:pos="1049"/>
      </w:tabs>
      <w:ind w:left="0" w:firstLine="0"/>
    </w:pPr>
  </w:style>
  <w:style w:type="paragraph" w:customStyle="1" w:styleId="ListDash1Level3">
    <w:name w:val="List Dash 1 (Level 3)"/>
    <w:basedOn w:val="Text1"/>
    <w:uiPriority w:val="35"/>
    <w:semiHidden/>
    <w:unhideWhenUsed/>
    <w:pPr>
      <w:numPr>
        <w:ilvl w:val="2"/>
        <w:numId w:val="5"/>
      </w:numPr>
      <w:tabs>
        <w:tab w:val="clear" w:pos="1332"/>
      </w:tabs>
      <w:ind w:left="0" w:firstLine="0"/>
    </w:pPr>
  </w:style>
  <w:style w:type="paragraph" w:customStyle="1" w:styleId="ListDash1Level4">
    <w:name w:val="List Dash 1 (Level 4)"/>
    <w:basedOn w:val="Text1"/>
    <w:uiPriority w:val="35"/>
    <w:semiHidden/>
    <w:unhideWhenUsed/>
    <w:pPr>
      <w:numPr>
        <w:ilvl w:val="3"/>
        <w:numId w:val="5"/>
      </w:numPr>
      <w:tabs>
        <w:tab w:val="clear" w:pos="1616"/>
      </w:tabs>
      <w:ind w:left="0" w:firstLine="0"/>
    </w:pPr>
  </w:style>
  <w:style w:type="paragraph" w:customStyle="1" w:styleId="ListDash2">
    <w:name w:val="List Dash 2"/>
    <w:basedOn w:val="Text2"/>
    <w:uiPriority w:val="35"/>
    <w:pPr>
      <w:numPr>
        <w:numId w:val="4"/>
      </w:numPr>
      <w:tabs>
        <w:tab w:val="clear" w:pos="1485"/>
      </w:tabs>
      <w:ind w:left="0" w:firstLine="0"/>
    </w:pPr>
  </w:style>
  <w:style w:type="paragraph" w:customStyle="1" w:styleId="ListDash2Level2">
    <w:name w:val="List Dash 2 (Level 2)"/>
    <w:basedOn w:val="Text2"/>
    <w:uiPriority w:val="35"/>
    <w:semiHidden/>
    <w:unhideWhenUsed/>
    <w:pPr>
      <w:numPr>
        <w:ilvl w:val="1"/>
        <w:numId w:val="4"/>
      </w:numPr>
      <w:tabs>
        <w:tab w:val="clear" w:pos="1769"/>
      </w:tabs>
      <w:ind w:left="0" w:firstLine="0"/>
    </w:pPr>
  </w:style>
  <w:style w:type="paragraph" w:customStyle="1" w:styleId="ListDash2Level3">
    <w:name w:val="List Dash 2 (Level 3)"/>
    <w:basedOn w:val="Text2"/>
    <w:uiPriority w:val="35"/>
    <w:semiHidden/>
    <w:unhideWhenUsed/>
    <w:pPr>
      <w:numPr>
        <w:ilvl w:val="2"/>
        <w:numId w:val="4"/>
      </w:numPr>
      <w:tabs>
        <w:tab w:val="clear" w:pos="2052"/>
      </w:tabs>
      <w:ind w:left="0" w:firstLine="0"/>
    </w:pPr>
  </w:style>
  <w:style w:type="paragraph" w:customStyle="1" w:styleId="ListDash2Level4">
    <w:name w:val="List Dash 2 (Level 4)"/>
    <w:basedOn w:val="Text2"/>
    <w:uiPriority w:val="35"/>
    <w:semiHidden/>
    <w:unhideWhenUsed/>
    <w:pPr>
      <w:numPr>
        <w:ilvl w:val="3"/>
        <w:numId w:val="4"/>
      </w:numPr>
      <w:tabs>
        <w:tab w:val="clear" w:pos="2336"/>
      </w:tabs>
      <w:ind w:left="0" w:firstLine="0"/>
    </w:pPr>
  </w:style>
  <w:style w:type="paragraph" w:customStyle="1" w:styleId="ListDash3">
    <w:name w:val="List Dash 3"/>
    <w:basedOn w:val="Text3"/>
    <w:uiPriority w:val="35"/>
    <w:pPr>
      <w:numPr>
        <w:numId w:val="3"/>
      </w:numPr>
      <w:tabs>
        <w:tab w:val="clear" w:pos="1485"/>
      </w:tabs>
      <w:ind w:left="0" w:firstLine="0"/>
    </w:pPr>
  </w:style>
  <w:style w:type="paragraph" w:customStyle="1" w:styleId="ListDash3Level2">
    <w:name w:val="List Dash 3 (Level 2)"/>
    <w:basedOn w:val="Text3"/>
    <w:uiPriority w:val="35"/>
    <w:semiHidden/>
    <w:unhideWhenUsed/>
    <w:pPr>
      <w:numPr>
        <w:ilvl w:val="1"/>
        <w:numId w:val="3"/>
      </w:numPr>
      <w:tabs>
        <w:tab w:val="clear" w:pos="1769"/>
      </w:tabs>
      <w:ind w:left="0" w:firstLine="0"/>
    </w:pPr>
  </w:style>
  <w:style w:type="paragraph" w:customStyle="1" w:styleId="ListDash3Level3">
    <w:name w:val="List Dash 3 (Level 3)"/>
    <w:basedOn w:val="Text3"/>
    <w:uiPriority w:val="35"/>
    <w:semiHidden/>
    <w:unhideWhenUsed/>
    <w:pPr>
      <w:numPr>
        <w:ilvl w:val="2"/>
        <w:numId w:val="3"/>
      </w:numPr>
      <w:tabs>
        <w:tab w:val="clear" w:pos="2052"/>
      </w:tabs>
      <w:ind w:left="0" w:firstLine="0"/>
    </w:pPr>
  </w:style>
  <w:style w:type="paragraph" w:customStyle="1" w:styleId="ListDash3Level4">
    <w:name w:val="List Dash 3 (Level 4)"/>
    <w:basedOn w:val="Text3"/>
    <w:uiPriority w:val="35"/>
    <w:semiHidden/>
    <w:unhideWhenUsed/>
    <w:pPr>
      <w:numPr>
        <w:ilvl w:val="3"/>
        <w:numId w:val="3"/>
      </w:numPr>
      <w:tabs>
        <w:tab w:val="clear" w:pos="2336"/>
      </w:tabs>
      <w:ind w:left="0" w:firstLine="0"/>
    </w:pPr>
  </w:style>
  <w:style w:type="paragraph" w:customStyle="1" w:styleId="ListDash4">
    <w:name w:val="List Dash 4"/>
    <w:basedOn w:val="Text4"/>
    <w:uiPriority w:val="35"/>
    <w:pPr>
      <w:numPr>
        <w:numId w:val="2"/>
      </w:numPr>
      <w:tabs>
        <w:tab w:val="clear" w:pos="1485"/>
      </w:tabs>
      <w:ind w:left="0" w:firstLine="0"/>
    </w:pPr>
  </w:style>
  <w:style w:type="paragraph" w:customStyle="1" w:styleId="ListDash4Level2">
    <w:name w:val="List Dash 4 (Level 2)"/>
    <w:basedOn w:val="Text4"/>
    <w:uiPriority w:val="35"/>
    <w:semiHidden/>
    <w:unhideWhenUsed/>
    <w:pPr>
      <w:numPr>
        <w:ilvl w:val="1"/>
        <w:numId w:val="2"/>
      </w:numPr>
      <w:tabs>
        <w:tab w:val="clear" w:pos="1769"/>
      </w:tabs>
      <w:ind w:left="0" w:firstLine="0"/>
    </w:pPr>
  </w:style>
  <w:style w:type="paragraph" w:customStyle="1" w:styleId="ListDash4Level3">
    <w:name w:val="List Dash 4 (Level 3)"/>
    <w:basedOn w:val="Text4"/>
    <w:uiPriority w:val="35"/>
    <w:semiHidden/>
    <w:unhideWhenUsed/>
    <w:pPr>
      <w:numPr>
        <w:ilvl w:val="2"/>
        <w:numId w:val="2"/>
      </w:numPr>
      <w:tabs>
        <w:tab w:val="clear" w:pos="2052"/>
      </w:tabs>
      <w:ind w:left="0" w:firstLine="0"/>
    </w:pPr>
  </w:style>
  <w:style w:type="paragraph" w:customStyle="1" w:styleId="ListDash4Level4">
    <w:name w:val="List Dash 4 (Level 4)"/>
    <w:basedOn w:val="Text4"/>
    <w:uiPriority w:val="35"/>
    <w:semiHidden/>
    <w:unhideWhenUsed/>
    <w:pPr>
      <w:numPr>
        <w:ilvl w:val="3"/>
        <w:numId w:val="2"/>
      </w:numPr>
      <w:tabs>
        <w:tab w:val="clear" w:pos="2336"/>
      </w:tabs>
      <w:ind w:left="0" w:firstLine="0"/>
    </w:pPr>
  </w:style>
  <w:style w:type="paragraph" w:styleId="ListNumber">
    <w:name w:val="List Number"/>
    <w:basedOn w:val="Normal"/>
    <w:uiPriority w:val="30"/>
    <w:pPr>
      <w:numPr>
        <w:numId w:val="11"/>
      </w:numPr>
      <w:tabs>
        <w:tab w:val="clear" w:pos="709"/>
      </w:tabs>
      <w:spacing w:after="240" w:line="240" w:lineRule="auto"/>
      <w:ind w:left="0" w:firstLine="0"/>
      <w:jc w:val="both"/>
    </w:pPr>
    <w:rPr>
      <w:rFonts w:ascii="Times New Roman" w:eastAsia="Times New Roman" w:hAnsi="Times New Roman" w:cs="Times New Roman"/>
      <w:sz w:val="24"/>
      <w:szCs w:val="20"/>
    </w:rPr>
  </w:style>
  <w:style w:type="paragraph" w:customStyle="1" w:styleId="ListNumberLevel2">
    <w:name w:val="List Number (Level 2)"/>
    <w:basedOn w:val="Normal"/>
    <w:uiPriority w:val="30"/>
    <w:pPr>
      <w:numPr>
        <w:ilvl w:val="1"/>
        <w:numId w:val="11"/>
      </w:numPr>
      <w:tabs>
        <w:tab w:val="clear" w:pos="1417"/>
      </w:tabs>
      <w:spacing w:after="240" w:line="240" w:lineRule="auto"/>
      <w:ind w:left="0" w:firstLine="0"/>
      <w:jc w:val="both"/>
    </w:pPr>
    <w:rPr>
      <w:rFonts w:ascii="Times New Roman" w:eastAsia="Times New Roman" w:hAnsi="Times New Roman" w:cs="Times New Roman"/>
      <w:sz w:val="24"/>
      <w:szCs w:val="20"/>
    </w:rPr>
  </w:style>
  <w:style w:type="paragraph" w:customStyle="1" w:styleId="ListNumberLevel3">
    <w:name w:val="List Number (Level 3)"/>
    <w:basedOn w:val="Normal"/>
    <w:uiPriority w:val="30"/>
    <w:pPr>
      <w:numPr>
        <w:ilvl w:val="2"/>
        <w:numId w:val="11"/>
      </w:numPr>
      <w:tabs>
        <w:tab w:val="clear" w:pos="2126"/>
      </w:tabs>
      <w:spacing w:after="240" w:line="240" w:lineRule="auto"/>
      <w:ind w:left="0" w:firstLine="0"/>
      <w:jc w:val="both"/>
    </w:pPr>
    <w:rPr>
      <w:rFonts w:ascii="Times New Roman" w:eastAsia="Times New Roman" w:hAnsi="Times New Roman" w:cs="Times New Roman"/>
      <w:sz w:val="24"/>
      <w:szCs w:val="20"/>
    </w:rPr>
  </w:style>
  <w:style w:type="paragraph" w:customStyle="1" w:styleId="ListNumberLevel4">
    <w:name w:val="List Number (Level 4)"/>
    <w:basedOn w:val="Normal"/>
    <w:uiPriority w:val="30"/>
    <w:pPr>
      <w:numPr>
        <w:ilvl w:val="3"/>
        <w:numId w:val="11"/>
      </w:numPr>
      <w:tabs>
        <w:tab w:val="clear" w:pos="2835"/>
      </w:tabs>
      <w:spacing w:after="240" w:line="240" w:lineRule="auto"/>
      <w:ind w:left="0" w:firstLine="0"/>
      <w:jc w:val="both"/>
    </w:pPr>
    <w:rPr>
      <w:rFonts w:ascii="Times New Roman" w:eastAsia="Times New Roman" w:hAnsi="Times New Roman" w:cs="Times New Roman"/>
      <w:sz w:val="24"/>
      <w:szCs w:val="20"/>
    </w:rPr>
  </w:style>
  <w:style w:type="paragraph" w:customStyle="1" w:styleId="ListNumber1">
    <w:name w:val="List Number 1"/>
    <w:basedOn w:val="Text1"/>
    <w:uiPriority w:val="30"/>
    <w:pPr>
      <w:numPr>
        <w:numId w:val="10"/>
      </w:numPr>
      <w:tabs>
        <w:tab w:val="clear" w:pos="1191"/>
      </w:tabs>
      <w:ind w:left="0" w:firstLine="0"/>
    </w:pPr>
  </w:style>
  <w:style w:type="paragraph" w:customStyle="1" w:styleId="ListNumber1Level2">
    <w:name w:val="List Number 1 (Level 2)"/>
    <w:basedOn w:val="Text1"/>
    <w:uiPriority w:val="30"/>
    <w:semiHidden/>
    <w:unhideWhenUsed/>
    <w:pPr>
      <w:numPr>
        <w:ilvl w:val="1"/>
        <w:numId w:val="10"/>
      </w:numPr>
      <w:tabs>
        <w:tab w:val="clear" w:pos="1899"/>
      </w:tabs>
      <w:ind w:left="0" w:firstLine="0"/>
    </w:pPr>
  </w:style>
  <w:style w:type="paragraph" w:customStyle="1" w:styleId="ListNumber1Level3">
    <w:name w:val="List Number 1 (Level 3)"/>
    <w:basedOn w:val="Text1"/>
    <w:uiPriority w:val="30"/>
    <w:semiHidden/>
    <w:unhideWhenUsed/>
    <w:pPr>
      <w:numPr>
        <w:ilvl w:val="2"/>
        <w:numId w:val="10"/>
      </w:numPr>
      <w:tabs>
        <w:tab w:val="clear" w:pos="2608"/>
      </w:tabs>
      <w:ind w:left="0" w:firstLine="0"/>
    </w:pPr>
  </w:style>
  <w:style w:type="paragraph" w:customStyle="1" w:styleId="ListNumber1Level4">
    <w:name w:val="List Number 1 (Level 4)"/>
    <w:basedOn w:val="Text1"/>
    <w:uiPriority w:val="30"/>
    <w:semiHidden/>
    <w:unhideWhenUsed/>
    <w:pPr>
      <w:numPr>
        <w:ilvl w:val="3"/>
        <w:numId w:val="10"/>
      </w:numPr>
      <w:tabs>
        <w:tab w:val="clear" w:pos="3317"/>
      </w:tabs>
      <w:ind w:left="0" w:firstLine="0"/>
    </w:pPr>
  </w:style>
  <w:style w:type="paragraph" w:styleId="ListNumber2">
    <w:name w:val="List Number 2"/>
    <w:basedOn w:val="Text2"/>
    <w:uiPriority w:val="30"/>
    <w:pPr>
      <w:numPr>
        <w:numId w:val="9"/>
      </w:numPr>
      <w:tabs>
        <w:tab w:val="clear" w:pos="1911"/>
      </w:tabs>
      <w:ind w:left="0" w:firstLine="0"/>
    </w:pPr>
  </w:style>
  <w:style w:type="paragraph" w:customStyle="1" w:styleId="ListNumber2Level2">
    <w:name w:val="List Number 2 (Level 2)"/>
    <w:basedOn w:val="Text2"/>
    <w:uiPriority w:val="30"/>
    <w:semiHidden/>
    <w:unhideWhenUsed/>
    <w:pPr>
      <w:numPr>
        <w:ilvl w:val="1"/>
        <w:numId w:val="9"/>
      </w:numPr>
      <w:tabs>
        <w:tab w:val="clear" w:pos="2619"/>
      </w:tabs>
      <w:ind w:left="0" w:firstLine="0"/>
    </w:pPr>
  </w:style>
  <w:style w:type="paragraph" w:customStyle="1" w:styleId="ListNumber2Level3">
    <w:name w:val="List Number 2 (Level 3)"/>
    <w:basedOn w:val="Text2"/>
    <w:uiPriority w:val="30"/>
    <w:semiHidden/>
    <w:unhideWhenUsed/>
    <w:pPr>
      <w:numPr>
        <w:ilvl w:val="2"/>
        <w:numId w:val="9"/>
      </w:numPr>
      <w:tabs>
        <w:tab w:val="clear" w:pos="3328"/>
      </w:tabs>
      <w:ind w:left="0" w:firstLine="0"/>
    </w:pPr>
  </w:style>
  <w:style w:type="paragraph" w:customStyle="1" w:styleId="ListNumber2Level4">
    <w:name w:val="List Number 2 (Level 4)"/>
    <w:basedOn w:val="Text2"/>
    <w:uiPriority w:val="30"/>
    <w:semiHidden/>
    <w:unhideWhenUsed/>
    <w:pPr>
      <w:numPr>
        <w:ilvl w:val="3"/>
        <w:numId w:val="9"/>
      </w:numPr>
      <w:tabs>
        <w:tab w:val="clear" w:pos="4037"/>
      </w:tabs>
      <w:ind w:left="0" w:firstLine="0"/>
    </w:pPr>
  </w:style>
  <w:style w:type="paragraph" w:styleId="ListNumber3">
    <w:name w:val="List Number 3"/>
    <w:basedOn w:val="Text3"/>
    <w:uiPriority w:val="30"/>
    <w:pPr>
      <w:numPr>
        <w:numId w:val="8"/>
      </w:numPr>
      <w:tabs>
        <w:tab w:val="clear" w:pos="1911"/>
      </w:tabs>
      <w:ind w:left="0" w:firstLine="0"/>
    </w:pPr>
  </w:style>
  <w:style w:type="paragraph" w:customStyle="1" w:styleId="ListNumber3Level2">
    <w:name w:val="List Number 3 (Level 2)"/>
    <w:basedOn w:val="Text3"/>
    <w:uiPriority w:val="30"/>
    <w:semiHidden/>
    <w:unhideWhenUsed/>
    <w:pPr>
      <w:numPr>
        <w:ilvl w:val="1"/>
        <w:numId w:val="8"/>
      </w:numPr>
      <w:tabs>
        <w:tab w:val="clear" w:pos="2619"/>
      </w:tabs>
      <w:ind w:left="0" w:firstLine="0"/>
    </w:pPr>
  </w:style>
  <w:style w:type="paragraph" w:customStyle="1" w:styleId="ListNumber3Level3">
    <w:name w:val="List Number 3 (Level 3)"/>
    <w:basedOn w:val="Text3"/>
    <w:uiPriority w:val="30"/>
    <w:semiHidden/>
    <w:unhideWhenUsed/>
    <w:pPr>
      <w:numPr>
        <w:ilvl w:val="2"/>
        <w:numId w:val="8"/>
      </w:numPr>
      <w:tabs>
        <w:tab w:val="clear" w:pos="3328"/>
      </w:tabs>
      <w:ind w:left="0" w:firstLine="0"/>
    </w:pPr>
  </w:style>
  <w:style w:type="paragraph" w:customStyle="1" w:styleId="ListNumber3Level4">
    <w:name w:val="List Number 3 (Level 4)"/>
    <w:basedOn w:val="Text3"/>
    <w:uiPriority w:val="30"/>
    <w:semiHidden/>
    <w:unhideWhenUsed/>
    <w:pPr>
      <w:numPr>
        <w:ilvl w:val="3"/>
        <w:numId w:val="8"/>
      </w:numPr>
      <w:tabs>
        <w:tab w:val="clear" w:pos="4037"/>
      </w:tabs>
      <w:ind w:left="0" w:firstLine="0"/>
    </w:pPr>
  </w:style>
  <w:style w:type="paragraph" w:styleId="ListNumber4">
    <w:name w:val="List Number 4"/>
    <w:basedOn w:val="Text4"/>
    <w:uiPriority w:val="30"/>
    <w:pPr>
      <w:numPr>
        <w:numId w:val="7"/>
      </w:numPr>
      <w:tabs>
        <w:tab w:val="clear" w:pos="1911"/>
      </w:tabs>
      <w:ind w:left="0" w:firstLine="0"/>
    </w:pPr>
  </w:style>
  <w:style w:type="paragraph" w:customStyle="1" w:styleId="ListNumber4Level2">
    <w:name w:val="List Number 4 (Level 2)"/>
    <w:basedOn w:val="Text4"/>
    <w:uiPriority w:val="30"/>
    <w:semiHidden/>
    <w:unhideWhenUsed/>
    <w:pPr>
      <w:numPr>
        <w:ilvl w:val="1"/>
        <w:numId w:val="7"/>
      </w:numPr>
      <w:tabs>
        <w:tab w:val="clear" w:pos="2619"/>
      </w:tabs>
      <w:ind w:left="0" w:firstLine="0"/>
    </w:pPr>
  </w:style>
  <w:style w:type="paragraph" w:customStyle="1" w:styleId="ListNumber4Level3">
    <w:name w:val="List Number 4 (Level 3)"/>
    <w:basedOn w:val="Text4"/>
    <w:uiPriority w:val="30"/>
    <w:semiHidden/>
    <w:unhideWhenUsed/>
    <w:pPr>
      <w:numPr>
        <w:ilvl w:val="2"/>
        <w:numId w:val="7"/>
      </w:numPr>
      <w:tabs>
        <w:tab w:val="clear" w:pos="3328"/>
      </w:tabs>
      <w:ind w:left="0" w:firstLine="0"/>
    </w:pPr>
  </w:style>
  <w:style w:type="paragraph" w:customStyle="1" w:styleId="ListNumber4Level4">
    <w:name w:val="List Number 4 (Level 4)"/>
    <w:basedOn w:val="Text4"/>
    <w:uiPriority w:val="30"/>
    <w:semiHidden/>
    <w:unhideWhenUsed/>
    <w:pPr>
      <w:numPr>
        <w:ilvl w:val="3"/>
        <w:numId w:val="7"/>
      </w:numPr>
      <w:tabs>
        <w:tab w:val="clear" w:pos="4037"/>
      </w:tabs>
      <w:ind w:left="0" w:firstLine="0"/>
    </w:pPr>
  </w:style>
  <w:style w:type="paragraph" w:customStyle="1" w:styleId="Marking">
    <w:name w:val="Marking"/>
    <w:basedOn w:val="Normal"/>
    <w:semiHidden/>
    <w:pPr>
      <w:spacing w:after="240" w:line="240" w:lineRule="auto"/>
      <w:ind w:left="5102" w:right="-680"/>
      <w:contextualSpacing/>
    </w:pPr>
    <w:rPr>
      <w:rFonts w:ascii="Times New Roman" w:eastAsia="Times New Roman" w:hAnsi="Times New Roman" w:cs="Times New Roman"/>
      <w:sz w:val="28"/>
      <w:szCs w:val="20"/>
    </w:rPr>
  </w:style>
  <w:style w:type="paragraph" w:customStyle="1" w:styleId="NumPar1">
    <w:name w:val="NumPar 1"/>
    <w:basedOn w:val="Heading1"/>
    <w:uiPriority w:val="20"/>
    <w:qFormat/>
    <w:pPr>
      <w:keepNext w:val="0"/>
      <w:keepLines w:val="0"/>
      <w:spacing w:before="0" w:after="240" w:line="240" w:lineRule="auto"/>
      <w:jc w:val="both"/>
      <w:outlineLvl w:val="9"/>
    </w:pPr>
    <w:rPr>
      <w:rFonts w:ascii="Times New Roman" w:eastAsia="Times New Roman" w:hAnsi="Times New Roman" w:cs="Times New Roman"/>
      <w:color w:val="auto"/>
      <w:sz w:val="24"/>
      <w:szCs w:val="20"/>
    </w:rPr>
  </w:style>
  <w:style w:type="paragraph" w:customStyle="1" w:styleId="NumPar2">
    <w:name w:val="NumPar 2"/>
    <w:basedOn w:val="Heading2"/>
    <w:uiPriority w:val="20"/>
    <w:qFormat/>
    <w:pPr>
      <w:keepNext w:val="0"/>
      <w:keepLines w:val="0"/>
      <w:spacing w:before="0" w:after="240" w:line="240" w:lineRule="auto"/>
      <w:jc w:val="both"/>
      <w:outlineLvl w:val="9"/>
    </w:pPr>
    <w:rPr>
      <w:rFonts w:ascii="Times New Roman" w:eastAsia="Times New Roman" w:hAnsi="Times New Roman" w:cs="Times New Roman"/>
      <w:color w:val="auto"/>
      <w:sz w:val="24"/>
      <w:szCs w:val="20"/>
    </w:rPr>
  </w:style>
  <w:style w:type="paragraph" w:customStyle="1" w:styleId="NumPar3">
    <w:name w:val="NumPar 3"/>
    <w:basedOn w:val="Heading3"/>
    <w:uiPriority w:val="20"/>
    <w:qFormat/>
    <w:pPr>
      <w:keepNext w:val="0"/>
      <w:keepLines w:val="0"/>
      <w:spacing w:before="0" w:after="240" w:line="240" w:lineRule="auto"/>
      <w:jc w:val="both"/>
      <w:outlineLvl w:val="9"/>
    </w:pPr>
    <w:rPr>
      <w:rFonts w:ascii="Times New Roman" w:eastAsia="Times New Roman" w:hAnsi="Times New Roman" w:cs="Times New Roman"/>
      <w:color w:val="auto"/>
      <w:sz w:val="24"/>
      <w:szCs w:val="20"/>
    </w:rPr>
  </w:style>
  <w:style w:type="paragraph" w:customStyle="1" w:styleId="NumPar4">
    <w:name w:val="NumPar 4"/>
    <w:basedOn w:val="Heading4"/>
    <w:uiPriority w:val="20"/>
    <w:qFormat/>
    <w:pPr>
      <w:keepNext w:val="0"/>
      <w:keepLines w:val="0"/>
      <w:spacing w:before="0" w:after="240" w:line="240" w:lineRule="auto"/>
      <w:jc w:val="both"/>
      <w:outlineLvl w:val="9"/>
    </w:pPr>
    <w:rPr>
      <w:rFonts w:ascii="Times New Roman" w:eastAsia="Times New Roman" w:hAnsi="Times New Roman" w:cs="Times New Roman"/>
      <w:i w:val="0"/>
      <w:iCs w:val="0"/>
      <w:color w:val="auto"/>
      <w:sz w:val="24"/>
      <w:szCs w:val="20"/>
    </w:rPr>
  </w:style>
  <w:style w:type="paragraph" w:customStyle="1" w:styleId="PartTitle">
    <w:name w:val="PartTitle"/>
    <w:basedOn w:val="Normal"/>
    <w:next w:val="ChapterTitle"/>
    <w:uiPriority w:val="42"/>
    <w:qFormat/>
    <w:pPr>
      <w:keepNext/>
      <w:pageBreakBefore/>
      <w:spacing w:after="480" w:line="240" w:lineRule="auto"/>
      <w:jc w:val="center"/>
      <w:outlineLvl w:val="0"/>
    </w:pPr>
    <w:rPr>
      <w:rFonts w:ascii="Times New Roman" w:eastAsia="Times New Roman" w:hAnsi="Times New Roman" w:cs="Times New Roman"/>
      <w:b/>
      <w:sz w:val="36"/>
      <w:szCs w:val="20"/>
    </w:rPr>
  </w:style>
  <w:style w:type="paragraph" w:customStyle="1" w:styleId="References">
    <w:name w:val="References"/>
    <w:basedOn w:val="Normal"/>
    <w:semiHidden/>
    <w:pPr>
      <w:spacing w:after="240" w:line="240" w:lineRule="auto"/>
      <w:ind w:left="5102" w:right="-567"/>
      <w:contextualSpacing/>
    </w:pPr>
    <w:rPr>
      <w:rFonts w:ascii="Times New Roman" w:eastAsia="Times New Roman" w:hAnsi="Times New Roman" w:cs="Times New Roman"/>
      <w:sz w:val="20"/>
      <w:szCs w:val="20"/>
    </w:rPr>
  </w:style>
  <w:style w:type="paragraph" w:customStyle="1" w:styleId="Releasable">
    <w:name w:val="Releasable"/>
    <w:basedOn w:val="Normal"/>
    <w:semiHidden/>
    <w:pPr>
      <w:spacing w:after="0" w:line="240" w:lineRule="auto"/>
      <w:jc w:val="center"/>
    </w:pPr>
    <w:rPr>
      <w:rFonts w:ascii="Times New Roman" w:eastAsia="Times New Roman" w:hAnsi="Times New Roman" w:cs="Times New Roman"/>
      <w:b/>
      <w:caps/>
      <w:sz w:val="32"/>
      <w:szCs w:val="20"/>
    </w:rPr>
  </w:style>
  <w:style w:type="paragraph" w:customStyle="1" w:styleId="RUE">
    <w:name w:val="RUE"/>
    <w:basedOn w:val="Normal"/>
    <w:semiHidden/>
    <w:pPr>
      <w:spacing w:after="0" w:line="240" w:lineRule="auto"/>
      <w:jc w:val="center"/>
    </w:pPr>
    <w:rPr>
      <w:rFonts w:ascii="Times New Roman" w:eastAsia="Times New Roman" w:hAnsi="Times New Roman" w:cs="Times New Roman"/>
      <w:b/>
      <w:caps/>
      <w:sz w:val="32"/>
      <w:szCs w:val="20"/>
      <w:bdr w:val="single" w:sz="18" w:space="0" w:color="auto"/>
    </w:rPr>
  </w:style>
  <w:style w:type="paragraph" w:customStyle="1" w:styleId="SecretUE">
    <w:name w:val="Secret UE"/>
    <w:basedOn w:val="Normal"/>
    <w:semiHidden/>
    <w:pPr>
      <w:spacing w:after="0" w:line="240" w:lineRule="auto"/>
      <w:jc w:val="center"/>
    </w:pPr>
    <w:rPr>
      <w:rFonts w:ascii="Times New Roman" w:eastAsia="Times New Roman" w:hAnsi="Times New Roman" w:cs="Times New Roman"/>
      <w:b/>
      <w:caps/>
      <w:color w:val="FF0000"/>
      <w:sz w:val="32"/>
      <w:szCs w:val="20"/>
      <w:bdr w:val="single" w:sz="18" w:space="0" w:color="FF0000"/>
    </w:rPr>
  </w:style>
  <w:style w:type="paragraph" w:customStyle="1" w:styleId="SectionTitle">
    <w:name w:val="SectionTitle"/>
    <w:basedOn w:val="Normal"/>
    <w:next w:val="Heading1"/>
    <w:uiPriority w:val="44"/>
    <w:qFormat/>
    <w:pPr>
      <w:keepNext/>
      <w:spacing w:after="480" w:line="240" w:lineRule="auto"/>
      <w:jc w:val="center"/>
      <w:outlineLvl w:val="0"/>
    </w:pPr>
    <w:rPr>
      <w:rFonts w:ascii="Times New Roman" w:eastAsia="Times New Roman" w:hAnsi="Times New Roman" w:cs="Times New Roman"/>
      <w:b/>
      <w:smallCaps/>
      <w:sz w:val="28"/>
      <w:szCs w:val="20"/>
    </w:rPr>
  </w:style>
  <w:style w:type="paragraph" w:styleId="Signature">
    <w:name w:val="Signature"/>
    <w:basedOn w:val="Normal"/>
    <w:link w:val="SignatureChar"/>
    <w:semiHidden/>
    <w:pPr>
      <w:spacing w:before="1200" w:after="0" w:line="240" w:lineRule="auto"/>
      <w:ind w:left="5102"/>
      <w:jc w:val="center"/>
    </w:pPr>
    <w:rPr>
      <w:rFonts w:ascii="Times New Roman" w:eastAsia="Times New Roman" w:hAnsi="Times New Roman" w:cs="Times New Roman"/>
      <w:sz w:val="24"/>
      <w:szCs w:val="20"/>
    </w:rPr>
  </w:style>
  <w:style w:type="character" w:customStyle="1" w:styleId="SignatureChar">
    <w:name w:val="Signature Char"/>
    <w:basedOn w:val="DefaultParagraphFont"/>
    <w:link w:val="Signature"/>
    <w:semiHidden/>
    <w:rPr>
      <w:rFonts w:ascii="Times New Roman" w:eastAsia="Times New Roman" w:hAnsi="Times New Roman" w:cs="Times New Roman"/>
      <w:sz w:val="24"/>
      <w:szCs w:val="20"/>
      <w:lang w:val="ro-RO"/>
    </w:rPr>
  </w:style>
  <w:style w:type="paragraph" w:customStyle="1" w:styleId="SignatureL">
    <w:name w:val="SignatureL"/>
    <w:basedOn w:val="Normal"/>
    <w:semiHidden/>
    <w:pPr>
      <w:spacing w:before="1200" w:after="0" w:line="240" w:lineRule="auto"/>
    </w:pPr>
    <w:rPr>
      <w:rFonts w:ascii="Times New Roman" w:eastAsia="Times New Roman" w:hAnsi="Times New Roman" w:cs="Times New Roman"/>
      <w:sz w:val="24"/>
      <w:szCs w:val="20"/>
    </w:rPr>
  </w:style>
  <w:style w:type="paragraph" w:customStyle="1" w:styleId="SubTitle1">
    <w:name w:val="SubTitle 1"/>
    <w:basedOn w:val="Normal"/>
    <w:next w:val="SubTitle2"/>
    <w:uiPriority w:val="41"/>
    <w:qFormat/>
    <w:pPr>
      <w:spacing w:after="240" w:line="240" w:lineRule="auto"/>
      <w:jc w:val="center"/>
    </w:pPr>
    <w:rPr>
      <w:rFonts w:ascii="Times New Roman" w:eastAsia="Times New Roman" w:hAnsi="Times New Roman" w:cs="Times New Roman"/>
      <w:b/>
      <w:sz w:val="40"/>
      <w:szCs w:val="20"/>
    </w:rPr>
  </w:style>
  <w:style w:type="paragraph" w:customStyle="1" w:styleId="SubTitle2">
    <w:name w:val="SubTitle 2"/>
    <w:basedOn w:val="Normal"/>
    <w:uiPriority w:val="41"/>
    <w:qFormat/>
    <w:pPr>
      <w:spacing w:after="240" w:line="240" w:lineRule="auto"/>
      <w:jc w:val="center"/>
    </w:pPr>
    <w:rPr>
      <w:rFonts w:ascii="Times New Roman" w:eastAsia="Times New Roman" w:hAnsi="Times New Roman" w:cs="Times New Roman"/>
      <w:b/>
      <w:sz w:val="32"/>
      <w:szCs w:val="20"/>
    </w:rPr>
  </w:style>
  <w:style w:type="paragraph" w:customStyle="1" w:styleId="TableListBullet">
    <w:name w:val="Table List Bullet"/>
    <w:basedOn w:val="TableText"/>
    <w:uiPriority w:val="55"/>
    <w:pPr>
      <w:numPr>
        <w:numId w:val="20"/>
      </w:numPr>
      <w:tabs>
        <w:tab w:val="clear" w:pos="283"/>
      </w:tabs>
      <w:ind w:left="0" w:firstLine="0"/>
    </w:pPr>
  </w:style>
  <w:style w:type="paragraph" w:customStyle="1" w:styleId="TableListBulletLevel2">
    <w:name w:val="Table List Bullet (Level 2)"/>
    <w:basedOn w:val="TableText"/>
    <w:uiPriority w:val="55"/>
    <w:semiHidden/>
    <w:unhideWhenUsed/>
    <w:pPr>
      <w:numPr>
        <w:ilvl w:val="1"/>
        <w:numId w:val="20"/>
      </w:numPr>
      <w:tabs>
        <w:tab w:val="clear" w:pos="567"/>
      </w:tabs>
      <w:ind w:left="0" w:firstLine="0"/>
    </w:pPr>
  </w:style>
  <w:style w:type="paragraph" w:customStyle="1" w:styleId="TableListBulletLevel3">
    <w:name w:val="Table List Bullet (Level 3)"/>
    <w:basedOn w:val="TableText"/>
    <w:uiPriority w:val="55"/>
    <w:semiHidden/>
    <w:unhideWhenUsed/>
    <w:pPr>
      <w:numPr>
        <w:ilvl w:val="2"/>
        <w:numId w:val="20"/>
      </w:numPr>
      <w:tabs>
        <w:tab w:val="clear" w:pos="850"/>
      </w:tabs>
      <w:ind w:left="0" w:firstLine="0"/>
    </w:pPr>
  </w:style>
  <w:style w:type="paragraph" w:customStyle="1" w:styleId="TableListBulletLevel4">
    <w:name w:val="Table List Bullet (Level 4)"/>
    <w:basedOn w:val="TableText"/>
    <w:uiPriority w:val="55"/>
    <w:semiHidden/>
    <w:unhideWhenUsed/>
    <w:pPr>
      <w:numPr>
        <w:ilvl w:val="3"/>
        <w:numId w:val="20"/>
      </w:numPr>
      <w:tabs>
        <w:tab w:val="clear" w:pos="1134"/>
      </w:tabs>
      <w:ind w:left="0" w:firstLine="0"/>
    </w:pPr>
  </w:style>
  <w:style w:type="paragraph" w:customStyle="1" w:styleId="TableListDash">
    <w:name w:val="Table List Dash"/>
    <w:basedOn w:val="TableText"/>
    <w:uiPriority w:val="55"/>
    <w:pPr>
      <w:numPr>
        <w:numId w:val="21"/>
      </w:numPr>
      <w:tabs>
        <w:tab w:val="clear" w:pos="283"/>
      </w:tabs>
      <w:ind w:left="0" w:firstLine="0"/>
    </w:pPr>
  </w:style>
  <w:style w:type="paragraph" w:customStyle="1" w:styleId="TableListDashLevel2">
    <w:name w:val="Table List Dash (Level 2)"/>
    <w:basedOn w:val="TableText"/>
    <w:uiPriority w:val="55"/>
    <w:semiHidden/>
    <w:unhideWhenUsed/>
    <w:pPr>
      <w:numPr>
        <w:ilvl w:val="1"/>
        <w:numId w:val="21"/>
      </w:numPr>
      <w:tabs>
        <w:tab w:val="clear" w:pos="567"/>
      </w:tabs>
      <w:ind w:left="0" w:firstLine="0"/>
    </w:pPr>
  </w:style>
  <w:style w:type="paragraph" w:customStyle="1" w:styleId="TableListDashLevel3">
    <w:name w:val="Table List Dash (Level 3)"/>
    <w:basedOn w:val="TableText"/>
    <w:uiPriority w:val="55"/>
    <w:semiHidden/>
    <w:unhideWhenUsed/>
    <w:pPr>
      <w:numPr>
        <w:ilvl w:val="2"/>
        <w:numId w:val="21"/>
      </w:numPr>
      <w:tabs>
        <w:tab w:val="clear" w:pos="850"/>
      </w:tabs>
      <w:ind w:left="0" w:firstLine="0"/>
    </w:pPr>
  </w:style>
  <w:style w:type="paragraph" w:customStyle="1" w:styleId="TableListDashLevel4">
    <w:name w:val="Table List Dash (Level 4)"/>
    <w:basedOn w:val="TableText"/>
    <w:uiPriority w:val="55"/>
    <w:semiHidden/>
    <w:unhideWhenUsed/>
    <w:pPr>
      <w:numPr>
        <w:ilvl w:val="3"/>
        <w:numId w:val="21"/>
      </w:numPr>
      <w:tabs>
        <w:tab w:val="clear" w:pos="1134"/>
      </w:tabs>
      <w:ind w:left="0" w:firstLine="0"/>
    </w:pPr>
  </w:style>
  <w:style w:type="paragraph" w:customStyle="1" w:styleId="TableListNumber">
    <w:name w:val="Table List Number"/>
    <w:basedOn w:val="TableText"/>
    <w:uiPriority w:val="55"/>
    <w:pPr>
      <w:numPr>
        <w:numId w:val="22"/>
      </w:numPr>
      <w:tabs>
        <w:tab w:val="clear" w:pos="454"/>
      </w:tabs>
      <w:ind w:left="0" w:firstLine="0"/>
    </w:pPr>
  </w:style>
  <w:style w:type="paragraph" w:customStyle="1" w:styleId="TableListNumberLevel2">
    <w:name w:val="Table List Number (Level 2)"/>
    <w:basedOn w:val="TableText"/>
    <w:uiPriority w:val="55"/>
    <w:semiHidden/>
    <w:unhideWhenUsed/>
    <w:pPr>
      <w:numPr>
        <w:ilvl w:val="1"/>
        <w:numId w:val="22"/>
      </w:numPr>
      <w:tabs>
        <w:tab w:val="clear" w:pos="907"/>
      </w:tabs>
      <w:ind w:left="0" w:firstLine="0"/>
    </w:pPr>
  </w:style>
  <w:style w:type="paragraph" w:customStyle="1" w:styleId="TableListNumberLevel3">
    <w:name w:val="Table List Number (Level 3)"/>
    <w:basedOn w:val="TableText"/>
    <w:uiPriority w:val="55"/>
    <w:semiHidden/>
    <w:unhideWhenUsed/>
    <w:pPr>
      <w:numPr>
        <w:ilvl w:val="2"/>
        <w:numId w:val="22"/>
      </w:numPr>
      <w:tabs>
        <w:tab w:val="clear" w:pos="1361"/>
      </w:tabs>
      <w:ind w:left="0" w:firstLine="0"/>
    </w:pPr>
  </w:style>
  <w:style w:type="paragraph" w:customStyle="1" w:styleId="TableListNumberLevel4">
    <w:name w:val="Table List Number (Level 4)"/>
    <w:basedOn w:val="TableText"/>
    <w:uiPriority w:val="55"/>
    <w:semiHidden/>
    <w:unhideWhenUsed/>
    <w:pPr>
      <w:numPr>
        <w:ilvl w:val="3"/>
        <w:numId w:val="22"/>
      </w:numPr>
      <w:tabs>
        <w:tab w:val="clear" w:pos="1814"/>
      </w:tabs>
      <w:ind w:left="0" w:firstLine="0"/>
    </w:pPr>
  </w:style>
  <w:style w:type="paragraph" w:customStyle="1" w:styleId="TableSource">
    <w:name w:val="Table Source"/>
    <w:basedOn w:val="Normal"/>
    <w:next w:val="Normal"/>
    <w:uiPriority w:val="99"/>
    <w:semiHidden/>
    <w:unhideWhenUsed/>
    <w:pPr>
      <w:spacing w:after="240" w:line="240" w:lineRule="auto"/>
      <w:jc w:val="both"/>
    </w:pPr>
    <w:rPr>
      <w:rFonts w:ascii="Times New Roman" w:eastAsia="Times New Roman" w:hAnsi="Times New Roman" w:cs="Times New Roman"/>
      <w:sz w:val="20"/>
      <w:szCs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line="240" w:lineRule="auto"/>
    </w:pPr>
    <w:rPr>
      <w:rFonts w:ascii="Times New Roman" w:eastAsia="Times New Roman" w:hAnsi="Times New Roman" w:cs="Times New Roman"/>
      <w:sz w:val="24"/>
      <w:szCs w:val="20"/>
    </w:rPr>
  </w:style>
  <w:style w:type="paragraph" w:customStyle="1" w:styleId="TableTitle">
    <w:name w:val="Table Title"/>
    <w:basedOn w:val="Normal"/>
    <w:uiPriority w:val="99"/>
    <w:semiHidden/>
    <w:unhideWhenUsed/>
    <w:pPr>
      <w:keepNext/>
      <w:spacing w:after="120" w:line="240" w:lineRule="auto"/>
      <w:jc w:val="both"/>
    </w:pPr>
    <w:rPr>
      <w:rFonts w:ascii="Times New Roman" w:eastAsia="Times New Roman" w:hAnsi="Times New Roman" w:cs="Times New Roman"/>
      <w:b/>
      <w:i/>
      <w:sz w:val="24"/>
      <w:szCs w:val="20"/>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spacing w:after="240" w:line="240" w:lineRule="auto"/>
      <w:ind w:left="482"/>
      <w:jc w:val="both"/>
    </w:pPr>
    <w:rPr>
      <w:rFonts w:ascii="Times New Roman" w:eastAsia="Times New Roman" w:hAnsi="Times New Roman" w:cs="Times New Roman"/>
      <w:sz w:val="24"/>
      <w:szCs w:val="20"/>
    </w:rPr>
  </w:style>
  <w:style w:type="paragraph" w:customStyle="1" w:styleId="Text2">
    <w:name w:val="Text 2"/>
    <w:basedOn w:val="Normal"/>
    <w:qFormat/>
    <w:pPr>
      <w:spacing w:after="240" w:line="240" w:lineRule="auto"/>
      <w:ind w:left="1202"/>
      <w:jc w:val="both"/>
    </w:pPr>
    <w:rPr>
      <w:rFonts w:ascii="Times New Roman" w:eastAsia="Times New Roman" w:hAnsi="Times New Roman" w:cs="Times New Roman"/>
      <w:sz w:val="24"/>
      <w:szCs w:val="20"/>
    </w:rPr>
  </w:style>
  <w:style w:type="paragraph" w:customStyle="1" w:styleId="Text3">
    <w:name w:val="Text 3"/>
    <w:basedOn w:val="Normal"/>
    <w:qFormat/>
    <w:pPr>
      <w:spacing w:after="240" w:line="240" w:lineRule="auto"/>
      <w:ind w:left="1202"/>
      <w:jc w:val="both"/>
    </w:pPr>
    <w:rPr>
      <w:rFonts w:ascii="Times New Roman" w:eastAsia="Times New Roman" w:hAnsi="Times New Roman" w:cs="Times New Roman"/>
      <w:sz w:val="24"/>
      <w:szCs w:val="20"/>
    </w:rPr>
  </w:style>
  <w:style w:type="paragraph" w:customStyle="1" w:styleId="Text4">
    <w:name w:val="Text 4"/>
    <w:basedOn w:val="Normal"/>
    <w:qFormat/>
    <w:pPr>
      <w:spacing w:after="240" w:line="240" w:lineRule="auto"/>
      <w:ind w:left="1202"/>
      <w:jc w:val="both"/>
    </w:pPr>
    <w:rPr>
      <w:rFonts w:ascii="Times New Roman" w:eastAsia="Times New Roman" w:hAnsi="Times New Roman" w:cs="Times New Roman"/>
      <w:sz w:val="24"/>
      <w:szCs w:val="20"/>
    </w:rPr>
  </w:style>
  <w:style w:type="paragraph" w:styleId="TOC1">
    <w:name w:val="toc 1"/>
    <w:basedOn w:val="Normal"/>
    <w:next w:val="Normal"/>
    <w:semiHidden/>
    <w:pPr>
      <w:tabs>
        <w:tab w:val="right" w:leader="dot" w:pos="8640"/>
      </w:tabs>
      <w:spacing w:before="120" w:after="120" w:line="240" w:lineRule="auto"/>
      <w:ind w:left="482" w:right="720" w:hanging="482"/>
      <w:jc w:val="both"/>
    </w:pPr>
    <w:rPr>
      <w:rFonts w:ascii="Times New Roman" w:eastAsia="Times New Roman" w:hAnsi="Times New Roman" w:cs="Times New Roman"/>
      <w:sz w:val="24"/>
      <w:szCs w:val="20"/>
    </w:rPr>
  </w:style>
  <w:style w:type="paragraph" w:styleId="TOC2">
    <w:name w:val="toc 2"/>
    <w:basedOn w:val="Normal"/>
    <w:next w:val="Normal"/>
    <w:semiHidden/>
    <w:pPr>
      <w:tabs>
        <w:tab w:val="right" w:leader="dot" w:pos="8640"/>
      </w:tabs>
      <w:spacing w:before="60" w:after="60" w:line="240" w:lineRule="auto"/>
      <w:ind w:left="1077" w:right="720" w:hanging="595"/>
      <w:jc w:val="both"/>
    </w:pPr>
    <w:rPr>
      <w:rFonts w:ascii="Times New Roman" w:eastAsia="Times New Roman" w:hAnsi="Times New Roman" w:cs="Times New Roman"/>
      <w:noProof/>
      <w:sz w:val="24"/>
      <w:szCs w:val="20"/>
    </w:rPr>
  </w:style>
  <w:style w:type="paragraph" w:styleId="TOC3">
    <w:name w:val="toc 3"/>
    <w:basedOn w:val="Normal"/>
    <w:next w:val="Normal"/>
    <w:semiHidden/>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rPr>
  </w:style>
  <w:style w:type="paragraph" w:styleId="TOC4">
    <w:name w:val="toc 4"/>
    <w:basedOn w:val="Normal"/>
    <w:next w:val="Normal"/>
    <w:semiHidden/>
    <w:pPr>
      <w:tabs>
        <w:tab w:val="right" w:leader="dot" w:pos="8640"/>
      </w:tabs>
      <w:spacing w:before="60" w:after="60" w:line="240" w:lineRule="auto"/>
      <w:ind w:left="2880" w:right="720" w:hanging="964"/>
      <w:jc w:val="both"/>
    </w:pPr>
    <w:rPr>
      <w:rFonts w:ascii="Times New Roman" w:eastAsia="Times New Roman" w:hAnsi="Times New Roman" w:cs="Times New Roman"/>
      <w:noProof/>
      <w:sz w:val="24"/>
      <w:szCs w:val="20"/>
    </w:rPr>
  </w:style>
  <w:style w:type="paragraph" w:styleId="TOC5">
    <w:name w:val="toc 5"/>
    <w:basedOn w:val="Normal"/>
    <w:next w:val="Normal"/>
    <w:semiHidden/>
    <w:pPr>
      <w:tabs>
        <w:tab w:val="right" w:leader="dot" w:pos="8640"/>
      </w:tabs>
      <w:spacing w:before="240" w:after="120" w:line="240" w:lineRule="auto"/>
      <w:ind w:right="720"/>
      <w:jc w:val="both"/>
    </w:pPr>
    <w:rPr>
      <w:rFonts w:ascii="Times New Roman" w:eastAsia="Times New Roman" w:hAnsi="Times New Roman" w:cs="Times New Roman"/>
      <w:caps/>
      <w:sz w:val="24"/>
      <w:szCs w:val="20"/>
    </w:rPr>
  </w:style>
  <w:style w:type="paragraph" w:styleId="TOC6">
    <w:name w:val="toc 6"/>
    <w:basedOn w:val="Normal"/>
    <w:next w:val="Normal"/>
    <w:semiHidden/>
    <w:pPr>
      <w:tabs>
        <w:tab w:val="right" w:leader="dot" w:pos="8640"/>
        <w:tab w:val="left" w:pos="2880"/>
      </w:tabs>
      <w:spacing w:before="120" w:after="120" w:line="240" w:lineRule="auto"/>
      <w:ind w:left="1916" w:right="720" w:hanging="1916"/>
      <w:jc w:val="both"/>
    </w:pPr>
    <w:rPr>
      <w:rFonts w:ascii="Times New Roman" w:eastAsia="Times New Roman" w:hAnsi="Times New Roman" w:cs="Times New Roman"/>
      <w:caps/>
      <w:sz w:val="24"/>
      <w:szCs w:val="20"/>
    </w:rPr>
  </w:style>
  <w:style w:type="paragraph" w:styleId="TOC7">
    <w:name w:val="toc 7"/>
    <w:basedOn w:val="Normal"/>
    <w:next w:val="Normal"/>
    <w:semiHidden/>
    <w:pPr>
      <w:tabs>
        <w:tab w:val="right" w:leader="dot" w:pos="8640"/>
      </w:tabs>
      <w:spacing w:after="240" w:line="240" w:lineRule="auto"/>
      <w:jc w:val="both"/>
    </w:pPr>
    <w:rPr>
      <w:rFonts w:ascii="Times New Roman" w:eastAsia="Times New Roman" w:hAnsi="Times New Roman" w:cs="Times New Roman"/>
      <w:sz w:val="24"/>
      <w:szCs w:val="20"/>
    </w:rPr>
  </w:style>
  <w:style w:type="paragraph" w:styleId="TOC8">
    <w:name w:val="toc 8"/>
    <w:basedOn w:val="Normal"/>
    <w:next w:val="Normal"/>
    <w:semiHidden/>
    <w:pPr>
      <w:tabs>
        <w:tab w:val="right" w:leader="dot" w:pos="8640"/>
      </w:tabs>
      <w:spacing w:after="240" w:line="240" w:lineRule="auto"/>
      <w:jc w:val="both"/>
    </w:pPr>
    <w:rPr>
      <w:rFonts w:ascii="Times New Roman" w:eastAsia="Times New Roman" w:hAnsi="Times New Roman" w:cs="Times New Roman"/>
      <w:sz w:val="24"/>
      <w:szCs w:val="20"/>
    </w:rPr>
  </w:style>
  <w:style w:type="paragraph" w:styleId="TOC9">
    <w:name w:val="toc 9"/>
    <w:basedOn w:val="Normal"/>
    <w:next w:val="Normal"/>
    <w:semiHidden/>
    <w:pPr>
      <w:tabs>
        <w:tab w:val="right" w:leader="dot" w:pos="8640"/>
      </w:tabs>
      <w:spacing w:after="240" w:line="240" w:lineRule="auto"/>
      <w:jc w:val="both"/>
    </w:pPr>
    <w:rPr>
      <w:rFonts w:ascii="Times New Roman" w:eastAsia="Times New Roman" w:hAnsi="Times New Roman" w:cs="Times New Roman"/>
      <w:sz w:val="24"/>
      <w:szCs w:val="20"/>
    </w:rPr>
  </w:style>
  <w:style w:type="paragraph" w:styleId="TOCHeading">
    <w:name w:val="TOC Heading"/>
    <w:basedOn w:val="Normal"/>
    <w:next w:val="Normal"/>
    <w:semiHidden/>
    <w:pPr>
      <w:spacing w:before="240" w:after="240" w:line="240" w:lineRule="auto"/>
      <w:jc w:val="center"/>
    </w:pPr>
    <w:rPr>
      <w:rFonts w:ascii="Times New Roman Bold" w:eastAsia="Times New Roman" w:hAnsi="Times New Roman Bold" w:cs="Times New Roman"/>
      <w:b/>
      <w:caps/>
      <w:sz w:val="24"/>
      <w:szCs w:val="20"/>
    </w:rPr>
  </w:style>
  <w:style w:type="paragraph" w:customStyle="1" w:styleId="TrsSecretUE">
    <w:name w:val="Très Secret UE"/>
    <w:basedOn w:val="Normal"/>
    <w:semiHidden/>
    <w:pPr>
      <w:spacing w:after="0" w:line="240" w:lineRule="auto"/>
      <w:jc w:val="center"/>
    </w:pPr>
    <w:rPr>
      <w:rFonts w:ascii="Times New Roman" w:eastAsia="Times New Roman" w:hAnsi="Times New Roman" w:cs="Times New Roman"/>
      <w:b/>
      <w:caps/>
      <w:color w:val="FF0000"/>
      <w:sz w:val="32"/>
      <w:szCs w:val="20"/>
      <w:bdr w:val="single" w:sz="18" w:space="0" w:color="FF0000"/>
    </w:rPr>
  </w:style>
  <w:style w:type="paragraph" w:customStyle="1" w:styleId="ZCom">
    <w:name w:val="Z_Com"/>
    <w:basedOn w:val="Normal"/>
    <w:next w:val="ZDGName"/>
    <w:semiHidden/>
    <w:pPr>
      <w:widowControl w:val="0"/>
      <w:spacing w:before="90" w:after="0" w:line="240" w:lineRule="auto"/>
      <w:ind w:right="85"/>
    </w:pPr>
    <w:rPr>
      <w:rFonts w:ascii="Times New Roman" w:eastAsia="Times New Roman" w:hAnsi="Times New Roman" w:cs="Times New Roman"/>
      <w:sz w:val="24"/>
      <w:szCs w:val="20"/>
    </w:rPr>
  </w:style>
  <w:style w:type="paragraph" w:customStyle="1" w:styleId="ZDGName">
    <w:name w:val="Z_DGName"/>
    <w:basedOn w:val="Normal"/>
    <w:semiHidden/>
    <w:pPr>
      <w:widowControl w:val="0"/>
      <w:spacing w:after="0" w:line="240" w:lineRule="auto"/>
      <w:ind w:right="85"/>
    </w:pPr>
    <w:rPr>
      <w:rFonts w:ascii="Times New Roman" w:eastAsia="Times New Roman" w:hAnsi="Times New Roman" w:cs="Times New Roman"/>
      <w:sz w:val="16"/>
      <w:szCs w:val="20"/>
    </w:rPr>
  </w:style>
  <w:style w:type="paragraph" w:customStyle="1" w:styleId="ZFlag">
    <w:name w:val="Z_Flag"/>
    <w:basedOn w:val="Normal"/>
    <w:next w:val="Normal"/>
    <w:semiHidden/>
    <w:pPr>
      <w:widowControl w:val="0"/>
      <w:spacing w:after="0" w:line="240" w:lineRule="auto"/>
      <w:ind w:right="85"/>
      <w:jc w:val="both"/>
    </w:pPr>
    <w:rPr>
      <w:rFonts w:ascii="Times New Roman" w:eastAsia="Times New Roman" w:hAnsi="Times New Roman" w:cs="Times New Roman"/>
      <w:sz w:val="24"/>
      <w:szCs w:val="20"/>
    </w:rPr>
  </w:style>
  <w:style w:type="table" w:customStyle="1" w:styleId="EurolookClassicBlue">
    <w:name w:val="Eurolook Classic Blue"/>
    <w:basedOn w:val="TableNormal"/>
    <w:uiPriority w:val="80"/>
    <w:pPr>
      <w:spacing w:after="240" w:line="240" w:lineRule="auto"/>
    </w:pPr>
    <w:rPr>
      <w:rFonts w:ascii="Times New Roman" w:eastAsia="Times New Roman" w:hAnsi="Times New Roman" w:cs="Times New Roman"/>
      <w:sz w:val="24"/>
      <w:szCs w:val="20"/>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line="240" w:lineRule="auto"/>
    </w:pPr>
    <w:rPr>
      <w:rFonts w:ascii="Times New Roman" w:eastAsia="Times New Roman" w:hAnsi="Times New Roman" w:cs="Times New Roman"/>
      <w:sz w:val="24"/>
      <w:szCs w:val="20"/>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line="240" w:lineRule="auto"/>
    </w:pPr>
    <w:rPr>
      <w:rFonts w:ascii="Times New Roman" w:eastAsia="Times New Roman" w:hAnsi="Times New Roman" w:cs="Times New Roman"/>
      <w:sz w:val="24"/>
      <w:szCs w:val="20"/>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line="240" w:lineRule="auto"/>
    </w:pPr>
    <w:rPr>
      <w:rFonts w:ascii="Times New Roman" w:eastAsia="Times New Roman" w:hAnsi="Times New Roman" w:cs="Times New Roman"/>
      <w:sz w:val="24"/>
      <w:szCs w:val="20"/>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line="240" w:lineRule="auto"/>
    </w:pPr>
    <w:rPr>
      <w:rFonts w:ascii="Times New Roman" w:eastAsia="Times New Roman" w:hAnsi="Times New Roman" w:cs="Times New Roman"/>
      <w:sz w:val="24"/>
      <w:szCs w:val="20"/>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line="240" w:lineRule="auto"/>
    </w:pPr>
    <w:rPr>
      <w:rFonts w:ascii="Times New Roman" w:eastAsia="Times New Roman" w:hAnsi="Times New Roman" w:cs="Times New Roman"/>
      <w:sz w:val="24"/>
      <w:szCs w:val="20"/>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line="240" w:lineRule="auto"/>
    </w:pPr>
    <w:rPr>
      <w:rFonts w:ascii="Times New Roman" w:eastAsia="Times New Roman" w:hAnsi="Times New Roman" w:cs="Times New Roman"/>
      <w:sz w:val="24"/>
      <w:szCs w:val="20"/>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line="240" w:lineRule="auto"/>
    </w:pPr>
    <w:rPr>
      <w:rFonts w:ascii="Times New Roman" w:eastAsia="Times New Roman" w:hAnsi="Times New Roman" w:cs="Times New Roman"/>
      <w:sz w:val="24"/>
      <w:szCs w:val="20"/>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line="240" w:lineRule="auto"/>
    </w:pPr>
    <w:rPr>
      <w:rFonts w:ascii="Times New Roman" w:eastAsia="Times New Roman" w:hAnsi="Times New Roman" w:cs="Times New Roman"/>
      <w:sz w:val="24"/>
      <w:szCs w:val="20"/>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line="240" w:lineRule="auto"/>
    </w:pPr>
    <w:rPr>
      <w:rFonts w:ascii="Times New Roman" w:eastAsia="Times New Roman" w:hAnsi="Times New Roman" w:cs="Times New Roman"/>
      <w:sz w:val="24"/>
      <w:szCs w:val="20"/>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line="240" w:lineRule="auto"/>
    </w:pPr>
    <w:rPr>
      <w:rFonts w:ascii="Times New Roman" w:eastAsia="Times New Roman" w:hAnsi="Times New Roman" w:cs="Times New Roman"/>
      <w:sz w:val="24"/>
      <w:szCs w:val="20"/>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line="240" w:lineRule="auto"/>
    </w:pPr>
    <w:rPr>
      <w:rFonts w:ascii="Times New Roman" w:eastAsia="Times New Roman" w:hAnsi="Times New Roman" w:cs="Times New Roman"/>
      <w:sz w:val="24"/>
      <w:szCs w:val="20"/>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pPr>
      <w:spacing w:after="0" w:line="240" w:lineRule="auto"/>
    </w:pPr>
    <w:rPr>
      <w:rFonts w:ascii="Times New Roman" w:eastAsia="Times New Roman" w:hAnsi="Times New Roman" w:cs="Times New Roman"/>
      <w:sz w:val="24"/>
      <w:szCs w:val="20"/>
      <w:lang w:val="en-IE"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pPr>
      <w:spacing w:after="0" w:line="240" w:lineRule="auto"/>
    </w:pPr>
    <w:rPr>
      <w:rFonts w:ascii="Times New Roman" w:eastAsia="Times New Roman" w:hAnsi="Times New Roman" w:cs="Times New Roman"/>
      <w:sz w:val="24"/>
      <w:szCs w:val="20"/>
    </w:rPr>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pPr>
      <w:spacing w:after="0" w:line="240" w:lineRule="auto"/>
    </w:pPr>
    <w:rPr>
      <w:rFonts w:ascii="Times New Roman" w:eastAsia="Times New Roman" w:hAnsi="Times New Roman" w:cs="Times New Roman"/>
      <w:sz w:val="24"/>
      <w:szCs w:val="20"/>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rFonts w:ascii="Times New Roman" w:eastAsia="Times New Roman"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pPr>
      <w:spacing w:after="0" w:line="240" w:lineRule="auto"/>
    </w:pPr>
    <w:rPr>
      <w:rFonts w:ascii="Times New Roman" w:eastAsia="Times New Roman" w:hAnsi="Times New Roman" w:cs="Times New Roman"/>
      <w:sz w:val="24"/>
      <w:szCs w:val="20"/>
    </w:rPr>
    <w:tblPr>
      <w:tblCellMar>
        <w:left w:w="0" w:type="dxa"/>
        <w:bottom w:w="340" w:type="dxa"/>
        <w:right w:w="0" w:type="dxa"/>
      </w:tblCellMar>
    </w:tblPr>
  </w:style>
  <w:style w:type="paragraph" w:customStyle="1" w:styleId="Annex111">
    <w:name w:val="Annex1.1.1"/>
    <w:basedOn w:val="Heading3"/>
    <w:uiPriority w:val="1"/>
    <w:pPr>
      <w:keepLines w:val="0"/>
      <w:numPr>
        <w:ilvl w:val="2"/>
        <w:numId w:val="23"/>
      </w:numPr>
      <w:spacing w:before="240" w:after="60" w:line="280" w:lineRule="exact"/>
      <w:ind w:left="0" w:firstLine="0"/>
      <w:jc w:val="both"/>
    </w:pPr>
    <w:rPr>
      <w:rFonts w:ascii="EC Square Sans Pro" w:eastAsia="Arial Unicode MS" w:hAnsi="EC Square Sans Pro" w:cs="Open Sans Condensed"/>
      <w:b/>
      <w:color w:val="156082" w:themeColor="accent1"/>
      <w:sz w:val="24"/>
      <w:szCs w:val="22"/>
      <w:lang w:eastAsia="de-DE"/>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Anx4">
    <w:name w:val="Anx4"/>
    <w:basedOn w:val="Heading4"/>
    <w:link w:val="Anx4Car"/>
    <w:uiPriority w:val="1"/>
    <w:qFormat/>
    <w:pPr>
      <w:keepLines w:val="0"/>
      <w:numPr>
        <w:ilvl w:val="3"/>
        <w:numId w:val="25"/>
      </w:numPr>
      <w:spacing w:before="240" w:after="60" w:line="280" w:lineRule="exact"/>
      <w:ind w:left="0" w:firstLine="0"/>
      <w:jc w:val="both"/>
    </w:pPr>
    <w:rPr>
      <w:rFonts w:ascii="EC Square Sans Pro" w:eastAsia="Arial Unicode MS" w:hAnsi="EC Square Sans Pro" w:cs="Open Sans Condensed"/>
      <w:b/>
      <w:bCs/>
      <w:i w:val="0"/>
      <w:iCs w:val="0"/>
      <w:noProof/>
      <w:szCs w:val="20"/>
      <w:lang w:eastAsia="de-DE"/>
    </w:rPr>
  </w:style>
  <w:style w:type="paragraph" w:customStyle="1" w:styleId="Anx1">
    <w:name w:val="Anx1"/>
    <w:basedOn w:val="Heading1"/>
    <w:uiPriority w:val="1"/>
    <w:qFormat/>
    <w:pPr>
      <w:keepNext w:val="0"/>
      <w:keepLines w:val="0"/>
      <w:numPr>
        <w:numId w:val="25"/>
      </w:numPr>
      <w:tabs>
        <w:tab w:val="left" w:pos="426"/>
        <w:tab w:val="right" w:leader="dot" w:pos="9629"/>
      </w:tabs>
      <w:spacing w:before="240" w:after="240" w:line="240" w:lineRule="auto"/>
      <w:ind w:left="0" w:firstLine="0"/>
      <w:contextualSpacing/>
    </w:pPr>
    <w:rPr>
      <w:rFonts w:ascii="EC Square Sans Pro" w:eastAsia="Times New Roman" w:hAnsi="EC Square Sans Pro" w:cs="Open Sans Condensed"/>
      <w:b/>
      <w:bCs/>
      <w:noProof/>
      <w:color w:val="156082" w:themeColor="accent1"/>
      <w:lang w:eastAsia="fr-FR"/>
    </w:rPr>
  </w:style>
  <w:style w:type="paragraph" w:customStyle="1" w:styleId="Anx2">
    <w:name w:val="Anx2"/>
    <w:basedOn w:val="Heading2"/>
    <w:uiPriority w:val="1"/>
    <w:qFormat/>
    <w:pPr>
      <w:keepLines w:val="0"/>
      <w:numPr>
        <w:ilvl w:val="1"/>
        <w:numId w:val="25"/>
      </w:numPr>
      <w:spacing w:before="240" w:after="120" w:line="280" w:lineRule="exact"/>
      <w:ind w:left="0" w:firstLine="0"/>
      <w:contextualSpacing/>
    </w:pPr>
    <w:rPr>
      <w:rFonts w:ascii="EC Square Sans Pro" w:eastAsia="Arial Unicode MS" w:hAnsi="EC Square Sans Pro" w:cs="Open Sans Condensed"/>
      <w:b/>
      <w:color w:val="E97132" w:themeColor="accent2"/>
      <w:sz w:val="26"/>
      <w:szCs w:val="24"/>
      <w:lang w:eastAsia="de-DE"/>
    </w:rPr>
  </w:style>
  <w:style w:type="paragraph" w:customStyle="1" w:styleId="Anx3">
    <w:name w:val="Anx3"/>
    <w:basedOn w:val="Heading3"/>
    <w:uiPriority w:val="1"/>
    <w:qFormat/>
    <w:pPr>
      <w:keepLines w:val="0"/>
      <w:numPr>
        <w:ilvl w:val="2"/>
        <w:numId w:val="25"/>
      </w:numPr>
      <w:spacing w:before="240" w:after="60" w:line="280" w:lineRule="exact"/>
      <w:ind w:left="0" w:firstLine="0"/>
      <w:jc w:val="both"/>
    </w:pPr>
    <w:rPr>
      <w:rFonts w:ascii="EC Square Sans Pro" w:eastAsia="Arial Unicode MS" w:hAnsi="EC Square Sans Pro" w:cs="Open Sans Condensed"/>
      <w:b/>
      <w:bCs/>
      <w:color w:val="156082" w:themeColor="accent1"/>
      <w:sz w:val="24"/>
      <w:szCs w:val="22"/>
      <w:lang w:eastAsia="de-DE"/>
    </w:rPr>
  </w:style>
  <w:style w:type="character" w:customStyle="1" w:styleId="texttitle1">
    <w:name w:val="texttitle1"/>
    <w:basedOn w:val="DefaultParagraphFont"/>
    <w:rPr>
      <w:b/>
      <w:bCs/>
      <w:color w:val="006699"/>
    </w:rPr>
  </w:style>
  <w:style w:type="character" w:customStyle="1" w:styleId="Anx4Car">
    <w:name w:val="Anx4 Car"/>
    <w:basedOn w:val="Heading4Char"/>
    <w:link w:val="Anx4"/>
    <w:uiPriority w:val="1"/>
    <w:rPr>
      <w:rFonts w:ascii="EC Square Sans Pro" w:eastAsia="Arial Unicode MS" w:hAnsi="EC Square Sans Pro" w:cs="Open Sans Condensed"/>
      <w:b/>
      <w:bCs/>
      <w:i w:val="0"/>
      <w:iCs w:val="0"/>
      <w:noProof/>
      <w:color w:val="0F4761" w:themeColor="accent1" w:themeShade="BF"/>
      <w:szCs w:val="20"/>
      <w:lang w:val="ro-RO" w:eastAsia="de-DE"/>
    </w:rPr>
  </w:style>
  <w:style w:type="paragraph" w:customStyle="1" w:styleId="Graphtablesub-title">
    <w:name w:val="Graph/table sub-title"/>
    <w:basedOn w:val="Caption"/>
    <w:link w:val="Graphtablesub-titleCar"/>
    <w:autoRedefine/>
    <w:qFormat/>
    <w:pPr>
      <w:keepNext/>
      <w:spacing w:before="0" w:after="0" w:line="240" w:lineRule="exact"/>
      <w:contextualSpacing/>
      <w:jc w:val="left"/>
    </w:pPr>
    <w:rPr>
      <w:rFonts w:ascii="EC Square Sans Pro" w:hAnsi="EC Square Sans Pro" w:cs="Open Sans Condensed"/>
      <w:i w:val="0"/>
      <w:noProof/>
      <w:color w:val="595959" w:themeColor="text1" w:themeTint="A6"/>
      <w:sz w:val="16"/>
      <w:szCs w:val="16"/>
      <w:lang w:eastAsia="de-DE"/>
    </w:rPr>
  </w:style>
  <w:style w:type="character" w:customStyle="1" w:styleId="Graphtablesub-titleCar">
    <w:name w:val="Graph/table sub-title Car"/>
    <w:basedOn w:val="DefaultParagraphFont"/>
    <w:link w:val="Graphtablesub-title"/>
    <w:rPr>
      <w:rFonts w:ascii="EC Square Sans Pro" w:eastAsia="Times New Roman" w:hAnsi="EC Square Sans Pro" w:cs="Open Sans Condensed"/>
      <w:noProof/>
      <w:color w:val="595959" w:themeColor="text1" w:themeTint="A6"/>
      <w:sz w:val="16"/>
      <w:szCs w:val="16"/>
      <w:lang w:val="ro-RO" w:eastAsia="de-DE"/>
    </w:rPr>
  </w:style>
  <w:style w:type="paragraph" w:customStyle="1" w:styleId="Box">
    <w:name w:val="Box"/>
    <w:basedOn w:val="Normal"/>
    <w:link w:val="BoxCar"/>
    <w:qFormat/>
    <w:pPr>
      <w:pBdr>
        <w:top w:val="single" w:sz="4" w:space="1" w:color="auto"/>
        <w:left w:val="single" w:sz="4" w:space="4" w:color="auto"/>
        <w:bottom w:val="single" w:sz="4" w:space="1" w:color="auto"/>
        <w:right w:val="single" w:sz="4" w:space="4" w:color="auto"/>
      </w:pBdr>
      <w:shd w:val="clear" w:color="auto" w:fill="DDF4FF"/>
      <w:overflowPunct w:val="0"/>
      <w:autoSpaceDE w:val="0"/>
      <w:autoSpaceDN w:val="0"/>
      <w:adjustRightInd w:val="0"/>
      <w:spacing w:before="240" w:after="0" w:line="280" w:lineRule="exact"/>
      <w:ind w:right="6"/>
      <w:textAlignment w:val="baseline"/>
    </w:pPr>
    <w:rPr>
      <w:rFonts w:ascii="EC Square Sans Pro" w:eastAsia="Times New Roman" w:hAnsi="EC Square Sans Pro" w:cs="Consolas"/>
      <w:sz w:val="21"/>
      <w:szCs w:val="21"/>
      <w:lang w:eastAsia="de-DE"/>
    </w:rPr>
  </w:style>
  <w:style w:type="character" w:customStyle="1" w:styleId="BoxCar">
    <w:name w:val="Box Car"/>
    <w:basedOn w:val="TextCar"/>
    <w:link w:val="Box"/>
    <w:rPr>
      <w:rFonts w:ascii="EC Square Sans Pro" w:eastAsia="Times New Roman" w:hAnsi="EC Square Sans Pro" w:cs="Consolas"/>
      <w:sz w:val="21"/>
      <w:szCs w:val="21"/>
      <w:shd w:val="clear" w:color="auto" w:fill="DDF4FF"/>
      <w:lang w:val="ro-RO" w:eastAsia="de-DE"/>
    </w:rPr>
  </w:style>
  <w:style w:type="character" w:customStyle="1" w:styleId="normaltextrun">
    <w:name w:val="normaltextrun"/>
    <w:basedOn w:val="DefaultParagraphFont"/>
  </w:style>
  <w:style w:type="character" w:styleId="EndnoteReference">
    <w:name w:val="endnote reference"/>
    <w:basedOn w:val="DefaultParagraphFont"/>
    <w:uiPriority w:val="99"/>
    <w:semiHidden/>
    <w:rPr>
      <w:vertAlign w:val="superscript"/>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image" Target="media/image10.png"/><Relationship Id="rId39" Type="http://schemas.openxmlformats.org/officeDocument/2006/relationships/fontTable" Target="fontTable.xml"/><Relationship Id="rId21" Type="http://schemas.openxmlformats.org/officeDocument/2006/relationships/image" Target="media/image5.png"/><Relationship Id="rId34"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9.png"/><Relationship Id="rId33" Type="http://schemas.openxmlformats.org/officeDocument/2006/relationships/header" Target="header4.xml"/><Relationship Id="rId38"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emf"/><Relationship Id="rId29"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header" Target="header6.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2.emf"/><Relationship Id="rId36"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1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11.emf"/><Relationship Id="rId30" Type="http://schemas.openxmlformats.org/officeDocument/2006/relationships/image" Target="media/image14.png"/><Relationship Id="rId35" Type="http://schemas.openxmlformats.org/officeDocument/2006/relationships/footer" Target="footer4.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urostat/databrowser/view/nrg_bal_c/default/table?lang=en&amp;category=nrg.nrg_quant.nrg_quanta.nrg_bal" TargetMode="External"/><Relationship Id="rId2" Type="http://schemas.openxmlformats.org/officeDocument/2006/relationships/hyperlink" Target="http://data.europa.eu/eli/C/2024/2807/oj" TargetMode="External"/><Relationship Id="rId1" Type="http://schemas.openxmlformats.org/officeDocument/2006/relationships/hyperlink" Target="http://data.europa.eu/eli/reg/2018/1999/oj" TargetMode="External"/><Relationship Id="rId6" Type="http://schemas.openxmlformats.org/officeDocument/2006/relationships/hyperlink" Target="https://commission.europa.eu/strategy-and-policy/strategy-documents/commission-work-programme/commission-work-programme-2026_en" TargetMode="External"/><Relationship Id="rId5" Type="http://schemas.openxmlformats.org/officeDocument/2006/relationships/hyperlink" Target="https://commission.europa.eu/document/download/eab354d1-64d2-450f-8ed4-eb3d42661974_en?filename=mission-letter-hoekstra.pdf" TargetMode="External"/><Relationship Id="rId4" Type="http://schemas.openxmlformats.org/officeDocument/2006/relationships/hyperlink" Target="https://commission.europa.eu/document/download/1c203799-0137-482e-bd18-4f6813535986_en?filename=Mission%20letter%20-%20JORGENS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CFDF3D715AA394A9B15E0E0FAA07E37" ma:contentTypeVersion="17" ma:contentTypeDescription="Create a new document." ma:contentTypeScope="" ma:versionID="b8330829613b53f335f7595c4d309107">
  <xsd:schema xmlns:xsd="http://www.w3.org/2001/XMLSchema" xmlns:xs="http://www.w3.org/2001/XMLSchema" xmlns:p="http://schemas.microsoft.com/office/2006/metadata/properties" xmlns:ns1="http://schemas.microsoft.com/sharepoint/v3" xmlns:ns2="33e07890-6196-4e26-9dd2-53178dae8e48" xmlns:ns3="faa54b14-608b-44ba-8621-4287d9574b27" targetNamespace="http://schemas.microsoft.com/office/2006/metadata/properties" ma:root="true" ma:fieldsID="9416b5fa44ca29fcb915ba6edc63c09b" ns1:_="" ns2:_="" ns3:_="">
    <xsd:import namespace="http://schemas.microsoft.com/sharepoint/v3"/>
    <xsd:import namespace="33e07890-6196-4e26-9dd2-53178dae8e48"/>
    <xsd:import namespace="faa54b14-608b-44ba-8621-4287d9574b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e07890-6196-4e26-9dd2-53178dae8e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a54b14-608b-44ba-8621-4287d9574b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e829834-dc43-4c00-a10e-52d3166c6bec}" ma:internalName="TaxCatchAll" ma:showField="CatchAllData" ma:web="faa54b14-608b-44ba-8621-4287d9574b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aa54b14-608b-44ba-8621-4287d9574b27" xsi:nil="true"/>
    <lcf76f155ced4ddcb4097134ff3c332f xmlns="33e07890-6196-4e26-9dd2-53178dae8e4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F39F40-BD59-4522-903C-DF7950ABFEF7}">
  <ds:schemaRefs>
    <ds:schemaRef ds:uri="http://schemas.microsoft.com/sharepoint/v3/contenttype/forms"/>
  </ds:schemaRefs>
</ds:datastoreItem>
</file>

<file path=customXml/itemProps2.xml><?xml version="1.0" encoding="utf-8"?>
<ds:datastoreItem xmlns:ds="http://schemas.openxmlformats.org/officeDocument/2006/customXml" ds:itemID="{63788864-6675-47EB-8AFF-8E4C9D7DD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3e07890-6196-4e26-9dd2-53178dae8e48"/>
    <ds:schemaRef ds:uri="faa54b14-608b-44ba-8621-4287d9574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26E35F-FBF3-42AE-8D86-588B36E84DD2}">
  <ds:schemaRefs>
    <ds:schemaRef ds:uri="http://schemas.openxmlformats.org/officeDocument/2006/bibliography"/>
  </ds:schemaRefs>
</ds:datastoreItem>
</file>

<file path=customXml/itemProps4.xml><?xml version="1.0" encoding="utf-8"?>
<ds:datastoreItem xmlns:ds="http://schemas.openxmlformats.org/officeDocument/2006/customXml" ds:itemID="{07C858C6-3BCF-4465-8806-1BE4097FB299}">
  <ds:schemaRefs>
    <ds:schemaRef ds:uri="http://schemas.microsoft.com/office/2006/metadata/properties"/>
    <ds:schemaRef ds:uri="http://schemas.microsoft.com/office/infopath/2007/PartnerControls"/>
    <ds:schemaRef ds:uri="http://schemas.microsoft.com/sharepoint/v3"/>
    <ds:schemaRef ds:uri="faa54b14-608b-44ba-8621-4287d9574b27"/>
    <ds:schemaRef ds:uri="33e07890-6196-4e26-9dd2-53178dae8e48"/>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4</Pages>
  <Words>3576</Words>
  <Characters>20387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18</cp:revision>
  <dcterms:created xsi:type="dcterms:W3CDTF">2026-07-28T09:08:00Z</dcterms:created>
  <dcterms:modified xsi:type="dcterms:W3CDTF">2026-09-17T07:35:00Z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2026-07-09T10:14:01Z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80a048a5-f91b-465e-869a-5a93c0eb3d0c</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0x010100ECFDF3D715AA394A9B15E0E0FAA07E37</vt:lpwstr>
  </property>
  <property fmtid="{D5CDD505-2E9C-101B-9397-08002B2CF9AE}" pid="13" name="MediaServiceImageTags">
    <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