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83678C-F8DF-40C8-84FE-5DE4DFD3001E" style="width:455.25pt;height:372.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BodyText"/>
        <w:jc w:val="center"/>
        <w:rPr>
          <w:b/>
          <w:bCs/>
          <w:noProof/>
        </w:rPr>
      </w:pPr>
      <w:r>
        <w:rPr>
          <w:b/>
          <w:noProof/>
        </w:rPr>
        <w:lastRenderedPageBreak/>
        <w:t>Observații importante privind metodologia</w:t>
      </w:r>
    </w:p>
    <w:p>
      <w:pPr>
        <w:pStyle w:val="BodyText"/>
        <w:jc w:val="both"/>
        <w:rPr>
          <w:noProof/>
        </w:rPr>
      </w:pPr>
      <w:r>
        <w:rPr>
          <w:noProof/>
        </w:rPr>
        <w:t>Prezentul raport se bazează pe un studiu extern realizat pentru Comisie</w:t>
      </w:r>
      <w:r>
        <w:rPr>
          <w:rStyle w:val="FootnoteReference"/>
          <w:rFonts w:eastAsia="MS Mincho"/>
          <w:noProof/>
        </w:rPr>
        <w:footnoteReference w:id="1"/>
      </w:r>
      <w:r>
        <w:rPr>
          <w:noProof/>
        </w:rPr>
        <w:t>. Studiul s-a bazat pe o abordare ascendentă de tip inventar, colectând informații din documente și rapoarte bugetare naționale. Datele naționale privind subvențiile au fost agregate la nivelul UE și completate cu date din baze de date specializate recunoscute aparținând instituțiilor europene și internaționale</w:t>
      </w:r>
      <w:r>
        <w:rPr>
          <w:rStyle w:val="FootnoteReference"/>
          <w:rFonts w:eastAsia="MS Mincho"/>
          <w:noProof/>
        </w:rPr>
        <w:footnoteReference w:id="2"/>
      </w:r>
      <w:r>
        <w:rPr>
          <w:noProof/>
        </w:rPr>
        <w:t>. În cazurile în care datele din 2024 nu erau pe deplin disponibile sau validate, au fost utilizate estimări bazate pe datele din 2023</w:t>
      </w:r>
      <w:r>
        <w:rPr>
          <w:rStyle w:val="FootnoteReference"/>
          <w:rFonts w:eastAsia="MS Mincho"/>
          <w:noProof/>
        </w:rPr>
        <w:footnoteReference w:id="3"/>
      </w:r>
      <w:r>
        <w:rPr>
          <w:noProof/>
        </w:rPr>
        <w:t>. La fel ca în edițiile anterioare ale acestui raport, statelor membre li s-a oferit posibilitatea de a oferi feedback cu privire la datele utilizate pentru studiu.</w:t>
      </w:r>
    </w:p>
    <w:p>
      <w:pPr>
        <w:pStyle w:val="BodyText"/>
        <w:jc w:val="both"/>
        <w:rPr>
          <w:noProof/>
        </w:rPr>
      </w:pPr>
      <w:r>
        <w:rPr>
          <w:noProof/>
        </w:rPr>
        <w:t>Inventarul măsurilor de subvenționare a energiei, care a fost întocmit în scopul studiului, a oferit informații fiabile cu privire la impactul fiscal al transferurilor bugetare directe pentru consumul și producția de energie și este un instrument care promovează transparența în ceea ce privește politicile publice și contribuie la identificarea măsurilor specifice de sprijin pentru reformă.</w:t>
      </w:r>
    </w:p>
    <w:p>
      <w:pPr>
        <w:pStyle w:val="BodyText"/>
        <w:jc w:val="both"/>
        <w:rPr>
          <w:noProof/>
        </w:rPr>
      </w:pPr>
      <w:r>
        <w:rPr>
          <w:noProof/>
        </w:rPr>
        <w:t>Valorile subvențiilor care s-au bazat pe estimări ale cheltuielilor fiscale (venituri la care s-a renunțat) depind de ratele de impozitare de referință aplicabile în fiecare țară și este posibil ca acestea să nu fie direct comparabile între țări din cauza abordărilor specifice fiecărei țări privind sistemele fiscale de referință</w:t>
      </w:r>
      <w:r>
        <w:rPr>
          <w:rStyle w:val="FootnoteReference"/>
          <w:rFonts w:eastAsia="MS Mincho"/>
          <w:noProof/>
        </w:rPr>
        <w:footnoteReference w:id="4"/>
      </w:r>
      <w:r>
        <w:rPr>
          <w:noProof/>
        </w:rPr>
        <w:t>. Deși reflectă în mod adecvat costurile bugetare ale măsurilor de subvenționare, ele sunt, în sine, mai puțin adecvate pentru compararea directă între țări a impactului subvențiilor bazate pe impozite asupra mediului, climei și energiei, inclusiv a efectelor de stimulare asupra combustibililor fosili</w:t>
      </w:r>
      <w:r>
        <w:rPr>
          <w:rStyle w:val="FootnoteReference"/>
          <w:rFonts w:eastAsia="MS Mincho"/>
          <w:noProof/>
        </w:rPr>
        <w:footnoteReference w:id="5"/>
      </w:r>
      <w:r>
        <w:rPr>
          <w:noProof/>
        </w:rPr>
        <w:t>. Din acest motiv, prezentul raport prevede, de asemenea, valorile subvențiilor pentru combustibilii fosili, excluzând cheltuielile fiscale. Sunt necesare eforturi suplimentare pentru a analiza ratele efective de impozitare a consumului de energie și a emisiilor de dioxid de carbon, pentru a completa abordarea de tip inventar și a îmbunătăți comparabilitatea măsurilor fiscale</w:t>
      </w:r>
      <w:r>
        <w:rPr>
          <w:rStyle w:val="FootnoteReference"/>
          <w:rFonts w:eastAsia="MS Mincho"/>
          <w:noProof/>
        </w:rPr>
        <w:footnoteReference w:id="6"/>
      </w:r>
      <w:r>
        <w:rPr>
          <w:noProof/>
        </w:rPr>
        <w:t>.</w:t>
      </w:r>
    </w:p>
    <w:p>
      <w:pPr>
        <w:pStyle w:val="BodyText"/>
        <w:jc w:val="both"/>
        <w:rPr>
          <w:noProof/>
        </w:rPr>
      </w:pPr>
      <w:r>
        <w:rPr>
          <w:noProof/>
        </w:rPr>
        <w:lastRenderedPageBreak/>
        <w:t xml:space="preserve">Subvențiile implicite (de exemplu, costul diverșilor factori externi) nu sunt acoperite din cauza problemelor metodologice asociate lipsei unei evaluări solide, fiabile și comparabile a costurilor externe negative, la nivel social și nelegate de climă, generate de impactul asupra mediului și de alte efecte asociate subvențiilor implicite. </w:t>
      </w:r>
    </w:p>
    <w:p>
      <w:pPr>
        <w:pStyle w:val="BodyText"/>
        <w:jc w:val="both"/>
        <w:rPr>
          <w:noProof/>
        </w:rPr>
      </w:pPr>
      <w:r>
        <w:rPr>
          <w:noProof/>
        </w:rPr>
        <w:t>Raportul din acest an include pentru prima dată participarea din partea statului și infuzia de capital, ca urmare a rolului lor sporit de la criza energetică din 2022. Din motive de transparență, sunt prevăzute, de asemenea, valori ale subvențiilor care exclud aceste noi categorii.</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ab/>
      </w:r>
      <w:r>
        <w:rPr>
          <w:i/>
          <w:iCs/>
        </w:rPr>
        <w:t>Study on energy subsidies and other government interventions in the European Union</w:t>
      </w:r>
      <w:r>
        <w:t xml:space="preserve"> („Studiu privind subvențiile pentru energie și alte intervenții guvernamentale în Uniunea Europeană”), ediția 2025, realizat de Enerdata-Trinomics.</w:t>
      </w:r>
    </w:p>
  </w:footnote>
  <w:footnote w:id="2">
    <w:p>
      <w:pPr>
        <w:pStyle w:val="FootnoteText"/>
      </w:pPr>
      <w:r>
        <w:rPr>
          <w:rStyle w:val="FootnoteReference"/>
        </w:rPr>
        <w:footnoteRef/>
      </w:r>
      <w:r>
        <w:tab/>
        <w:t xml:space="preserve">Prezentul raport se referă la subvențiile pentru energie. Informațiile și analizele prezentate nu ar trebui interpretate ca referindu-se la ajutoare de stat. Datele privind ajutoarele de stat sunt disponibile prin intermediul tabloului de bord privind ajutoarele de stat, </w:t>
      </w:r>
      <w:hyperlink r:id="rId1" w:history="1">
        <w:r>
          <w:rPr>
            <w:rStyle w:val="Hyperlink"/>
          </w:rPr>
          <w:t>State Aid Scoreboard</w:t>
        </w:r>
      </w:hyperlink>
      <w:r>
        <w:t>.</w:t>
      </w:r>
    </w:p>
  </w:footnote>
  <w:footnote w:id="3">
    <w:p>
      <w:pPr>
        <w:pStyle w:val="FootnoteText"/>
      </w:pPr>
      <w:r>
        <w:rPr>
          <w:rStyle w:val="FootnoteReference"/>
        </w:rPr>
        <w:footnoteRef/>
      </w:r>
      <w:r>
        <w:rPr>
          <w:rStyle w:val="FootnoteReference"/>
        </w:rPr>
        <w:tab/>
      </w:r>
      <w:r>
        <w:t>34 de miliarde EUR sau 10 % din valoarea totală a subvențiilor se bazează pe estimări pentru toate categoriile de subvenții.</w:t>
      </w:r>
    </w:p>
  </w:footnote>
  <w:footnote w:id="4">
    <w:p>
      <w:pPr>
        <w:pStyle w:val="FootnoteText"/>
      </w:pPr>
      <w:r>
        <w:rPr>
          <w:rStyle w:val="FootnoteReference"/>
        </w:rPr>
        <w:footnoteRef/>
      </w:r>
      <w:r>
        <w:tab/>
        <w:t>Ratele de impozitare de referință diferite și diferențele dintre politicile fiscale conduc la diferențe în ceea ce privește impactul cheltuielilor fiscale între țări.</w:t>
      </w:r>
    </w:p>
  </w:footnote>
  <w:footnote w:id="5">
    <w:p>
      <w:pPr>
        <w:pStyle w:val="FootnoteText"/>
      </w:pPr>
      <w:r>
        <w:rPr>
          <w:rStyle w:val="FootnoteReference"/>
        </w:rPr>
        <w:footnoteRef/>
      </w:r>
      <w:r>
        <w:tab/>
        <w:t>O țară cu impozite „de referință” mai mari, dar cu scutiri fiscale semnificative poate avea niveluri considerabil mai ridicate ale veniturilor fiscale nepercepute și, prin urmare, ale subvențiilor nominale pentru energie, plătind în continuare mai mult pentru combustibilii fosili, decât o țară cu rate de impozitare mai mici, dar cu scutiri mai puține sau inexistente, ceea ce duce la niveluri mai scăzute ale veniturilor fiscale nerealizate și, prin urmare, la subvenții mai mici pentru combustibilii fosili, stimulând totodată mai mult consumul de combustibili fosili.</w:t>
      </w:r>
    </w:p>
  </w:footnote>
  <w:footnote w:id="6">
    <w:p>
      <w:pPr>
        <w:pStyle w:val="FootnoteText"/>
      </w:pPr>
      <w:r>
        <w:rPr>
          <w:rStyle w:val="FootnoteReference"/>
        </w:rPr>
        <w:footnoteRef/>
      </w:r>
      <w:r>
        <w:tab/>
        <w:t>În prezent, se desfășoară pregătiri în cadrul forurilor internaționale (de exemplu, OCDE) și în cadrul UE cu privire la modul în care poate fi îmbunătățită metodologia de definire și comparare, în special, a subvențiilor fiscale.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4E83678C-F8DF-40C8-84FE-5DE4DFD3001E"/>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privind subven\u539?iile pentru energie în UE_x000d__x000b__x000d__x000d__x000d__x000d__x000d__x000d__x000d__x000b_"/>
    <w:docVar w:name="LW_PART_NBR" w:val="1"/>
    <w:docVar w:name="LW_PART_NBR_TOTAL" w:val="1"/>
    <w:docVar w:name="LW_REF.INST.NEW" w:val="COM"/>
    <w:docVar w:name="LW_REF.INST.NEW_ADOPTED" w:val="final"/>
    <w:docVar w:name="LW_REF.INST.NEW_TEXT" w:val="(2026) 4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RAPORTU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5B75023D-6EE6-4D87-9058-16BF4DF3E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CharCharChar">
    <w:name w:val="Char Char Char"/>
    <w:basedOn w:val="Normal"/>
    <w:link w:val="FootnoteReference"/>
    <w:pPr>
      <w:spacing w:line="240" w:lineRule="exact"/>
    </w:pPr>
    <w:rPr>
      <w:rFonts w:ascii="Times New Roman" w:eastAsia="Times New Roman" w:hAnsi="Times New Roman" w:cs="Times New Roman"/>
      <w:sz w:val="24"/>
      <w:szCs w:val="20"/>
      <w:vertAlign w:val="superscript"/>
    </w:rPr>
  </w:style>
  <w:style w:type="character" w:styleId="Hyperlink">
    <w:name w:val="Hyperlink"/>
    <w:aliases w:val=" Znak Znak Znak,Znak Znak Znak"/>
    <w:rPr>
      <w:color w:val="0000FF"/>
      <w:u w:val="single"/>
    </w:rPr>
  </w:style>
  <w:style w:type="paragraph" w:styleId="BodyText">
    <w:name w:val="Body Text"/>
    <w:basedOn w:val="Normal"/>
    <w:link w:val="BodyTextChar"/>
    <w:rPr>
      <w:rFonts w:ascii="Times New Roman" w:eastAsia="MS Mincho" w:hAnsi="Times New Roman" w:cs="Times New Roman"/>
      <w:sz w:val="24"/>
      <w:szCs w:val="24"/>
      <w:lang w:eastAsia="en-GB"/>
    </w:rPr>
  </w:style>
  <w:style w:type="character" w:customStyle="1" w:styleId="BodyTextChar">
    <w:name w:val="Body Text Char"/>
    <w:basedOn w:val="DefaultParagraphFont"/>
    <w:link w:val="BodyText"/>
    <w:rPr>
      <w:rFonts w:ascii="Times New Roman" w:eastAsia="MS Mincho" w:hAnsi="Times New Roman" w:cs="Times New Roman"/>
      <w:sz w:val="24"/>
      <w:szCs w:val="24"/>
      <w:lang w:val="ro-RO" w:eastAsia="en-GB"/>
    </w:rPr>
  </w:style>
  <w:style w:type="character" w:styleId="FootnoteReference">
    <w:name w:val="footnote reference"/>
    <w:aliases w:val="SUPERS,Odwołanie przypisu,Times 10 Point,Exposant 3 Point,Footnote symbol,Footnote reference number,number,Footnote Reference Superscript,stylish,Знак сноски-FN,Ciae niinee-FN,Знак сноски 1,(Footnote Reference), Exposant 3 Point"/>
    <w:link w:val="CharCharChar"/>
    <w:qFormat/>
    <w:rPr>
      <w:rFonts w:ascii="Times New Roman" w:eastAsia="Times New Roman" w:hAnsi="Times New Roman" w:cs="Times New Roman"/>
      <w:sz w:val="24"/>
      <w:szCs w:val="20"/>
      <w:vertAlign w:val="superscript"/>
      <w:lang w:val="ro-RO"/>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RSK-FT,o"/>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basedOn w:val="DefaultParagraphFont"/>
    <w:link w:val="FootnoteText"/>
    <w:uiPriority w:val="99"/>
    <w:rPr>
      <w:rFonts w:ascii="Times New Roman" w:eastAsia="Times New Roman" w:hAnsi="Times New Roman"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mpetition-policy.ec.europa.eu/state-aid/scoreboar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aa54b14-608b-44ba-8621-4287d9574b27" xsi:nil="true"/>
    <lcf76f155ced4ddcb4097134ff3c332f xmlns="33e07890-6196-4e26-9dd2-53178dae8e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7" ma:contentTypeDescription="Create a new document." ma:contentTypeScope="" ma:versionID="b8330829613b53f335f7595c4d309107">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9416b5fa44ca29fcb915ba6edc63c09b"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829834-dc43-4c00-a10e-52d3166c6be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E0000F-DA3B-44B4-A5EB-30D8209D64B4}">
  <ds:schemaRefs>
    <ds:schemaRef ds:uri="http://schemas.microsoft.com/office/2006/metadata/properties"/>
    <ds:schemaRef ds:uri="http://schemas.microsoft.com/office/infopath/2007/PartnerControls"/>
    <ds:schemaRef ds:uri="http://schemas.microsoft.com/sharepoint/v3"/>
    <ds:schemaRef ds:uri="faa54b14-608b-44ba-8621-4287d9574b27"/>
    <ds:schemaRef ds:uri="33e07890-6196-4e26-9dd2-53178dae8e48"/>
  </ds:schemaRefs>
</ds:datastoreItem>
</file>

<file path=customXml/itemProps2.xml><?xml version="1.0" encoding="utf-8"?>
<ds:datastoreItem xmlns:ds="http://schemas.openxmlformats.org/officeDocument/2006/customXml" ds:itemID="{1CCC0180-68CB-49B1-9AFB-98B9BC0A0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D2D845-4199-4710-9A0A-8FD37940E9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412</Words>
  <Characters>2351</Characters>
  <Application>Microsoft Office Word</Application>
  <DocSecurity>0</DocSecurity>
  <Lines>19</Lines>
  <Paragraphs>5</Paragraphs>
  <ScaleCrop>false</ScaleCrop>
  <Manager/>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2026-07-28T09:08:00Z</dcterms:created>
  <dcterms:modified xsi:type="dcterms:W3CDTF">2026-09-17T07:37:00Z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CP-039</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2026-07-28T08:31:28Z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e545b900-ea2b-4ebd-b572-09f6fdbce000</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0x010100ECFDF3D715AA394A9B15E0E0FAA07E37</vt:lpwstr>
  </property>
  <property fmtid="{D5CDD505-2E9C-101B-9397-08002B2CF9AE}" pid="21" name="MediaServiceImageTags">
    <vt:lpwstr/>
  </property>
</Properties>
</file>