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3EF7DA-00F2-49BA-AF8A-3CD339B57AE4" style="width:455.25pt;height:371.25pt">
            <v:imagedata r:id="rId11" o:title=""/>
          </v:shape>
        </w:pict>
      </w:r>
    </w:p>
    <w:p>
      <w:pPr>
        <w:spacing w:line="276" w:lineRule="auto"/>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spacing w:line="276" w:lineRule="auto"/>
        <w:ind w:left="360"/>
        <w:rPr>
          <w:noProof/>
          <w:sz w:val="2"/>
          <w:szCs w:val="2"/>
        </w:rPr>
      </w:pPr>
    </w:p>
    <w:p>
      <w:pPr>
        <w:spacing w:line="276" w:lineRule="auto"/>
        <w:rPr>
          <w:noProof/>
          <w:sz w:val="2"/>
          <w:szCs w:val="2"/>
        </w:rPr>
      </w:pPr>
    </w:p>
    <w:p>
      <w:pPr>
        <w:pStyle w:val="Rfrenceinterinstitutionnelle"/>
        <w:rPr>
          <w:noProof/>
        </w:rPr>
      </w:pPr>
      <w:r>
        <w:rPr>
          <w:noProof/>
        </w:rPr>
        <w:t>2026/0266 (NLE)</w:t>
      </w:r>
    </w:p>
    <w:p>
      <w:pPr>
        <w:pStyle w:val="Statut"/>
        <w:rPr>
          <w:noProof/>
        </w:rPr>
      </w:pPr>
      <w:r>
        <w:rPr>
          <w:noProof/>
        </w:rPr>
        <w:t>Propunere de</w:t>
      </w:r>
    </w:p>
    <w:p>
      <w:pPr>
        <w:pStyle w:val="Typedudocument"/>
        <w:rPr>
          <w:noProof/>
        </w:rPr>
      </w:pPr>
      <w:r>
        <w:rPr>
          <w:noProof/>
        </w:rPr>
        <w:t>DECIZIE DE PUNERE ÎN APLICARE A CONSILIULUI</w:t>
      </w:r>
    </w:p>
    <w:p>
      <w:pPr>
        <w:pStyle w:val="Titreobjet"/>
        <w:rPr>
          <w:noProof/>
        </w:rPr>
      </w:pPr>
      <w:r>
        <w:rPr>
          <w:noProof/>
        </w:rPr>
        <w:t xml:space="preserve">privind constatarea îndeplinirii în mod satisfăcător a condițiilor pentru plata parțială a celei de a opta tranșe din cadrul Planului pentru Ucraina al Mecanismului pentru Ucraina </w:t>
      </w:r>
      <w:r>
        <w:rPr>
          <w:noProof/>
        </w:rPr>
        <w:br/>
      </w:r>
    </w:p>
    <w:p>
      <w:pPr>
        <w:pStyle w:val="Institutionquiagit"/>
        <w:rPr>
          <w:noProof/>
        </w:rPr>
      </w:pPr>
      <w:r>
        <w:rPr>
          <w:noProof/>
        </w:rPr>
        <w:t>CONSILIUL UNIUNII EUROPENE,</w:t>
      </w:r>
    </w:p>
    <w:p>
      <w:pPr>
        <w:rPr>
          <w:noProof/>
        </w:rPr>
      </w:pPr>
      <w:r>
        <w:rPr>
          <w:noProof/>
        </w:rPr>
        <w:t xml:space="preserve">având în vedere Tratatul privind funcționarea Uniunii Europene, </w:t>
      </w:r>
    </w:p>
    <w:p>
      <w:pPr>
        <w:rPr>
          <w:noProof/>
        </w:rPr>
      </w:pPr>
      <w:r>
        <w:rPr>
          <w:noProof/>
        </w:rPr>
        <w:t>având în vedere Regulamentul (UE) 2024/792 al Parlamentului European și al Consiliului din 29 februarie 2024 de instituire a Mecanismului pentru Ucraina</w:t>
      </w:r>
      <w:r>
        <w:rPr>
          <w:rStyle w:val="FootnoteReference"/>
          <w:noProof/>
        </w:rPr>
        <w:footnoteReference w:id="2"/>
      </w:r>
      <w:r>
        <w:rPr>
          <w:noProof/>
        </w:rPr>
        <w:t>, în special articolul 26 alineatul (4),</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În cadrul pilonului I al Mecanismului pentru Ucraina (denumit în continuare „mecanismul”) se pune la dispoziția Ucrainei, pentru perioada 2024-2027, un sprijin financiar de până la 46 873 049 093,86 EUR</w:t>
      </w:r>
      <w:r>
        <w:rPr>
          <w:rStyle w:val="FootnoteReference"/>
          <w:noProof/>
        </w:rPr>
        <w:footnoteReference w:id="3"/>
      </w:r>
      <w:r>
        <w:rPr>
          <w:noProof/>
        </w:rPr>
        <w:t>, care include finanțarea-punte, sub formă de sprijin nerambursabil și de împrumuturi. Finanțarea în cadrul pilonului I este alocată pe baza Planului pentru Ucraina al mecanismului (denumit în continuare „planul”), aprobat prin Decizia de punere în aplicare (UE) 2024/1447 a Consiliului.</w:t>
      </w:r>
    </w:p>
    <w:p>
      <w:pPr>
        <w:pStyle w:val="ManualConsidrant"/>
        <w:rPr>
          <w:noProof/>
        </w:rPr>
      </w:pPr>
      <w:r>
        <w:rPr>
          <w:noProof/>
        </w:rPr>
        <w:t>(2)</w:t>
      </w:r>
      <w:r>
        <w:rPr>
          <w:noProof/>
        </w:rPr>
        <w:tab/>
        <w:t>Calendarul pentru monitorizarea și punerea în aplicare a planului, inclusiv etapele calitative și cantitative care sunt legate de finanțarea în cadrul pilonului I al mecanismului, sunt prevăzute în anexa la Decizia de punere în aplicare (UE) 2024/1447</w:t>
      </w:r>
      <w:r>
        <w:rPr>
          <w:rStyle w:val="FootnoteReference"/>
          <w:noProof/>
        </w:rPr>
        <w:footnoteReference w:id="4"/>
      </w:r>
      <w:r>
        <w:rPr>
          <w:noProof/>
        </w:rPr>
        <w:t>.</w:t>
      </w:r>
    </w:p>
    <w:p>
      <w:pPr>
        <w:pStyle w:val="ManualConsidrant"/>
        <w:rPr>
          <w:noProof/>
        </w:rPr>
      </w:pPr>
      <w:r>
        <w:rPr>
          <w:noProof/>
        </w:rPr>
        <w:t>(3)</w:t>
      </w:r>
      <w:r>
        <w:rPr>
          <w:noProof/>
        </w:rPr>
        <w:tab/>
        <w:t>Valoarea totală a resurselor financiare puse la dispoziția Planului pentru Ucraina în temeiul Deciziei de punere în aplicare (UE) 2024/1447 se ridică la 40 873 049 093,86 EUR, din care 5 523 049 093,86 </w:t>
      </w:r>
      <w:bookmarkStart w:id="0" w:name="_Hlk181809472"/>
      <w:r>
        <w:rPr>
          <w:noProof/>
        </w:rPr>
        <w:t>EUR</w:t>
      </w:r>
      <w:r>
        <w:rPr>
          <w:noProof/>
          <w:sz w:val="28"/>
        </w:rPr>
        <w:t xml:space="preserve"> </w:t>
      </w:r>
      <w:bookmarkEnd w:id="0"/>
      <w:r>
        <w:rPr>
          <w:noProof/>
        </w:rPr>
        <w:t>sub formă de sprijin financiar nerambursabil și până la 35 350 000 000 EUR sub formă de împrumut. Acestea includ asistență bugetară suplimentară pusă la dispoziție în cadrul împrumutului pentru sprijinirea Ucrainei și canalizată prin intermediul pilonului I al mecanismului, care sporește resursele financiare disponibile sub forma unui împrumut. A fost pusă la dispoziție în acest mod pentru 2026 suma de 8 350 000 000 EUR.</w:t>
      </w:r>
    </w:p>
    <w:p>
      <w:pPr>
        <w:pStyle w:val="ManualConsidrant"/>
        <w:rPr>
          <w:noProof/>
        </w:rPr>
      </w:pPr>
      <w:r>
        <w:rPr>
          <w:noProof/>
        </w:rPr>
        <w:lastRenderedPageBreak/>
        <w:t>(4)</w:t>
      </w:r>
      <w:r>
        <w:rPr>
          <w:noProof/>
        </w:rPr>
        <w:tab/>
        <w:t>În conformitate cu articolele 24 și 25 din Regulamentul (UE) 2024/792, suma de 6 000 000 000 EUR a fost plătită Ucrainei ca finanțare-punte excepțională, iar suma de 1 890 000 000 EUR – sub formă de prefinanțare, reprezentând o plată în avans de 7 % din sprijinul sub formă de împrumut pe care Ucraina este eligibilă să îl primească în cadrul planului.</w:t>
      </w:r>
    </w:p>
    <w:p>
      <w:pPr>
        <w:pStyle w:val="ManualConsidrant"/>
        <w:rPr>
          <w:rStyle w:val="normaltextrun"/>
          <w:noProof/>
        </w:rPr>
      </w:pPr>
      <w:r>
        <w:rPr>
          <w:noProof/>
        </w:rPr>
        <w:t>(5)</w:t>
      </w:r>
      <w:r>
        <w:rPr>
          <w:noProof/>
        </w:rPr>
        <w:tab/>
        <w:t>În conformitate cu articolul 26 alineatul (4) din Regulamentul (UE) 2024/792, suma de 21 640 176 104 EUR a fost plătită Ucrainei în primele șapte tranșe , conform planului. Din această sumă, 3 924 252 880 EUR au fost plătiți sub formă de sprijin financiar nerambursabil, iar 17 715 923 224 EUR, sub forma unui împrumut. În conformitate cu acordul de împrumut încheiat între Uniune și Ucraina în temeiul articolului 22 din Regulamentul (UE) 2024/792, un cuantum de 1 333 456 586 EUR aferent primelor șapte tranșe a fost utilizat pentru lichidarea prefinanțării împrumutului.</w:t>
      </w:r>
    </w:p>
    <w:p>
      <w:pPr>
        <w:pStyle w:val="ManualConsidrant"/>
        <w:rPr>
          <w:noProof/>
        </w:rPr>
      </w:pPr>
      <w:r>
        <w:rPr>
          <w:noProof/>
        </w:rPr>
        <w:t>(6)</w:t>
      </w:r>
      <w:r>
        <w:rPr>
          <w:noProof/>
        </w:rPr>
        <w:tab/>
        <w:t>În conformitate cu articolul 26 alineatul (2) din Regulamentul (UE) 2024/792, la 24 august 2026, Ucraina a prezentat o cerere justificată în mod corespunzător pentru plata unei părți din cea de a cincea, a șaptea și a opta tranșă a sprijinului financiar nerambursabil și a celui acordat sub formă de împrumut, în valoare de 3 333 597 327 EUR. Cererea acoperea, de asemenea, trei etape din cadrul unei tranșe ulterioare. Cererea a fost însoțită de o serie de documente care atestă îndeplinirea satisfăcătoare a unei etape din cadrul celei de a cincea tranșe, a trei etape din cadrul celei de a șaptea tranșe, a patru etape din cadrul celei de a opta tranșe și a trei etape din cadrul celei de a noua tranșe. De asemenea, Ucraina a prezentat, toate documentele necesare în temeiul articolului 12 din acordul-cadru, al articolului 5 din acordul de finanțare și al articolului 6 din acordul de împrumut încheiate între Uniune și Ucraina în temeiul articolelor 9, 10 și, respectiv, 22 din Regulamentul (UE) 2024/792.</w:t>
      </w:r>
    </w:p>
    <w:p>
      <w:pPr>
        <w:pStyle w:val="ManualConsidrant"/>
        <w:rPr>
          <w:rFonts w:eastAsia="Times New Roman"/>
          <w:noProof/>
          <w:color w:val="000000" w:themeColor="text1"/>
        </w:rPr>
      </w:pPr>
      <w:r>
        <w:rPr>
          <w:noProof/>
        </w:rPr>
        <w:t>(7)</w:t>
      </w:r>
      <w:r>
        <w:rPr>
          <w:noProof/>
        </w:rPr>
        <w:tab/>
        <w:t xml:space="preserve">Etapele care stau la baza ultimei cereri a Ucrainei se referă la diverse reforme prevăzute în plan în cadrul capitolelor privind sistemul judiciar, piețele financiare, capitalul uman, mediul de afaceri, sectorul energiei, transporturile, sectorul agro­alimentar și tranziția verde și protecția mediului. </w:t>
      </w:r>
      <w:r>
        <w:rPr>
          <w:noProof/>
          <w:color w:val="000000" w:themeColor="text1"/>
        </w:rPr>
        <w:t>Evaluarea rezilienței sistemului bancar a fost publicată. A intrat în vigoare legislația privind accesul la informații referitoare la rețelele externe de inginerie. A fost publicat raportul privind punerea în aplicare a sprijinului de stat acordat prin Registrul agricol de stat. A intrat în vigoare legislația de revizuire a declarațiilor de integritate ale judecătorilor și privind procesul de verificare a declarațiilor. A intrat în vigoare legislația de sprijinire a dezvoltării unui sistem de încălzire centralizată eficient și durabil. A fost numit un nou operator al pieței energiei electrice. A intrat în vigoare legislația privind siguranța traficului și interoperabilitatea transportului feroviar. A intrat în vigoare legislația menită să îmbunătățească soluționarea problemei creditelor neperformante. A fost adoptat un plan operațional de măsuri pentru depășirea diferențelor de remunerare între femei și bărbați. Au fost adoptate modificări ale procedurii naționale de monitorizare a apelor.</w:t>
      </w:r>
    </w:p>
    <w:p>
      <w:pPr>
        <w:pStyle w:val="ManualConsidrant"/>
        <w:rPr>
          <w:rFonts w:eastAsia="Times New Roman"/>
          <w:noProof/>
          <w:color w:val="000000" w:themeColor="text1"/>
          <w:sz w:val="23"/>
          <w:szCs w:val="23"/>
        </w:rPr>
      </w:pPr>
      <w:r>
        <w:rPr>
          <w:noProof/>
        </w:rPr>
        <w:t xml:space="preserve">(8) </w:t>
      </w:r>
      <w:r>
        <w:rPr>
          <w:noProof/>
        </w:rPr>
        <w:tab/>
      </w:r>
      <w:r>
        <w:rPr>
          <w:rStyle w:val="normaltextrun"/>
          <w:noProof/>
          <w:color w:val="000000" w:themeColor="text1"/>
        </w:rPr>
        <w:t>În conformitate cu metodologia de gestionare a îndeplinirii parțiale a etapelor adoptată de Comisie la 16 aprilie 2026</w:t>
      </w:r>
      <w:r>
        <w:rPr>
          <w:rStyle w:val="FootnoteReference"/>
          <w:noProof/>
          <w:color w:val="000000" w:themeColor="text1"/>
        </w:rPr>
        <w:footnoteReference w:id="5"/>
      </w:r>
      <w:r>
        <w:rPr>
          <w:rStyle w:val="normaltextrun"/>
          <w:noProof/>
          <w:color w:val="000000" w:themeColor="text1"/>
        </w:rPr>
        <w:t xml:space="preserve">, ar trebui să fie posibilă ajustarea valorii suspendării </w:t>
      </w:r>
      <w:r>
        <w:rPr>
          <w:noProof/>
        </w:rPr>
        <w:t xml:space="preserve">pentru </w:t>
      </w:r>
      <w:r>
        <w:rPr>
          <w:rStyle w:val="normaltextrun"/>
          <w:noProof/>
          <w:color w:val="000000" w:themeColor="text1"/>
        </w:rPr>
        <w:t xml:space="preserve">a ține seama de factorii atenuanți. </w:t>
      </w:r>
    </w:p>
    <w:p>
      <w:pPr>
        <w:pStyle w:val="ManualConsidrant"/>
        <w:rPr>
          <w:noProof/>
        </w:rPr>
      </w:pPr>
      <w:r>
        <w:rPr>
          <w:noProof/>
        </w:rPr>
        <w:t>(9)</w:t>
      </w:r>
      <w:r>
        <w:rPr>
          <w:noProof/>
        </w:rPr>
        <w:tab/>
        <w:t xml:space="preserve">În conformitate cu articolul 26 alineatul (3) din Regulamentul (UE) 2024/792, Comisia a analizat în detaliu cererea Ucrainei și a efectuat o evaluare pozitivă a îndeplinirii în mod satisfăcător, astfel cum se precizează în anexa la prezenta decizie, a unei etape restante necesare pentru cea de a cincea tranșă, a trei dintre etapele restante necesare pentru a șaptea tranșă și a trei din cele șapte etape necesare pentru cea de a opta tranșă. </w:t>
      </w:r>
      <w:r>
        <w:rPr>
          <w:noProof/>
        </w:rPr>
        <w:lastRenderedPageBreak/>
        <w:t xml:space="preserve">Comisia a considerat că dovezile furnizate pentru una dintre etapele necesare pentru cea de a opta tranșă nu sunt suficiente pentru a concluziona că aceasta este îndeplinită în mod satisfăcător. </w:t>
      </w:r>
      <w:r>
        <w:rPr>
          <w:noProof/>
          <w:color w:val="000000" w:themeColor="text1"/>
        </w:rPr>
        <w:t>Evaluarea a fost realizată în contextul punerii în aplicare a planului. Continuarea alinierii la acquis-ul Uniunii va fi facilitată prin procesul de aderare la UE.</w:t>
      </w:r>
      <w:r>
        <w:rPr>
          <w:noProof/>
        </w:rPr>
        <w:t xml:space="preserve"> În plus, Comisia a evaluat pozitiv îndeplinirea satisfăcătoare a trei etape în cadrul celei de a noua tranșe și a inclus evaluarea sa cu privire la etapele respective în anexa la prezenta decizie. Evaluarea respectivă este efectuată exclusiv în vederea aplicării metodologiei de plată parțială și nu aduce atingere evaluării complete a celei de a noua tranșe. Acest lucru nu implică plata dublă pentru etapele în cauză. Pe baza acestei evaluări și în concordanță cu metodologia de gestionare a îndeplinirii parțiale a etapelor </w:t>
      </w:r>
      <w:r>
        <w:rPr>
          <w:rStyle w:val="normaltextrun"/>
          <w:noProof/>
          <w:color w:val="000000" w:themeColor="text1"/>
        </w:rPr>
        <w:t>Planului pentru Ucraina, Comisia propune reducerea valorii suspendării legate de etapele neîndeplinite din cadrul celei de a opta tranșe, asigurând totodată menținerea unor stimulente suficiente pentru ca Ucraina să implementeze etapele care nu au fost îndeplinite.</w:t>
      </w:r>
      <w:r>
        <w:rPr>
          <w:noProof/>
          <w:color w:val="000000" w:themeColor="text1"/>
        </w:rPr>
        <w:t xml:space="preserve"> Cele trei etape îndeplinite în mod satisfăcător din cea de a noua tranșă au fost luate în considerare la stabilirea reducerii propuse a valorii suspendării.</w:t>
      </w:r>
    </w:p>
    <w:p>
      <w:pPr>
        <w:pStyle w:val="ManualConsidrant"/>
        <w:rPr>
          <w:noProof/>
        </w:rPr>
      </w:pPr>
      <w:r>
        <w:rPr>
          <w:noProof/>
        </w:rPr>
        <w:t>(10)</w:t>
      </w:r>
      <w:r>
        <w:rPr>
          <w:noProof/>
        </w:rPr>
        <w:tab/>
        <w:t>În cererea sa de plată, Ucraina a confirmat că nu a anulat nicio măsură legată de etapele pe care aceasta le îndeplinise anterior în mod satisfăcător.</w:t>
      </w:r>
    </w:p>
    <w:p>
      <w:pPr>
        <w:pStyle w:val="ManualConsidrant"/>
        <w:rPr>
          <w:noProof/>
        </w:rPr>
      </w:pPr>
      <w:r>
        <w:rPr>
          <w:noProof/>
        </w:rPr>
        <w:t>(11)</w:t>
      </w:r>
      <w:r>
        <w:rPr>
          <w:noProof/>
        </w:rPr>
        <w:tab/>
        <w:t>De asemenea, Comisia a considerat că Ucraina îndeplinește în continuare condiția prealabilă pentru acordarea sprijinului din partea Uniunii, prevăzută la articolul 5 din Regulamentul (UE) 2024/792. În special, Ucraina continuă să susțină și să respecte mecanisme democratice eficace, inclusiv un sistem parlamentar pluripartit și statul de drept, precum și să garanteze respectarea drepturilor omului, inclusiv a drepturilor persoanelor care aparțin minorităților.</w:t>
      </w:r>
    </w:p>
    <w:p>
      <w:pPr>
        <w:pStyle w:val="ManualConsidrant"/>
        <w:rPr>
          <w:noProof/>
        </w:rPr>
      </w:pPr>
      <w:r>
        <w:rPr>
          <w:noProof/>
        </w:rPr>
        <w:t>(12)</w:t>
      </w:r>
      <w:r>
        <w:rPr>
          <w:noProof/>
        </w:rPr>
        <w:tab/>
        <w:t>Prin urmare, prezenta decizie ar trebui să constate faptul că Ucraina a îndeplinit în mod satisfăcător condițiile relevante pentru plata celei de a cincea tranșe cu privire la o etapă restantă din cadrul planului, a celei de a șaptea tranșe cu privire la trei etape restante și a celei de a opta tranșe cu privire la trei din cele șapte etape.</w:t>
      </w:r>
    </w:p>
    <w:p>
      <w:pPr>
        <w:pStyle w:val="ManualConsidrant"/>
        <w:rPr>
          <w:noProof/>
        </w:rPr>
      </w:pPr>
      <w:r>
        <w:rPr>
          <w:noProof/>
        </w:rPr>
        <w:t>(13)</w:t>
      </w:r>
      <w:r>
        <w:rPr>
          <w:noProof/>
        </w:rPr>
        <w:tab/>
        <w:t xml:space="preserve">Având în vedere nevoile financiare urgente ale Ucrainei, este extrem de important ca fondurile să fie vărsate cât mai curând posibil. Dat fiind caracterul urgent al situației și pentru a accelera procesul, prezenta decizie ar trebui să intre în vigoare la data publicării în </w:t>
      </w:r>
      <w:r>
        <w:rPr>
          <w:i/>
          <w:iCs/>
          <w:noProof/>
        </w:rPr>
        <w:t>Jurnalul Oficial al Uniunii Europene</w:t>
      </w:r>
      <w:r>
        <w:rPr>
          <w:noProof/>
        </w:rPr>
        <w:t xml:space="preserve"> și ar trebui să se aplice de la data adoptării sale,</w:t>
      </w:r>
    </w:p>
    <w:p>
      <w:pPr>
        <w:pStyle w:val="Formuledadoption"/>
        <w:rPr>
          <w:noProof/>
        </w:rPr>
      </w:pPr>
      <w:r>
        <w:rPr>
          <w:noProof/>
        </w:rPr>
        <w:t xml:space="preserve">ADOPTĂ PREZENTA DECIZIE: </w:t>
      </w:r>
    </w:p>
    <w:p>
      <w:pPr>
        <w:pStyle w:val="Titrearticle"/>
        <w:rPr>
          <w:noProof/>
        </w:rPr>
      </w:pPr>
      <w:r>
        <w:rPr>
          <w:noProof/>
        </w:rPr>
        <w:t>Articolul 1</w:t>
      </w:r>
    </w:p>
    <w:p>
      <w:pPr>
        <w:jc w:val="center"/>
        <w:rPr>
          <w:b/>
          <w:bCs/>
          <w:noProof/>
        </w:rPr>
      </w:pPr>
      <w:r>
        <w:rPr>
          <w:b/>
          <w:noProof/>
        </w:rPr>
        <w:t>Constatarea îndeplinirii satisfăcătoare a condițiilor pentru plată</w:t>
      </w:r>
    </w:p>
    <w:p>
      <w:pPr>
        <w:pStyle w:val="LegalNumPar"/>
        <w:spacing w:line="240" w:lineRule="auto"/>
        <w:rPr>
          <w:noProof/>
        </w:rPr>
      </w:pPr>
      <w:r>
        <w:rPr>
          <w:noProof/>
        </w:rPr>
        <w:t>Se constată îndeplinirea în mod satisfăcător a condițiilor relevante pentru plata parțială a celei de a cincea, a șaptea și a opta tranșe a sprijinului financiar nerambursabil și a sprijinului sub formă de împrumut, în cuantum total de 3 047 005 318,86 EUR, înainte de verificarea prefinanțării, din care 386 258 902 EUR corespund celei de a cincea tranșe, 368 010 367 EUR corespund celei de a șaptea tranșe, iar 2 292 736 049,86 EUR celei de a opta tranșe, în concordanță cu evaluarea furnizată de Comisie în conformitate cu articolul 26 din Regulamentul (UE) 2024/792 și anexată la prezenta decizie.</w:t>
      </w:r>
    </w:p>
    <w:p>
      <w:pPr>
        <w:pStyle w:val="LegalNumPar"/>
        <w:spacing w:line="240" w:lineRule="auto"/>
        <w:rPr>
          <w:noProof/>
        </w:rPr>
      </w:pPr>
      <w:r>
        <w:rPr>
          <w:noProof/>
        </w:rPr>
        <w:t xml:space="preserve">Se constată aplicarea unui factor atenuant, ținând seama de îndeplinirea în mod satisfăcător a trei etape din cadrul celei de a noua tranșe, de importanța etapelor care nu au fost îndeplinite și de motivele neîndeplinirii acestora, precum și de importanța etapelor cantitative și calitative care au fost îndeplinite anticipat. Aplicarea factorului atenuant conduce la suspendarea valorii corespunzătoare </w:t>
      </w:r>
      <w:r>
        <w:rPr>
          <w:rStyle w:val="normaltextrun"/>
          <w:noProof/>
          <w:color w:val="000000" w:themeColor="text1"/>
        </w:rPr>
        <w:t>etapelor neîndeplinite din cadrul celei de a opta tranșe, aceasta fiind redusă cu suma de 1 146 368 024 EUR.</w:t>
      </w:r>
    </w:p>
    <w:p>
      <w:pPr>
        <w:pStyle w:val="Titrearticle"/>
        <w:rPr>
          <w:noProof/>
        </w:rPr>
      </w:pPr>
      <w:r>
        <w:rPr>
          <w:noProof/>
        </w:rPr>
        <w:t>Articolul 2</w:t>
      </w:r>
    </w:p>
    <w:p>
      <w:pPr>
        <w:ind w:left="2880" w:firstLine="720"/>
        <w:rPr>
          <w:b/>
          <w:bCs/>
          <w:noProof/>
        </w:rPr>
      </w:pPr>
      <w:r>
        <w:rPr>
          <w:b/>
          <w:noProof/>
        </w:rPr>
        <w:t>Intrare în vigoare</w:t>
      </w:r>
    </w:p>
    <w:p>
      <w:pPr>
        <w:rPr>
          <w:noProof/>
        </w:rPr>
      </w:pPr>
    </w:p>
    <w:p>
      <w:pPr>
        <w:keepNext/>
        <w:keepLines/>
        <w:rPr>
          <w:noProof/>
        </w:rPr>
      </w:pPr>
      <w:r>
        <w:rPr>
          <w:noProof/>
        </w:rPr>
        <w:t xml:space="preserve">Prezenta decizie intră în vigoare la data publicării în </w:t>
      </w:r>
      <w:r>
        <w:rPr>
          <w:i/>
          <w:iCs/>
          <w:noProof/>
        </w:rPr>
        <w:t>Jurnalul Oficial al Uniunii Europene</w:t>
      </w:r>
      <w:r>
        <w:rPr>
          <w:noProof/>
        </w:rPr>
        <w:t>.</w:t>
      </w:r>
    </w:p>
    <w:p>
      <w:pPr>
        <w:keepNext/>
        <w:keepLines/>
        <w:rPr>
          <w:noProof/>
        </w:rPr>
      </w:pPr>
      <w:r>
        <w:rPr>
          <w:noProof/>
        </w:rPr>
        <w:t>Se aplică de la data adoptării.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b/>
          <w:bCs/>
        </w:rPr>
      </w:pPr>
      <w:r>
        <w:rPr>
          <w:rStyle w:val="FootnoteReference"/>
        </w:rPr>
        <w:footnoteRef/>
      </w:r>
      <w:r>
        <w:tab/>
        <w:t xml:space="preserve">JO L, 2024/792, 29.2.2024, ELI: </w:t>
      </w:r>
      <w:hyperlink r:id="rId1">
        <w:r>
          <w:rPr>
            <w:rStyle w:val="Hyperlink"/>
          </w:rPr>
          <w:t>http://data.europa.eu/eli/reg/2024/792/oj</w:t>
        </w:r>
      </w:hyperlink>
      <w:r>
        <w:t>.</w:t>
      </w:r>
    </w:p>
  </w:footnote>
  <w:footnote w:id="3">
    <w:p>
      <w:pPr>
        <w:pStyle w:val="FootnoteText"/>
        <w:rPr>
          <w:lang w:val="fr-BE"/>
        </w:rPr>
      </w:pPr>
      <w:r>
        <w:rPr>
          <w:rStyle w:val="FootnoteReference"/>
        </w:rPr>
        <w:footnoteRef/>
      </w:r>
      <w:r>
        <w:rPr>
          <w:lang w:val="fr-BE"/>
        </w:rPr>
        <w:tab/>
        <w:t xml:space="preserve">Decizia de punere în aplicare (UE) 2026/1923 a Consiliului din 30 iulie 2026 de modificare a Deciziei de punere în aplicare (UE) 2024/1447 de aprobare a evaluării Planului pentru Ucraina (JO L, 2026/1923, 7.8.2026, ELI: </w:t>
      </w:r>
      <w:hyperlink r:id="rId2" w:history="1">
        <w:r>
          <w:rPr>
            <w:rStyle w:val="Hyperlink"/>
            <w:lang w:val="fr-BE"/>
          </w:rPr>
          <w:t>http://data.europa.eu/eli/dec_impl/2026/1923/oj</w:t>
        </w:r>
      </w:hyperlink>
      <w:r>
        <w:rPr>
          <w:lang w:val="fr-BE"/>
        </w:rPr>
        <w:t>).</w:t>
      </w:r>
    </w:p>
  </w:footnote>
  <w:footnote w:id="4">
    <w:p>
      <w:pPr>
        <w:pStyle w:val="FootnoteText"/>
        <w:rPr>
          <w:lang w:val="fr-BE"/>
        </w:rPr>
      </w:pPr>
      <w:r>
        <w:rPr>
          <w:rStyle w:val="FootnoteReference"/>
        </w:rPr>
        <w:footnoteRef/>
      </w:r>
      <w:r>
        <w:rPr>
          <w:lang w:val="fr-BE"/>
        </w:rPr>
        <w:tab/>
        <w:t>Decizia de punere în aplicare (UE) 2024/1447 a Consiliului din 14 mai 2024 de aprobare a evaluării Planului pentru Ucraina (</w:t>
      </w:r>
      <w:hyperlink r:id="rId3" w:history="1">
        <w:r>
          <w:rPr>
            <w:rStyle w:val="Hyperlink"/>
            <w:lang w:val="fr-BE"/>
          </w:rPr>
          <w:t>JO L, 2024/1447, 24.5.2024, ELI:</w:t>
        </w:r>
      </w:hyperlink>
      <w:hyperlink r:id="rId4" w:history="1">
        <w:r>
          <w:rPr>
            <w:rStyle w:val="Hyperlink"/>
            <w:lang w:val="fr-BE"/>
          </w:rPr>
          <w:t> http://data.europa.eu/eli/dec_impl/2024/1447/oj</w:t>
        </w:r>
      </w:hyperlink>
    </w:p>
  </w:footnote>
  <w:footnote w:id="5">
    <w:p>
      <w:pPr>
        <w:pStyle w:val="FootnoteText"/>
        <w:rPr>
          <w:lang w:val="fr-BE"/>
        </w:rPr>
      </w:pPr>
      <w:r>
        <w:rPr>
          <w:rStyle w:val="FootnoteReference"/>
        </w:rPr>
        <w:footnoteRef/>
      </w:r>
      <w:r>
        <w:rPr>
          <w:lang w:val="fr-BE"/>
        </w:rPr>
        <w:tab/>
        <w:t xml:space="preserve">Comunicare a Comisiei de modificare a metodologiei de gestionare a îndeplinirii parțiale a etapelor Planului pentru Ucraina în temeiul Regulamentului privind Mecanismul pentru Ucraina și de înlocuire a Comunicării C(2025)1725 (JO C, 2026/2328, 17.4.2026, ELI: </w:t>
      </w:r>
      <w:hyperlink r:id="rId5" w:history="1">
        <w:r>
          <w:rPr>
            <w:rStyle w:val="Hyperlink"/>
            <w:lang w:val="fr-BE"/>
          </w:rPr>
          <w:t>http://data.europa.eu/eli/C/2026/2328/oj</w:t>
        </w:r>
      </w:hyperlink>
      <w:r>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20"/>
  </w:num>
  <w:num w:numId="11">
    <w:abstractNumId w:val="13"/>
  </w:num>
  <w:num w:numId="12">
    <w:abstractNumId w:val="22"/>
  </w:num>
  <w:num w:numId="13">
    <w:abstractNumId w:val="11"/>
  </w:num>
  <w:num w:numId="14">
    <w:abstractNumId w:val="14"/>
  </w:num>
  <w:num w:numId="15">
    <w:abstractNumId w:val="15"/>
  </w:num>
  <w:num w:numId="16">
    <w:abstractNumId w:val="9"/>
  </w:num>
  <w:num w:numId="17">
    <w:abstractNumId w:val="21"/>
  </w:num>
  <w:num w:numId="18">
    <w:abstractNumId w:val="8"/>
  </w:num>
  <w:num w:numId="19">
    <w:abstractNumId w:val="16"/>
  </w:num>
  <w:num w:numId="20">
    <w:abstractNumId w:val="18"/>
  </w:num>
  <w:num w:numId="21">
    <w:abstractNumId w:val="19"/>
  </w:num>
  <w:num w:numId="22">
    <w:abstractNumId w:val="10"/>
  </w:num>
  <w:num w:numId="23">
    <w:abstractNumId w:val="17"/>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16:29: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F3EF7DA-00F2-49BA-AF8A-3CD339B57AE4"/>
    <w:docVar w:name="LW_COVERPAGE_TYPE" w:val="1"/>
    <w:docVar w:name="LW_CROSSREFERENCE" w:val="&lt;UNUSED&gt;"/>
    <w:docVar w:name="LW_DocType" w:val="COM"/>
    <w:docVar w:name="LW_EMISSION" w:val="3.9.2026"/>
    <w:docVar w:name="LW_EMISSION_ISODATE" w:val="2026-09-03"/>
    <w:docVar w:name="LW_EMISSION_LOCATION" w:val="BRX"/>
    <w:docVar w:name="LW_EMISSION_PREFIX" w:val="Bruxelle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66"/>
    <w:docVar w:name="LW_REF.II.NEW.CP_YEAR" w:val="2026"/>
    <w:docVar w:name="LW_REF.INST.NEW" w:val="COM"/>
    <w:docVar w:name="LW_REF.INST.NEW_ADOPTED" w:val="final"/>
    <w:docVar w:name="LW_REF.INST.NEW_TEXT" w:val="(2026) 4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nstatarea îndeplinirii în mod satisf\u259?c\u259?tor a condi\u539?iilor pentru plata par\u539?ial\u259? a celei de a opta tran\u537?e din cadrul Planului pentru Ucraina al Mecanismului pentru Ucraina _x000b_"/>
    <w:docVar w:name="LW_TYPE.DOC.CP" w:val="DECIZIE DE PUNERE ÎN APLICAR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253C26A-F68C-4B4A-82A3-364911D8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customStyle="1" w:styleId="cf01">
    <w:name w:val="cf01"/>
    <w:basedOn w:val="DefaultParagraphFont"/>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LegalNumPar">
    <w:name w:val="LegalNumPar"/>
    <w:basedOn w:val="Normal"/>
    <w:pPr>
      <w:numPr>
        <w:numId w:val="5"/>
      </w:numPr>
      <w:spacing w:line="360" w:lineRule="auto"/>
    </w:pPr>
  </w:style>
  <w:style w:type="paragraph" w:customStyle="1" w:styleId="LegalNumPar2">
    <w:name w:val="LegalNumPar2"/>
    <w:basedOn w:val="Normal"/>
    <w:pPr>
      <w:numPr>
        <w:ilvl w:val="1"/>
        <w:numId w:val="5"/>
      </w:numPr>
      <w:spacing w:line="360" w:lineRule="auto"/>
    </w:pPr>
  </w:style>
  <w:style w:type="paragraph" w:customStyle="1" w:styleId="LegalNumPar3">
    <w:name w:val="LegalNumPar3"/>
    <w:basedOn w:val="Normal"/>
    <w:pPr>
      <w:numPr>
        <w:ilvl w:val="2"/>
        <w:numId w:val="5"/>
      </w:numPr>
      <w:spacing w:line="360" w:lineRule="auto"/>
    </w:pPr>
  </w:style>
  <w:style w:type="character" w:customStyle="1" w:styleId="Mention1">
    <w:name w:val="Mention1"/>
    <w:basedOn w:val="DefaultParagraphFont"/>
    <w:uiPriority w:val="99"/>
    <w:unhideWhenUsed/>
    <w:rPr>
      <w:color w:val="2B579A"/>
      <w:shd w:val="clear" w:color="auto" w:fill="E1DFDD"/>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eli/dec_impl/2024/1447/oj" TargetMode="External"/><Relationship Id="rId2" Type="http://schemas.openxmlformats.org/officeDocument/2006/relationships/hyperlink" Target="http://data.europa.eu/eli/dec_impl/2026/1923/oj)." TargetMode="External"/><Relationship Id="rId1" Type="http://schemas.openxmlformats.org/officeDocument/2006/relationships/hyperlink" Target="http://data.europa.eu/eli/reg/2024/792/oj" TargetMode="External"/><Relationship Id="rId5" Type="http://schemas.openxmlformats.org/officeDocument/2006/relationships/hyperlink" Target="http://data.europa.eu/eli/C/2026/2328/oj" TargetMode="External"/><Relationship Id="rId4" Type="http://schemas.openxmlformats.org/officeDocument/2006/relationships/hyperlink" Target="https://data.europa.eu/eli/dec_impl/2024/144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2.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2009CBBF-1CAC-4657-A80C-AAD66DF8E21A}">
  <ds:schemaRefs>
    <ds:schemaRef ds:uri="http://schemas.openxmlformats.org/officeDocument/2006/bibliography"/>
  </ds:schemaRefs>
</ds:datastoreItem>
</file>

<file path=customXml/itemProps4.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5</Pages>
  <Words>1494</Words>
  <Characters>8521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13</cp:revision>
  <dcterms:created xsi:type="dcterms:W3CDTF">2026-09-01T08:55:00Z</dcterms:created>
  <dcterms:modified xsi:type="dcterms:W3CDTF">2026-09-09T14:29:00Z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