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01386E2-B5EB-4501-904C-180842529C87" style="width:455.25pt;height:368.2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ANEXĂ </w:t>
      </w:r>
    </w:p>
    <w:p>
      <w:pPr>
        <w:rPr>
          <w:noProof/>
        </w:rPr>
      </w:pPr>
    </w:p>
    <w:p>
      <w:pPr>
        <w:contextualSpacing/>
        <w:rPr>
          <w:rFonts w:eastAsia="Calibri"/>
          <w:b/>
          <w:bCs/>
          <w:noProof/>
          <w:szCs w:val="24"/>
        </w:rPr>
      </w:pPr>
      <w:r>
        <w:rPr>
          <w:b/>
          <w:noProof/>
        </w:rPr>
        <w:t>REZUMAT</w:t>
      </w:r>
    </w:p>
    <w:p>
      <w:pPr>
        <w:contextualSpacing/>
        <w:rPr>
          <w:rFonts w:eastAsia="Calibri"/>
          <w:b/>
          <w:bCs/>
          <w:noProof/>
          <w:szCs w:val="24"/>
        </w:rPr>
      </w:pPr>
    </w:p>
    <w:p>
      <w:pPr>
        <w:contextualSpacing/>
        <w:rPr>
          <w:rFonts w:eastAsia="Calibri"/>
          <w:noProof/>
          <w:szCs w:val="24"/>
          <w:shd w:val="clear" w:color="auto" w:fill="FFFF00"/>
        </w:rPr>
      </w:pPr>
      <w:r>
        <w:rPr>
          <w:noProof/>
        </w:rPr>
        <w:t>La 24 august 2026, Ucraina a prezentat o cerere de plată parţială pentru a cincea, a șaptea și a opta tranșă a Planului pentru Ucraina, în conformitate cu articolul 26 din Regulamentul (UE) 2024/792 din 29 februarie 2024 de instituire a Mecanismului pentru Ucraina</w:t>
      </w:r>
      <w:r>
        <w:rPr>
          <w:rStyle w:val="FootnoteReference"/>
          <w:rFonts w:eastAsia="Calibri"/>
          <w:noProof/>
          <w:szCs w:val="24"/>
        </w:rPr>
        <w:footnoteReference w:id="1"/>
      </w:r>
      <w:r>
        <w:rPr>
          <w:noProof/>
        </w:rPr>
        <w:t>. În sprijinul cererii de plată, Ucraina a furnizat justificări ale îndeplinirii în mod satisfăcător a unei etape din cadrul celei de a cincea tranșe, a trei etape din cadrul celei de a șaptea tranșe și a patru etape din cadrul celei de a opta tranșe prevăzute în anexa la Decizia de punere în aplicare (UE) 2024/1447 a Consiliului din 14 mai 2024 de aprobare a evaluării Planului pentru Ucraina</w:t>
      </w:r>
      <w:r>
        <w:rPr>
          <w:rStyle w:val="FootnoteReference"/>
          <w:noProof/>
        </w:rPr>
        <w:footnoteReference w:id="2"/>
      </w:r>
      <w:r>
        <w:rPr>
          <w:noProof/>
        </w:rPr>
        <w:t>, astfel cum a fost modificată prin Decizia de punere în aplicare (UE) 2026/1923 a Consiliului (denumită în continuare „anexa la Decizia de punere în aplicare a Consiliului”)</w:t>
      </w:r>
      <w:r>
        <w:rPr>
          <w:rStyle w:val="FootnoteReference"/>
          <w:rFonts w:eastAsia="Calibri"/>
          <w:noProof/>
          <w:szCs w:val="24"/>
        </w:rPr>
        <w:footnoteReference w:id="3"/>
      </w:r>
      <w:r>
        <w:rPr>
          <w:noProof/>
        </w:rPr>
        <w:t>. Ucraina a furnizat, de asemenea, dovezi pentru trei etape din cea de a noua tranșă.</w:t>
      </w:r>
    </w:p>
    <w:p>
      <w:pPr>
        <w:contextualSpacing/>
        <w:rPr>
          <w:rFonts w:eastAsia="Calibri"/>
          <w:noProof/>
          <w:szCs w:val="24"/>
          <w:shd w:val="clear" w:color="auto" w:fill="FFFF00"/>
        </w:rPr>
      </w:pPr>
    </w:p>
    <w:p>
      <w:pPr>
        <w:spacing w:after="0"/>
        <w:contextualSpacing/>
        <w:rPr>
          <w:rFonts w:eastAsia="Calibri"/>
          <w:noProof/>
          <w:szCs w:val="24"/>
        </w:rPr>
      </w:pPr>
      <w:r>
        <w:rPr>
          <w:noProof/>
        </w:rPr>
        <w:t xml:space="preserve">Pe baza informațiilor furnizate de Ucraina, se consideră că cele trei etape ale celei de a opta tranșe au fost îndeplinite în mod satisfăcător. </w:t>
      </w:r>
    </w:p>
    <w:p>
      <w:pPr>
        <w:spacing w:after="0"/>
        <w:contextualSpacing/>
        <w:rPr>
          <w:rFonts w:eastAsia="Calibri"/>
          <w:noProof/>
          <w:szCs w:val="24"/>
        </w:rPr>
      </w:pPr>
    </w:p>
    <w:p>
      <w:pPr>
        <w:pStyle w:val="Bullet0"/>
        <w:numPr>
          <w:ilvl w:val="0"/>
          <w:numId w:val="29"/>
        </w:numPr>
        <w:rPr>
          <w:noProof/>
        </w:rPr>
      </w:pPr>
      <w:r>
        <w:rPr>
          <w:noProof/>
        </w:rPr>
        <w:t>Etapa 5.1, referitoare la publicarea evaluării rezilienței sistemului bancar</w:t>
      </w:r>
    </w:p>
    <w:p>
      <w:pPr>
        <w:pStyle w:val="Bullet0"/>
        <w:numPr>
          <w:ilvl w:val="0"/>
          <w:numId w:val="20"/>
        </w:numPr>
        <w:rPr>
          <w:noProof/>
        </w:rPr>
      </w:pPr>
      <w:r>
        <w:rPr>
          <w:noProof/>
        </w:rPr>
        <w:t>Etapa 8.5, referitoare la intrarea în vigoare a legislației privind accesul la informațiile privind lucrările tehnico-edilitare exterioare</w:t>
      </w:r>
    </w:p>
    <w:p>
      <w:pPr>
        <w:pStyle w:val="Bullet0"/>
        <w:numPr>
          <w:ilvl w:val="0"/>
          <w:numId w:val="21"/>
        </w:numPr>
        <w:rPr>
          <w:noProof/>
        </w:rPr>
      </w:pPr>
      <w:r>
        <w:rPr>
          <w:noProof/>
        </w:rPr>
        <w:t>Etapa 12.6, referitoare la publicarea raportului privind punerea în aplicare a sprijinului de stat prin intermediul Registrului agricol public</w:t>
      </w:r>
    </w:p>
    <w:p>
      <w:pPr>
        <w:spacing w:after="0"/>
        <w:contextualSpacing/>
        <w:rPr>
          <w:rFonts w:eastAsia="Calibri"/>
          <w:noProof/>
          <w:szCs w:val="24"/>
        </w:rPr>
      </w:pPr>
      <w:r>
        <w:rPr>
          <w:noProof/>
        </w:rPr>
        <w:t>Comisia a considerat că dovezile furnizate pentru una dintre etapele necesare pentru cea de a opta tranșă nu sunt suficiente pentru a concluziona că aceasta este îndeplinită în mod satisfăcător (etapa 1.5 referitoare la Sistemul informatic de gestionare a resurselor umane).</w:t>
      </w:r>
    </w:p>
    <w:p>
      <w:pPr>
        <w:spacing w:after="0"/>
        <w:contextualSpacing/>
        <w:rPr>
          <w:rFonts w:eastAsia="Calibri"/>
          <w:noProof/>
          <w:szCs w:val="24"/>
        </w:rPr>
      </w:pPr>
    </w:p>
    <w:p>
      <w:pPr>
        <w:spacing w:after="0"/>
        <w:contextualSpacing/>
        <w:rPr>
          <w:rFonts w:eastAsia="Calibri"/>
          <w:noProof/>
          <w:szCs w:val="24"/>
        </w:rPr>
      </w:pPr>
      <w:r>
        <w:rPr>
          <w:noProof/>
        </w:rPr>
        <w:t>În plus, informațiile furnizate de Ucraina arată că au fost îndeplinite în mod satisfăcător o etapă din cea de a cincea tranșă și trei etape din cea de a șaptea tranșă.</w:t>
      </w:r>
    </w:p>
    <w:p>
      <w:pPr>
        <w:spacing w:after="0"/>
        <w:contextualSpacing/>
        <w:rPr>
          <w:rFonts w:eastAsia="Calibri"/>
          <w:noProof/>
          <w:szCs w:val="24"/>
        </w:rPr>
      </w:pPr>
    </w:p>
    <w:p>
      <w:pPr>
        <w:pStyle w:val="Bullet0"/>
        <w:numPr>
          <w:ilvl w:val="0"/>
          <w:numId w:val="22"/>
        </w:numPr>
        <w:rPr>
          <w:noProof/>
        </w:rPr>
      </w:pPr>
      <w:r>
        <w:rPr>
          <w:noProof/>
        </w:rPr>
        <w:t>Etapa 3.5, referitoare la intrarea în vigoare a legislației privind revizuirea declarațiilor de integritate ale judecătorilor și a procesului de verificare a acestora</w:t>
      </w:r>
    </w:p>
    <w:p>
      <w:pPr>
        <w:pStyle w:val="Bullet0"/>
        <w:numPr>
          <w:ilvl w:val="0"/>
          <w:numId w:val="23"/>
        </w:numPr>
        <w:rPr>
          <w:noProof/>
        </w:rPr>
      </w:pPr>
      <w:r>
        <w:rPr>
          <w:noProof/>
        </w:rPr>
        <w:t>Etapa 10.7, referitoare la numirea unui nou operator al pieței energiei electrice.</w:t>
      </w:r>
    </w:p>
    <w:p>
      <w:pPr>
        <w:pStyle w:val="Bullet0"/>
        <w:numPr>
          <w:ilvl w:val="0"/>
          <w:numId w:val="24"/>
        </w:numPr>
        <w:rPr>
          <w:noProof/>
        </w:rPr>
      </w:pPr>
      <w:r>
        <w:rPr>
          <w:noProof/>
        </w:rPr>
        <w:t>Etapa 10.14, referitoare la intrarea în vigoare a legislației cu scopul de a sprijini dezvoltarea unei termoficări eficiente și mai durabile.</w:t>
      </w:r>
    </w:p>
    <w:p>
      <w:pPr>
        <w:pStyle w:val="Bullet0"/>
        <w:numPr>
          <w:ilvl w:val="0"/>
          <w:numId w:val="25"/>
        </w:numPr>
        <w:rPr>
          <w:noProof/>
        </w:rPr>
      </w:pPr>
      <w:r>
        <w:rPr>
          <w:noProof/>
        </w:rPr>
        <w:lastRenderedPageBreak/>
        <w:t>Etapa 11.3, referitoare la intrarea în vigoare a legislației privind siguranța traficului și interoperabilitatea transportului feroviar din Ucraina în termen de trei ani de la adoptarea acesteia.</w:t>
      </w:r>
    </w:p>
    <w:p>
      <w:pPr>
        <w:spacing w:after="0"/>
        <w:contextualSpacing/>
        <w:rPr>
          <w:rFonts w:eastAsia="Calibri"/>
          <w:noProof/>
          <w:szCs w:val="24"/>
        </w:rPr>
      </w:pPr>
    </w:p>
    <w:p>
      <w:pPr>
        <w:spacing w:after="0"/>
        <w:contextualSpacing/>
        <w:rPr>
          <w:rFonts w:eastAsia="Calibri"/>
          <w:noProof/>
        </w:rPr>
      </w:pPr>
      <w:r>
        <w:rPr>
          <w:noProof/>
        </w:rPr>
        <w:t>În plus, în conformitate cu metodologia de evaluare a îndeplinirii parțiale a etapelor din cadrul Planului pentru Ucraina, următoarele etape programate pentru cea de a noua tranșă au fost declarate de Ucraina spre a fi luate în considerare ca potențiali factori atenuanți:</w:t>
      </w:r>
    </w:p>
    <w:p>
      <w:pPr>
        <w:spacing w:after="0"/>
        <w:contextualSpacing/>
        <w:rPr>
          <w:rFonts w:eastAsia="Calibri"/>
          <w:noProof/>
          <w:szCs w:val="24"/>
        </w:rPr>
      </w:pPr>
    </w:p>
    <w:p>
      <w:pPr>
        <w:pStyle w:val="Bullet0"/>
        <w:numPr>
          <w:ilvl w:val="0"/>
          <w:numId w:val="26"/>
        </w:numPr>
        <w:rPr>
          <w:noProof/>
        </w:rPr>
      </w:pPr>
      <w:r>
        <w:rPr>
          <w:noProof/>
        </w:rPr>
        <w:t>etapa 5.5, referitoare la intrarea în vigoare a actelor juridice menite să îmbunătățească soluționarea creditelor neperformante;</w:t>
      </w:r>
    </w:p>
    <w:p>
      <w:pPr>
        <w:pStyle w:val="Bullet0"/>
        <w:numPr>
          <w:ilvl w:val="0"/>
          <w:numId w:val="27"/>
        </w:numPr>
        <w:rPr>
          <w:noProof/>
        </w:rPr>
      </w:pPr>
      <w:r>
        <w:rPr>
          <w:noProof/>
        </w:rPr>
        <w:t>etapa 7.20, referitoare la aprobarea planului operațional de măsuri pentru depășirea diferenței de remunerare între femei și bărbați pentru perioada de până în 2030 și</w:t>
      </w:r>
    </w:p>
    <w:p>
      <w:pPr>
        <w:pStyle w:val="Bullet0"/>
        <w:numPr>
          <w:ilvl w:val="0"/>
          <w:numId w:val="28"/>
        </w:numPr>
        <w:rPr>
          <w:noProof/>
        </w:rPr>
      </w:pPr>
      <w:r>
        <w:rPr>
          <w:noProof/>
        </w:rPr>
        <w:t>etapa 15.11, referitoare la adoptarea amendamentelor la Rezoluția privind procedura de monitorizare a apelor de către stat.</w:t>
      </w:r>
    </w:p>
    <w:p>
      <w:pPr>
        <w:spacing w:after="0"/>
        <w:contextualSpacing/>
        <w:rPr>
          <w:rFonts w:eastAsia="Calibri"/>
          <w:noProof/>
          <w:szCs w:val="24"/>
        </w:rPr>
      </w:pPr>
    </w:p>
    <w:p>
      <w:pPr>
        <w:spacing w:after="0"/>
        <w:contextualSpacing/>
        <w:rPr>
          <w:rFonts w:eastAsia="Calibri"/>
          <w:noProof/>
          <w:szCs w:val="24"/>
        </w:rPr>
      </w:pPr>
      <w:r>
        <w:rPr>
          <w:noProof/>
        </w:rPr>
        <w:t xml:space="preserve">Ca parte a </w:t>
      </w:r>
      <w:r>
        <w:rPr>
          <w:b/>
          <w:bCs/>
          <w:noProof/>
        </w:rPr>
        <w:t>capitolului 3</w:t>
      </w:r>
      <w:r>
        <w:rPr>
          <w:noProof/>
        </w:rPr>
        <w:t xml:space="preserve"> privind sistemul judiciar, a intrat în vigoare legislația privind revizuirea declarațiilor de integritate a judecătorilor și a procesului de verificare a acestora.</w:t>
      </w:r>
    </w:p>
    <w:p>
      <w:pPr>
        <w:spacing w:after="0"/>
        <w:contextualSpacing/>
        <w:rPr>
          <w:rFonts w:eastAsia="Calibri"/>
          <w:noProof/>
          <w:szCs w:val="24"/>
        </w:rPr>
      </w:pPr>
    </w:p>
    <w:p>
      <w:pPr>
        <w:spacing w:after="0"/>
        <w:contextualSpacing/>
        <w:rPr>
          <w:rFonts w:eastAsia="Calibri"/>
          <w:noProof/>
          <w:szCs w:val="24"/>
        </w:rPr>
      </w:pPr>
      <w:r>
        <w:rPr>
          <w:noProof/>
        </w:rPr>
        <w:t xml:space="preserve">Ca parte a </w:t>
      </w:r>
      <w:r>
        <w:rPr>
          <w:b/>
          <w:bCs/>
          <w:noProof/>
        </w:rPr>
        <w:t>capitolului 5</w:t>
      </w:r>
      <w:r>
        <w:rPr>
          <w:noProof/>
        </w:rPr>
        <w:t xml:space="preserve"> privind piețele financiare, a fost publicată evaluarea rezilienței celor mai mari bănci din sistemul bancar. </w:t>
      </w:r>
    </w:p>
    <w:p>
      <w:pPr>
        <w:spacing w:after="0"/>
        <w:contextualSpacing/>
        <w:rPr>
          <w:rFonts w:eastAsia="Calibri"/>
          <w:noProof/>
          <w:szCs w:val="24"/>
        </w:rPr>
      </w:pPr>
    </w:p>
    <w:p>
      <w:pPr>
        <w:spacing w:after="0"/>
        <w:contextualSpacing/>
        <w:rPr>
          <w:rFonts w:eastAsia="Calibri"/>
          <w:noProof/>
          <w:szCs w:val="24"/>
        </w:rPr>
      </w:pPr>
      <w:r>
        <w:rPr>
          <w:noProof/>
        </w:rPr>
        <w:t xml:space="preserve">Ca parte a </w:t>
      </w:r>
      <w:r>
        <w:rPr>
          <w:b/>
          <w:bCs/>
          <w:noProof/>
        </w:rPr>
        <w:t>capitolului 7</w:t>
      </w:r>
      <w:r>
        <w:rPr>
          <w:noProof/>
        </w:rPr>
        <w:t xml:space="preserve"> privind capitalul uman, a fost aprobat Planul operațional de măsuri pentru punerea în aplicare, în perioada 2026-2028, a Strategiei naționale pentru eliminarea diferenței de remunerare între femei și bărbați pentru perioada de până în 2030. </w:t>
      </w:r>
    </w:p>
    <w:p>
      <w:pPr>
        <w:spacing w:after="0"/>
        <w:contextualSpacing/>
        <w:rPr>
          <w:rFonts w:eastAsia="Calibri"/>
          <w:noProof/>
          <w:szCs w:val="24"/>
        </w:rPr>
      </w:pPr>
    </w:p>
    <w:p>
      <w:pPr>
        <w:spacing w:after="0"/>
        <w:contextualSpacing/>
        <w:rPr>
          <w:rFonts w:eastAsia="Calibri"/>
          <w:noProof/>
          <w:szCs w:val="24"/>
        </w:rPr>
      </w:pPr>
      <w:r>
        <w:rPr>
          <w:noProof/>
        </w:rPr>
        <w:t xml:space="preserve">Ca parte a </w:t>
      </w:r>
      <w:r>
        <w:rPr>
          <w:b/>
          <w:bCs/>
          <w:noProof/>
        </w:rPr>
        <w:t>capitolului 8</w:t>
      </w:r>
      <w:r>
        <w:rPr>
          <w:noProof/>
        </w:rPr>
        <w:t xml:space="preserve"> privind mediul de afaceri, a intrat în vigoare legislația privind accesul la informațiile referitoare la lucrările de inginerie externe.  </w:t>
      </w:r>
    </w:p>
    <w:p>
      <w:pPr>
        <w:pStyle w:val="Default"/>
        <w:jc w:val="both"/>
        <w:rPr>
          <w:rFonts w:eastAsia="Calibri"/>
          <w:noProof/>
        </w:rPr>
      </w:pPr>
    </w:p>
    <w:p>
      <w:pPr>
        <w:pStyle w:val="Default"/>
        <w:jc w:val="both"/>
        <w:rPr>
          <w:noProof/>
        </w:rPr>
      </w:pPr>
      <w:r>
        <w:rPr>
          <w:noProof/>
        </w:rPr>
        <w:t xml:space="preserve">Ca parte a </w:t>
      </w:r>
      <w:r>
        <w:rPr>
          <w:b/>
          <w:bCs/>
          <w:noProof/>
        </w:rPr>
        <w:t>capitolului 10</w:t>
      </w:r>
      <w:r>
        <w:rPr>
          <w:noProof/>
        </w:rPr>
        <w:t xml:space="preserve"> privind sectorul energetic, a fost adoptată și a intrat în vigoare legislația de sprijinire a dezvoltării unui sistem de termoficare eficient și mai durabil și a fost numit un nou operator al pieței energiei electrice.</w:t>
      </w:r>
    </w:p>
    <w:p>
      <w:pPr>
        <w:pStyle w:val="Default"/>
        <w:jc w:val="both"/>
        <w:rPr>
          <w:noProof/>
        </w:rPr>
      </w:pPr>
    </w:p>
    <w:p>
      <w:pPr>
        <w:pStyle w:val="Default"/>
        <w:jc w:val="both"/>
        <w:rPr>
          <w:noProof/>
        </w:rPr>
      </w:pPr>
      <w:r>
        <w:rPr>
          <w:noProof/>
        </w:rPr>
        <w:t xml:space="preserve">Ca parte a </w:t>
      </w:r>
      <w:r>
        <w:rPr>
          <w:b/>
          <w:bCs/>
          <w:noProof/>
        </w:rPr>
        <w:t>capitolului 11</w:t>
      </w:r>
      <w:r>
        <w:rPr>
          <w:noProof/>
        </w:rPr>
        <w:t xml:space="preserve"> privind sectorul transporturilor, a fost adoptată și a intrat în vigoare legislația privind siguranța traficului și interoperabilitatea transportului feroviar din Ucraina.</w:t>
      </w:r>
    </w:p>
    <w:p>
      <w:pPr>
        <w:pStyle w:val="Default"/>
        <w:jc w:val="both"/>
        <w:rPr>
          <w:noProof/>
        </w:rPr>
      </w:pPr>
    </w:p>
    <w:p>
      <w:pPr>
        <w:spacing w:before="0" w:after="0"/>
        <w:rPr>
          <w:rFonts w:eastAsia="Calibri"/>
          <w:noProof/>
          <w:szCs w:val="24"/>
        </w:rPr>
      </w:pPr>
      <w:r>
        <w:rPr>
          <w:noProof/>
        </w:rPr>
        <w:t>Ca parte a </w:t>
      </w:r>
      <w:r>
        <w:rPr>
          <w:b/>
          <w:bCs/>
          <w:noProof/>
        </w:rPr>
        <w:t>capitolului 12</w:t>
      </w:r>
      <w:r>
        <w:rPr>
          <w:noProof/>
        </w:rPr>
        <w:t xml:space="preserve"> privind sectorul agroalimentar, a fost publicat raportul privind punerea în aplicare a sprijinului de stat prin intermediul Registrului agricol public.</w:t>
      </w:r>
    </w:p>
    <w:p>
      <w:pPr>
        <w:spacing w:before="0" w:after="0"/>
        <w:rPr>
          <w:rFonts w:eastAsia="Calibri"/>
          <w:noProof/>
          <w:szCs w:val="24"/>
        </w:rPr>
      </w:pPr>
    </w:p>
    <w:p>
      <w:pPr>
        <w:pStyle w:val="Default"/>
        <w:jc w:val="both"/>
        <w:rPr>
          <w:noProof/>
        </w:rPr>
      </w:pPr>
      <w:r>
        <w:rPr>
          <w:noProof/>
        </w:rPr>
        <w:t xml:space="preserve">Ca parte a </w:t>
      </w:r>
      <w:r>
        <w:rPr>
          <w:b/>
          <w:bCs/>
          <w:noProof/>
        </w:rPr>
        <w:t>capitolului 15</w:t>
      </w:r>
      <w:r>
        <w:rPr>
          <w:noProof/>
        </w:rPr>
        <w:t xml:space="preserve"> privind tranziția verde și protecția mediului, a fost adoptată legislația de modificare a procedurii de monitorizare a apelor de către stat. </w:t>
      </w:r>
    </w:p>
    <w:p>
      <w:pPr>
        <w:spacing w:line="276" w:lineRule="auto"/>
        <w:contextualSpacing/>
        <w:rPr>
          <w:rFonts w:eastAsia="Calibri"/>
          <w:noProof/>
          <w:szCs w:val="24"/>
        </w:rPr>
      </w:pPr>
    </w:p>
    <w:p>
      <w:pPr>
        <w:spacing w:line="276" w:lineRule="auto"/>
        <w:contextualSpacing/>
        <w:rPr>
          <w:rFonts w:eastAsia="Calibri"/>
          <w:noProof/>
          <w:szCs w:val="24"/>
        </w:rPr>
      </w:pPr>
    </w:p>
    <w:p>
      <w:pPr>
        <w:spacing w:after="0" w:line="276" w:lineRule="auto"/>
        <w:contextualSpacing/>
        <w:rPr>
          <w:rFonts w:eastAsia="Times New Roman"/>
          <w:b/>
          <w:bCs/>
          <w:noProof/>
          <w:szCs w:val="24"/>
        </w:rPr>
        <w:sectPr>
          <w:headerReference w:type="even" r:id="rId18"/>
          <w:footerReference w:type="even" r:id="rId19"/>
          <w:footerReference w:type="default" r:id="rId20"/>
          <w:headerReference w:type="first" r:id="rId21"/>
          <w:footerReference w:type="first" r:id="rId22"/>
          <w:pgSz w:w="11906" w:h="16838" w:code="9"/>
          <w:pgMar w:top="1440" w:right="1440" w:bottom="1440" w:left="1440" w:header="708" w:footer="708" w:gutter="0"/>
          <w:cols w:space="708"/>
          <w:docGrid w:linePitch="360"/>
        </w:sectPr>
      </w:pPr>
    </w:p>
    <w:p>
      <w:pPr>
        <w:keepNext/>
        <w:keepLines/>
        <w:spacing w:line="276" w:lineRule="auto"/>
        <w:contextualSpacing/>
        <w:outlineLvl w:val="0"/>
        <w:rPr>
          <w:rFonts w:eastAsia="Times New Roman"/>
          <w:b/>
          <w:bCs/>
          <w:noProof/>
          <w:szCs w:val="24"/>
        </w:rPr>
      </w:pPr>
    </w:p>
    <w:p>
      <w:pPr>
        <w:keepNext/>
        <w:keepLines/>
        <w:contextualSpacing/>
        <w:outlineLvl w:val="0"/>
        <w:rPr>
          <w:rFonts w:eastAsia="Times New Roman"/>
          <w:b/>
          <w:noProof/>
          <w:szCs w:val="24"/>
        </w:rPr>
      </w:pPr>
    </w:p>
    <w:p>
      <w:pPr>
        <w:keepNext/>
        <w:keepLines/>
        <w:contextualSpacing/>
        <w:outlineLvl w:val="0"/>
        <w:rPr>
          <w:rFonts w:eastAsia="Times New Roman"/>
          <w:b/>
          <w:bCs/>
          <w:noProof/>
          <w:szCs w:val="24"/>
        </w:rPr>
      </w:pPr>
      <w:r>
        <w:rPr>
          <w:b/>
          <w:noProof/>
        </w:rPr>
        <w:t>Etapa 3.5</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trPr>
          <w:trHeight w:val="66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 xml:space="preserve">Denumirea etapei: </w:t>
            </w:r>
            <w:r>
              <w:rPr>
                <w:noProof/>
              </w:rPr>
              <w:t xml:space="preserve">Intrarea în vigoare a legislației privind revizuirea declarațiilor de integritate </w:t>
            </w:r>
          </w:p>
          <w:p>
            <w:pPr>
              <w:spacing w:after="0"/>
              <w:contextualSpacing/>
              <w:rPr>
                <w:rFonts w:eastAsia="Times New Roman"/>
                <w:noProof/>
                <w:szCs w:val="24"/>
              </w:rPr>
            </w:pPr>
            <w:r>
              <w:rPr>
                <w:noProof/>
              </w:rPr>
              <w:t>ale judecătorilor și a procesului de verificare a acestora</w:t>
            </w:r>
          </w:p>
        </w:tc>
      </w:tr>
      <w:tr>
        <w:trPr>
          <w:trHeight w:val="615"/>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Reforma/investiția aferentă:</w:t>
            </w:r>
            <w:r>
              <w:rPr>
                <w:noProof/>
              </w:rPr>
              <w:t xml:space="preserve"> Reforma 1. Consolidarea responsabilității, a integrității și a profesionalismului sistemului judiciar</w:t>
            </w:r>
          </w:p>
        </w:tc>
      </w:tr>
      <w:tr>
        <w:trPr>
          <w:trHeight w:val="54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color w:val="000000"/>
                <w:szCs w:val="24"/>
              </w:rPr>
            </w:pPr>
            <w:r>
              <w:rPr>
                <w:b/>
                <w:noProof/>
              </w:rPr>
              <w:t xml:space="preserve">Finanțare din: </w:t>
            </w:r>
            <w:r>
              <w:rPr>
                <w:noProof/>
                <w:color w:val="000000"/>
              </w:rPr>
              <w:t>împrumut/ sprijin nerambursabil</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Contextul</w:t>
            </w:r>
          </w:p>
          <w:p>
            <w:pPr>
              <w:spacing w:after="0"/>
              <w:contextualSpacing/>
              <w:rPr>
                <w:rFonts w:eastAsia="Calibri"/>
                <w:noProof/>
                <w:szCs w:val="24"/>
              </w:rPr>
            </w:pPr>
            <w:r>
              <w:rPr>
                <w:noProof/>
              </w:rPr>
              <w:t>Cerința pentru etapa 3.5 descrisă în anexa la Decizia de punere în aplicare a Consiliului este:</w:t>
            </w:r>
          </w:p>
          <w:p>
            <w:pPr>
              <w:spacing w:after="0"/>
              <w:contextualSpacing/>
              <w:rPr>
                <w:rFonts w:eastAsia="Calibri"/>
                <w:noProof/>
                <w:szCs w:val="24"/>
              </w:rPr>
            </w:pPr>
          </w:p>
          <w:p>
            <w:pPr>
              <w:contextualSpacing/>
              <w:rPr>
                <w:rFonts w:eastAsia="Calibri"/>
                <w:i/>
                <w:noProof/>
                <w:szCs w:val="24"/>
              </w:rPr>
            </w:pPr>
            <w:r>
              <w:rPr>
                <w:i/>
                <w:noProof/>
              </w:rPr>
              <w:t>„Intrarea în vigoare a legilor și a normelor de aplicare ale Înaltei Comisii pentru Calificarea Judecătorilor din Ucraina privind revizuirea declarațiilor de integritate a judecătorilor și a procesului de verificare a acestora. Actele legislative se axează pe următoarele domenii principale:</w:t>
            </w:r>
          </w:p>
          <w:p>
            <w:pPr>
              <w:contextualSpacing/>
              <w:rPr>
                <w:rFonts w:eastAsia="Calibri"/>
                <w:i/>
                <w:noProof/>
                <w:szCs w:val="24"/>
              </w:rPr>
            </w:pPr>
          </w:p>
          <w:p>
            <w:pPr>
              <w:contextualSpacing/>
              <w:rPr>
                <w:rFonts w:eastAsia="Calibri"/>
                <w:i/>
                <w:noProof/>
                <w:szCs w:val="24"/>
              </w:rPr>
            </w:pPr>
            <w:r>
              <w:rPr>
                <w:i/>
                <w:noProof/>
              </w:rPr>
              <w:t xml:space="preserve">– clarificarea conținutului declarațiilor de integritate și a motivelor de inițiere </w:t>
            </w:r>
          </w:p>
          <w:p>
            <w:pPr>
              <w:contextualSpacing/>
              <w:rPr>
                <w:rFonts w:eastAsia="Calibri"/>
                <w:i/>
                <w:noProof/>
                <w:szCs w:val="24"/>
              </w:rPr>
            </w:pPr>
            <w:r>
              <w:rPr>
                <w:i/>
                <w:noProof/>
              </w:rPr>
              <w:t xml:space="preserve"> a verificării; </w:t>
            </w:r>
          </w:p>
          <w:p>
            <w:pPr>
              <w:contextualSpacing/>
              <w:rPr>
                <w:rFonts w:eastAsia="Calibri"/>
                <w:i/>
                <w:noProof/>
                <w:szCs w:val="24"/>
              </w:rPr>
            </w:pPr>
            <w:r>
              <w:rPr>
                <w:i/>
                <w:noProof/>
              </w:rPr>
              <w:t xml:space="preserve">– extinderea perioadei de timp vizate de verificare; </w:t>
            </w:r>
          </w:p>
          <w:p>
            <w:pPr>
              <w:contextualSpacing/>
              <w:rPr>
                <w:rFonts w:eastAsia="Calibri"/>
                <w:i/>
                <w:noProof/>
                <w:szCs w:val="24"/>
              </w:rPr>
            </w:pPr>
            <w:r>
              <w:rPr>
                <w:i/>
                <w:noProof/>
              </w:rPr>
              <w:t>– îmbunătățirea procedurii de verificare prin specificarea mecanismelor și a termenelor de verificare, definirea drepturilor și obligațiilor persoanelor și entităților implicate în procesul de verificare și clarificarea consecințelor juridice ale verificării.”</w:t>
            </w:r>
          </w:p>
          <w:p>
            <w:pPr>
              <w:contextualSpacing/>
              <w:rPr>
                <w:rFonts w:eastAsia="Calibri"/>
                <w:noProof/>
                <w:szCs w:val="28"/>
              </w:rPr>
            </w:pPr>
          </w:p>
          <w:p>
            <w:pPr>
              <w:spacing w:after="0"/>
              <w:contextualSpacing/>
              <w:rPr>
                <w:rFonts w:eastAsia="Calibri"/>
                <w:noProof/>
                <w:szCs w:val="24"/>
              </w:rPr>
            </w:pPr>
            <w:r>
              <w:rPr>
                <w:noProof/>
              </w:rPr>
              <w:t xml:space="preserve">Cerințele acestei etape trebuie citite în coroborare cu Avizul comun al Comisiei de la Veneția și al Direcției Generale pentru Drepturile Omului și Statul de Drept (DGI) a Consiliului Europei privind proiectele de amendamente referitoare la procedurile disciplinare împotriva judecătorilor, declarațiile de integritate și alte proceduri, din octombrie 2025 [CDL-AD (2025) 044; denumit în continuare „avizul comun”], care clarifică suplimentar standardele europene privind declarațiile de integritate ale judecătorilor și stabilește limite concrete pentru acest instrument. </w:t>
            </w:r>
          </w:p>
          <w:p>
            <w:pPr>
              <w:spacing w:after="0"/>
              <w:contextualSpacing/>
              <w:rPr>
                <w:rFonts w:eastAsia="Calibri"/>
                <w:noProof/>
                <w:szCs w:val="24"/>
              </w:rPr>
            </w:pPr>
          </w:p>
          <w:p>
            <w:pPr>
              <w:spacing w:after="0"/>
              <w:contextualSpacing/>
              <w:rPr>
                <w:rFonts w:eastAsia="Calibri"/>
                <w:noProof/>
                <w:szCs w:val="24"/>
              </w:rPr>
            </w:pPr>
            <w:r>
              <w:rPr>
                <w:noProof/>
              </w:rPr>
              <w:t>Etapa 3.5 este una dintre cele șapte etape din cadrul reformei 1 din capitolul 3 (Sistemul judiciar și drepturile omului). Aceasta este urmată de etapa 3.15 privind operaționalizarea Instanței administrative districtuale specializate și a Curții administrative specializate de apel (prevăzută pentru T4 2026) și de etapa 3.16 privind intrarea în vigoare a legislației care extinde implicarea experților independenți desemnați de partenerii internaționali în selectarea membrilor Înaltei Comisii pentru Calificarea Judecătorilor din Ucraina (prevăzută pentru T4 2026).</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Calibri"/>
                <w:noProof/>
                <w:szCs w:val="24"/>
              </w:rPr>
            </w:pPr>
            <w:r>
              <w:rPr>
                <w:b/>
                <w:noProof/>
              </w:rPr>
              <w:t>Elemente justificative furnizate</w:t>
            </w:r>
          </w:p>
          <w:p>
            <w:pPr>
              <w:numPr>
                <w:ilvl w:val="0"/>
                <w:numId w:val="14"/>
              </w:numPr>
              <w:spacing w:after="0"/>
              <w:contextualSpacing/>
              <w:rPr>
                <w:rFonts w:eastAsia="Times New Roman"/>
                <w:noProof/>
                <w:szCs w:val="24"/>
              </w:rPr>
            </w:pPr>
            <w:r>
              <w:rPr>
                <w:noProof/>
              </w:rPr>
              <w:t>document de sinteză care dovedește în mod corespunzător modul în care etapa a fost îndeplinită în mod satisfăcător, în concordanță cu cerințele prevăzute în anexa la Decizia de punere în aplicare a Consiliului;</w:t>
            </w:r>
          </w:p>
          <w:p>
            <w:pPr>
              <w:numPr>
                <w:ilvl w:val="0"/>
                <w:numId w:val="14"/>
              </w:numPr>
              <w:contextualSpacing/>
              <w:rPr>
                <w:rFonts w:eastAsia="Times New Roman"/>
                <w:noProof/>
                <w:szCs w:val="24"/>
              </w:rPr>
            </w:pPr>
            <w:r>
              <w:rPr>
                <w:noProof/>
              </w:rPr>
              <w:t>un exemplar al Legii ucrainene nr. 4905-IX „privind modificările aduse Legii ucrainene «privind sistemul judiciar și statutul judecătorilor» și unor acte legislative ale Ucrainei referitoare la îmbunătățirea declarațiilor de integritate ale judecătorilor și privind legăturile de familie ale judecătorilor”, din 9 iunie 2026;</w:t>
            </w:r>
          </w:p>
          <w:p>
            <w:pPr>
              <w:numPr>
                <w:ilvl w:val="0"/>
                <w:numId w:val="14"/>
              </w:numPr>
              <w:contextualSpacing/>
              <w:rPr>
                <w:rFonts w:eastAsia="Times New Roman"/>
                <w:noProof/>
                <w:szCs w:val="24"/>
              </w:rPr>
            </w:pPr>
            <w:r>
              <w:rPr>
                <w:noProof/>
              </w:rPr>
              <w:t>un exemplar al Deciziei nr. 88/ZP-26 a Înaltei Comisii pentru Calificarea Judecătorilor din Ucraina „privind aprobarea formularelor declarațiilor de integritate și privind legăturile de familie, precum și a regulilor de completare a acestora” din 8 iulie 2026;</w:t>
            </w:r>
          </w:p>
          <w:p>
            <w:pPr>
              <w:numPr>
                <w:ilvl w:val="0"/>
                <w:numId w:val="14"/>
              </w:numPr>
              <w:contextualSpacing/>
              <w:rPr>
                <w:rFonts w:eastAsia="Times New Roman"/>
                <w:noProof/>
                <w:szCs w:val="24"/>
              </w:rPr>
            </w:pPr>
            <w:r>
              <w:rPr>
                <w:noProof/>
              </w:rPr>
              <w:t xml:space="preserve">un exemplar al Deciziei nr. 89/ZP-26 a Înaltei Comisii pentru Calificarea Judecătorilor </w:t>
            </w:r>
            <w:r>
              <w:rPr>
                <w:noProof/>
              </w:rPr>
              <w:lastRenderedPageBreak/>
              <w:t>din Ucraina „privind modificările aduse Regulamentului de procedură al Înaltei Comisii pentru Calificarea Judecătorilor din Ucraina, aprobată prin Decizia nr. 81/ZP­16 a Înaltei Comisii pentru Calificarea Judecătorilor din Ucraina din 13 octombrie 2016 (astfel cum a fost modificată prin Decizia nr. 119/ZP-23 a Înaltei Comisii pentru Calificarea Judecătorilor din Ucraina din 19 octombrie 2023, astfel cum a fost modificată), precum și altor regulamente ale Înaltei Comisii pentru Calificarea Judecătorilor din Ucraina în legătură cu intrarea în vigoare a Legii ucrainene „privind modificările aduse Legii ucrainene «privind sistemul judiciar și statutul judecătorilor» și a Legii ucrainene «privind Înaltul Consiliu de Justiție pentru îmbunătățirea declarațiilor de integritate judiciară și privind legăturile de familie ale judecătorilor» din 9 iunie 2026 nr. 4905-IX” din 8 iulie 2026.</w:t>
            </w:r>
          </w:p>
          <w:p>
            <w:pPr>
              <w:ind w:left="720"/>
              <w:contextualSpacing/>
              <w:rPr>
                <w:rFonts w:eastAsia="Times New Roman"/>
                <w:noProof/>
                <w:szCs w:val="24"/>
              </w:rPr>
            </w:pP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lastRenderedPageBreak/>
              <w:t>Analiză</w:t>
            </w:r>
          </w:p>
          <w:p>
            <w:pPr>
              <w:spacing w:after="0"/>
              <w:contextualSpacing/>
              <w:rPr>
                <w:rFonts w:eastAsia="Times New Roman"/>
                <w:noProof/>
                <w:szCs w:val="24"/>
              </w:rPr>
            </w:pPr>
            <w:r>
              <w:rPr>
                <w:noProof/>
              </w:rPr>
              <w:t>Justificarea și dovezile de fond furnizate de autoritățile ucrainene acoperă elementele constitutive ale etapei 3.5.</w:t>
            </w:r>
          </w:p>
          <w:p>
            <w:pPr>
              <w:spacing w:after="0"/>
              <w:rPr>
                <w:rFonts w:eastAsia="Calibri"/>
                <w:noProof/>
                <w:szCs w:val="24"/>
              </w:rPr>
            </w:pPr>
            <w:r>
              <w:rPr>
                <w:noProof/>
              </w:rPr>
              <w:t>Obiectivele reformei 1 sunt îmbunătățirea responsabilității, integrității și profesionalismului sistemului judiciar și consolidarea încrederii publice în sistemul judiciar prin reluarea selecției transparente și meritocratice a judecătorilor, stimularea evaluării calificărilor judecătorilor aflați în funcție, consolidarea sistemului de răspundere disciplinară, consolidarea instrumentelor existente de integritate judiciară și instituirea unei noi instanțe pentru soluționarea cauzelor de contencios administrativ în care sunt implicate agenții ale statului.</w:t>
            </w:r>
          </w:p>
          <w:p>
            <w:pPr>
              <w:spacing w:after="0"/>
              <w:rPr>
                <w:rFonts w:eastAsia="Calibri"/>
                <w:noProof/>
                <w:szCs w:val="24"/>
              </w:rPr>
            </w:pPr>
            <w:r>
              <w:rPr>
                <w:noProof/>
              </w:rPr>
              <w:t xml:space="preserve">Cerințele acestei etape ar trebui citite în coroborare cu Avizul comun al Comisiei de la Veneția și al Direcției Generale pentru Drepturile Omului și Statul de Drept (DGI) a Consiliului Europei privind proiectele de amendamente referitoare la procedurile disciplinare împotriva judecătorilor, declarațiile de integritate și alte proceduri, din octombrie 2025 [CDL­AD (2025) 044; denumit în continuare „avizul comun”], care clarifică suplimentar standardele europene privind declarațiile de integritate ale judecătorilor și stabilește limite concrete pentru acest instrument. </w:t>
            </w:r>
          </w:p>
          <w:p>
            <w:pPr>
              <w:spacing w:after="0"/>
              <w:rPr>
                <w:rFonts w:eastAsia="Calibri"/>
                <w:noProof/>
                <w:szCs w:val="24"/>
              </w:rPr>
            </w:pPr>
            <w:r>
              <w:rPr>
                <w:noProof/>
              </w:rPr>
              <w:t xml:space="preserve">În acest scop, la 9 iunie 2026, Parlamentul ucrainean a adoptat Legea ucrainene nr. 4905-IX „privind modificările aduse Legii ucrainene «privind sistemul judiciar și statutul judecătorilor» și anumitor acte legislative ale Ucrainei privind îmbunătățirea declarațiilor de integritate ale judecătorilor și privind legăturile de familie ale judecătorilor”. Legea a intrat în vigoare la data de 25 iunie 2026. </w:t>
            </w:r>
          </w:p>
          <w:p>
            <w:pPr>
              <w:spacing w:after="0"/>
              <w:rPr>
                <w:rFonts w:eastAsia="Calibri"/>
                <w:noProof/>
                <w:szCs w:val="24"/>
              </w:rPr>
            </w:pPr>
            <w:r>
              <w:rPr>
                <w:noProof/>
              </w:rPr>
              <w:t xml:space="preserve">Legea oferă clarificări și îmbunătățiri ale procesului de verificare a declarațiilor de integritate și elimină procedurile duble ale diferitelor autorități, de exemplu în ceea ce privește verificarea declarațiilor de avere. </w:t>
            </w:r>
          </w:p>
          <w:p>
            <w:pPr>
              <w:spacing w:after="0"/>
              <w:rPr>
                <w:rFonts w:eastAsia="Calibri"/>
                <w:noProof/>
                <w:szCs w:val="24"/>
              </w:rPr>
            </w:pPr>
            <w:r>
              <w:rPr>
                <w:noProof/>
              </w:rPr>
              <w:t xml:space="preserve">Legea clarifică conținutul declarației de integritate și privind legăturile de familie prin enumerarea explicită a informațiilor care trebuie incluse în declarație. Aceasta clarifică suplimentar conținutul declarațiilor de integritate prin eliminarea unor informații, cum ar fi cele privind activele financiare, adăugând în același timp noi informații, cum ar fi cele privind utilizarea limbii ucrainene ca limbă unică de stat în administrarea justiției și privind absența acțiunilor de dobândire a cetățeniei (naționalității) unui stat străin. Aceasta răspunde recomandării din avizul comun de a se stabili prin lege o listă exhaustivă de informații care pot fi solicitate. </w:t>
            </w:r>
          </w:p>
          <w:p>
            <w:pPr>
              <w:spacing w:after="0"/>
              <w:rPr>
                <w:rFonts w:eastAsia="Calibri"/>
                <w:noProof/>
                <w:szCs w:val="24"/>
              </w:rPr>
            </w:pPr>
            <w:r>
              <w:rPr>
                <w:noProof/>
              </w:rPr>
              <w:t xml:space="preserve">În ceea ce privește perioada de timp acoperită de verificare, avizul comun stipulează că „posibilitatea auditării declarațiilor ar trebui prevăzută în detaliu chiar în lege, stabilindu-se termene clare pentru toate posibilele verificări [...].” Legea prevede că verificarea declarațiilor de integritate și privind legăturile de familie ale unui judecător poate fi inițiată nu mai târziu de trei ani de la data depunerii declarației, ceea ce este rezonabil având în vedere faptul că și </w:t>
            </w:r>
            <w:r>
              <w:rPr>
                <w:noProof/>
              </w:rPr>
              <w:lastRenderedPageBreak/>
              <w:t xml:space="preserve">pentru procedurile disciplinare termenul de prescripție este de trei ani. </w:t>
            </w:r>
          </w:p>
          <w:p>
            <w:pPr>
              <w:spacing w:after="0"/>
              <w:rPr>
                <w:rFonts w:eastAsia="Calibri"/>
                <w:noProof/>
                <w:szCs w:val="24"/>
              </w:rPr>
            </w:pPr>
            <w:r>
              <w:rPr>
                <w:noProof/>
              </w:rPr>
              <w:t xml:space="preserve">În ceea ce privește perioadele de timp acoperite de declarația în sine, acestea sunt precizate de lege, în funcție de informațiile relevante. Majoritatea declarațiilor acoperă o perioadă de un an, ceea ce este rezonabil, având în vedere faptul că declarațiile trebuie depuse anual. Pentru declarația nou introdusă privind cooperarea cu statul agresor se prevede o perioadă extinsă începând cu februarie 2014, ceea ce, având în vedere contextul actual de război, pare justificat. Legea stabilește, de asemenea, o perioadă de cinci ani în ceea ce privește conținutul declarației pentru judecătorii care intră în sistem (judecătorii-candidați), un element care lipsea din legea anterioară. </w:t>
            </w:r>
          </w:p>
          <w:p>
            <w:pPr>
              <w:spacing w:after="0"/>
              <w:rPr>
                <w:rFonts w:eastAsia="Calibri"/>
                <w:noProof/>
                <w:szCs w:val="24"/>
              </w:rPr>
            </w:pPr>
            <w:r>
              <w:rPr>
                <w:noProof/>
              </w:rPr>
              <w:t xml:space="preserve">Legea îmbunătățește procedura de verificare prin specificarea mecanismelor și a termenelor de verificare și prin definirea drepturilor și obligațiilor persoanelor și entităților implicate în procesul de verificare. Astfel cum se prevede în avizul comun, „Comisia de la Veneția și DGI salută, printre altele, dispozițiile care conferă unui judecător dreptul de a lua cunoștință de materiale și de rezultatele verificării declarațiilor sale [...], dreptul judecătorului de a prezenta observații orale și scrise [...], dreptul de a contesta o decizie [...]”. Aceste îmbunătățiri au fost menținute în legea adoptată. </w:t>
            </w:r>
          </w:p>
          <w:p>
            <w:pPr>
              <w:spacing w:after="0"/>
              <w:rPr>
                <w:rFonts w:eastAsia="Calibri"/>
                <w:noProof/>
                <w:szCs w:val="24"/>
              </w:rPr>
            </w:pPr>
            <w:r>
              <w:rPr>
                <w:noProof/>
              </w:rPr>
              <w:t>Legea prevede că termenul pentru efectuarea verificării este de șase luni de la data la care a fost inițiată. Legea clarifică drepturile judecătorilor implicați în procesul de verificare, prevăzând că Înalta Comisie pentru Calificarea Judecătorilor din Ucraina poate finaliza rezultatele verificării în cazul neprezentării sistematice (de trei ori), indiferent de motivul absenței. Legea clarifică, de asemenea, consecințele juridice ale verificării. Aceasta prevede că, în cursul procedurilor de promovare în carieră, de numire sau de selecție a judecătorilor, se pot lua în considerare constatările Înaltei Comisii pentru Calificarea Judecătorilor din Ucraina cu privire la declarațiile inexacte, incomplete sau neprezentate la timp. În plus, aceasta prevede că dosarul judecătorului ar trebui să includă decizia motivată a Înaltei Comisii pentru Calificarea Judecătorilor din Ucraina privind rezultatele verificării, inclusiv în cazurile în care o astfel de decizie este contestată, pentru a asigura exhaustivitatea și transparența.</w:t>
            </w:r>
          </w:p>
          <w:p>
            <w:pPr>
              <w:spacing w:after="0"/>
              <w:rPr>
                <w:rFonts w:eastAsia="Calibri"/>
                <w:noProof/>
                <w:szCs w:val="24"/>
              </w:rPr>
            </w:pPr>
            <w:r>
              <w:rPr>
                <w:noProof/>
              </w:rPr>
              <w:t>În conformitate cu legea, Înalta Comisie pentru Calificarea Judecătorilor din Ucraina a adoptat Hotărârea nr. 88/ZP-26 de aprobare a formei declarațiilor de integritate și privind legăturile de familie ale unui judecător și ale unui candidat la funcția de judecător, precum și a normelor privind completarea și depunerea unei declarații de integritate și privind legăturile de familie ale unui judecător și ale unui candidat la funcția de judecător. Înalta Comisie pentru Calificarea Judecătorilor din Ucraina a adoptat, de asemenea, Decizia nr. 89/ZP-26, care modifică Regulamentul de procedură al Înaltei Comisii pentru Calificarea Judecătorilor din Ucraina, Regulamentul privind sistemul automat de determinare a membrilor Înaltei Comisii pentru Calificarea Judecătorilor din Ucraina pentru pregătirea examinării și a raportării cauzelor, precum și Regulamentul privind concursul pentru postul vacant al unui judecător care asigură punerea în aplicare a legii.</w:t>
            </w:r>
          </w:p>
          <w:p>
            <w:pPr>
              <w:spacing w:after="0"/>
              <w:rPr>
                <w:rFonts w:eastAsia="Calibri"/>
                <w:noProof/>
                <w:szCs w:val="24"/>
              </w:rPr>
            </w:pPr>
            <w:r>
              <w:rPr>
                <w:noProof/>
              </w:rPr>
              <w:t>Evaluarea de mai sus este valabilă în contextul punerii în aplicare a Planului pentru Ucraina. Punerea în aplicare a acestei legislații și funcționarea eficace a instrumentelor de integritate în sectorul justiției vor fi monitorizate în permanență în contextul aderării la UE.</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b/>
                <w:noProof/>
              </w:rPr>
              <w:lastRenderedPageBreak/>
              <w:t xml:space="preserve">Evaluarea Comisiei: </w:t>
            </w:r>
            <w:r>
              <w:rPr>
                <w:noProof/>
              </w:rPr>
              <w:t>îndeplinită în mod satisfăcător</w:t>
            </w:r>
          </w:p>
        </w:tc>
      </w:tr>
    </w:tbl>
    <w:p>
      <w:pPr>
        <w:keepNext/>
        <w:keepLines/>
        <w:contextualSpacing/>
        <w:outlineLvl w:val="0"/>
        <w:rPr>
          <w:rFonts w:eastAsia="Times New Roman"/>
          <w:b/>
          <w:noProof/>
          <w:szCs w:val="24"/>
        </w:rPr>
      </w:pPr>
    </w:p>
    <w:p>
      <w:pPr>
        <w:keepNext/>
        <w:keepLines/>
        <w:contextualSpacing/>
        <w:outlineLvl w:val="0"/>
        <w:rPr>
          <w:rFonts w:eastAsia="Times New Roman"/>
          <w:b/>
          <w:noProof/>
          <w:szCs w:val="24"/>
        </w:rPr>
      </w:pPr>
    </w:p>
    <w:p>
      <w:pPr>
        <w:keepNext/>
        <w:keepLines/>
        <w:contextualSpacing/>
        <w:outlineLvl w:val="0"/>
        <w:rPr>
          <w:rFonts w:eastAsia="Times New Roman"/>
          <w:b/>
          <w:bCs/>
          <w:noProof/>
          <w:szCs w:val="24"/>
        </w:rPr>
      </w:pPr>
      <w:r>
        <w:rPr>
          <w:b/>
          <w:noProof/>
        </w:rPr>
        <w:t>Etapa 5.1</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trPr>
          <w:trHeight w:val="66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 xml:space="preserve">Denumirea etapei: </w:t>
            </w:r>
            <w:r>
              <w:rPr>
                <w:noProof/>
              </w:rPr>
              <w:t>Publicarea evaluării rezilienței din sistemul bancar</w:t>
            </w:r>
          </w:p>
        </w:tc>
      </w:tr>
      <w:tr>
        <w:trPr>
          <w:trHeight w:val="615"/>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noProof/>
                <w:szCs w:val="24"/>
              </w:rPr>
            </w:pPr>
            <w:r>
              <w:rPr>
                <w:b/>
                <w:noProof/>
              </w:rPr>
              <w:t>Reforma/investiția aferentă:</w:t>
            </w:r>
            <w:r>
              <w:rPr>
                <w:noProof/>
              </w:rPr>
              <w:t xml:space="preserve"> Reforma 1. Evaluarea sectorului bancar</w:t>
            </w:r>
          </w:p>
        </w:tc>
      </w:tr>
      <w:tr>
        <w:trPr>
          <w:trHeight w:val="54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color w:val="000000" w:themeColor="text1"/>
                <w:szCs w:val="24"/>
              </w:rPr>
            </w:pPr>
            <w:r>
              <w:rPr>
                <w:b/>
                <w:noProof/>
              </w:rPr>
              <w:lastRenderedPageBreak/>
              <w:t xml:space="preserve">Finanțare din: </w:t>
            </w:r>
            <w:r>
              <w:rPr>
                <w:noProof/>
                <w:color w:val="000000" w:themeColor="text1"/>
              </w:rPr>
              <w:t>împrumut</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Contextul</w:t>
            </w:r>
          </w:p>
          <w:p>
            <w:pPr>
              <w:spacing w:after="0"/>
              <w:contextualSpacing/>
              <w:rPr>
                <w:noProof/>
                <w:szCs w:val="24"/>
              </w:rPr>
            </w:pPr>
            <w:r>
              <w:rPr>
                <w:noProof/>
              </w:rPr>
              <w:t>Cerința pentru etapa 5.1 descrisă în anexa la Decizia de punere în aplicare a Consiliului este:</w:t>
            </w:r>
          </w:p>
          <w:p>
            <w:pPr>
              <w:spacing w:before="0" w:after="0"/>
              <w:contextualSpacing/>
              <w:rPr>
                <w:noProof/>
                <w:szCs w:val="24"/>
              </w:rPr>
            </w:pPr>
          </w:p>
          <w:p>
            <w:pPr>
              <w:spacing w:after="0"/>
              <w:contextualSpacing/>
              <w:rPr>
                <w:i/>
                <w:iCs/>
                <w:noProof/>
                <w:szCs w:val="24"/>
              </w:rPr>
            </w:pPr>
            <w:r>
              <w:rPr>
                <w:i/>
                <w:noProof/>
              </w:rPr>
              <w:t>„Banca Națională a Ucrainei (BNU) publică evaluarea rezilienței celor mai mari bănci (ca număr de active) din sistemul bancar, ceea ce presupune printre altele simulări de criză în cadrul scenariului nefavorabil, precum și rezultatele unei evaluări independente a calității activelor în cazul în care condițiile permit efectuarea acesteia”</w:t>
            </w:r>
          </w:p>
          <w:p>
            <w:pPr>
              <w:spacing w:after="0"/>
              <w:contextualSpacing/>
              <w:rPr>
                <w:noProof/>
                <w:szCs w:val="24"/>
              </w:rPr>
            </w:pPr>
          </w:p>
          <w:p>
            <w:pPr>
              <w:spacing w:after="0"/>
              <w:contextualSpacing/>
              <w:rPr>
                <w:noProof/>
                <w:szCs w:val="24"/>
              </w:rPr>
            </w:pPr>
            <w:r>
              <w:rPr>
                <w:noProof/>
              </w:rPr>
              <w:t>Etapa 5.1 este singura etapă de implementare a reformei 1 din capitolul 5 (piețele financiare).</w:t>
            </w:r>
          </w:p>
          <w:p>
            <w:pPr>
              <w:spacing w:after="0"/>
              <w:contextualSpacing/>
              <w:rPr>
                <w:rFonts w:eastAsia="Times New Roman"/>
                <w:b/>
                <w:bCs/>
                <w:noProof/>
                <w:szCs w:val="24"/>
              </w:rPr>
            </w:pP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before="0" w:after="0"/>
              <w:contextualSpacing/>
              <w:rPr>
                <w:noProof/>
                <w:szCs w:val="24"/>
              </w:rPr>
            </w:pPr>
            <w:r>
              <w:rPr>
                <w:b/>
                <w:noProof/>
              </w:rPr>
              <w:t>Elemente justificative furnizate</w:t>
            </w:r>
          </w:p>
          <w:p>
            <w:pPr>
              <w:spacing w:before="0" w:after="0"/>
              <w:contextualSpacing/>
              <w:rPr>
                <w:rFonts w:eastAsia="Times New Roman"/>
                <w:b/>
                <w:bCs/>
                <w:noProof/>
                <w:szCs w:val="24"/>
              </w:rPr>
            </w:pPr>
          </w:p>
          <w:p>
            <w:pPr>
              <w:pStyle w:val="ListParagraph"/>
              <w:numPr>
                <w:ilvl w:val="0"/>
                <w:numId w:val="8"/>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document de sinteză care dovedește în mod corespunzător modul în care etapa a fost îndeplinită în mod satisfăcător, în concordanță cu cerințele prevăzute în anexa la Decizia de punere în aplicare a Consiliului;</w:t>
            </w:r>
          </w:p>
          <w:p>
            <w:pPr>
              <w:pStyle w:val="ListParagraph"/>
              <w:numPr>
                <w:ilvl w:val="0"/>
                <w:numId w:val="8"/>
              </w:num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 exemplar al raportului „Reziliența băncilor ucrainene”, din 29 decembrie 2025. </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Analiză</w:t>
            </w:r>
          </w:p>
          <w:p>
            <w:pPr>
              <w:spacing w:after="0"/>
              <w:contextualSpacing/>
              <w:rPr>
                <w:rFonts w:eastAsia="Times New Roman"/>
                <w:noProof/>
                <w:szCs w:val="24"/>
              </w:rPr>
            </w:pPr>
            <w:r>
              <w:rPr>
                <w:noProof/>
              </w:rPr>
              <w:t>Justificarea și dovezile furnizate de autoritățile ucrainene acoperă toate elementele constitutive ale etapei 5.1.</w:t>
            </w:r>
          </w:p>
          <w:p>
            <w:pPr>
              <w:spacing w:after="0"/>
              <w:contextualSpacing/>
              <w:rPr>
                <w:rFonts w:eastAsia="Times New Roman"/>
                <w:noProof/>
                <w:szCs w:val="24"/>
              </w:rPr>
            </w:pPr>
          </w:p>
          <w:p>
            <w:pPr>
              <w:spacing w:after="0"/>
              <w:contextualSpacing/>
              <w:rPr>
                <w:rFonts w:eastAsia="Times New Roman"/>
                <w:noProof/>
                <w:szCs w:val="24"/>
              </w:rPr>
            </w:pPr>
            <w:r>
              <w:rPr>
                <w:noProof/>
              </w:rPr>
              <w:t>Obiectivul reformei 1 este de a reveni la procesul de evaluare periodică, de a identifica potențialele vulnerabilități din cadrul băncilor majore și de a asigura reziliența sistemului bancar din Ucraina.</w:t>
            </w:r>
          </w:p>
          <w:p>
            <w:pPr>
              <w:spacing w:after="0"/>
              <w:contextualSpacing/>
              <w:rPr>
                <w:rFonts w:eastAsia="Times New Roman"/>
                <w:noProof/>
                <w:szCs w:val="24"/>
              </w:rPr>
            </w:pPr>
          </w:p>
          <w:p>
            <w:pPr>
              <w:spacing w:after="0"/>
              <w:contextualSpacing/>
              <w:rPr>
                <w:rFonts w:eastAsia="Times New Roman"/>
                <w:noProof/>
                <w:szCs w:val="24"/>
              </w:rPr>
            </w:pPr>
            <w:r>
              <w:rPr>
                <w:noProof/>
              </w:rPr>
              <w:t>În acest scop, Banca Națională a Ucrainei a publicat raportul „Evaluarea rezilienței băncilor ucrainene” din 29 decembrie 2025.</w:t>
            </w:r>
          </w:p>
          <w:p>
            <w:pPr>
              <w:spacing w:after="0"/>
              <w:contextualSpacing/>
              <w:rPr>
                <w:rFonts w:eastAsia="Times New Roman"/>
                <w:noProof/>
                <w:szCs w:val="24"/>
              </w:rPr>
            </w:pPr>
          </w:p>
          <w:p>
            <w:pPr>
              <w:spacing w:after="0"/>
              <w:contextualSpacing/>
              <w:rPr>
                <w:rFonts w:eastAsia="Times New Roman"/>
                <w:noProof/>
                <w:szCs w:val="24"/>
              </w:rPr>
            </w:pPr>
            <w:r>
              <w:rPr>
                <w:noProof/>
              </w:rPr>
              <w:t>Raportul oferă o evaluare detaliată și la nivelul întregului sistem a solidității financiare a băncilor, pe baza scenariului macroeconomic de referință și a scenariului macroeconomic negativ. Scenariul negativ include șocuri grave, dar plauzibile, inclusiv o deteriorare a condițiilor macroeconomice, presiuni asupra cursului de schimb și materializarea riscului de credit, permițând astfel o evaluare a adecvării capitalului băncilor în condiții de criză.</w:t>
            </w:r>
          </w:p>
          <w:p>
            <w:pPr>
              <w:spacing w:after="0"/>
              <w:contextualSpacing/>
              <w:rPr>
                <w:rFonts w:eastAsia="Times New Roman"/>
                <w:noProof/>
                <w:szCs w:val="24"/>
              </w:rPr>
            </w:pPr>
          </w:p>
          <w:p>
            <w:pPr>
              <w:spacing w:after="0"/>
              <w:contextualSpacing/>
              <w:rPr>
                <w:rFonts w:eastAsia="Times New Roman"/>
                <w:noProof/>
                <w:szCs w:val="24"/>
              </w:rPr>
            </w:pPr>
            <w:r>
              <w:rPr>
                <w:noProof/>
              </w:rPr>
              <w:t>Evaluarea rezilienței include rezultatele simulărilor de criză pentru fiecare bancă în parte, evaluând impactul scenariului negativ asupra pozițiilor de capital, a profitabilității și a expunerii la risc. Metodologia aplicată este consecventă, asigurând comparabilitatea și robustețea rezultatelor. Publicația prezintă rezultatele agregate și, după caz, individuale ale băncilor, sporind astfel transparența.</w:t>
            </w:r>
          </w:p>
          <w:p>
            <w:pPr>
              <w:spacing w:after="0"/>
              <w:contextualSpacing/>
              <w:rPr>
                <w:rFonts w:eastAsia="Times New Roman"/>
                <w:noProof/>
                <w:szCs w:val="24"/>
              </w:rPr>
            </w:pPr>
          </w:p>
          <w:p>
            <w:pPr>
              <w:spacing w:after="0"/>
              <w:contextualSpacing/>
              <w:rPr>
                <w:rFonts w:eastAsia="Times New Roman"/>
                <w:noProof/>
                <w:szCs w:val="24"/>
              </w:rPr>
            </w:pPr>
            <w:r>
              <w:rPr>
                <w:noProof/>
              </w:rPr>
              <w:t>Din cauza războiului de agresiune al Rusiei împotriva Ucrainei și a limitărilor aferente în ceea ce privește efectuarea verificărilor la fața locului, condițiile nu au permis efectuarea unei evaluări independente a calității activelor (ECA). Cu toate acestea, evaluarea include elemente ale unei ECA, cu un accent deosebit pe portofoliile de credite, expunerile neperformante, evaluarea garanțiilor reale și caracterul adecvat al constituirii de provizioane. Această examinare se bazează pe date de supraveghere și diagnostice specifice.</w:t>
            </w:r>
          </w:p>
          <w:p>
            <w:pPr>
              <w:spacing w:after="0"/>
              <w:contextualSpacing/>
              <w:rPr>
                <w:rFonts w:eastAsia="Times New Roman"/>
                <w:noProof/>
                <w:szCs w:val="24"/>
              </w:rPr>
            </w:pPr>
          </w:p>
          <w:p>
            <w:pPr>
              <w:spacing w:after="0"/>
              <w:contextualSpacing/>
              <w:rPr>
                <w:rFonts w:eastAsia="Times New Roman"/>
                <w:noProof/>
                <w:szCs w:val="24"/>
              </w:rPr>
            </w:pPr>
            <w:r>
              <w:rPr>
                <w:noProof/>
              </w:rPr>
              <w:t>În ansamblu, raportul publicat confirmă faptul că Banca Națională a Ucrainei a efectuat și a publicat o evaluare a rezilienței celor mai mari bănci, inclusiv simulări de criză în cadrul unui scenariu negativ și o evaluare a calității activelor în conformitate cu cerințele etapei.</w:t>
            </w:r>
          </w:p>
          <w:p>
            <w:pPr>
              <w:shd w:val="clear" w:color="auto" w:fill="FFFFFF" w:themeFill="background1"/>
              <w:spacing w:after="0"/>
              <w:contextualSpacing/>
              <w:rPr>
                <w:rFonts w:eastAsia="Times New Roman"/>
                <w:noProof/>
                <w:szCs w:val="24"/>
              </w:rPr>
            </w:pPr>
          </w:p>
          <w:p>
            <w:pPr>
              <w:shd w:val="clear" w:color="auto" w:fill="FFFFFF" w:themeFill="background1"/>
              <w:spacing w:after="0"/>
              <w:contextualSpacing/>
              <w:rPr>
                <w:rFonts w:eastAsia="Times New Roman"/>
                <w:noProof/>
                <w:szCs w:val="24"/>
              </w:rPr>
            </w:pPr>
            <w:r>
              <w:rPr>
                <w:noProof/>
              </w:rPr>
              <w:t>Ca parte a Deciziei de punere în aplicare (UE) 2026/1204 a Consiliului din 28 mai 2026 de stabilire a îndeplinirii în mod satisfăcător a condițiilor pentru plata parțială a celei de a șaptea tranșe din cadrul Planului pentru Ucraina al Mecanismului pentru Ucraina și de modificare a Deciziei de punere în aplicare (UE) 2024/1447, această etapă a fost luată în considerare ca factor atenuant, în conformitate cu metodologia de evaluare a îndeplinirii parțiale a etapelor din cadrul Planului pentru Ucraina, exclusiv în scopul aplicării deciziei respective. Evaluarea acestei etape nu s-a schimbat de la adoptarea deciziei respective.</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b/>
                <w:noProof/>
              </w:rPr>
              <w:lastRenderedPageBreak/>
              <w:t xml:space="preserve">Evaluarea Comisiei: </w:t>
            </w:r>
            <w:r>
              <w:rPr>
                <w:noProof/>
              </w:rPr>
              <w:t>îndeplinită în mod satisfăcător</w:t>
            </w:r>
          </w:p>
        </w:tc>
      </w:tr>
    </w:tbl>
    <w:p>
      <w:pPr>
        <w:keepNext/>
        <w:keepLines/>
        <w:contextualSpacing/>
        <w:outlineLvl w:val="0"/>
        <w:rPr>
          <w:rFonts w:eastAsia="Times New Roman"/>
          <w:b/>
          <w:bCs/>
          <w:noProof/>
          <w:szCs w:val="24"/>
        </w:rPr>
      </w:pPr>
      <w:r>
        <w:rPr>
          <w:b/>
          <w:noProof/>
        </w:rPr>
        <w:t>Etapa 8.5</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trPr>
          <w:trHeight w:val="66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 xml:space="preserve">Denumirea etapei: </w:t>
            </w:r>
            <w:r>
              <w:rPr>
                <w:noProof/>
              </w:rPr>
              <w:t>Intrarea în vigoare a legislației privind accesul la informațiile referitoare la lucrările tehnico-edilitare exterioare</w:t>
            </w:r>
          </w:p>
        </w:tc>
      </w:tr>
      <w:tr>
        <w:trPr>
          <w:trHeight w:val="615"/>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noProof/>
                <w:szCs w:val="24"/>
              </w:rPr>
            </w:pPr>
            <w:r>
              <w:rPr>
                <w:b/>
                <w:noProof/>
              </w:rPr>
              <w:t>Reforma/investiția aferentă:</w:t>
            </w:r>
            <w:r>
              <w:rPr>
                <w:noProof/>
              </w:rPr>
              <w:t xml:space="preserve"> Reforma 3. Accesul la finanțare și la piețe</w:t>
            </w:r>
          </w:p>
        </w:tc>
      </w:tr>
      <w:tr>
        <w:trPr>
          <w:trHeight w:val="54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color w:val="000000" w:themeColor="text1"/>
                <w:szCs w:val="24"/>
              </w:rPr>
            </w:pPr>
            <w:r>
              <w:rPr>
                <w:b/>
                <w:noProof/>
              </w:rPr>
              <w:t xml:space="preserve">Finanțare din: </w:t>
            </w:r>
            <w:r>
              <w:rPr>
                <w:noProof/>
                <w:color w:val="000000" w:themeColor="text1"/>
              </w:rPr>
              <w:t>împrumut/ sprijin nerambursabil</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Contextul</w:t>
            </w:r>
          </w:p>
          <w:p>
            <w:pPr>
              <w:spacing w:after="0"/>
              <w:rPr>
                <w:noProof/>
              </w:rPr>
            </w:pPr>
            <w:r>
              <w:rPr>
                <w:noProof/>
              </w:rPr>
              <w:t>Cerința pentru etapa 8.5 descrisă în anexa la Decizia de punere în aplicare a Consiliului este:</w:t>
            </w:r>
          </w:p>
          <w:p>
            <w:pPr>
              <w:spacing w:after="0"/>
              <w:contextualSpacing/>
              <w:rPr>
                <w:noProof/>
                <w:szCs w:val="24"/>
              </w:rPr>
            </w:pPr>
          </w:p>
          <w:p>
            <w:pPr>
              <w:contextualSpacing/>
              <w:rPr>
                <w:i/>
                <w:iCs/>
                <w:noProof/>
                <w:szCs w:val="24"/>
              </w:rPr>
            </w:pPr>
            <w:r>
              <w:rPr>
                <w:i/>
                <w:noProof/>
              </w:rPr>
              <w:t xml:space="preserve">„Intrarea în vigoare a Legii ucrainene «privind modificarea anumitor legi ale Ucrainei în domeniul aprovizionării cu energie și al aprovizionării cu energie termică în ceea ce privește îmbunătățirea anumitor dispoziții legate de activitatea economică și legea marțială în Ucraina», împreună cu modificările aduse legilor ucrainene «privind apa potabilă și alimentarea cu apă potabilă», «privind aprovizionarea cu energie termică», «privind piața gazelor naturale», «privind piața energiei electrice» și «privind reglementarea dezvoltării urbane», precum și legislației secundare sectoriale relevante. Modificările legislative se axează pe următoarele domenii principale: </w:t>
            </w:r>
          </w:p>
          <w:p>
            <w:pPr>
              <w:contextualSpacing/>
              <w:rPr>
                <w:i/>
                <w:iCs/>
                <w:noProof/>
                <w:szCs w:val="24"/>
              </w:rPr>
            </w:pPr>
            <w:r>
              <w:rPr>
                <w:i/>
                <w:noProof/>
              </w:rPr>
              <w:t xml:space="preserve">- accesul liber la informații privind rețelele de inginerie externe prin intermediul registrelor electronice publice, dacă situația securității o permite, aspect care va fi stabilit în dispozițiile relevante ale amendamentelor aduse actului (actelor) juridic(e), precum și o procedură (proceduri) simplificată(e) pentru conectarea la rețelele de inginerie externe; </w:t>
            </w:r>
          </w:p>
          <w:p>
            <w:pPr>
              <w:contextualSpacing/>
              <w:rPr>
                <w:i/>
                <w:iCs/>
                <w:noProof/>
                <w:szCs w:val="24"/>
              </w:rPr>
            </w:pPr>
            <w:r>
              <w:rPr>
                <w:i/>
                <w:noProof/>
              </w:rPr>
              <w:t>- includerea informațiilor privind rețelele de inginerie externe în registrele electronice publice privind proprietatea statului, dacă situația securității o permite, aspect care va fi stabilit în dispozițiile relevante ale amendamentelor aduse actului (actelor) juridic(e);</w:t>
            </w:r>
          </w:p>
          <w:p>
            <w:pPr>
              <w:contextualSpacing/>
              <w:rPr>
                <w:noProof/>
                <w:szCs w:val="28"/>
              </w:rPr>
            </w:pPr>
            <w:r>
              <w:rPr>
                <w:i/>
                <w:noProof/>
              </w:rPr>
              <w:t>- includerea informațiilor privind zonele de protecție ale rețelelor de inginerie externe în registrele electronice publice privind proprietatea statului.”</w:t>
            </w:r>
          </w:p>
          <w:p>
            <w:pPr>
              <w:contextualSpacing/>
              <w:rPr>
                <w:noProof/>
                <w:szCs w:val="28"/>
              </w:rPr>
            </w:pPr>
          </w:p>
          <w:p>
            <w:pPr>
              <w:spacing w:after="0"/>
              <w:contextualSpacing/>
              <w:rPr>
                <w:rFonts w:eastAsia="Calibri"/>
                <w:noProof/>
                <w:szCs w:val="24"/>
              </w:rPr>
            </w:pPr>
            <w:r>
              <w:rPr>
                <w:noProof/>
              </w:rPr>
              <w:t xml:space="preserve">Etapa 8.5 este a doua etapă de implementare a reformei 3 din capitolul 8 (Mediul de afaceri). </w:t>
            </w:r>
          </w:p>
          <w:p>
            <w:pPr>
              <w:spacing w:after="0"/>
              <w:contextualSpacing/>
              <w:rPr>
                <w:rFonts w:eastAsia="Times New Roman"/>
                <w:b/>
                <w:bCs/>
                <w:noProof/>
                <w:szCs w:val="24"/>
              </w:rPr>
            </w:pP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keepNext/>
              <w:spacing w:after="0"/>
              <w:contextualSpacing/>
              <w:rPr>
                <w:noProof/>
                <w:szCs w:val="24"/>
              </w:rPr>
            </w:pPr>
            <w:r>
              <w:rPr>
                <w:b/>
                <w:noProof/>
              </w:rPr>
              <w:lastRenderedPageBreak/>
              <w:t>Elemente justificative furnizate</w:t>
            </w:r>
          </w:p>
          <w:p>
            <w:pPr>
              <w:spacing w:after="0"/>
              <w:contextualSpacing/>
              <w:rPr>
                <w:rFonts w:eastAsia="Times New Roman"/>
                <w:b/>
                <w:bCs/>
                <w:noProof/>
                <w:szCs w:val="24"/>
              </w:rPr>
            </w:pPr>
          </w:p>
          <w:p>
            <w:pPr>
              <w:pStyle w:val="ListParagraph"/>
              <w:numPr>
                <w:ilvl w:val="0"/>
                <w:numId w:val="9"/>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document de sinteză care dovedește în mod corespunzător modul în care etapa a fost îndeplinită în mod satisfăcător, în concordanță cu cerințele prevăzute în anexa la Decizia de punere în aplicare a Consiliului;</w:t>
            </w:r>
          </w:p>
          <w:p>
            <w:pPr>
              <w:pStyle w:val="ListParagraph"/>
              <w:numPr>
                <w:ilvl w:val="0"/>
                <w:numId w:val="9"/>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 exemplar al Legii ucrainene nr. 4213-IX „privind modificarea anumitor legi ale Ucrainei în domeniul aprovizionării cu energie și al aprovizionării cu energie termică în ceea ce privește îmbunătățirea anumitor dispoziții legate de activitatea economică și legea marțială în Ucraina”, din 14 ianuarie 2025. </w:t>
            </w:r>
          </w:p>
          <w:p>
            <w:pPr>
              <w:pStyle w:val="ListParagraph"/>
              <w:numPr>
                <w:ilvl w:val="0"/>
                <w:numId w:val="9"/>
              </w:numPr>
              <w:spacing w:line="240" w:lineRule="auto"/>
              <w:jc w:val="both"/>
              <w:rPr>
                <w:rFonts w:eastAsia="Times New Roman"/>
                <w:noProof/>
                <w:szCs w:val="24"/>
              </w:rPr>
            </w:pPr>
            <w:r>
              <w:rPr>
                <w:rFonts w:ascii="Times New Roman" w:hAnsi="Times New Roman"/>
                <w:noProof/>
                <w:sz w:val="24"/>
              </w:rPr>
              <w:t>un exemplar al Rezoluției nr. 950 a Cabinetului de Miniștri „privind modificarea anumitor rezoluții ale Cabinetului de Miniștri al Ucrainei în ceea ce privește simplificarea procedurii de conectare a instalațiilor la rețelele de utilități”, din 15 iulie 2026.</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Analiză</w:t>
            </w:r>
          </w:p>
          <w:p>
            <w:pPr>
              <w:spacing w:after="0"/>
              <w:contextualSpacing/>
              <w:rPr>
                <w:rFonts w:eastAsia="Times New Roman"/>
                <w:noProof/>
                <w:szCs w:val="24"/>
              </w:rPr>
            </w:pPr>
            <w:r>
              <w:rPr>
                <w:noProof/>
              </w:rPr>
              <w:t>Justificarea și dovezile de fond furnizate de autoritățile ucrainene acoperă toate elementele constitutive ale etapei 8.5.</w:t>
            </w:r>
          </w:p>
          <w:p>
            <w:pPr>
              <w:spacing w:after="0"/>
              <w:rPr>
                <w:rFonts w:eastAsia="Times New Roman"/>
                <w:noProof/>
                <w:szCs w:val="24"/>
              </w:rPr>
            </w:pPr>
            <w:r>
              <w:rPr>
                <w:noProof/>
              </w:rPr>
              <w:t>Obiectivul reformei 3 este de a ajuta sectorul privat prin accesul la piețe și la finanțare. Legea ucraineană nr. 4213-IX a intrat în vigoare la 15 ianuarie 2025. Legea introduce obligații la nivelul rețelelor de alimentare cu apă, de încălzire și de gaze prin modificări ale legislației sectoriale respective care impun operatorilor de rețea să publice și să actualizeze informațiile privind condițiile și procedurile de racordare la astfel de rețele, pe site-urile lor web. Aceasta introduce următoarele modificări:</w:t>
            </w:r>
          </w:p>
          <w:p>
            <w:pPr>
              <w:spacing w:after="160" w:line="259" w:lineRule="auto"/>
              <w:rPr>
                <w:noProof/>
              </w:rPr>
            </w:pPr>
            <w:r>
              <w:rPr>
                <w:noProof/>
              </w:rPr>
              <w:t>Articolul 29 din Legea ucraineană „privind apa potabilă și alimentarea cu apă potabilă” este completat cu cerințe ca entitățile care operează rețele centralizate de alimentare cu apă să publice și să actualizeze informațiile privind racordarea și informațiile georeferențiate referitoare la elementele sistemelor lor prin intermediul unui sistem de informații geografice (</w:t>
            </w:r>
            <w:r>
              <w:rPr>
                <w:i/>
                <w:iCs/>
                <w:noProof/>
              </w:rPr>
              <w:t>Geographic Information System</w:t>
            </w:r>
            <w:r>
              <w:rPr>
                <w:noProof/>
              </w:rPr>
              <w:t xml:space="preserve"> - GIS) și să permită integrarea acestor informații în geoportalul național oficial de date geospațiale, în cadastrul urbanistic și în sistemul electronic unificat de stat în sectorul construcțiilor. </w:t>
            </w:r>
          </w:p>
          <w:p>
            <w:pPr>
              <w:spacing w:after="160" w:line="259" w:lineRule="auto"/>
              <w:rPr>
                <w:noProof/>
              </w:rPr>
            </w:pPr>
            <w:r>
              <w:rPr>
                <w:noProof/>
              </w:rPr>
              <w:t xml:space="preserve">Articolul 21 din Legea ucraineană „privind aprovizionarea cu energie termică” este completat cu cerințe similare – ca entitățile care transportă energia termică să publice și să actualizeze informațiile privind condițiile de racordare și elementele sistemelor lor de aprovizionare cu energie termică prin intermediul unui GIS și să permită integrarea acestor informații în geoportalul național oficial de date geospațiale, în cadastrul urbanistic și în sistemul electronic unificat de stat în sectorul construcțiilor. </w:t>
            </w:r>
          </w:p>
          <w:p>
            <w:pPr>
              <w:spacing w:after="160" w:line="259" w:lineRule="auto"/>
              <w:rPr>
                <w:noProof/>
              </w:rPr>
            </w:pPr>
            <w:r>
              <w:rPr>
                <w:noProof/>
              </w:rPr>
              <w:t xml:space="preserve">Articolul 19-1 din Legea ucraineană „privind piața gazelor naturale” este completat cu cerințe ca operatorii de sisteme de transport și distribuție a gazelor să publice și să actualizeze informațiile privind condițiile de racordare și să creeze un GIS pentru sistemele lor de transport/distribuție a gazelor. GIS trebuie să includă, printre altele, topologia rețelelor, limitele zonelor de protecție ale principalelor conducte de gaze și sisteme de distribuție a gazelor, capacitatea tehnică și capacitatea disponibilă, caracteristicile conductelor, amplasarea și lungimea lor. Informațiile trebuie făcute publice și integrate în geoportalul național de date geospațiale, în cadastrul urbanistic și în sistemul electronic unificat de stat în sectorul construcțiilor. </w:t>
            </w:r>
          </w:p>
          <w:p>
            <w:pPr>
              <w:spacing w:after="160" w:line="259" w:lineRule="auto"/>
              <w:rPr>
                <w:noProof/>
              </w:rPr>
            </w:pPr>
            <w:r>
              <w:rPr>
                <w:noProof/>
              </w:rPr>
              <w:t xml:space="preserve">Articolul 21 din Legea ucraineană „privind piața energiei electrice” se modifică pentru a se stabili o procedură de racordare transparentă și nediscriminatorie și pentru a se reglementa aspectele procedurale, condițiile de racordare și contractele standard de racordare. Acesta este </w:t>
            </w:r>
            <w:r>
              <w:rPr>
                <w:noProof/>
              </w:rPr>
              <w:lastRenderedPageBreak/>
              <w:t xml:space="preserve">modificat în continuare prin impunerea obligației ca operatorii de sisteme de transport și distribuție să creeze GIS pentru infrastructura lor de energie electrică. GIS trebuie să conțină, printre altele, topologia rețelei, limitele zonelor de protecție a rețelei electrice, caracteristicile tehnice, informații privind capacitatea disponibilă/de rezervă și condițiile tehnice de racordare publicate, precum și informațiile specificate privind substațiile electrice și liniile electrice. Informațiile trebuie să fie publicate, iar datele GIS trebuie să fie integrate în geoportalul național de date geospațiale, în cadastrul urbanistic și în sistemul electronic unificat de stat în sectorul construcțiilor. </w:t>
            </w:r>
          </w:p>
          <w:p>
            <w:pPr>
              <w:rPr>
                <w:noProof/>
              </w:rPr>
            </w:pPr>
            <w:r>
              <w:rPr>
                <w:noProof/>
              </w:rPr>
              <w:t>Articolul 22 din Legea ucraineană „privind drenarea apei și epurarea apelor reziduale” este completat cu cerințe ca operatorii instalațiilor centralizate pentru apele reziduale să publice și să actualizeze informațiile privind condițiile de racordare și informațiile georeferențiate referitoare la sistemele lor prin intermediul unui GIS și să permită integrarea acestor informații în geoportalul național oficial de date geospațiale, în cadastrul urbanistic și în sistemul electronic unificat de stat în sectorul construcțiilor.</w:t>
            </w:r>
          </w:p>
          <w:p>
            <w:pPr>
              <w:spacing w:after="0"/>
              <w:rPr>
                <w:rFonts w:eastAsia="Times New Roman"/>
                <w:noProof/>
                <w:szCs w:val="24"/>
              </w:rPr>
            </w:pPr>
            <w:r>
              <w:rPr>
                <w:noProof/>
              </w:rPr>
              <w:t>Articolul 30 alineatul (7) din Legea ucraineană „privind reglementarea dezvoltării urbane” se modifică pentru a face mai stabile și mai previzibile condițiile tehnice pentru racordările la rețea ale clienților.</w:t>
            </w:r>
          </w:p>
          <w:p>
            <w:pPr>
              <w:spacing w:after="0"/>
              <w:rPr>
                <w:rFonts w:eastAsia="Calibri"/>
                <w:noProof/>
              </w:rPr>
            </w:pPr>
            <w:r>
              <w:rPr>
                <w:noProof/>
              </w:rPr>
              <w:t xml:space="preserve">În ceea ce privește procedura simplificată de racordare la rețelele externe de inginerie, Comisia Națională de Reglementare în domeniul Energiei și al Utilităților Publice a stabilit procedurile de racordare pentru furnizarea de energie electrică, gaze naturale și energie termică, inclusiv cerința ca astfel de proceduri să fie digitalizate, în timp ce racordarea la rețelele de apă și de canalizare este reglementată prin acte ale Cabinetului de Miniștri și nu a fost stabilită nicio procedură pentru racordarea digitală. În temeiul Legii „privind reglementarea dezvoltării urbane”, condițiile tehnice și documentația de proiectare pentru racordarea la rețelele de inginerie se efectuează prin intermediul sistemului electronic unificat de stat în sectorul construcțiilor, dar nu sunt acoperite alte aspecte ale procesului de racordare. Pentru a remedia aceste lacune și a simplifica sistemul de racordare la rețelele de inginerie externe, au fost aduse modificări Rezoluției Cabinetului de Miniștri privind „Procedura de menținere a sistemului electronic unificat de stat în sectorul construcțiilor” și „Procedura de racordare la rețelele centralizate de alimentare cu apă și/sau la rețelele centralizate de canalizare” prin Rezoluția nr. 950 a Cabinetului de Miniștri, pentru a asigura a) digitalizarea procedurii de racordare la rețelele de apă și de canalizare prin intermediul sistemului electronic unificat de stat în sectorul construcțiilor și b) crearea unei interfețe unice în cadrul sistemului electronic unificat de stat care să ofere acces la informații privind procedura de racordare la toate rețelele de inginerie externe. </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b/>
                <w:noProof/>
              </w:rPr>
              <w:lastRenderedPageBreak/>
              <w:t xml:space="preserve">Evaluarea Comisiei: </w:t>
            </w:r>
            <w:r>
              <w:rPr>
                <w:noProof/>
              </w:rPr>
              <w:t>îndeplinită în mod satisfăcător</w:t>
            </w:r>
          </w:p>
        </w:tc>
      </w:tr>
    </w:tbl>
    <w:p>
      <w:pPr>
        <w:contextualSpacing/>
        <w:rPr>
          <w:rFonts w:eastAsia="Calibri"/>
          <w:noProof/>
          <w:szCs w:val="24"/>
        </w:rPr>
      </w:pPr>
    </w:p>
    <w:p>
      <w:pPr>
        <w:contextualSpacing/>
        <w:rPr>
          <w:rFonts w:eastAsia="Calibri"/>
          <w:noProof/>
          <w:szCs w:val="24"/>
        </w:rPr>
      </w:pPr>
    </w:p>
    <w:p>
      <w:pPr>
        <w:contextualSpacing/>
        <w:rPr>
          <w:rFonts w:eastAsia="Calibri"/>
          <w:b/>
          <w:bCs/>
          <w:noProof/>
        </w:rPr>
      </w:pPr>
      <w:r>
        <w:rPr>
          <w:b/>
          <w:noProof/>
        </w:rPr>
        <w:t>Etapa 10.7</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trPr>
          <w:trHeight w:val="66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 xml:space="preserve">Denumirea etapei: </w:t>
            </w:r>
            <w:r>
              <w:rPr>
                <w:noProof/>
              </w:rPr>
              <w:t>Numirea unui nou operator al pieței energiei electrice</w:t>
            </w:r>
          </w:p>
        </w:tc>
      </w:tr>
      <w:tr>
        <w:trPr>
          <w:trHeight w:val="615"/>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noProof/>
                <w:szCs w:val="24"/>
              </w:rPr>
            </w:pPr>
            <w:r>
              <w:rPr>
                <w:b/>
                <w:noProof/>
              </w:rPr>
              <w:t>Reforma/investiția aferentă:</w:t>
            </w:r>
            <w:r>
              <w:rPr>
                <w:noProof/>
              </w:rPr>
              <w:t xml:space="preserve"> Reforma 3: Reforma pieței energiei electrice</w:t>
            </w:r>
          </w:p>
        </w:tc>
      </w:tr>
      <w:tr>
        <w:trPr>
          <w:trHeight w:val="54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color w:val="000000" w:themeColor="text1"/>
                <w:szCs w:val="24"/>
              </w:rPr>
            </w:pPr>
            <w:r>
              <w:rPr>
                <w:b/>
                <w:noProof/>
              </w:rPr>
              <w:t xml:space="preserve">Finanțare din: </w:t>
            </w:r>
            <w:r>
              <w:rPr>
                <w:noProof/>
              </w:rPr>
              <w:t>împrumut</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Contextul</w:t>
            </w:r>
          </w:p>
          <w:p>
            <w:pPr>
              <w:spacing w:after="0"/>
              <w:contextualSpacing/>
              <w:rPr>
                <w:noProof/>
                <w:szCs w:val="24"/>
              </w:rPr>
            </w:pPr>
            <w:r>
              <w:rPr>
                <w:noProof/>
              </w:rPr>
              <w:t>Cerința pentru etapa 10.7 descrisă în anexa la Decizia de punere în aplicare a Consiliului este:</w:t>
            </w:r>
          </w:p>
          <w:p>
            <w:pPr>
              <w:rPr>
                <w:i/>
                <w:iCs/>
                <w:noProof/>
              </w:rPr>
            </w:pPr>
            <w:r>
              <w:rPr>
                <w:i/>
                <w:noProof/>
              </w:rPr>
              <w:t xml:space="preserve">„Numirea unui operator al pieței energiei electrice desemnat de Comisia Națională de </w:t>
            </w:r>
            <w:r>
              <w:rPr>
                <w:i/>
                <w:noProof/>
              </w:rPr>
              <w:lastRenderedPageBreak/>
              <w:t>Reglementare în domeniul Energiei și al Utilităților Publice (CNREUP).”</w:t>
            </w:r>
          </w:p>
          <w:p>
            <w:pPr>
              <w:rPr>
                <w:noProof/>
                <w:color w:val="000000" w:themeColor="text1"/>
              </w:rPr>
            </w:pPr>
            <w:r>
              <w:rPr>
                <w:noProof/>
                <w:color w:val="000000" w:themeColor="text1"/>
              </w:rPr>
              <w:t>Etapa 10.7 este a treia etapă a reformei 3. Aceasta a fost precedată de etapa 10.8 privind intrarea în vigoare a legislației secundare referitoare la legislația REMIT și de etapa 10.5 referitoare la intrarea în vigoare a legii privind transpunerea pachetului de integrare a energiei electrice (PEI). Aceasta va fi urmată de etapa 10.6 care impune intrarea în vigoare a legislației de modificare a regimului de impozitare indirectă a participanților la piața energiei electrice și de etapa 10.18 referitoare la intrarea în vigoare a legislației secundare din Legea nr. 4834/IC privind transpunerea PEI.</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noProof/>
                <w:szCs w:val="24"/>
              </w:rPr>
            </w:pPr>
            <w:r>
              <w:rPr>
                <w:b/>
                <w:noProof/>
              </w:rPr>
              <w:lastRenderedPageBreak/>
              <w:t>Elemente justificative furnizate</w:t>
            </w:r>
          </w:p>
          <w:p>
            <w:pPr>
              <w:spacing w:before="0" w:after="0"/>
              <w:rPr>
                <w:rFonts w:eastAsia="Times New Roman"/>
                <w:noProof/>
                <w:szCs w:val="24"/>
              </w:rPr>
            </w:pPr>
            <w:r>
              <w:rPr>
                <w:noProof/>
              </w:rPr>
              <w:t xml:space="preserve"> </w:t>
            </w:r>
          </w:p>
          <w:p>
            <w:pPr>
              <w:pStyle w:val="ListParagraph"/>
              <w:numPr>
                <w:ilvl w:val="0"/>
                <w:numId w:val="19"/>
              </w:numPr>
              <w:spacing w:after="200" w:line="276"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document de sinteză care dovedește în mod corespunzător modul în care etapa a fost îndeplinită în mod satisfăcător, în concordanță cu cerințele prevăzute în anexa la Decizia de punere în aplicare a Consiliului;</w:t>
            </w:r>
          </w:p>
          <w:p>
            <w:pPr>
              <w:pStyle w:val="ListParagraph"/>
              <w:numPr>
                <w:ilvl w:val="0"/>
                <w:numId w:val="19"/>
              </w:numPr>
              <w:spacing w:after="200" w:line="276"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un exemplar al Rezoluției nr. 1390 din 18 august 2026 de numire a societatea pe acțiuni „Market Operator” în calitate de operator al pieței energiei electrice desemnat.</w:t>
            </w:r>
          </w:p>
          <w:p>
            <w:pPr>
              <w:pStyle w:val="ListParagraph"/>
              <w:numPr>
                <w:ilvl w:val="0"/>
                <w:numId w:val="19"/>
              </w:numPr>
              <w:spacing w:after="200" w:line="276"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Rezoluția nr. 1089 a CNREUP din 7 iulie 2026 privind aprobarea procedurii de numire a unui operator al pieței energiei electrice desemnat, suspendarea activităților acestuia, încetarea funcțiilor sale și monitorizarea activităților sale.</w:t>
            </w:r>
          </w:p>
        </w:tc>
      </w:tr>
      <w:tr>
        <w:trPr>
          <w:trHeight w:val="285"/>
        </w:trPr>
        <w:tc>
          <w:tcPr>
            <w:tcW w:w="5000" w:type="pct"/>
            <w:tcBorders>
              <w:top w:val="single" w:sz="8" w:space="0" w:color="auto"/>
              <w:left w:val="single" w:sz="8" w:space="0" w:color="auto"/>
              <w:bottom w:val="single" w:sz="8" w:space="0" w:color="auto"/>
              <w:right w:val="single" w:sz="8" w:space="0" w:color="auto"/>
            </w:tcBorders>
            <w:shd w:val="clear" w:color="auto" w:fill="FFFFFF" w:themeFill="background1"/>
          </w:tcPr>
          <w:p>
            <w:pPr>
              <w:spacing w:after="0"/>
              <w:contextualSpacing/>
              <w:rPr>
                <w:rFonts w:eastAsia="Times New Roman"/>
                <w:b/>
                <w:bCs/>
                <w:noProof/>
                <w:szCs w:val="24"/>
              </w:rPr>
            </w:pPr>
            <w:r>
              <w:rPr>
                <w:b/>
                <w:noProof/>
              </w:rPr>
              <w:t>Analiză</w:t>
            </w:r>
          </w:p>
          <w:p>
            <w:pPr>
              <w:spacing w:before="0" w:after="0"/>
              <w:contextualSpacing/>
              <w:rPr>
                <w:rFonts w:eastAsia="Times New Roman"/>
                <w:noProof/>
              </w:rPr>
            </w:pPr>
            <w:r>
              <w:rPr>
                <w:noProof/>
              </w:rPr>
              <w:t>Justificarea și dovezile furnizate de autoritățile ucrainene acoperă toate elementele constitutive ale etapei 10.7.</w:t>
            </w:r>
          </w:p>
          <w:p>
            <w:pPr>
              <w:spacing w:before="0" w:after="0"/>
              <w:contextualSpacing/>
              <w:rPr>
                <w:rFonts w:eastAsia="Times New Roman"/>
                <w:noProof/>
              </w:rPr>
            </w:pPr>
          </w:p>
          <w:p>
            <w:pPr>
              <w:spacing w:before="0" w:after="0"/>
              <w:rPr>
                <w:rFonts w:eastAsiaTheme="minorEastAsia"/>
                <w:noProof/>
              </w:rPr>
            </w:pPr>
            <w:r>
              <w:rPr>
                <w:noProof/>
              </w:rPr>
              <w:t xml:space="preserve">Justificarea și dovezile de fond furnizate de autoritățile ucrainene acoperă toate elementele constitutive ale etapei 10.7. </w:t>
            </w:r>
          </w:p>
          <w:p>
            <w:pPr>
              <w:spacing w:after="0"/>
              <w:rPr>
                <w:rFonts w:eastAsiaTheme="minorEastAsia"/>
                <w:noProof/>
                <w:sz w:val="20"/>
                <w:szCs w:val="20"/>
              </w:rPr>
            </w:pPr>
            <w:r>
              <w:rPr>
                <w:noProof/>
              </w:rPr>
              <w:t xml:space="preserve">Reforma 3 urmărește îmbunătățirea cadrului de reglementare pentru sectorul energetic din Ucraina, inclusiv sprijinirea integrării piețelor ucraineană și europeană. Această etapă implică numirea unui nou operator al pieței energiei electrice desemnat de CNREUP. </w:t>
            </w:r>
          </w:p>
          <w:p>
            <w:pPr>
              <w:spacing w:after="0"/>
              <w:rPr>
                <w:rFonts w:eastAsiaTheme="minorEastAsia"/>
                <w:noProof/>
                <w:highlight w:val="green"/>
              </w:rPr>
            </w:pPr>
            <w:r>
              <w:rPr>
                <w:noProof/>
              </w:rPr>
              <w:t>La 18 august 2026, în urma adoptării Rezoluției nr. 1089 din 7 iulie 2026 de stabilire a procedurilor și condițiilor pentru desemnarea unui operator al pieței energiei electrice, CNREUP a numit societatea pe acțiuni „Market Operator” în calitate de operator al pieței energiei electrice desemnat, astfel cum reiese din Rezoluția nr. 1390 din 18 august 2026.</w:t>
            </w:r>
          </w:p>
          <w:p>
            <w:pPr>
              <w:spacing w:after="0"/>
              <w:contextualSpacing/>
              <w:rPr>
                <w:rFonts w:eastAsia="Calibri"/>
                <w:noProof/>
                <w:szCs w:val="24"/>
              </w:rPr>
            </w:pP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b/>
                <w:noProof/>
              </w:rPr>
              <w:t xml:space="preserve">Evaluarea Comisiei: </w:t>
            </w:r>
            <w:r>
              <w:rPr>
                <w:noProof/>
              </w:rPr>
              <w:t>îndeplinită în mod satisfăcător</w:t>
            </w:r>
          </w:p>
        </w:tc>
      </w:tr>
    </w:tbl>
    <w:p>
      <w:pPr>
        <w:contextualSpacing/>
        <w:rPr>
          <w:rFonts w:eastAsia="Calibri"/>
          <w:noProof/>
          <w:szCs w:val="24"/>
        </w:rPr>
      </w:pPr>
    </w:p>
    <w:p>
      <w:pPr>
        <w:contextualSpacing/>
        <w:rPr>
          <w:rFonts w:eastAsia="Calibri"/>
          <w:noProof/>
          <w:szCs w:val="24"/>
        </w:rPr>
      </w:pPr>
    </w:p>
    <w:p>
      <w:pPr>
        <w:keepNext/>
        <w:keepLines/>
        <w:contextualSpacing/>
        <w:outlineLvl w:val="0"/>
        <w:rPr>
          <w:rFonts w:eastAsia="Times New Roman"/>
          <w:b/>
          <w:bCs/>
          <w:noProof/>
        </w:rPr>
      </w:pPr>
      <w:r>
        <w:rPr>
          <w:b/>
          <w:noProof/>
        </w:rPr>
        <w:t>Etapa 10.14</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trPr>
          <w:trHeight w:val="66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Calibri"/>
                <w:noProof/>
                <w:color w:val="000000" w:themeColor="text1"/>
              </w:rPr>
            </w:pPr>
            <w:r>
              <w:rPr>
                <w:b/>
                <w:noProof/>
              </w:rPr>
              <w:t xml:space="preserve">Denumirea etapei: </w:t>
            </w:r>
            <w:r>
              <w:rPr>
                <w:noProof/>
                <w:color w:val="000000" w:themeColor="text1"/>
              </w:rPr>
              <w:t>Intrarea în vigoare a legislației de sprijinire a dezvoltării unui sistem de termoficare eficient și mai durabil</w:t>
            </w:r>
          </w:p>
        </w:tc>
      </w:tr>
      <w:tr>
        <w:trPr>
          <w:trHeight w:val="615"/>
        </w:trPr>
        <w:tc>
          <w:tcPr>
            <w:tcW w:w="5000" w:type="pct"/>
            <w:tcBorders>
              <w:top w:val="single" w:sz="8" w:space="0" w:color="auto"/>
              <w:left w:val="single" w:sz="8" w:space="0" w:color="auto"/>
              <w:bottom w:val="single" w:sz="8" w:space="0" w:color="auto"/>
              <w:right w:val="single" w:sz="8" w:space="0" w:color="auto"/>
            </w:tcBorders>
            <w:vAlign w:val="center"/>
          </w:tcPr>
          <w:p>
            <w:pPr>
              <w:spacing w:after="0"/>
              <w:rPr>
                <w:rFonts w:eastAsia="Times New Roman"/>
                <w:noProof/>
                <w:szCs w:val="24"/>
              </w:rPr>
            </w:pPr>
            <w:r>
              <w:rPr>
                <w:b/>
                <w:noProof/>
              </w:rPr>
              <w:t>Reforma/investiția aferentă:</w:t>
            </w:r>
            <w:r>
              <w:rPr>
                <w:noProof/>
              </w:rPr>
              <w:t xml:space="preserve"> Reforma 6. </w:t>
            </w:r>
            <w:r>
              <w:rPr>
                <w:noProof/>
                <w:color w:val="000000" w:themeColor="text1"/>
              </w:rPr>
              <w:t>Îmbunătățirea eficienței sistemului de termoficare</w:t>
            </w:r>
          </w:p>
        </w:tc>
      </w:tr>
      <w:tr>
        <w:trPr>
          <w:trHeight w:val="54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color w:val="000000" w:themeColor="text1"/>
                <w:szCs w:val="24"/>
              </w:rPr>
            </w:pPr>
            <w:r>
              <w:rPr>
                <w:b/>
                <w:noProof/>
              </w:rPr>
              <w:t xml:space="preserve">Finanțare din: </w:t>
            </w:r>
            <w:r>
              <w:rPr>
                <w:noProof/>
                <w:color w:val="000000" w:themeColor="text1"/>
              </w:rPr>
              <w:t>împrumut</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Contextul</w:t>
            </w:r>
          </w:p>
          <w:p>
            <w:pPr>
              <w:spacing w:after="0"/>
              <w:contextualSpacing/>
              <w:rPr>
                <w:rFonts w:eastAsia="Calibri"/>
                <w:noProof/>
                <w:color w:val="000000" w:themeColor="text1"/>
                <w:szCs w:val="24"/>
              </w:rPr>
            </w:pPr>
            <w:r>
              <w:rPr>
                <w:noProof/>
                <w:color w:val="000000" w:themeColor="text1"/>
              </w:rPr>
              <w:t>Cerința pentru etapa 10.14 descrisă în anexa la Decizia de punere în aplicare a Consiliului este:</w:t>
            </w:r>
          </w:p>
          <w:p>
            <w:pPr>
              <w:spacing w:after="0"/>
              <w:contextualSpacing/>
              <w:rPr>
                <w:rFonts w:eastAsia="Calibri"/>
                <w:noProof/>
                <w:color w:val="000000" w:themeColor="text1"/>
                <w:szCs w:val="24"/>
              </w:rPr>
            </w:pPr>
          </w:p>
          <w:p>
            <w:pPr>
              <w:spacing w:after="0"/>
              <w:contextualSpacing/>
              <w:rPr>
                <w:rFonts w:eastAsia="Calibri"/>
                <w:i/>
                <w:noProof/>
                <w:color w:val="000000" w:themeColor="text1"/>
                <w:szCs w:val="24"/>
              </w:rPr>
            </w:pPr>
            <w:r>
              <w:rPr>
                <w:i/>
                <w:noProof/>
                <w:color w:val="000000" w:themeColor="text1"/>
              </w:rPr>
              <w:t xml:space="preserve">„Intrarea în vigoare a Legii ucrainene «privind modificarea anumitor legi ale Ucrainei cu </w:t>
            </w:r>
            <w:r>
              <w:rPr>
                <w:i/>
                <w:noProof/>
                <w:color w:val="000000" w:themeColor="text1"/>
              </w:rPr>
              <w:lastRenderedPageBreak/>
              <w:t xml:space="preserve">scopul de a sprijini dezvoltarea unei termoficări eficiente și mai durabile. </w:t>
            </w:r>
          </w:p>
          <w:p>
            <w:pPr>
              <w:spacing w:after="0"/>
              <w:contextualSpacing/>
              <w:rPr>
                <w:rFonts w:eastAsia="Calibri"/>
                <w:i/>
                <w:iCs/>
                <w:noProof/>
                <w:color w:val="000000" w:themeColor="text1"/>
                <w:szCs w:val="24"/>
              </w:rPr>
            </w:pPr>
          </w:p>
          <w:p>
            <w:pPr>
              <w:spacing w:after="0"/>
              <w:contextualSpacing/>
              <w:rPr>
                <w:rFonts w:eastAsia="Calibri"/>
                <w:i/>
                <w:iCs/>
                <w:noProof/>
                <w:color w:val="000000" w:themeColor="text1"/>
                <w:szCs w:val="24"/>
              </w:rPr>
            </w:pPr>
            <w:r>
              <w:rPr>
                <w:i/>
                <w:noProof/>
                <w:color w:val="000000" w:themeColor="text1"/>
              </w:rPr>
              <w:t xml:space="preserve">Legea se axează pe următoarele domenii principale: </w:t>
            </w:r>
          </w:p>
          <w:p>
            <w:pPr>
              <w:spacing w:after="0"/>
              <w:contextualSpacing/>
              <w:rPr>
                <w:rFonts w:eastAsia="Calibri"/>
                <w:i/>
                <w:iCs/>
                <w:noProof/>
                <w:color w:val="000000" w:themeColor="text1"/>
                <w:szCs w:val="24"/>
              </w:rPr>
            </w:pPr>
          </w:p>
          <w:p>
            <w:pPr>
              <w:numPr>
                <w:ilvl w:val="0"/>
                <w:numId w:val="15"/>
              </w:numPr>
              <w:spacing w:after="0"/>
              <w:contextualSpacing/>
              <w:rPr>
                <w:rFonts w:eastAsia="Calibri"/>
                <w:i/>
                <w:iCs/>
                <w:noProof/>
                <w:color w:val="000000" w:themeColor="text1"/>
                <w:szCs w:val="24"/>
              </w:rPr>
            </w:pPr>
            <w:r>
              <w:rPr>
                <w:i/>
                <w:noProof/>
                <w:color w:val="000000" w:themeColor="text1"/>
              </w:rPr>
              <w:t>stabilirea unor norme clare pentru racordarea la rețea/deconectarea de la rețea și zonele de dezvoltare prioritară a sistemelor de termoficare;</w:t>
            </w:r>
          </w:p>
          <w:p>
            <w:pPr>
              <w:numPr>
                <w:ilvl w:val="0"/>
                <w:numId w:val="15"/>
              </w:numPr>
              <w:spacing w:after="0"/>
              <w:contextualSpacing/>
              <w:rPr>
                <w:rFonts w:eastAsia="Calibri"/>
                <w:i/>
                <w:iCs/>
                <w:noProof/>
                <w:color w:val="000000" w:themeColor="text1"/>
                <w:szCs w:val="24"/>
              </w:rPr>
            </w:pPr>
            <w:r>
              <w:rPr>
                <w:i/>
                <w:noProof/>
                <w:color w:val="000000" w:themeColor="text1"/>
              </w:rPr>
              <w:t>îmbunătățirea procedurilor de instalare a stațiilor termice individuale (IHS) în clădirile cu mai multe apartamente pentru a asigura controlul adecvat de la distanță și gestionarea cererii.”</w:t>
            </w:r>
          </w:p>
          <w:p>
            <w:pPr>
              <w:spacing w:after="0"/>
              <w:ind w:left="720"/>
              <w:contextualSpacing/>
              <w:rPr>
                <w:rFonts w:eastAsia="Calibri"/>
                <w:noProof/>
                <w:color w:val="000000" w:themeColor="text1"/>
                <w:szCs w:val="24"/>
              </w:rPr>
            </w:pPr>
          </w:p>
          <w:p>
            <w:pPr>
              <w:spacing w:after="0"/>
              <w:contextualSpacing/>
              <w:rPr>
                <w:rFonts w:eastAsia="Calibri"/>
                <w:noProof/>
                <w:color w:val="000000" w:themeColor="text1"/>
              </w:rPr>
            </w:pPr>
            <w:r>
              <w:rPr>
                <w:noProof/>
                <w:color w:val="000000" w:themeColor="text1"/>
              </w:rPr>
              <w:t>Etapa 10.14 este a doua etapă a reformei 6. A fost precedată de etapa 10.13 care impunea adoptarea de către Cabinetul de Miniștri a programului economic specific de stat care vizează modernizarea energetică a întreprinderilor producătoare de energie termică pentru perioada de până în 2030. Aceasta este urmată de etapa 10.12 care impune anularea moratoriului privind creșterea tarifelor la energia termică și la apa caldă.</w:t>
            </w:r>
          </w:p>
          <w:p>
            <w:pPr>
              <w:spacing w:after="0"/>
              <w:contextualSpacing/>
              <w:rPr>
                <w:rFonts w:eastAsia="Calibri"/>
                <w:noProof/>
                <w:color w:val="000000" w:themeColor="text1"/>
              </w:rPr>
            </w:pP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noProof/>
                <w:szCs w:val="24"/>
              </w:rPr>
            </w:pPr>
            <w:r>
              <w:rPr>
                <w:b/>
                <w:noProof/>
              </w:rPr>
              <w:lastRenderedPageBreak/>
              <w:t>Elemente justificative furnizate</w:t>
            </w:r>
          </w:p>
          <w:p>
            <w:pPr>
              <w:spacing w:after="0"/>
              <w:contextualSpacing/>
              <w:rPr>
                <w:rFonts w:eastAsia="Times New Roman"/>
                <w:b/>
                <w:noProof/>
              </w:rPr>
            </w:pPr>
          </w:p>
          <w:p>
            <w:pPr>
              <w:pStyle w:val="ListParagraph"/>
              <w:numPr>
                <w:ilvl w:val="0"/>
                <w:numId w:val="10"/>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document de sinteză care dovedește în mod corespunzător modul în care etapa a fost îndeplinită în mod satisfăcător, în concordanță cu cerințele prevăzute în anexa la Decizia de punere în aplicare a Consiliului;</w:t>
            </w:r>
          </w:p>
          <w:p>
            <w:pPr>
              <w:pStyle w:val="ListParagraph"/>
              <w:numPr>
                <w:ilvl w:val="0"/>
                <w:numId w:val="10"/>
              </w:numPr>
              <w:spacing w:line="240" w:lineRule="auto"/>
              <w:jc w:val="both"/>
              <w:rPr>
                <w:rFonts w:ascii="Times New Roman" w:eastAsia="Times New Roman" w:hAnsi="Times New Roman" w:cs="Times New Roman"/>
                <w:noProof/>
                <w:sz w:val="24"/>
                <w:szCs w:val="24"/>
              </w:rPr>
            </w:pPr>
            <w:r>
              <w:rPr>
                <w:rFonts w:ascii="Times New Roman" w:hAnsi="Times New Roman"/>
                <w:noProof/>
                <w:sz w:val="24"/>
              </w:rPr>
              <w:t>Copia Legii nr. 4937-IX din 15 iulie 2026 privind modificarea anumitor legi ale Ucrainei cu scopul de a sprijini dezvoltarea unei termoficări eficiente și mai durabile”`, din data de 15 iulie 2026;</w:t>
            </w:r>
          </w:p>
          <w:p>
            <w:pPr>
              <w:pStyle w:val="ListParagraph"/>
              <w:numPr>
                <w:ilvl w:val="0"/>
                <w:numId w:val="10"/>
              </w:numPr>
              <w:spacing w:line="240" w:lineRule="auto"/>
              <w:jc w:val="both"/>
              <w:rPr>
                <w:rFonts w:ascii="Times New Roman" w:eastAsia="Times New Roman" w:hAnsi="Times New Roman" w:cs="Times New Roman"/>
                <w:noProof/>
                <w:sz w:val="24"/>
                <w:szCs w:val="24"/>
              </w:rPr>
            </w:pPr>
            <w:r>
              <w:rPr>
                <w:rFonts w:ascii="Times New Roman" w:hAnsi="Times New Roman"/>
                <w:noProof/>
                <w:sz w:val="24"/>
              </w:rPr>
              <w:t>Rezoluția nr. 1823 a CNREUP de stabilire a procedurilor de racordare la rețeaua de încălzire, din 4 octombrie 2023, astfel cum a fost modificată prin rezoluțiile nr. 1140 din 19 iunie 2024 și nr. 370 din 10 martie 2026 ale CNREUP.</w:t>
            </w:r>
          </w:p>
          <w:p>
            <w:pPr>
              <w:pStyle w:val="ListParagraph"/>
              <w:numPr>
                <w:ilvl w:val="0"/>
                <w:numId w:val="10"/>
              </w:numPr>
              <w:spacing w:line="240" w:lineRule="auto"/>
              <w:jc w:val="both"/>
              <w:rPr>
                <w:rFonts w:ascii="Times New Roman" w:eastAsia="Times New Roman" w:hAnsi="Times New Roman" w:cs="Times New Roman"/>
                <w:noProof/>
                <w:sz w:val="24"/>
                <w:szCs w:val="24"/>
              </w:rPr>
            </w:pPr>
            <w:r>
              <w:rPr>
                <w:rFonts w:ascii="Times New Roman" w:hAnsi="Times New Roman"/>
                <w:noProof/>
                <w:sz w:val="24"/>
              </w:rPr>
              <w:t>Rezoluția nr. 888 a CNREUP de stabilire a rolurilor serviciului pentru utilizarea energiei termice, din 18 iunie 2025.</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rPr>
                <w:rFonts w:eastAsia="Calibri"/>
                <w:b/>
                <w:noProof/>
                <w:szCs w:val="24"/>
              </w:rPr>
            </w:pPr>
            <w:r>
              <w:rPr>
                <w:b/>
                <w:noProof/>
              </w:rPr>
              <w:t>Analiză</w:t>
            </w:r>
          </w:p>
          <w:p>
            <w:pPr>
              <w:spacing w:after="0"/>
              <w:rPr>
                <w:rFonts w:eastAsia="Calibri"/>
                <w:noProof/>
                <w:szCs w:val="24"/>
              </w:rPr>
            </w:pPr>
            <w:r>
              <w:rPr>
                <w:noProof/>
              </w:rPr>
              <w:t xml:space="preserve">Justificarea și dovezile de fond furnizate de autoritățile ucrainene acoperă toate elementele constitutive ale etapei 10.14. </w:t>
            </w:r>
          </w:p>
          <w:p>
            <w:pPr>
              <w:widowControl w:val="0"/>
              <w:spacing w:after="0"/>
              <w:rPr>
                <w:rFonts w:eastAsia="Calibri"/>
                <w:noProof/>
                <w:szCs w:val="24"/>
              </w:rPr>
            </w:pPr>
            <w:r>
              <w:rPr>
                <w:noProof/>
              </w:rPr>
              <w:t xml:space="preserve">Obiectivul general al acestei reforme este de a sprijini dezvoltarea unei termoficări eficiente și durabile prin intermediul unor norme clare privind racordarea la rețea și deconectarea de la rețea, precum și de îmbunătățire a procedurilor de instalare a stațiilor termice individuale în clădirile cu mai multe apartamente. </w:t>
            </w:r>
          </w:p>
          <w:p>
            <w:pPr>
              <w:widowControl w:val="0"/>
              <w:spacing w:after="0"/>
              <w:rPr>
                <w:rFonts w:eastAsia="Calibri"/>
                <w:noProof/>
              </w:rPr>
            </w:pPr>
            <w:r>
              <w:rPr>
                <w:noProof/>
              </w:rPr>
              <w:t xml:space="preserve">Pentru a îndeplini această etapă, autoritățile ucrainene au adoptat Legea nr. 4937-IX din 15 iulie 2026, care a intrat în vigoare la 26 iulie 2026. Legea nr. 4937-IX/2026 modifică Legea nr. 2633-IV privind furnizarea energiei termice din 2 iunie 2005 prin: </w:t>
            </w:r>
          </w:p>
          <w:p>
            <w:pPr>
              <w:widowControl w:val="0"/>
              <w:numPr>
                <w:ilvl w:val="0"/>
                <w:numId w:val="16"/>
              </w:numPr>
              <w:spacing w:after="0"/>
              <w:rPr>
                <w:rFonts w:eastAsia="Calibri"/>
                <w:noProof/>
              </w:rPr>
            </w:pPr>
            <w:r>
              <w:rPr>
                <w:noProof/>
              </w:rPr>
              <w:t>delimitarea clară a competenței Comisiei naționale de reglementare a energiei și a utilităților publice în domeniul furnizării de energie termică de a stabili și aproba procedurile de racordare la rețeaua de termoficare, de a elabora modele de contracte, de a stabili taxele de racordare și de a asigura controlul respectării acestora (articolul 16 din Legea nr. 2633-IV/2005, astfel cum a fost modificată prin articolul 7 din Legea nr. 4973-IX/2026);</w:t>
            </w:r>
          </w:p>
          <w:p>
            <w:pPr>
              <w:widowControl w:val="0"/>
              <w:numPr>
                <w:ilvl w:val="0"/>
                <w:numId w:val="16"/>
              </w:numPr>
              <w:spacing w:after="0"/>
              <w:rPr>
                <w:rFonts w:eastAsia="Calibri"/>
                <w:noProof/>
              </w:rPr>
            </w:pPr>
            <w:r>
              <w:rPr>
                <w:noProof/>
              </w:rPr>
              <w:t xml:space="preserve">împuternicirea organismelor autonome locale de a aproba programe locale pentru instalarea de stații termice individuale racordate la sistemele de termoficare și de a identifica zonele/teritoriile în care sistemele de termoficare reprezintă singura sau principala metodă de furnizare a energiei termice, atunci când aprobă programele de </w:t>
            </w:r>
            <w:r>
              <w:rPr>
                <w:noProof/>
              </w:rPr>
              <w:lastRenderedPageBreak/>
              <w:t>urbanism, planurile generale pentru dezvoltarea așezărilor, schemele de furnizare a energiei termice și alte documente de planificare urbană (articolul 13 din Legea nr. 2633-IV/2005, astfel cum a fost modificată prin articolul 6 din Legea nr. 4973-/2026).</w:t>
            </w:r>
          </w:p>
          <w:p>
            <w:pPr>
              <w:widowControl w:val="0"/>
              <w:spacing w:after="0"/>
              <w:rPr>
                <w:rFonts w:eastAsia="Calibri"/>
                <w:noProof/>
              </w:rPr>
            </w:pPr>
            <w:r>
              <w:rPr>
                <w:noProof/>
              </w:rPr>
              <w:t xml:space="preserve">În plus, articolul 262 din Legea nr. 2633-IV/2005, astfel cum a fost modificat prin articolul 12 din Legea nr. 4937-IX/2026, îmbunătățește procedurile de instalare și înlocuire a stațiilor termice individuale în clădiri. Aceasta permite ca clădirile (sau părțile acestora) conectate la sistemele de termoficare, dar care nu sunt echipate cu stații termice individuale sau cu stații termice individuale nereglementate, să fie echipate cu stații termice individuale în conformitate cu procedura aprobată de Cabinetul de Miniștri al Ucrainei, ținând seama de criteriile de fezabilitate tehnică și de fezabilitate economică. Administrația locală instituie o comisie permanentă, cu participarea obligatorie a unui reprezentant al organizației de transport al energiei termice, pentru a stabili fezabilitatea tehnică și viabilitatea economică a instalării unei stații termice individuale. </w:t>
            </w:r>
          </w:p>
          <w:p>
            <w:pPr>
              <w:widowControl w:val="0"/>
              <w:spacing w:after="0"/>
              <w:rPr>
                <w:noProof/>
              </w:rPr>
            </w:pPr>
            <w:r>
              <w:rPr>
                <w:noProof/>
              </w:rPr>
              <w:t>Instalarea și înlocuirea stațiilor termice individuale racordate la sistemele de termoficare pot fi efectuate la inițiativa proprietarilor (coproprietarilor) unor astfel de clădiri, a unei organizații de transport al energiei termice sau a unui organism local autonom. Articolul 26 din Legea nr. 2633-IV/2005, astfel cum a fost modificat prin articolul 12 din Legea nr. 4937-IX/2026, stabilește, de asemenea, drepturile de proprietate asupra stațiilor termice individuale și sursele de finanțare pentru instalare și creează mecanisme de evitare a blocajelor. În cazul programelor de investiții realizate la inițiativa unei organizații de transport al energiei termice, legea clarifică faptul că aceasta din urmă trebuie să notifice proprietarilor clădirilor intenția sa de a instala stații termice individuale, aceștia din urmă având la dispoziție 3 luni pentru a răspunde. În absența unui răspuns, se aplică consimțământul tacit. O definiție juridică a stației termice individuale este prevăzută, de asemenea, la articolul 1 din Legea nr. 2633-IV/2005, astfel cum a fost modificată prin articolul 1 din Legea nr. 4937-IV. Pentru a fi considerată stație termică individuală, ar trebui instalat un control individual automat al modurilor de consum de energie termică pentru a asigura controlul și gestionarea cererii de la distanță.</w:t>
            </w:r>
          </w:p>
          <w:p>
            <w:pPr>
              <w:rPr>
                <w:rFonts w:eastAsia="Calibri"/>
                <w:noProof/>
              </w:rPr>
            </w:pPr>
            <w:r>
              <w:rPr>
                <w:noProof/>
              </w:rPr>
              <w:t xml:space="preserve">Prin Rezoluția nr. 1823 din 5 octombrie 2023, modificată prin Rezoluțiile nr. 1140 din 19 iunie 2024 și nr. 370 din 10 martie 2026, CNREUP a adoptat procedura de racordare la rețeaua de termoficare. În ceea ce privește deconectarea, Rezoluția nr. 888 a CNREUP din 18 iunie 2025 definește mai bine drepturile și obligațiile părților la contractele de furnizare a energiei termice, de exemplu permițând rezilierea contractului în caz de neplată, cu excepția consumatorului pentru care deconectarea este interzisă prin lege (articolul 4.3) și solicitând ca rezilierea furnizării de energie termică să fie efectuată, dacă este fezabil din punct de vedere tehnic, în termen de 5 zile lucrătoare de la cererea consumatorului privind deconectarea (articolul 6). </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b/>
                <w:noProof/>
              </w:rPr>
              <w:lastRenderedPageBreak/>
              <w:t xml:space="preserve">Evaluarea Comisiei: </w:t>
            </w:r>
            <w:r>
              <w:rPr>
                <w:noProof/>
              </w:rPr>
              <w:t>îndeplinită în mod satisfăcător</w:t>
            </w:r>
          </w:p>
        </w:tc>
      </w:tr>
    </w:tbl>
    <w:p>
      <w:pPr>
        <w:keepNext/>
        <w:keepLines/>
        <w:contextualSpacing/>
        <w:outlineLvl w:val="0"/>
        <w:rPr>
          <w:rFonts w:eastAsia="Times New Roman"/>
          <w:b/>
          <w:bCs/>
          <w:noProof/>
        </w:rPr>
      </w:pPr>
    </w:p>
    <w:p>
      <w:pPr>
        <w:keepNext/>
        <w:keepLines/>
        <w:contextualSpacing/>
        <w:outlineLvl w:val="0"/>
        <w:rPr>
          <w:rFonts w:eastAsia="Times New Roman"/>
          <w:b/>
          <w:bCs/>
          <w:noProof/>
        </w:rPr>
      </w:pPr>
      <w:r>
        <w:rPr>
          <w:b/>
          <w:noProof/>
        </w:rPr>
        <w:t>Etapa 11.3</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93"/>
      </w:tblGrid>
      <w:tr>
        <w:trPr>
          <w:trHeight w:val="660"/>
        </w:trPr>
        <w:tc>
          <w:tcPr>
            <w:tcW w:w="9093"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 xml:space="preserve">Denumirea etapei: </w:t>
            </w:r>
            <w:r>
              <w:rPr>
                <w:noProof/>
              </w:rPr>
              <w:t>Intrarea în vigoare a legii privind siguranța traficului și interoperabilitatea transportului feroviar din Ucraina, care se aplică în termen de trei ani de la adoptarea sa</w:t>
            </w:r>
          </w:p>
        </w:tc>
      </w:tr>
      <w:tr>
        <w:trPr>
          <w:trHeight w:val="615"/>
        </w:trPr>
        <w:tc>
          <w:tcPr>
            <w:tcW w:w="9093"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Reforma/investiția aferentă:</w:t>
            </w:r>
            <w:r>
              <w:rPr>
                <w:noProof/>
              </w:rPr>
              <w:t xml:space="preserve"> Reforma 3. Liberalizarea în sectorul transportului feroviar</w:t>
            </w:r>
          </w:p>
        </w:tc>
      </w:tr>
      <w:tr>
        <w:trPr>
          <w:trHeight w:val="540"/>
        </w:trPr>
        <w:tc>
          <w:tcPr>
            <w:tcW w:w="9093"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color w:val="000000" w:themeColor="text1"/>
              </w:rPr>
            </w:pPr>
            <w:r>
              <w:rPr>
                <w:b/>
                <w:noProof/>
              </w:rPr>
              <w:t xml:space="preserve">Finanțare din: </w:t>
            </w:r>
            <w:r>
              <w:rPr>
                <w:noProof/>
                <w:color w:val="000000" w:themeColor="text1"/>
              </w:rPr>
              <w:t>împrumut</w:t>
            </w:r>
          </w:p>
        </w:tc>
      </w:tr>
      <w:tr>
        <w:trPr>
          <w:trHeight w:val="285"/>
        </w:trPr>
        <w:tc>
          <w:tcPr>
            <w:tcW w:w="9093"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rPr>
            </w:pPr>
            <w:r>
              <w:rPr>
                <w:b/>
                <w:noProof/>
              </w:rPr>
              <w:t>Contextul</w:t>
            </w:r>
          </w:p>
          <w:p>
            <w:pPr>
              <w:rPr>
                <w:rFonts w:eastAsia="Times New Roman"/>
                <w:noProof/>
                <w:szCs w:val="24"/>
              </w:rPr>
            </w:pPr>
            <w:r>
              <w:rPr>
                <w:noProof/>
              </w:rPr>
              <w:t>Cerința pentru etapa 11.3 descrisă în anexa la Decizia de punere în aplicare a Consiliului este: </w:t>
            </w:r>
          </w:p>
          <w:p>
            <w:pPr>
              <w:pBdr>
                <w:top w:val="nil"/>
                <w:left w:val="nil"/>
                <w:bottom w:val="nil"/>
                <w:right w:val="nil"/>
                <w:between w:val="nil"/>
              </w:pBdr>
              <w:rPr>
                <w:rFonts w:eastAsia="Times New Roman"/>
                <w:i/>
                <w:iCs/>
                <w:noProof/>
                <w:szCs w:val="24"/>
              </w:rPr>
            </w:pPr>
            <w:r>
              <w:rPr>
                <w:i/>
                <w:noProof/>
              </w:rPr>
              <w:lastRenderedPageBreak/>
              <w:t>„Intrarea în vigoare a Legii ucrainene «privind siguranța traficului și interoperabilitatea transportului feroviar din Ucraina», care se aplică în termen de trei ani de la adoptarea sa Legea asigură integrarea tehnică a transportului feroviar în conformitate cu principiile prevăzute în Directivele 2016/798 și 2016/797 și Regulamentul 2016/796 și se axează pe următoarele domenii principale:</w:t>
            </w:r>
          </w:p>
          <w:p>
            <w:pPr>
              <w:pStyle w:val="ListParagraph"/>
              <w:numPr>
                <w:ilvl w:val="0"/>
                <w:numId w:val="3"/>
              </w:numPr>
              <w:pBdr>
                <w:top w:val="nil"/>
                <w:left w:val="nil"/>
                <w:bottom w:val="nil"/>
                <w:right w:val="nil"/>
                <w:between w:val="nil"/>
              </w:pBdr>
              <w:rPr>
                <w:rFonts w:ascii="Times New Roman" w:eastAsia="Times New Roman" w:hAnsi="Times New Roman" w:cs="Times New Roman"/>
                <w:i/>
                <w:iCs/>
                <w:noProof/>
                <w:sz w:val="24"/>
                <w:szCs w:val="24"/>
              </w:rPr>
            </w:pPr>
            <w:r>
              <w:rPr>
                <w:rFonts w:ascii="Times New Roman" w:hAnsi="Times New Roman"/>
                <w:i/>
                <w:noProof/>
                <w:sz w:val="24"/>
              </w:rPr>
              <w:t>înființarea unei autorități naționale de siguranță feroviară și conferirea competențelor și a funcțiilor care îi sunt atribuite de legislația UE;</w:t>
            </w:r>
          </w:p>
          <w:p>
            <w:pPr>
              <w:pStyle w:val="ListParagraph"/>
              <w:numPr>
                <w:ilvl w:val="0"/>
                <w:numId w:val="3"/>
              </w:numPr>
              <w:pBdr>
                <w:top w:val="nil"/>
                <w:left w:val="nil"/>
                <w:bottom w:val="nil"/>
                <w:right w:val="nil"/>
                <w:between w:val="nil"/>
              </w:pBdr>
              <w:rPr>
                <w:rFonts w:ascii="Times New Roman" w:eastAsia="Times New Roman" w:hAnsi="Times New Roman" w:cs="Times New Roman"/>
                <w:i/>
                <w:iCs/>
                <w:noProof/>
                <w:sz w:val="24"/>
                <w:szCs w:val="24"/>
              </w:rPr>
            </w:pPr>
            <w:r>
              <w:rPr>
                <w:rFonts w:ascii="Times New Roman" w:hAnsi="Times New Roman"/>
                <w:i/>
                <w:noProof/>
                <w:sz w:val="24"/>
              </w:rPr>
              <w:t>introducerea unui cadru juridic pentru certificarea de siguranță a întreprinderilor feroviare și pentru autorizarea de siguranță a administratorilor de infrastructură;</w:t>
            </w:r>
          </w:p>
          <w:p>
            <w:pPr>
              <w:pStyle w:val="ListParagraph"/>
              <w:numPr>
                <w:ilvl w:val="0"/>
                <w:numId w:val="3"/>
              </w:numPr>
              <w:pBdr>
                <w:top w:val="nil"/>
                <w:left w:val="nil"/>
                <w:bottom w:val="nil"/>
                <w:right w:val="nil"/>
                <w:between w:val="nil"/>
              </w:pBdr>
              <w:rPr>
                <w:rFonts w:ascii="Times New Roman" w:eastAsia="Times New Roman" w:hAnsi="Times New Roman" w:cs="Times New Roman"/>
                <w:i/>
                <w:iCs/>
                <w:noProof/>
                <w:sz w:val="24"/>
                <w:szCs w:val="24"/>
              </w:rPr>
            </w:pPr>
            <w:r>
              <w:rPr>
                <w:rFonts w:ascii="Times New Roman" w:hAnsi="Times New Roman"/>
                <w:i/>
                <w:noProof/>
                <w:sz w:val="24"/>
              </w:rPr>
              <w:t>înființarea unui organism național de investigare și introducerea investigării tehnice a accidentelor feroviare;</w:t>
            </w:r>
          </w:p>
          <w:p>
            <w:pPr>
              <w:pStyle w:val="ListParagraph"/>
              <w:numPr>
                <w:ilvl w:val="0"/>
                <w:numId w:val="3"/>
              </w:numPr>
              <w:pBdr>
                <w:top w:val="nil"/>
                <w:left w:val="nil"/>
                <w:bottom w:val="nil"/>
                <w:right w:val="nil"/>
                <w:between w:val="nil"/>
              </w:pBdr>
              <w:rPr>
                <w:rFonts w:ascii="Times New Roman" w:eastAsia="Times New Roman" w:hAnsi="Times New Roman" w:cs="Times New Roman"/>
                <w:i/>
                <w:iCs/>
                <w:noProof/>
                <w:sz w:val="24"/>
                <w:szCs w:val="24"/>
              </w:rPr>
            </w:pPr>
            <w:r>
              <w:rPr>
                <w:rFonts w:ascii="Times New Roman" w:hAnsi="Times New Roman"/>
                <w:i/>
                <w:noProof/>
                <w:sz w:val="24"/>
              </w:rPr>
              <w:t>stabilirea cadrului juridic pentru autorizarea vehiculelor și a infrastructurii pe baza specificațiilor tehnice de interoperabilitate;</w:t>
            </w:r>
          </w:p>
          <w:p>
            <w:pPr>
              <w:pStyle w:val="ListParagraph"/>
              <w:numPr>
                <w:ilvl w:val="0"/>
                <w:numId w:val="3"/>
              </w:numPr>
              <w:pBdr>
                <w:top w:val="nil"/>
                <w:left w:val="nil"/>
                <w:bottom w:val="nil"/>
                <w:right w:val="nil"/>
                <w:between w:val="nil"/>
              </w:pBdr>
              <w:rPr>
                <w:rFonts w:ascii="Times New Roman" w:eastAsia="Times New Roman" w:hAnsi="Times New Roman" w:cs="Times New Roman"/>
                <w:noProof/>
                <w:sz w:val="24"/>
                <w:szCs w:val="24"/>
              </w:rPr>
            </w:pPr>
            <w:r>
              <w:rPr>
                <w:rFonts w:ascii="Times New Roman" w:hAnsi="Times New Roman"/>
                <w:i/>
                <w:noProof/>
                <w:sz w:val="24"/>
              </w:rPr>
              <w:t>stabilirea unui cadru juridic pentru certificarea mecanicilor de locomotivă, pe baza modelului UE.”</w:t>
            </w:r>
            <w:r>
              <w:rPr>
                <w:rFonts w:ascii="Times New Roman" w:hAnsi="Times New Roman"/>
                <w:noProof/>
                <w:sz w:val="24"/>
              </w:rPr>
              <w:t xml:space="preserve"> </w:t>
            </w:r>
          </w:p>
          <w:p>
            <w:pPr>
              <w:spacing w:after="0"/>
              <w:contextualSpacing/>
              <w:rPr>
                <w:rFonts w:eastAsia="Times New Roman"/>
                <w:noProof/>
                <w:szCs w:val="24"/>
              </w:rPr>
            </w:pPr>
            <w:r>
              <w:rPr>
                <w:noProof/>
              </w:rPr>
              <w:t>Etapa 11.3 este prima din cele patru etape de implementare a reformei 3 din capitolul 11 (Liberalizarea în sectorul transportului feroviar). Aceasta este urmată de etapa 11.9 (prevăzută pentru T3 2026) privind adoptarea unui plan de acțiune pentru introducerea treptată a transportului de mărfuri și de călători pe piața feroviară, de etapa 11.8 (prevăzută pentru T4 2026) privind intrarea în vigoare a legislației privind organizarea transportului feroviar de călători important din punct de vedere social și supravegherea instituțională și de etapa 11.4 (prevăzută pentru T3 2027) privind adoptarea normelor pentru punerea în aplicare a legislației privind transportul feroviar.</w:t>
            </w:r>
          </w:p>
        </w:tc>
      </w:tr>
      <w:tr>
        <w:trPr>
          <w:trHeight w:val="285"/>
        </w:trPr>
        <w:tc>
          <w:tcPr>
            <w:tcW w:w="9093" w:type="dxa"/>
            <w:tcBorders>
              <w:top w:val="single" w:sz="8" w:space="0" w:color="auto"/>
              <w:left w:val="single" w:sz="8" w:space="0" w:color="auto"/>
              <w:bottom w:val="single" w:sz="8" w:space="0" w:color="auto"/>
              <w:right w:val="single" w:sz="8" w:space="0" w:color="auto"/>
            </w:tcBorders>
          </w:tcPr>
          <w:p>
            <w:pPr>
              <w:spacing w:after="0"/>
              <w:contextualSpacing/>
              <w:rPr>
                <w:noProof/>
              </w:rPr>
            </w:pPr>
            <w:r>
              <w:rPr>
                <w:b/>
                <w:noProof/>
              </w:rPr>
              <w:lastRenderedPageBreak/>
              <w:t>Elemente justificative furnizate</w:t>
            </w:r>
          </w:p>
          <w:p>
            <w:pPr>
              <w:spacing w:after="0"/>
              <w:contextualSpacing/>
              <w:rPr>
                <w:rFonts w:eastAsia="Times New Roman"/>
                <w:b/>
                <w:bCs/>
                <w:noProof/>
              </w:rPr>
            </w:pPr>
          </w:p>
          <w:p>
            <w:pPr>
              <w:pStyle w:val="ListParagraph"/>
              <w:numPr>
                <w:ilvl w:val="0"/>
                <w:numId w:val="2"/>
              </w:numPr>
              <w:pBdr>
                <w:top w:val="nil"/>
                <w:left w:val="nil"/>
                <w:bottom w:val="nil"/>
                <w:right w:val="nil"/>
                <w:between w:val="nil"/>
              </w:pBdr>
              <w:spacing w:line="240" w:lineRule="auto"/>
              <w:jc w:val="both"/>
              <w:rPr>
                <w:rFonts w:ascii="Times New Roman" w:eastAsiaTheme="minorEastAsia" w:hAnsi="Times New Roman" w:cs="Times New Roman"/>
                <w:noProof/>
                <w:sz w:val="24"/>
                <w:szCs w:val="24"/>
              </w:rPr>
            </w:pPr>
            <w:r>
              <w:rPr>
                <w:rFonts w:ascii="Times New Roman" w:hAnsi="Times New Roman"/>
                <w:noProof/>
                <w:sz w:val="24"/>
              </w:rPr>
              <w:t xml:space="preserve">document de sinteză care dovedește în mod corespunzător modul în care etapa a fost îndeplinită în mod satisfăcător, în concordanță cu cerințele prevăzute în anexa la Decizia de punere în aplicare a Consiliului; </w:t>
            </w:r>
          </w:p>
          <w:p>
            <w:pPr>
              <w:pStyle w:val="ListParagraph"/>
              <w:numPr>
                <w:ilvl w:val="0"/>
                <w:numId w:val="2"/>
              </w:numPr>
              <w:pBdr>
                <w:top w:val="nil"/>
                <w:left w:val="nil"/>
                <w:bottom w:val="nil"/>
                <w:right w:val="nil"/>
                <w:between w:val="nil"/>
              </w:pBdr>
              <w:spacing w:line="240" w:lineRule="auto"/>
              <w:jc w:val="both"/>
              <w:rPr>
                <w:rFonts w:eastAsiaTheme="minorEastAsia"/>
                <w:noProof/>
                <w:sz w:val="24"/>
                <w:szCs w:val="24"/>
              </w:rPr>
            </w:pPr>
            <w:r>
              <w:rPr>
                <w:rFonts w:ascii="Times New Roman" w:hAnsi="Times New Roman"/>
                <w:noProof/>
                <w:sz w:val="24"/>
              </w:rPr>
              <w:t>un exemplar al Legii ucrainene nr. 4904-IX „privind siguranța și interoperabilitatea în transportul feroviar din Ucraina”, din 9.6 2026.</w:t>
            </w:r>
            <w:r>
              <w:rPr>
                <w:noProof/>
                <w:sz w:val="24"/>
              </w:rPr>
              <w:t xml:space="preserve"> </w:t>
            </w:r>
          </w:p>
        </w:tc>
      </w:tr>
      <w:tr>
        <w:trPr>
          <w:trHeight w:val="285"/>
        </w:trPr>
        <w:tc>
          <w:tcPr>
            <w:tcW w:w="9093" w:type="dxa"/>
            <w:tcBorders>
              <w:top w:val="single" w:sz="8" w:space="0" w:color="auto"/>
              <w:left w:val="single" w:sz="8" w:space="0" w:color="auto"/>
              <w:bottom w:val="single" w:sz="8" w:space="0" w:color="auto"/>
              <w:right w:val="single" w:sz="8" w:space="0" w:color="auto"/>
            </w:tcBorders>
          </w:tcPr>
          <w:p>
            <w:pPr>
              <w:contextualSpacing/>
              <w:rPr>
                <w:rFonts w:eastAsia="Times New Roman"/>
                <w:b/>
                <w:bCs/>
                <w:noProof/>
              </w:rPr>
            </w:pPr>
            <w:r>
              <w:rPr>
                <w:b/>
                <w:noProof/>
              </w:rPr>
              <w:t>Analiză</w:t>
            </w:r>
          </w:p>
          <w:p>
            <w:pPr>
              <w:pBdr>
                <w:top w:val="nil"/>
                <w:left w:val="nil"/>
                <w:bottom w:val="nil"/>
                <w:right w:val="nil"/>
                <w:between w:val="nil"/>
              </w:pBdr>
              <w:spacing w:before="0" w:after="160" w:line="259" w:lineRule="auto"/>
              <w:rPr>
                <w:rFonts w:eastAsiaTheme="minorEastAsia"/>
                <w:noProof/>
                <w:szCs w:val="24"/>
              </w:rPr>
            </w:pPr>
            <w:r>
              <w:rPr>
                <w:noProof/>
              </w:rPr>
              <w:t xml:space="preserve">Justificarea și dovezile de fond furnizate de autoritățile ucrainene acoperă toate elementele constitutive ale etapei 11.3. </w:t>
            </w:r>
          </w:p>
          <w:p>
            <w:pPr>
              <w:pBdr>
                <w:top w:val="nil"/>
                <w:left w:val="nil"/>
                <w:bottom w:val="nil"/>
                <w:right w:val="nil"/>
                <w:between w:val="nil"/>
              </w:pBdr>
              <w:spacing w:before="0" w:after="160" w:line="259" w:lineRule="auto"/>
              <w:rPr>
                <w:rFonts w:eastAsiaTheme="minorEastAsia"/>
                <w:noProof/>
                <w:szCs w:val="24"/>
              </w:rPr>
            </w:pPr>
            <w:r>
              <w:rPr>
                <w:noProof/>
              </w:rPr>
              <w:t xml:space="preserve">Obiectivul reformei 3 din capitolul 11 (transporturile) este crearea unei piețe feroviare competitive, în conformitate cu standardele UE. </w:t>
            </w:r>
          </w:p>
          <w:p>
            <w:pPr>
              <w:pBdr>
                <w:top w:val="nil"/>
                <w:left w:val="nil"/>
                <w:bottom w:val="nil"/>
                <w:right w:val="nil"/>
                <w:between w:val="nil"/>
              </w:pBdr>
              <w:spacing w:before="0" w:after="160" w:line="259" w:lineRule="auto"/>
              <w:rPr>
                <w:rFonts w:eastAsiaTheme="minorEastAsia"/>
                <w:noProof/>
              </w:rPr>
            </w:pPr>
            <w:r>
              <w:rPr>
                <w:noProof/>
              </w:rPr>
              <w:t>Parlamentul Ucrainei a adoptat, la 9 iunie 2026, Legea ucraineană nr. 4904-IX „</w:t>
            </w:r>
            <w:r>
              <w:rPr>
                <w:i/>
                <w:iCs/>
                <w:noProof/>
              </w:rPr>
              <w:t>privind siguranța și interoperabilitatea în transportul feroviar din Ucraina</w:t>
            </w:r>
            <w:r>
              <w:rPr>
                <w:noProof/>
              </w:rPr>
              <w:t>” (denumită în continuare: legea). Legea creează temeiul juridic pentru integrarea tehnică a sectorului feroviar ucrainean în spațiul feroviar unic european, în conformitate cu principiile Directivelor 2016/798 și 2016/797 și ale Regulamentului 2016/796. Aceasta este o condiție prealabilă importantă pentru o liberalizare ulterioară a pieței transportului feroviar din Ucraina, în conformitate cu modelul UE.</w:t>
            </w:r>
          </w:p>
          <w:p>
            <w:pPr>
              <w:pBdr>
                <w:top w:val="nil"/>
                <w:left w:val="nil"/>
                <w:bottom w:val="nil"/>
                <w:right w:val="nil"/>
                <w:between w:val="nil"/>
              </w:pBdr>
              <w:spacing w:before="0" w:after="160" w:line="259" w:lineRule="auto"/>
              <w:rPr>
                <w:rFonts w:eastAsiaTheme="minorEastAsia"/>
                <w:noProof/>
                <w:szCs w:val="24"/>
              </w:rPr>
            </w:pPr>
            <w:r>
              <w:rPr>
                <w:noProof/>
              </w:rPr>
              <w:t xml:space="preserve">Legea prevede înființarea unei autorități naționale de siguranță feroviară și conferirea competențelor și funcțiilor care îi sunt atribuite de legislația UE. Organismul executiv central care pune în aplicare politica de stat în domeniul transportului feroviar (denumit în continuare: organismul de punere în aplicare) va acționa în calitate de autoritate de siguranță feroviară. Printre altele, organismul de punere în aplicare: va elibera licențe și </w:t>
            </w:r>
            <w:r>
              <w:rPr>
                <w:noProof/>
              </w:rPr>
              <w:lastRenderedPageBreak/>
              <w:t>certificate, va pune în aplicare supravegherea de către stat și va exercita controlul asupra siguranței traficului. Organismul de punere în aplicare are dreptul de a iniția și de a efectua inspecții și de a asigura respectarea normelor specificate în sectorul transportului feroviar, printre altele. Acesta deține registrele privind materialul rulant, infrastructura de transport feroviar și registrul certificatelor mecanicilor de locomotivă. Organismul de punere în aplicare desfășoară activități de cooperare internațională în limitele competențelor sale.</w:t>
            </w:r>
          </w:p>
          <w:p>
            <w:pPr>
              <w:pBdr>
                <w:top w:val="nil"/>
                <w:left w:val="nil"/>
                <w:bottom w:val="nil"/>
                <w:right w:val="nil"/>
                <w:between w:val="nil"/>
              </w:pBdr>
              <w:spacing w:before="0" w:after="160" w:line="259" w:lineRule="auto"/>
              <w:rPr>
                <w:rFonts w:eastAsiaTheme="minorEastAsia"/>
                <w:noProof/>
                <w:szCs w:val="24"/>
              </w:rPr>
            </w:pPr>
            <w:r>
              <w:rPr>
                <w:noProof/>
              </w:rPr>
              <w:t>Legea introduce un cadru juridic pentru certificarea de siguranță a întreprinderilor feroviare și pentru autorizarea de siguranță a administratorilor de infrastructură. Legea precizează procedurile de obținere, reînnoire și încetare a certificării de siguranță, stabilind documentația, criteriile de evaluare, onorariile, termenele și etapele procedurale pe care organismul de punere în aplicare trebuie să le urmeze. Acesta prevede, de asemenea, obligații de raportare, menținerea unui registru public și competențele de supraveghere pentru verificarea conformității și revocarea certificatelor.</w:t>
            </w:r>
          </w:p>
          <w:p>
            <w:pPr>
              <w:pBdr>
                <w:top w:val="nil"/>
                <w:left w:val="nil"/>
                <w:bottom w:val="nil"/>
                <w:right w:val="nil"/>
                <w:between w:val="nil"/>
              </w:pBdr>
              <w:spacing w:before="0" w:after="160" w:line="259" w:lineRule="auto"/>
              <w:rPr>
                <w:rFonts w:eastAsiaTheme="minorEastAsia"/>
                <w:noProof/>
                <w:szCs w:val="24"/>
              </w:rPr>
            </w:pPr>
            <w:r>
              <w:rPr>
                <w:noProof/>
              </w:rPr>
              <w:t>Legea prevede înființarea unui organism național de investigare și introducerea investigării tehnice a accidentelor feroviare. Acesta împuternicește Biroul Național de Investigare a Accidentelor din Transporturi să investigheze accidentele feroviare. Investigarea tehnică a accidentelor va fi instituită cu accent pe determinarea cauzelor, pe îmbunătățirea sistemelor de management al siguranței traficului și pe punerea în aplicare de măsuri preventive. </w:t>
            </w:r>
          </w:p>
          <w:p>
            <w:pPr>
              <w:pBdr>
                <w:top w:val="nil"/>
                <w:left w:val="nil"/>
                <w:bottom w:val="nil"/>
                <w:right w:val="nil"/>
                <w:between w:val="nil"/>
              </w:pBdr>
              <w:spacing w:before="0" w:after="160" w:line="259" w:lineRule="auto"/>
              <w:rPr>
                <w:rFonts w:eastAsiaTheme="minorEastAsia"/>
                <w:noProof/>
                <w:szCs w:val="24"/>
              </w:rPr>
            </w:pPr>
            <w:r>
              <w:rPr>
                <w:noProof/>
              </w:rPr>
              <w:t xml:space="preserve">Legea instituie procedura de autorizare a infrastructurii feroviare și stabilește cerințele de bază pentru autorizarea materialului rulant pe baza specificațiilor tehnice de interoperabilitate (STI). </w:t>
            </w:r>
          </w:p>
          <w:p>
            <w:pPr>
              <w:pBdr>
                <w:top w:val="nil"/>
                <w:left w:val="nil"/>
                <w:bottom w:val="nil"/>
                <w:right w:val="nil"/>
                <w:between w:val="nil"/>
              </w:pBdr>
              <w:spacing w:before="0" w:after="160" w:line="259" w:lineRule="auto"/>
              <w:rPr>
                <w:rFonts w:asciiTheme="minorHAnsi" w:eastAsiaTheme="minorEastAsia" w:hAnsiTheme="minorHAnsi" w:cstheme="minorBidi"/>
                <w:noProof/>
                <w:szCs w:val="24"/>
              </w:rPr>
            </w:pPr>
            <w:r>
              <w:rPr>
                <w:noProof/>
              </w:rPr>
              <w:t>Legea stabilește un cadru juridic pentru certificarea mecanicilor de locomotivă, pe baza modelului UE. Aceasta pune în aplicare sistemul de certificare dublă (permisul de mecanic de locomotivă și certificatele de complementaritate) pentru mecanicii de locomotivă și stabilește cerințele pentru obținerea certificării mecanicilor de locomotivă în conformitate cu principiile urmate în UE. Legea precizează, de asemenea, cerințele pentru recunoașterea centrelor de formare.</w:t>
            </w:r>
            <w:r>
              <w:rPr>
                <w:rFonts w:asciiTheme="minorHAnsi" w:hAnsiTheme="minorHAnsi"/>
                <w:noProof/>
              </w:rPr>
              <w:t xml:space="preserve"> </w:t>
            </w:r>
          </w:p>
        </w:tc>
      </w:tr>
      <w:tr>
        <w:trPr>
          <w:trHeight w:val="285"/>
        </w:trPr>
        <w:tc>
          <w:tcPr>
            <w:tcW w:w="9093"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rPr>
            </w:pPr>
            <w:r>
              <w:rPr>
                <w:b/>
                <w:noProof/>
              </w:rPr>
              <w:lastRenderedPageBreak/>
              <w:t xml:space="preserve">Evaluarea Comisiei: </w:t>
            </w:r>
            <w:r>
              <w:rPr>
                <w:noProof/>
              </w:rPr>
              <w:t>îndeplinită în mod satisfăcător</w:t>
            </w:r>
          </w:p>
        </w:tc>
      </w:tr>
    </w:tbl>
    <w:p>
      <w:pPr>
        <w:rPr>
          <w:rFonts w:eastAsia="Calibri"/>
          <w:noProof/>
        </w:rPr>
      </w:pPr>
    </w:p>
    <w:p>
      <w:pPr>
        <w:contextualSpacing/>
        <w:rPr>
          <w:rFonts w:eastAsia="Calibri"/>
          <w:noProof/>
        </w:rPr>
      </w:pPr>
    </w:p>
    <w:p>
      <w:pPr>
        <w:keepNext/>
        <w:keepLines/>
        <w:contextualSpacing/>
        <w:outlineLvl w:val="0"/>
        <w:rPr>
          <w:rFonts w:eastAsia="Times New Roman"/>
          <w:b/>
          <w:bCs/>
          <w:noProof/>
        </w:rPr>
      </w:pPr>
      <w:r>
        <w:rPr>
          <w:b/>
          <w:noProof/>
        </w:rPr>
        <w:t>Etapa 12.6</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trPr>
          <w:trHeight w:val="66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 xml:space="preserve">Denumirea etapei: </w:t>
            </w:r>
            <w:r>
              <w:rPr>
                <w:noProof/>
              </w:rPr>
              <w:t>Publicarea raportului privind punerea în aplicare a sprijinului de stat prin intermediul Registrului agricol public</w:t>
            </w:r>
          </w:p>
        </w:tc>
      </w:tr>
      <w:tr>
        <w:trPr>
          <w:trHeight w:val="615"/>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Reforma/investiția aferentă:</w:t>
            </w:r>
            <w:r>
              <w:rPr>
                <w:noProof/>
              </w:rPr>
              <w:t xml:space="preserve"> </w:t>
            </w:r>
            <w:r>
              <w:rPr>
                <w:noProof/>
                <w:color w:val="000000" w:themeColor="text1"/>
              </w:rPr>
              <w:t>Reforma 4. Îmbunătățirea registrului public electronic oficial al fermelor</w:t>
            </w:r>
          </w:p>
        </w:tc>
      </w:tr>
      <w:tr>
        <w:trPr>
          <w:trHeight w:val="54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color w:val="000000" w:themeColor="text1"/>
                <w:szCs w:val="24"/>
              </w:rPr>
            </w:pPr>
            <w:r>
              <w:rPr>
                <w:b/>
                <w:noProof/>
              </w:rPr>
              <w:t xml:space="preserve">Finanțare din: </w:t>
            </w:r>
            <w:r>
              <w:rPr>
                <w:noProof/>
                <w:color w:val="000000" w:themeColor="text1"/>
              </w:rPr>
              <w:t>împrumut</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Contextul</w:t>
            </w:r>
          </w:p>
          <w:p>
            <w:pPr>
              <w:spacing w:after="0"/>
              <w:rPr>
                <w:rFonts w:eastAsia="Times New Roman"/>
                <w:noProof/>
                <w:color w:val="000000" w:themeColor="text1"/>
                <w:szCs w:val="24"/>
              </w:rPr>
            </w:pPr>
            <w:r>
              <w:rPr>
                <w:noProof/>
                <w:color w:val="000000" w:themeColor="text1"/>
              </w:rPr>
              <w:t>Cerința pentru etapa 12.6 descrisă în anexa la Decizia de punere în aplicare a Consiliului este:</w:t>
            </w:r>
          </w:p>
          <w:p>
            <w:pPr>
              <w:spacing w:after="0"/>
              <w:rPr>
                <w:rFonts w:eastAsia="Times New Roman"/>
                <w:noProof/>
                <w:color w:val="000000" w:themeColor="text1"/>
                <w:szCs w:val="24"/>
              </w:rPr>
            </w:pPr>
            <w:r>
              <w:rPr>
                <w:i/>
                <w:noProof/>
                <w:color w:val="000000" w:themeColor="text1"/>
              </w:rPr>
              <w:t>„Prezentarea unui raport privind punerea în aplicare a sprijinului de stat prin RAS care să demonstreze că minimum 80 % din sprijinul public acordat sectorului agricol în 2025 de către instituții din cadrul administrației centrale a fost furnizat prin Registrul Agrar de Stat (RAS).”</w:t>
            </w:r>
          </w:p>
          <w:p>
            <w:pPr>
              <w:spacing w:after="0"/>
              <w:rPr>
                <w:rFonts w:eastAsia="Times New Roman"/>
                <w:noProof/>
                <w:color w:val="000000" w:themeColor="text1"/>
                <w:szCs w:val="24"/>
              </w:rPr>
            </w:pPr>
            <w:r>
              <w:rPr>
                <w:noProof/>
                <w:color w:val="000000" w:themeColor="text1"/>
              </w:rPr>
              <w:t xml:space="preserve">Etapa 12.6 este a doua etapă de implementare a reformei 4 din capitolul 12 (sectorul </w:t>
            </w:r>
            <w:r>
              <w:rPr>
                <w:noProof/>
                <w:color w:val="000000" w:themeColor="text1"/>
              </w:rPr>
              <w:lastRenderedPageBreak/>
              <w:t>agroalimentar). Etapa 12.5 privind intrarea în vigoare a legislației privind Registrul agrar de stat (RAS) a fost evaluată pozitiv în cadrul celei de a treia tranșe (T4 2024).</w:t>
            </w:r>
          </w:p>
          <w:p>
            <w:pPr>
              <w:spacing w:after="0"/>
              <w:contextualSpacing/>
              <w:rPr>
                <w:rFonts w:eastAsia="Times New Roman"/>
                <w:b/>
                <w:bCs/>
                <w:noProof/>
                <w:szCs w:val="24"/>
              </w:rPr>
            </w:pP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noProof/>
                <w:szCs w:val="24"/>
              </w:rPr>
            </w:pPr>
            <w:r>
              <w:rPr>
                <w:b/>
                <w:noProof/>
              </w:rPr>
              <w:lastRenderedPageBreak/>
              <w:t>Elemente justificative furnizate</w:t>
            </w:r>
          </w:p>
          <w:p>
            <w:pPr>
              <w:spacing w:after="0"/>
              <w:contextualSpacing/>
              <w:rPr>
                <w:rFonts w:eastAsia="Times New Roman"/>
                <w:b/>
                <w:bCs/>
                <w:noProof/>
                <w:szCs w:val="24"/>
              </w:rPr>
            </w:pPr>
          </w:p>
          <w:p>
            <w:pPr>
              <w:pStyle w:val="ListParagraph"/>
              <w:numPr>
                <w:ilvl w:val="0"/>
                <w:numId w:val="11"/>
              </w:num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document de sinteză care dovedește în mod corespunzător modul în care etapa a fost îndeplinită în mod satisfăcător, în concordanță cu cerințele prevăzute în anexa la Decizia de punere în aplicare a Consiliului;</w:t>
            </w:r>
          </w:p>
          <w:p>
            <w:pPr>
              <w:pStyle w:val="ListParagraph"/>
              <w:numPr>
                <w:ilvl w:val="0"/>
                <w:numId w:val="11"/>
              </w:numPr>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un exemplar al raportului „privind punerea în aplicare a etapei 12.6 «Sprijin pentru punerea în aplicare prin RAS»”;</w:t>
            </w:r>
          </w:p>
          <w:p>
            <w:pPr>
              <w:pStyle w:val="ListParagraph"/>
              <w:numPr>
                <w:ilvl w:val="0"/>
                <w:numId w:val="11"/>
              </w:numPr>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un exemplar al anexei „Informații privind sprijinul acordat producătorilor agricoli în 2025” la raportul „privind punerea în aplicare a etapei 12.6 «Sprijin pentru punerea în aplicare prin RAS»”.  </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Analiză</w:t>
            </w:r>
          </w:p>
          <w:p>
            <w:pPr>
              <w:rPr>
                <w:rFonts w:eastAsia="Times New Roman"/>
                <w:noProof/>
                <w:color w:val="000000" w:themeColor="text1"/>
                <w:szCs w:val="24"/>
              </w:rPr>
            </w:pPr>
            <w:r>
              <w:rPr>
                <w:noProof/>
                <w:color w:val="000000" w:themeColor="text1"/>
              </w:rPr>
              <w:t>Justificarea și dovezile de fond furnizate de autoritățile ucrainene acoperă toate elementele constitutive ale etapei 12.6.</w:t>
            </w:r>
          </w:p>
          <w:p>
            <w:pPr>
              <w:spacing w:line="257" w:lineRule="auto"/>
              <w:rPr>
                <w:rFonts w:eastAsia="Times New Roman"/>
                <w:noProof/>
                <w:color w:val="000000" w:themeColor="text1"/>
                <w:szCs w:val="24"/>
              </w:rPr>
            </w:pPr>
            <w:r>
              <w:rPr>
                <w:noProof/>
                <w:color w:val="000000" w:themeColor="text1"/>
              </w:rPr>
              <w:t xml:space="preserve">Obiectivul reformei 4 este de a oficializa și de a îmbunătăți registrul public electronic oficial al fermelor (și anume Registrul agrar de stat). </w:t>
            </w:r>
          </w:p>
          <w:p>
            <w:pPr>
              <w:spacing w:line="257" w:lineRule="auto"/>
              <w:rPr>
                <w:rFonts w:eastAsia="Times New Roman"/>
                <w:noProof/>
                <w:color w:val="000000" w:themeColor="text1"/>
                <w:szCs w:val="24"/>
              </w:rPr>
            </w:pPr>
            <w:r>
              <w:rPr>
                <w:noProof/>
                <w:color w:val="000000" w:themeColor="text1"/>
              </w:rPr>
              <w:t xml:space="preserve">La începutul anului 2025, a intrat în vigoare o nouă legislație privind Registrul agrar de stat (RAS), care a extins acoperirea RAS de-a lungul întregului lanț valoric agricol, cum ar fi producătorii agricoli, prelucrătorii și organizațiile utilizatorilor de apă. În plus, înregistrarea în RAS a devenit o condiție prealabilă pentru primirea de sprijin public în sectorul agricol. </w:t>
            </w:r>
          </w:p>
          <w:p>
            <w:pPr>
              <w:spacing w:line="257" w:lineRule="auto"/>
              <w:rPr>
                <w:rFonts w:eastAsia="Times New Roman"/>
                <w:noProof/>
                <w:color w:val="000000" w:themeColor="text1"/>
                <w:szCs w:val="24"/>
              </w:rPr>
            </w:pPr>
            <w:r>
              <w:rPr>
                <w:noProof/>
                <w:color w:val="000000" w:themeColor="text1"/>
              </w:rPr>
              <w:t xml:space="preserve">Ucraina a prezentat un raport care oferă informații detaliate cu privire la sprijinul public acordat producătorilor agricoli în 2025. Raportul enumeră șapte programe bugetare prin care instituțiile din cadrul administrației centrale au furnizat sprijin public în sectorul agricol în 2025. Aceste programe sunt următoarele: </w:t>
            </w:r>
          </w:p>
          <w:p>
            <w:pPr>
              <w:pStyle w:val="ListParagraph"/>
              <w:numPr>
                <w:ilvl w:val="0"/>
                <w:numId w:val="1"/>
              </w:numPr>
              <w:spacing w:after="0"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Sprijin pentru ferme și alți producători agricoli (cod bugetar: 1201100)</w:t>
            </w:r>
          </w:p>
          <w:p>
            <w:pPr>
              <w:pStyle w:val="ListParagraph"/>
              <w:numPr>
                <w:ilvl w:val="0"/>
                <w:numId w:val="1"/>
              </w:numPr>
              <w:spacing w:after="0"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Sprijin financiar pentru producătorii agricoli (cod bugetar: 1201150)</w:t>
            </w:r>
          </w:p>
          <w:p>
            <w:pPr>
              <w:pStyle w:val="ListParagraph"/>
              <w:numPr>
                <w:ilvl w:val="0"/>
                <w:numId w:val="1"/>
              </w:numPr>
              <w:spacing w:after="0"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Acordarea de împrumuturi pentru ferme (cod bugetar: 1201200)</w:t>
            </w:r>
          </w:p>
          <w:p>
            <w:pPr>
              <w:pStyle w:val="ListParagraph"/>
              <w:numPr>
                <w:ilvl w:val="0"/>
                <w:numId w:val="1"/>
              </w:numPr>
              <w:spacing w:after="0"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Compensații parțiale pentru costul utilajelor și echipamentelor agricole produse la nivel național (cod bugetar: 1201310)</w:t>
            </w:r>
          </w:p>
          <w:p>
            <w:pPr>
              <w:pStyle w:val="ListParagraph"/>
              <w:numPr>
                <w:ilvl w:val="0"/>
                <w:numId w:val="1"/>
              </w:numPr>
              <w:spacing w:after="0"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Programul de granturi pentru înființarea sau dezvoltarea de întreprinderi (cod bugetar: 1201350)</w:t>
            </w:r>
          </w:p>
          <w:p>
            <w:pPr>
              <w:pStyle w:val="ListParagraph"/>
              <w:numPr>
                <w:ilvl w:val="0"/>
                <w:numId w:val="1"/>
              </w:numPr>
              <w:spacing w:after="0"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Compensații pentru cheltuielile aferente operațiilor de deminare umanitară a terenurilor agricole (cod bugetar: 1201420)</w:t>
            </w:r>
          </w:p>
          <w:p>
            <w:pPr>
              <w:pStyle w:val="ListParagraph"/>
              <w:numPr>
                <w:ilvl w:val="0"/>
                <w:numId w:val="1"/>
              </w:numPr>
              <w:spacing w:after="0"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Asigurarea funcționării Fondului de dezvoltare a antreprenoriatului (cod bugetar: 1201450)</w:t>
            </w:r>
          </w:p>
          <w:p>
            <w:pPr>
              <w:spacing w:after="0" w:line="257" w:lineRule="auto"/>
              <w:rPr>
                <w:rFonts w:eastAsia="Times New Roman"/>
                <w:noProof/>
                <w:color w:val="000000" w:themeColor="text1"/>
                <w:szCs w:val="24"/>
              </w:rPr>
            </w:pPr>
            <w:r>
              <w:rPr>
                <w:noProof/>
                <w:color w:val="000000" w:themeColor="text1"/>
              </w:rPr>
              <w:t>Raportul concluzionează că, în 2025, un total de 37 785 de entități din sectorul agricol au primit sprijin public în valoare totală de 5,944 miliarde UAH (127 de milioane EUR). Dintre acestea, 37 523 de entități, reprezentând 99,3 % din totalul entităților, sunt înscrise în Registrul agrar de stat. Entitățile înregistrate au primit sprijin public în valoare totală de 5,941 miliarde UAH (127 de milioane EUR), ceea ce corespunde unui procent de 99,9 % din sprijinul total acordat.</w:t>
            </w:r>
          </w:p>
          <w:p>
            <w:pPr>
              <w:rPr>
                <w:rFonts w:eastAsia="Times New Roman"/>
                <w:noProof/>
                <w:color w:val="000000" w:themeColor="text1"/>
                <w:szCs w:val="24"/>
              </w:rPr>
            </w:pPr>
            <w:r>
              <w:rPr>
                <w:noProof/>
                <w:color w:val="000000" w:themeColor="text1"/>
              </w:rPr>
              <w:t xml:space="preserve">Având în vedere natura specifică și domeniul de aplicare al măsurii de sprijin, în cazul în care asistența financiară a fost acordată exploatațiilor agricole familiale sub forma unei plăți suplimentare către asigurările sociale de stat, 262 de entități care au primit sprijin nu au fost înscrise în RAS. Entitățile în cauză au primit în total 3,5 milioane UAH (75 000 EUR) din </w:t>
            </w:r>
            <w:r>
              <w:rPr>
                <w:noProof/>
                <w:color w:val="000000" w:themeColor="text1"/>
              </w:rPr>
              <w:lastRenderedPageBreak/>
              <w:t>măsura care face parte din programul „Sprijin financiar pentru producătorii agricoli”. Măsura de sprijin a fost administrată și gestionată de Serviciul Fiscal de Stat al Ucrainei.</w:t>
            </w:r>
          </w:p>
          <w:p>
            <w:pPr>
              <w:spacing w:after="0"/>
              <w:contextualSpacing/>
              <w:rPr>
                <w:rFonts w:eastAsia="Times New Roman"/>
                <w:noProof/>
                <w:szCs w:val="24"/>
              </w:rPr>
            </w:pPr>
            <w:r>
              <w:rPr>
                <w:noProof/>
              </w:rPr>
              <w:t>Ca parte a Deciziei de punere în aplicare (UE) 2026/1204 a Consiliului din 28 mai 2026 de stabilire a îndeplinirii în mod satisfăcător a condițiilor pentru plata parțială a celei de a șaptea tranșe din cadrul Planului pentru Ucraina al Mecanismului pentru Ucraina și de modificare a Deciziei de punere în aplicare (UE) 2024/1447, această etapă a fost luată în considerare ca factor atenuant, în conformitate cu metodologia de evaluare a îndeplinirii parțiale a etapelor din cadrul Planului pentru Ucraina, exclusiv în scopul aplicării deciziei respective. Evaluarea acestei etape nu s-a schimbat de la adoptarea deciziei respective.</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b/>
                <w:noProof/>
              </w:rPr>
              <w:lastRenderedPageBreak/>
              <w:t xml:space="preserve">Evaluarea Comisiei: </w:t>
            </w:r>
            <w:r>
              <w:rPr>
                <w:noProof/>
              </w:rPr>
              <w:t>îndeplinită în mod satisfăcător</w:t>
            </w:r>
          </w:p>
        </w:tc>
      </w:tr>
    </w:tbl>
    <w:p>
      <w:pPr>
        <w:contextualSpacing/>
        <w:rPr>
          <w:rFonts w:eastAsia="Calibri"/>
          <w:noProof/>
          <w:szCs w:val="24"/>
        </w:rPr>
      </w:pPr>
    </w:p>
    <w:p>
      <w:pPr>
        <w:contextualSpacing/>
        <w:rPr>
          <w:rFonts w:eastAsia="Calibri"/>
          <w:noProof/>
          <w:szCs w:val="24"/>
        </w:rPr>
      </w:pPr>
    </w:p>
    <w:p>
      <w:pPr>
        <w:keepNext/>
        <w:keepLines/>
        <w:contextualSpacing/>
        <w:outlineLvl w:val="0"/>
        <w:rPr>
          <w:rFonts w:eastAsia="Times New Roman"/>
          <w:b/>
          <w:bCs/>
          <w:noProof/>
          <w:szCs w:val="24"/>
        </w:rPr>
      </w:pPr>
    </w:p>
    <w:p>
      <w:pPr>
        <w:keepNext/>
        <w:keepLines/>
        <w:contextualSpacing/>
        <w:rPr>
          <w:rFonts w:eastAsia="Times New Roman"/>
          <w:b/>
          <w:bCs/>
          <w:noProof/>
          <w:color w:val="000000" w:themeColor="text1"/>
          <w:szCs w:val="24"/>
        </w:rPr>
      </w:pPr>
      <w:r>
        <w:rPr>
          <w:b/>
          <w:noProof/>
          <w:color w:val="000000" w:themeColor="text1"/>
        </w:rPr>
        <w:t xml:space="preserve">Evaluarea îndeplinirii în mod satisfăcător a trei etape în cadrul celei de a noua tranșe propuse ca factori de atenuare în conformitate cu metodologia de gestionare a îndeplinirii parțiale a etapelor din </w:t>
      </w:r>
      <w:r>
        <w:rPr>
          <w:rStyle w:val="normaltextrun"/>
          <w:b/>
          <w:noProof/>
          <w:color w:val="000000" w:themeColor="text1"/>
        </w:rPr>
        <w:t>Planul pentru Ucraina</w:t>
      </w:r>
      <w:r>
        <w:rPr>
          <w:b/>
          <w:noProof/>
          <w:color w:val="000000" w:themeColor="text1"/>
        </w:rPr>
        <w:t xml:space="preserve"> </w:t>
      </w:r>
      <w:r>
        <w:rPr>
          <w:rStyle w:val="normaltextrun"/>
          <w:b/>
          <w:noProof/>
          <w:color w:val="000000" w:themeColor="text1"/>
        </w:rPr>
        <w:t xml:space="preserve">și </w:t>
      </w:r>
      <w:r>
        <w:rPr>
          <w:b/>
          <w:noProof/>
          <w:color w:val="000000" w:themeColor="text1"/>
        </w:rPr>
        <w:t>exclusiv în scopul aplicării acestuia</w:t>
      </w:r>
    </w:p>
    <w:p>
      <w:pPr>
        <w:keepNext/>
        <w:keepLines/>
        <w:contextualSpacing/>
        <w:rPr>
          <w:rFonts w:eastAsia="Times New Roman"/>
          <w:b/>
          <w:noProof/>
          <w:color w:val="000000" w:themeColor="text1"/>
          <w:szCs w:val="24"/>
          <w:vertAlign w:val="superscript"/>
        </w:rPr>
      </w:pPr>
    </w:p>
    <w:p>
      <w:pPr>
        <w:keepNext/>
        <w:keepLines/>
        <w:contextualSpacing/>
        <w:rPr>
          <w:rFonts w:eastAsia="Times New Roman"/>
          <w:b/>
          <w:noProof/>
          <w:color w:val="000000" w:themeColor="text1"/>
          <w:szCs w:val="24"/>
          <w:vertAlign w:val="superscript"/>
        </w:rPr>
      </w:pPr>
    </w:p>
    <w:p>
      <w:pPr>
        <w:keepNext/>
        <w:keepLines/>
        <w:contextualSpacing/>
        <w:outlineLvl w:val="0"/>
        <w:rPr>
          <w:rFonts w:eastAsia="Times New Roman"/>
          <w:b/>
          <w:bCs/>
          <w:noProof/>
          <w:szCs w:val="24"/>
        </w:rPr>
      </w:pPr>
      <w:r>
        <w:rPr>
          <w:b/>
          <w:noProof/>
        </w:rPr>
        <w:t>Etapa 5.5</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06"/>
      </w:tblGrid>
      <w:tr>
        <w:trPr>
          <w:trHeight w:val="660"/>
        </w:trPr>
        <w:tc>
          <w:tcPr>
            <w:tcW w:w="9006"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 xml:space="preserve">Denumirea etapei: </w:t>
            </w:r>
            <w:r>
              <w:rPr>
                <w:noProof/>
                <w:color w:val="000000" w:themeColor="text1"/>
              </w:rPr>
              <w:t>Intrarea în vigoare a actelor juridice menite să îmbunătățească eliminarea creditelor neperformante</w:t>
            </w:r>
          </w:p>
        </w:tc>
      </w:tr>
      <w:tr>
        <w:trPr>
          <w:trHeight w:val="615"/>
        </w:trPr>
        <w:tc>
          <w:tcPr>
            <w:tcW w:w="9006" w:type="dxa"/>
            <w:tcBorders>
              <w:top w:val="single" w:sz="8" w:space="0" w:color="auto"/>
              <w:left w:val="single" w:sz="8" w:space="0" w:color="auto"/>
              <w:bottom w:val="single" w:sz="8" w:space="0" w:color="auto"/>
              <w:right w:val="single" w:sz="8" w:space="0" w:color="auto"/>
            </w:tcBorders>
            <w:vAlign w:val="center"/>
          </w:tcPr>
          <w:p>
            <w:pPr>
              <w:spacing w:after="0"/>
              <w:contextualSpacing/>
              <w:rPr>
                <w:noProof/>
                <w:szCs w:val="24"/>
              </w:rPr>
            </w:pPr>
            <w:r>
              <w:rPr>
                <w:b/>
                <w:noProof/>
              </w:rPr>
              <w:t>Reforma/investiția aferentă:</w:t>
            </w:r>
            <w:r>
              <w:rPr>
                <w:noProof/>
              </w:rPr>
              <w:t xml:space="preserve"> </w:t>
            </w:r>
            <w:r>
              <w:rPr>
                <w:noProof/>
                <w:color w:val="000000" w:themeColor="text1"/>
              </w:rPr>
              <w:t xml:space="preserve">Reforma 3. Eliminarea mai bună a creditelor neperformante </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Contextul</w:t>
            </w:r>
          </w:p>
          <w:p>
            <w:pPr>
              <w:rPr>
                <w:rFonts w:eastAsia="Aptos"/>
                <w:noProof/>
                <w:color w:val="000000" w:themeColor="text1"/>
                <w:szCs w:val="24"/>
              </w:rPr>
            </w:pPr>
            <w:r>
              <w:rPr>
                <w:noProof/>
                <w:color w:val="000000" w:themeColor="text1"/>
              </w:rPr>
              <w:t xml:space="preserve"> Cerința pentru etapa 5.5 descrisă în anexa la Decizia de punere în aplicare a Consiliului este: </w:t>
            </w:r>
          </w:p>
          <w:p>
            <w:pPr>
              <w:rPr>
                <w:rFonts w:eastAsia="Aptos"/>
                <w:noProof/>
                <w:color w:val="000000" w:themeColor="text1"/>
                <w:szCs w:val="24"/>
              </w:rPr>
            </w:pPr>
            <w:r>
              <w:rPr>
                <w:noProof/>
                <w:color w:val="000000" w:themeColor="text1"/>
              </w:rPr>
              <w:t>„</w:t>
            </w:r>
            <w:r>
              <w:rPr>
                <w:i/>
                <w:iCs/>
                <w:noProof/>
                <w:color w:val="000000" w:themeColor="text1"/>
              </w:rPr>
              <w:t>Intrarea în vigoare a actelor juridice de punere în aplicare a recomandărilor strategiei privind eliminarea creditelor neperformante, prin care se îmbunătățește sistemul de eliminare a creditelor neperformante</w:t>
            </w:r>
            <w:r>
              <w:rPr>
                <w:noProof/>
                <w:color w:val="000000" w:themeColor="text1"/>
              </w:rPr>
              <w:t>.</w:t>
            </w:r>
            <w:r>
              <w:rPr>
                <w:i/>
                <w:noProof/>
                <w:color w:val="000000" w:themeColor="text1"/>
              </w:rPr>
              <w:t xml:space="preserve"> În special, aceste acte juridice vizează: </w:t>
            </w:r>
          </w:p>
          <w:p>
            <w:pPr>
              <w:pStyle w:val="ListParagraph"/>
              <w:numPr>
                <w:ilvl w:val="0"/>
                <w:numId w:val="18"/>
              </w:numPr>
              <w:jc w:val="both"/>
              <w:rPr>
                <w:rFonts w:ascii="Times New Roman" w:eastAsia="Aptos" w:hAnsi="Times New Roman" w:cs="Times New Roman"/>
                <w:noProof/>
                <w:color w:val="000000" w:themeColor="text1"/>
                <w:sz w:val="24"/>
                <w:szCs w:val="24"/>
              </w:rPr>
            </w:pPr>
            <w:r>
              <w:rPr>
                <w:rFonts w:ascii="Times New Roman" w:hAnsi="Times New Roman"/>
                <w:i/>
                <w:noProof/>
                <w:color w:val="000000" w:themeColor="text1"/>
                <w:sz w:val="24"/>
              </w:rPr>
              <w:t>îmbunătățirea definiției creditelor neperformante și punerea în aplicare a cerințelor privind restructurarea preventivă, în conformitate cu principiile acquis-ului UE;</w:t>
            </w:r>
          </w:p>
          <w:p>
            <w:pPr>
              <w:pStyle w:val="ListParagraph"/>
              <w:numPr>
                <w:ilvl w:val="0"/>
                <w:numId w:val="18"/>
              </w:numPr>
              <w:jc w:val="both"/>
              <w:rPr>
                <w:rFonts w:ascii="Times New Roman" w:eastAsia="Aptos" w:hAnsi="Times New Roman" w:cs="Times New Roman"/>
                <w:noProof/>
                <w:color w:val="000000" w:themeColor="text1"/>
                <w:sz w:val="24"/>
                <w:szCs w:val="24"/>
              </w:rPr>
            </w:pPr>
            <w:r>
              <w:rPr>
                <w:rFonts w:ascii="Times New Roman" w:hAnsi="Times New Roman"/>
                <w:i/>
                <w:noProof/>
                <w:color w:val="000000" w:themeColor="text1"/>
                <w:sz w:val="24"/>
              </w:rPr>
              <w:t xml:space="preserve">reintroducerea cerinței ca băncile să actualizeze și să prezinte planuri și strategii pentru gestionarea creditelor neperformante; </w:t>
            </w:r>
          </w:p>
          <w:p>
            <w:pPr>
              <w:pStyle w:val="ListParagraph"/>
              <w:numPr>
                <w:ilvl w:val="0"/>
                <w:numId w:val="18"/>
              </w:numPr>
              <w:jc w:val="both"/>
              <w:rPr>
                <w:rFonts w:ascii="Times New Roman" w:eastAsia="Aptos" w:hAnsi="Times New Roman" w:cs="Times New Roman"/>
                <w:noProof/>
                <w:color w:val="000000" w:themeColor="text1"/>
                <w:sz w:val="24"/>
                <w:szCs w:val="24"/>
              </w:rPr>
            </w:pPr>
            <w:r>
              <w:rPr>
                <w:rFonts w:ascii="Times New Roman" w:hAnsi="Times New Roman"/>
                <w:i/>
                <w:noProof/>
                <w:color w:val="000000" w:themeColor="text1"/>
                <w:sz w:val="24"/>
              </w:rPr>
              <w:t xml:space="preserve">îmbunătățirea procedurii de selecție a administratorului judiciar și a supravegherii activității acestuia, precum și a procedurii de organizare a licitațiilor pentru vânzarea bunurilor debitorului falit; </w:t>
            </w:r>
          </w:p>
          <w:p>
            <w:pPr>
              <w:pStyle w:val="ListParagraph"/>
              <w:numPr>
                <w:ilvl w:val="0"/>
                <w:numId w:val="18"/>
              </w:numPr>
              <w:jc w:val="both"/>
              <w:rPr>
                <w:rFonts w:ascii="Times New Roman" w:eastAsia="Aptos" w:hAnsi="Times New Roman" w:cs="Times New Roman"/>
                <w:noProof/>
                <w:color w:val="000000" w:themeColor="text1"/>
                <w:sz w:val="24"/>
                <w:szCs w:val="24"/>
              </w:rPr>
            </w:pPr>
            <w:r>
              <w:rPr>
                <w:rFonts w:ascii="Times New Roman" w:hAnsi="Times New Roman"/>
                <w:i/>
                <w:noProof/>
                <w:color w:val="000000" w:themeColor="text1"/>
                <w:sz w:val="24"/>
              </w:rPr>
              <w:t xml:space="preserve">îmbunătățirea procedurii și a accesului la procedurile de faliment și restructurare pentru persoane fizice, microîntreprinderi și întreprinderi mici; </w:t>
            </w:r>
          </w:p>
          <w:p>
            <w:pPr>
              <w:pStyle w:val="ListParagraph"/>
              <w:numPr>
                <w:ilvl w:val="0"/>
                <w:numId w:val="18"/>
              </w:numPr>
              <w:jc w:val="both"/>
              <w:rPr>
                <w:rFonts w:ascii="Times New Roman" w:eastAsia="Aptos" w:hAnsi="Times New Roman" w:cs="Times New Roman"/>
                <w:noProof/>
                <w:color w:val="000000" w:themeColor="text1"/>
                <w:sz w:val="24"/>
                <w:szCs w:val="24"/>
              </w:rPr>
            </w:pPr>
            <w:r>
              <w:rPr>
                <w:rFonts w:ascii="Times New Roman" w:hAnsi="Times New Roman"/>
                <w:i/>
                <w:noProof/>
                <w:color w:val="000000" w:themeColor="text1"/>
                <w:sz w:val="24"/>
              </w:rPr>
              <w:t xml:space="preserve">introducerea unor garanții în Codul Ucrainei privind procedurile de faliment pentru a preveni acțiunile frauduloase ale participanților și pentru a limita influența părților afiliate ale debitorului asupra procedurilor de faliment; </w:t>
            </w:r>
          </w:p>
          <w:p>
            <w:pPr>
              <w:pStyle w:val="ListParagraph"/>
              <w:numPr>
                <w:ilvl w:val="0"/>
                <w:numId w:val="18"/>
              </w:numPr>
              <w:jc w:val="both"/>
              <w:rPr>
                <w:rFonts w:ascii="Times New Roman" w:eastAsia="Aptos" w:hAnsi="Times New Roman" w:cs="Times New Roman"/>
                <w:noProof/>
                <w:color w:val="000000" w:themeColor="text1"/>
                <w:sz w:val="24"/>
                <w:szCs w:val="24"/>
              </w:rPr>
            </w:pPr>
            <w:r>
              <w:rPr>
                <w:rFonts w:ascii="Times New Roman" w:hAnsi="Times New Roman"/>
                <w:i/>
                <w:noProof/>
                <w:color w:val="000000" w:themeColor="text1"/>
                <w:sz w:val="24"/>
              </w:rPr>
              <w:t xml:space="preserve">îmbunătățirea legislației privind recuperarea datoriilor și tratamentul datoriei; </w:t>
            </w:r>
          </w:p>
          <w:p>
            <w:pPr>
              <w:pStyle w:val="ListParagraph"/>
              <w:numPr>
                <w:ilvl w:val="0"/>
                <w:numId w:val="18"/>
              </w:numPr>
              <w:jc w:val="both"/>
              <w:rPr>
                <w:rFonts w:ascii="Times New Roman" w:eastAsia="Aptos" w:hAnsi="Times New Roman" w:cs="Times New Roman"/>
                <w:noProof/>
                <w:color w:val="000000" w:themeColor="text1"/>
                <w:sz w:val="24"/>
                <w:szCs w:val="24"/>
              </w:rPr>
            </w:pPr>
            <w:r>
              <w:rPr>
                <w:rFonts w:ascii="Times New Roman" w:hAnsi="Times New Roman"/>
                <w:i/>
                <w:iCs/>
                <w:noProof/>
                <w:color w:val="000000" w:themeColor="text1"/>
                <w:sz w:val="24"/>
              </w:rPr>
              <w:t>introducerea în Ucraina a unor condiții de reglementare care să favorizeze dezvoltarea și funcționarea pieței creditelor neperformante și atragerea de investiții străine pe această piață.</w:t>
            </w:r>
            <w:r>
              <w:rPr>
                <w:rFonts w:ascii="Times New Roman" w:hAnsi="Times New Roman"/>
                <w:noProof/>
                <w:color w:val="000000" w:themeColor="text1"/>
                <w:sz w:val="24"/>
              </w:rPr>
              <w:t xml:space="preserve">” </w:t>
            </w:r>
          </w:p>
          <w:p>
            <w:pPr>
              <w:spacing w:after="0"/>
              <w:rPr>
                <w:rFonts w:eastAsia="Aptos"/>
                <w:noProof/>
                <w:color w:val="000000" w:themeColor="text1"/>
                <w:szCs w:val="24"/>
              </w:rPr>
            </w:pPr>
            <w:r>
              <w:rPr>
                <w:noProof/>
                <w:color w:val="000000" w:themeColor="text1"/>
              </w:rPr>
              <w:lastRenderedPageBreak/>
              <w:t>Etapa 5.5 este a doua dintre cele două etape de implementare a reformei 3 din capitolul 5 (piețele financiare).</w:t>
            </w:r>
          </w:p>
          <w:p>
            <w:pPr>
              <w:spacing w:after="0"/>
              <w:textAlignment w:val="baseline"/>
              <w:rPr>
                <w:rFonts w:eastAsia="Times New Roman"/>
                <w:noProof/>
                <w:szCs w:val="24"/>
              </w:rPr>
            </w:pPr>
            <w:r>
              <w:rPr>
                <w:noProof/>
              </w:rPr>
              <w:t xml:space="preserve"> </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noProof/>
                <w:szCs w:val="24"/>
              </w:rPr>
            </w:pPr>
            <w:r>
              <w:rPr>
                <w:b/>
                <w:noProof/>
              </w:rPr>
              <w:lastRenderedPageBreak/>
              <w:t>Elemente justificative furnizate</w:t>
            </w:r>
          </w:p>
          <w:p>
            <w:pPr>
              <w:spacing w:after="0"/>
              <w:contextualSpacing/>
              <w:rPr>
                <w:rFonts w:eastAsia="Times New Roman"/>
                <w:b/>
                <w:bCs/>
                <w:noProof/>
                <w:szCs w:val="24"/>
              </w:rPr>
            </w:pP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rPr>
            </w:pPr>
            <w:r>
              <w:rPr>
                <w:rFonts w:ascii="Times New Roman" w:hAnsi="Times New Roman"/>
                <w:noProof/>
                <w:sz w:val="24"/>
              </w:rPr>
              <w:t>document de sinteză care dovedește în mod corespunzător modul în care etapa a fost îndeplinită în mod satisfăcător, în concordanță cu cerințele prevăzute în anexa la Decizia de punere în aplicare a Consiliului;</w:t>
            </w: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rPr>
            </w:pPr>
            <w:r>
              <w:rPr>
                <w:rFonts w:ascii="Times New Roman" w:hAnsi="Times New Roman"/>
                <w:noProof/>
                <w:sz w:val="24"/>
              </w:rPr>
              <w:t>un exemplar al Legii ucrainene nr. 4833-IX din 7 aprilie 2026 privind modificarea anumitor acte legislative ale Ucrainei referitoare la îmbunătățirea procedurii de executare a hotărârilor judecătorești, a deciziilor altor organisme și la digitalizarea anumitor etape ale procedurilor de executare;</w:t>
            </w:r>
          </w:p>
          <w:p>
            <w:pPr>
              <w:pStyle w:val="ListParagraph"/>
              <w:numPr>
                <w:ilvl w:val="0"/>
                <w:numId w:val="17"/>
              </w:numPr>
              <w:spacing w:before="240" w:after="0" w:line="240" w:lineRule="auto"/>
              <w:jc w:val="both"/>
              <w:rPr>
                <w:rFonts w:ascii="Times New Roman" w:hAnsi="Times New Roman" w:cs="Times New Roman"/>
                <w:noProof/>
                <w:sz w:val="24"/>
                <w:szCs w:val="24"/>
              </w:rPr>
            </w:pPr>
            <w:r>
              <w:rPr>
                <w:rFonts w:ascii="Times New Roman" w:hAnsi="Times New Roman"/>
                <w:noProof/>
                <w:sz w:val="24"/>
              </w:rPr>
              <w:t>un exemplar al Legii ucrainene nr. 3985-IX din 19 septembrie 2024 privind modificările aduse Codului Ucrainei privind procedurile de faliment și altor acte legislative ale Ucrainei referitoare la punerea în aplicare a Directivei 2019/1023 a Parlamentului European și a Consiliului Uniunii Europene și introducerea procedurilor de restructurare preventivă;</w:t>
            </w: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rPr>
            </w:pPr>
            <w:r>
              <w:rPr>
                <w:rFonts w:ascii="Times New Roman" w:hAnsi="Times New Roman"/>
                <w:noProof/>
                <w:color w:val="000000" w:themeColor="text1"/>
                <w:sz w:val="24"/>
              </w:rPr>
              <w:t>un exemplar al Rezoluției nr. 1566 a Cabinetului de Miniștri al Ucrainei din 3 decembrie 2025 privind modificările la procedura de organizare și desfășurare a licitațiilor pentru vânzarea bunurilor debitorilor în cazuri de faliment (insolvență);</w:t>
            </w: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rPr>
            </w:pPr>
            <w:r>
              <w:rPr>
                <w:rFonts w:ascii="Times New Roman" w:hAnsi="Times New Roman"/>
                <w:noProof/>
                <w:color w:val="000000" w:themeColor="text1"/>
                <w:sz w:val="24"/>
              </w:rPr>
              <w:t>un exemplar al Legii ucrainene nr. 4863-IX din 29 aprilie 2026 privind modificările aduse Codului civil al Ucrainei în ceea ce privește reglementarea relațiilor în sfera factorizării;</w:t>
            </w: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rPr>
            </w:pPr>
            <w:r>
              <w:rPr>
                <w:rFonts w:ascii="Times New Roman" w:hAnsi="Times New Roman"/>
                <w:noProof/>
                <w:color w:val="000000" w:themeColor="text1"/>
                <w:sz w:val="24"/>
              </w:rPr>
              <w:t>un exemplar al Rezoluției nr. 12 a Consiliului de administrație al Băncii Naționale a Ucrainei din 7 februarie 2025 privind aprobarea amendamentelor la regulamentele privind organizarea procesului de gestionare a activelor problematice din băncile din Ucraina;</w:t>
            </w: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rPr>
            </w:pPr>
            <w:r>
              <w:rPr>
                <w:rFonts w:ascii="Times New Roman" w:hAnsi="Times New Roman"/>
                <w:noProof/>
                <w:color w:val="000000" w:themeColor="text1"/>
                <w:sz w:val="24"/>
              </w:rPr>
              <w:t>Un exemplar al Rezoluției nr. 351 a Consiliului Băncii Naționale a Ucrainei din 30 iunie 2016 referitoare la aprobarea regulamentelor privind stabilirea de către băncile din Ucraina a dimensiunii riscului de credit pentru tranzacțiile bancare active;</w:t>
            </w:r>
          </w:p>
          <w:p>
            <w:pPr>
              <w:pStyle w:val="ListParagraph"/>
              <w:numPr>
                <w:ilvl w:val="0"/>
                <w:numId w:val="17"/>
              </w:numPr>
              <w:spacing w:after="0" w:line="240" w:lineRule="auto"/>
              <w:jc w:val="both"/>
              <w:rPr>
                <w:rFonts w:eastAsia="Aptos"/>
                <w:noProof/>
                <w:color w:val="000000" w:themeColor="text1"/>
              </w:rPr>
            </w:pPr>
            <w:r>
              <w:rPr>
                <w:rFonts w:ascii="Times New Roman" w:hAnsi="Times New Roman"/>
                <w:noProof/>
                <w:color w:val="000000" w:themeColor="text1"/>
                <w:sz w:val="24"/>
              </w:rPr>
              <w:t>un exemplar al Legii ucrainene nr. 4466-IX din 3 iunie 2025 privind factorizarea;</w:t>
            </w: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rPr>
            </w:pPr>
            <w:r>
              <w:rPr>
                <w:rFonts w:ascii="Times New Roman" w:hAnsi="Times New Roman"/>
                <w:noProof/>
                <w:color w:val="000000" w:themeColor="text1"/>
                <w:sz w:val="24"/>
              </w:rPr>
              <w:t>un exemplar al Legii ucrainene nr. 2923 – IX privind despăgubirile pentru prejudiciile aduse anumitor categorii de bunuri imobile și distrugerea acestora ca rezultat al ostilităților, din 23 februarie 2023;</w:t>
            </w: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rPr>
            </w:pPr>
            <w:r>
              <w:rPr>
                <w:rFonts w:ascii="Times New Roman" w:hAnsi="Times New Roman"/>
                <w:noProof/>
                <w:color w:val="000000" w:themeColor="text1"/>
                <w:sz w:val="24"/>
              </w:rPr>
              <w:t>un exemplar al Legii ucrainene nr. 4340-IX privind modificarea dispozițiilor finale și tranzitorii ale Codului civil al Ucrainei în ceea ce privește particularitățile creditării și leasingului financiar în perioada legii marțiale, din 27 martie 2025.</w:t>
            </w:r>
          </w:p>
          <w:p>
            <w:pPr>
              <w:pStyle w:val="ListParagraph"/>
              <w:spacing w:after="0" w:line="240" w:lineRule="auto"/>
              <w:jc w:val="both"/>
              <w:textAlignment w:val="baseline"/>
              <w:rPr>
                <w:rFonts w:ascii="Times New Roman" w:eastAsia="Times New Roman" w:hAnsi="Times New Roman" w:cs="Times New Roman"/>
                <w:noProof/>
                <w:sz w:val="24"/>
                <w:szCs w:val="24"/>
                <w:lang w:eastAsia="en-IE"/>
              </w:rPr>
            </w:pP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Analiză</w:t>
            </w:r>
          </w:p>
          <w:p>
            <w:pPr>
              <w:spacing w:before="0" w:after="160"/>
              <w:textAlignment w:val="baseline"/>
              <w:rPr>
                <w:rFonts w:eastAsia="Aptos"/>
                <w:noProof/>
                <w:color w:val="000000" w:themeColor="text1"/>
                <w:szCs w:val="24"/>
              </w:rPr>
            </w:pPr>
            <w:r>
              <w:rPr>
                <w:noProof/>
                <w:color w:val="000000" w:themeColor="text1"/>
              </w:rPr>
              <w:t>Justificarea și dovezile de fond furnizate de autoritățile ucrainene acoperă toate elementele constitutive ale etapei 5.5. Obiectivul reformei 3 este de a îmbunătăți eliminarea creditelor neperformante. Autoritățile ucrainene au finalizat demersurile necesare intrării în vigoare a actelor juridice de punere în aplicare a recomandărilor strategiei privind eliminarea creditelor neperformante, prin care se îmbunătățește sistemul de eliminare a creditelor neperformante, astfel cum se descrie în continuare.</w:t>
            </w:r>
          </w:p>
          <w:p>
            <w:pPr>
              <w:spacing w:before="0" w:after="0"/>
              <w:textAlignment w:val="baseline"/>
              <w:rPr>
                <w:rFonts w:eastAsia="Aptos"/>
                <w:noProof/>
                <w:color w:val="000000" w:themeColor="text1"/>
                <w:szCs w:val="24"/>
              </w:rPr>
            </w:pPr>
            <w:r>
              <w:rPr>
                <w:noProof/>
                <w:color w:val="000000" w:themeColor="text1"/>
              </w:rPr>
              <w:t>Îmbunătățirea definiției creditelor neperformante în conformitate cu principiile acquis-ului UE a fost realizată prin modificări ale cadrului de reglementare al BNU. În special, Rezoluția nr. 12 a BNU din 7 februarie 2025 a modificat „</w:t>
            </w:r>
            <w:r>
              <w:rPr>
                <w:i/>
                <w:iCs/>
                <w:noProof/>
                <w:color w:val="000000" w:themeColor="text1"/>
              </w:rPr>
              <w:t>Regulamentul privind organizarea procesului de gestionare a activelor problematice în băncile din Ucraina</w:t>
            </w:r>
            <w:r>
              <w:rPr>
                <w:noProof/>
                <w:color w:val="000000" w:themeColor="text1"/>
              </w:rPr>
              <w:t xml:space="preserve">”, în timp ce cadrul aplicabil privind riscul de credit se bazează pe cerințele stabilite în </w:t>
            </w:r>
            <w:r>
              <w:rPr>
                <w:noProof/>
                <w:color w:val="000000" w:themeColor="text1"/>
              </w:rPr>
              <w:lastRenderedPageBreak/>
              <w:t>Rezoluția nr. 351 a BNU din 30 iunie 2016. Categoria activelor neperformante a fost extinsă pentru a include activele care nu se află în stare de nerambursare, dar care sunt depreciate în conformitate cu Standardele Internaționale de Raportare Financiară (IFRS), inclusiv activele care au fost depreciate la recunoașterea inițială (credite achiziționate sau emise depreciate). Au fost clarificate cerințele pentru încetarea clasificării activelor drept neperformante. Mai precis, perioada de monitorizare a activelor neperformante înainte de modificarea statutului a fost prelungită, iar cerințele privind controlul calității activelor au devenit mai stricte. Introducerea acestei dispoziții consolidează cadrul de monitorizare și soluționare a activelor neperformante.</w:t>
            </w:r>
          </w:p>
          <w:p>
            <w:pPr>
              <w:spacing w:before="0" w:after="0"/>
              <w:textAlignment w:val="baseline"/>
              <w:rPr>
                <w:rFonts w:eastAsia="Aptos"/>
                <w:noProof/>
                <w:color w:val="000000" w:themeColor="text1"/>
                <w:szCs w:val="24"/>
              </w:rPr>
            </w:pPr>
          </w:p>
          <w:p>
            <w:pPr>
              <w:spacing w:before="0" w:after="0"/>
              <w:textAlignment w:val="baseline"/>
              <w:rPr>
                <w:rFonts w:eastAsia="Aptos"/>
                <w:noProof/>
                <w:color w:val="000000" w:themeColor="text1"/>
                <w:szCs w:val="24"/>
              </w:rPr>
            </w:pPr>
            <w:r>
              <w:rPr>
                <w:noProof/>
                <w:color w:val="000000" w:themeColor="text1"/>
              </w:rPr>
              <w:t>Reintroducerea cerinței ca băncile să actualizeze și să prezinte planuri și strategii pentru gestionarea creditelor neperformante și pentru furnizarea de recomandări pe baza rezultatelor analizei lor a fost pusă în aplicare prin modificări ale Regulamentului BNU „</w:t>
            </w:r>
            <w:r>
              <w:rPr>
                <w:i/>
                <w:iCs/>
                <w:noProof/>
                <w:color w:val="000000" w:themeColor="text1"/>
              </w:rPr>
              <w:t>privind organizarea procesului de gestionare a activelor problematice în băncile din Ucraina</w:t>
            </w:r>
            <w:r>
              <w:rPr>
                <w:noProof/>
                <w:color w:val="000000" w:themeColor="text1"/>
              </w:rPr>
              <w:t>”, aprobat prin Rezoluția nr. 97 a NBU din 18 iulie 2019.</w:t>
            </w:r>
            <w:r>
              <w:rPr>
                <w:i/>
                <w:noProof/>
                <w:color w:val="000000" w:themeColor="text1"/>
              </w:rPr>
              <w:t xml:space="preserve"> </w:t>
            </w:r>
            <w:r>
              <w:rPr>
                <w:noProof/>
                <w:color w:val="000000" w:themeColor="text1"/>
              </w:rPr>
              <w:t>Modificările relevante au fost adoptate prin Rezoluția nr. 12 a BNU din 7 februarie 2025 și au intrat în vigoare la 1 ianuarie 2026. În temeiul regulamentului modificat, băncile trebuie să își actualizeze strategiile privind creditele neperformante și planurile de vânzare și, ulterior, să le actualizeze anual.</w:t>
            </w:r>
          </w:p>
          <w:p>
            <w:pPr>
              <w:spacing w:before="0" w:after="0"/>
              <w:textAlignment w:val="baseline"/>
              <w:rPr>
                <w:noProof/>
                <w:szCs w:val="24"/>
              </w:rPr>
            </w:pPr>
          </w:p>
          <w:p>
            <w:pPr>
              <w:spacing w:before="0" w:after="0"/>
              <w:textAlignment w:val="baseline"/>
              <w:rPr>
                <w:rFonts w:eastAsia="Aptos"/>
                <w:noProof/>
                <w:color w:val="000000" w:themeColor="text1"/>
                <w:szCs w:val="24"/>
              </w:rPr>
            </w:pPr>
            <w:r>
              <w:rPr>
                <w:noProof/>
                <w:color w:val="000000" w:themeColor="text1"/>
              </w:rPr>
              <w:t>Legea nr. 3985-IX a introdus modificările relevante la Codul Ucrainei privind procedurile de faliment, inclusiv cadrul pentru restructurarea preventivă și reformele aferente procedurii de faliment. Modificările sunt reflectate în articole care acoperă cerințele pentru administratorul arbitrajului, drepturile și responsabilitățile administratorului arbitrajului, controlul asupra activităților administratorilor arbitrajului, sancțiunile disciplinare, numirea și revocarea administratorului arbitrajului și suspendarea temporară a dreptului de a desfășura activitățile administratorului arbitrajului. Aceste modificări consolidează responsabilitatea administratorului arbitrajului pentru îndeplinirea sarcinilor sale, impun cerințe suplimentare administratorilor arbitrajului și reglementează drepturile acestora și măsurile de asigurare a respectării legii în caz de încălcări. Procedurile detaliate de licitație electronică au fost ulterior aliniate la codul modificat prin Rezoluția CMU nr. 1566 din 3 decembrie 2025, care a intrat în vigoare la 10 decembrie 2025.</w:t>
            </w:r>
          </w:p>
          <w:p>
            <w:pPr>
              <w:spacing w:before="0" w:after="0"/>
              <w:textAlignment w:val="baseline"/>
              <w:rPr>
                <w:noProof/>
                <w:szCs w:val="24"/>
              </w:rPr>
            </w:pPr>
          </w:p>
          <w:p>
            <w:pPr>
              <w:spacing w:before="0" w:after="0"/>
              <w:textAlignment w:val="baseline"/>
              <w:rPr>
                <w:rFonts w:eastAsia="Aptos"/>
                <w:noProof/>
                <w:color w:val="000000" w:themeColor="text1"/>
                <w:szCs w:val="24"/>
              </w:rPr>
            </w:pPr>
            <w:r>
              <w:rPr>
                <w:noProof/>
                <w:color w:val="000000" w:themeColor="text1"/>
              </w:rPr>
              <w:t>Măsurile identificate în Strategia privind creditele neperformante referitoare la îmbunătățirea procedurii și a accesului la procedurile de faliment și restructurare pentru persoane fizice, microîntreprinderi și întreprinderi mici au fost puse în aplicare prin Legea nr. 3985-IX din 19 septembrie 2024 și prin modificările ulterioare de punere în aplicare ale cadrului de licitație electronică introduse prin Rezoluția CMU nr. 1566 din 3 decembrie 2025. Aceste modificări introduc norme mai flexibile și mai previzibile pentru vânzarea activelor în cadrul procedurilor de faliment. Acestea clarifică desfășurarea și rezultatul licitațiilor, inclusiv tratamentul comisioanelor de garantare, obligațiile ofertantului câștigător și procedura care trebuie urmată în cazul în care câștigătorul refuză să finalizeze achiziția. În astfel de cazuri, sistemul electronic de tranzacționare identifică automat ofertantul care oferă următorul cel mai mare preț, în timp ce licitațiile eșuate fac obiectul unei proceduri definite pentru stabilirea rezultatului acestora. Modificările prevăd, de asemenea, că sechestrele sau alte restricții privind bunurile debitorului falit, în cazul în care sunt prezentate în mod corespunzător în anunțul de licitație, nu împiedică licitația sau finalizarea vânzării.</w:t>
            </w:r>
          </w:p>
          <w:p>
            <w:pPr>
              <w:spacing w:before="0" w:after="0"/>
              <w:textAlignment w:val="baseline"/>
              <w:rPr>
                <w:rFonts w:eastAsia="Aptos"/>
                <w:noProof/>
                <w:color w:val="000000" w:themeColor="text1"/>
                <w:szCs w:val="24"/>
              </w:rPr>
            </w:pPr>
          </w:p>
          <w:p>
            <w:pPr>
              <w:spacing w:before="0" w:after="0"/>
              <w:textAlignment w:val="baseline"/>
              <w:rPr>
                <w:rFonts w:eastAsia="Aptos"/>
                <w:noProof/>
                <w:color w:val="000000" w:themeColor="text1"/>
                <w:szCs w:val="24"/>
              </w:rPr>
            </w:pPr>
            <w:r>
              <w:rPr>
                <w:noProof/>
                <w:color w:val="000000" w:themeColor="text1"/>
              </w:rPr>
              <w:t>În plus, Rezoluția CMU nr. 865 din 2 octombrie 2019, „</w:t>
            </w:r>
            <w:r>
              <w:rPr>
                <w:i/>
                <w:iCs/>
                <w:noProof/>
                <w:color w:val="000000" w:themeColor="text1"/>
              </w:rPr>
              <w:t>Aspecte ale funcționării sistemului electronic de tranzacționare pentru vânzarea bunurilor debitorilor în cadrul procedurilor de faliment</w:t>
            </w:r>
            <w:r>
              <w:rPr>
                <w:noProof/>
                <w:color w:val="000000" w:themeColor="text1"/>
              </w:rPr>
              <w:t xml:space="preserve">”, a fost adusă în conformitate cu Codul actualizat al Ucrainei privind </w:t>
            </w:r>
            <w:r>
              <w:rPr>
                <w:noProof/>
                <w:color w:val="000000" w:themeColor="text1"/>
              </w:rPr>
              <w:lastRenderedPageBreak/>
              <w:t xml:space="preserve">procedurile de faliment. Modificările respective au fost introduse prin Rezoluția CMU nr. 1566 din 3 decembrie 2025. Mai precis, acestea au aliniat procedura de licitație electronică în temeiul Rezoluției CMU nr. 865 la Codul actualizat al Ucrainei privind procedurile de faliment, extinzând aplicarea acesteia la procedurile de restructurare preventivă și introducând rolul corespunzător al administratorului restructurării preventive. Normele care reglementează comisioanele de garantare, consecințele refuzului unui câștigător de a cumpăra și transferul statutului de câștigător către participantul care oferă următorul cel mai mare preț au fost aliniate la dispozițiile revizuite ale codului, inclusiv generarea automată a unui nou protocol privind rezultatele licitațiilor. Modificările au actualizat, de asemenea, cerințele procedurale pentru anunțurile de licitație, cererile de participare, semnarea și publicarea protocoalelor privind rezultatele licitațiilor și vânzarea bunurilor confiscate sau grevate. </w:t>
            </w:r>
          </w:p>
          <w:p>
            <w:pPr>
              <w:spacing w:before="0" w:after="0"/>
              <w:textAlignment w:val="baseline"/>
              <w:rPr>
                <w:rFonts w:eastAsia="Aptos"/>
                <w:noProof/>
                <w:color w:val="000000" w:themeColor="text1"/>
                <w:szCs w:val="24"/>
              </w:rPr>
            </w:pPr>
            <w:r>
              <w:rPr>
                <w:noProof/>
                <w:color w:val="000000" w:themeColor="text1"/>
              </w:rPr>
              <w:t>În plus, au fost introduse garanții în Codul Ucrainei privind procedurile de faliment pentru a preveni acțiunile frauduloase ale participanților și pentru a limita influența părților afiliate ale debitorului asupra procedurilor de faliment. Acest lucru a fost realizat prin modificarea articolelor 45 și 47 din Codul Ucrainei privind procedurile de faliment, introdus prin Legea nr. 3985-IX din 19 septembrie 2024. Aceste modificări consolidează garanțiile împotriva conflictelor de interese în cadrul procedurii de faliment, impunând creditorilor să divulge orice interes sau relație cu debitorul atunci când depun cereri de admitere a creanțelor împotriva debitorului. Acesta prevede, de asemenea, că creditorii care au un interes în bunurile debitorului nu au un vot decisiv în cadrul adunărilor creditorilor sau al comitetului creditorilor, limitând astfel influența acestora asupra deciziilor din cadrul procedurii.</w:t>
            </w:r>
          </w:p>
          <w:p>
            <w:pPr>
              <w:spacing w:before="0" w:after="0"/>
              <w:textAlignment w:val="baseline"/>
              <w:rPr>
                <w:rFonts w:eastAsia="Aptos"/>
                <w:noProof/>
                <w:color w:val="000000" w:themeColor="text1"/>
                <w:szCs w:val="24"/>
              </w:rPr>
            </w:pPr>
          </w:p>
          <w:p>
            <w:pPr>
              <w:spacing w:before="0" w:after="0"/>
              <w:textAlignment w:val="baseline"/>
              <w:rPr>
                <w:rFonts w:eastAsia="Aptos"/>
                <w:noProof/>
                <w:color w:val="000000" w:themeColor="text1"/>
              </w:rPr>
            </w:pPr>
            <w:r>
              <w:rPr>
                <w:noProof/>
                <w:color w:val="000000" w:themeColor="text1"/>
              </w:rPr>
              <w:t>Legislația privind recuperarea datoriilor și tratamentul datoriei a fost, de asemenea, îmbunătățită. Mai precis, Legea ucraineană nr. 2923-IX „</w:t>
            </w:r>
            <w:r>
              <w:rPr>
                <w:i/>
                <w:iCs/>
                <w:noProof/>
                <w:color w:val="000000" w:themeColor="text1"/>
              </w:rPr>
              <w:t>privind despăgubirile pentru daune și distrugerea anumitor categorii de bunuri imobile ca rezultat al ostilităților</w:t>
            </w:r>
            <w:r>
              <w:rPr>
                <w:noProof/>
                <w:color w:val="000000" w:themeColor="text1"/>
              </w:rPr>
              <w:t>” din 23 februarie 2023, care a intrat în vigoare la 22 mai 2023, oferă un cadru pentru despăgubiri în ceea ce privește anumite bunuri imobile deteriorate sau distruse și, prin urmare, sprijină tratamentul garanțiilor reale afectate de război și al expunerilor la datorii aferente. Legea ucraineană nr. 4340-IX „</w:t>
            </w:r>
            <w:r>
              <w:rPr>
                <w:i/>
                <w:iCs/>
                <w:noProof/>
                <w:color w:val="000000" w:themeColor="text1"/>
              </w:rPr>
              <w:t>privind modificarea dispozițiilor finale și tranzitorii ale Codului civil al Ucrainei în ceea ce privește particularitățile creditării și leasingului financiar în perioada legii marțiale</w:t>
            </w:r>
            <w:r>
              <w:rPr>
                <w:noProof/>
                <w:color w:val="000000" w:themeColor="text1"/>
              </w:rPr>
              <w:t>” din 27 martie 2025, care a intrat în vigoare la 10 august 2025, instituie un mecanism de moratoriu temporar pentru debitorii eligibili afectați de războiul de agresiune al Rusiei împotriva Ucrainei, inclusiv pentru anumite întreprinderi ale căror active și activități sunt afectate. Legea ucraineană nr. 4833 – IX „</w:t>
            </w:r>
            <w:r>
              <w:rPr>
                <w:i/>
                <w:iCs/>
                <w:noProof/>
                <w:color w:val="000000" w:themeColor="text1"/>
              </w:rPr>
              <w:t>privind modificarea anumitor acte legislative ale Ucrainei referitoare la îmbunătățirea procedurii de executare a hotărârilor judecătorești, a deciziilor altor organisme și digitalizarea anumitor etape ale procedurilor de executare</w:t>
            </w:r>
            <w:r>
              <w:rPr>
                <w:noProof/>
                <w:color w:val="000000" w:themeColor="text1"/>
              </w:rPr>
              <w:t xml:space="preserve">” a fost adoptată în Rada Supremă la 7 aprilie 2026, anumite dispoziții intrând în vigoare mai devreme, la 24 aprilie 2026 și la 23 mai 2026. Aceasta va fi pe deplin în vigoare de la 23 octombrie 2026. Împreună, aceste măsuri consolidează cadrul pentru tratarea și recuperarea datoriilor prin abordarea consecințelor distrugerii și pierderii activelor productive legate de război, oferind în același timp norme mai clare pentru debitorii și creditorii afectați de astfel de circumstanțe. </w:t>
            </w:r>
            <w:r>
              <w:rPr>
                <w:noProof/>
              </w:rPr>
              <w:t>Luate împreună, măsurile abordează elementele de colectare și tratare a datoriilor identificate în strategia privind creditele neperformante.</w:t>
            </w:r>
          </w:p>
          <w:p>
            <w:pPr>
              <w:spacing w:before="0" w:after="0"/>
              <w:textAlignment w:val="baseline"/>
              <w:rPr>
                <w:noProof/>
                <w:szCs w:val="24"/>
              </w:rPr>
            </w:pPr>
          </w:p>
          <w:p>
            <w:pPr>
              <w:spacing w:before="0" w:after="0"/>
              <w:textAlignment w:val="baseline"/>
              <w:rPr>
                <w:rFonts w:eastAsia="Times New Roman"/>
                <w:noProof/>
              </w:rPr>
            </w:pPr>
            <w:r>
              <w:rPr>
                <w:noProof/>
                <w:color w:val="000000" w:themeColor="text1"/>
              </w:rPr>
              <w:t>În fine, au fost introduse condiții de reglementare care favorizează dezvoltarea și funcționarea pieței creditelor neperformante. Acest lucru a fost pus în aplicare prin Legea ucraineană nr. 4466 – IX „</w:t>
            </w:r>
            <w:r>
              <w:rPr>
                <w:i/>
                <w:iCs/>
                <w:noProof/>
                <w:color w:val="000000" w:themeColor="text1"/>
              </w:rPr>
              <w:t>privind factoringul</w:t>
            </w:r>
            <w:r>
              <w:rPr>
                <w:noProof/>
                <w:color w:val="000000" w:themeColor="text1"/>
              </w:rPr>
              <w:t>” din 3 iunie 2025, care a intrat în vigoare la 30 iulie 2025 și se aplică de la 30 iulie 2026, ca urmare a intrării în vigoare a Legii ucrainene nr. 4863 din 29 aprilie 2026 „</w:t>
            </w:r>
            <w:r>
              <w:rPr>
                <w:i/>
                <w:iCs/>
                <w:noProof/>
                <w:color w:val="000000" w:themeColor="text1"/>
              </w:rPr>
              <w:t xml:space="preserve">privind modificarea dispozițiilor din Codul civil al </w:t>
            </w:r>
            <w:r>
              <w:rPr>
                <w:i/>
                <w:iCs/>
                <w:noProof/>
                <w:color w:val="000000" w:themeColor="text1"/>
              </w:rPr>
              <w:lastRenderedPageBreak/>
              <w:t>Ucrainei privind relațiile în activitatea de factoring</w:t>
            </w:r>
            <w:r>
              <w:rPr>
                <w:noProof/>
                <w:color w:val="000000" w:themeColor="text1"/>
              </w:rPr>
              <w:t>”. Prima lege stabilește un nou cadru juridic pentru factoring și clarifică cadrul juridic pentru cesiunea și executarea creanțelor pecuniare, în timp ce modificările aduse legislației privind creditele bancare și creditele de consum stabilesc norme care reglementează transferul anumitor creanțe către noi creditori eligibili. A doua lege aliniază dispozițiile relevante ale Codului civil la acest nou cadru, creând o mai mare claritate juridică și previzibilitate pentru participanții la piață. Aceste măsuri sunt menite să faciliteze dezvoltarea și funcționarea pieței de factoring și să creeze un cadru juridic mai clar pentru participanții la piață.</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b/>
                <w:noProof/>
              </w:rPr>
              <w:lastRenderedPageBreak/>
              <w:t xml:space="preserve">Evaluarea Comisiei: </w:t>
            </w:r>
            <w:r>
              <w:rPr>
                <w:noProof/>
              </w:rPr>
              <w:t>îndeplinită în mod satisfăcător</w:t>
            </w:r>
          </w:p>
        </w:tc>
      </w:tr>
    </w:tbl>
    <w:p>
      <w:pPr>
        <w:keepNext/>
        <w:keepLines/>
        <w:contextualSpacing/>
        <w:rPr>
          <w:rFonts w:eastAsia="Times New Roman"/>
          <w:b/>
          <w:noProof/>
          <w:color w:val="000000" w:themeColor="text1"/>
          <w:szCs w:val="24"/>
          <w:vertAlign w:val="superscript"/>
        </w:rPr>
      </w:pPr>
    </w:p>
    <w:p>
      <w:pPr>
        <w:spacing w:after="0"/>
        <w:textAlignment w:val="baseline"/>
        <w:rPr>
          <w:rFonts w:eastAsia="Times New Roman"/>
          <w:b/>
          <w:bCs/>
          <w:noProof/>
          <w:szCs w:val="24"/>
        </w:rPr>
      </w:pPr>
      <w:r>
        <w:rPr>
          <w:b/>
          <w:noProof/>
        </w:rPr>
        <w:t>Etapa 7.20</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06"/>
      </w:tblGrid>
      <w:tr>
        <w:trPr>
          <w:trHeight w:val="660"/>
        </w:trPr>
        <w:tc>
          <w:tcPr>
            <w:tcW w:w="9006"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 xml:space="preserve">Denumirea etapei: </w:t>
            </w:r>
            <w:r>
              <w:rPr>
                <w:noProof/>
              </w:rPr>
              <w:t>adoptarea Planului operațional de măsuri pentru punerea în aplicare, în perioada 2026-2028, a Strategiei naționale pentru eliminarea diferenței de remunerare între femei și bărbați pentru perioada de până în 2030</w:t>
            </w:r>
          </w:p>
        </w:tc>
      </w:tr>
      <w:tr>
        <w:trPr>
          <w:trHeight w:val="615"/>
        </w:trPr>
        <w:tc>
          <w:tcPr>
            <w:tcW w:w="9006"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Reforma/investiția aferentă:</w:t>
            </w:r>
            <w:r>
              <w:rPr>
                <w:noProof/>
              </w:rPr>
              <w:t xml:space="preserve"> Reforma 6. Îmbunătățirea funcționării pieței forței de muncă</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Contextul</w:t>
            </w:r>
          </w:p>
          <w:p>
            <w:pPr>
              <w:spacing w:after="0"/>
              <w:textAlignment w:val="baseline"/>
              <w:rPr>
                <w:rFonts w:eastAsia="Times New Roman"/>
                <w:noProof/>
                <w:szCs w:val="24"/>
              </w:rPr>
            </w:pPr>
            <w:r>
              <w:rPr>
                <w:noProof/>
              </w:rPr>
              <w:t>Cerința pentru etapa 7.20 descrisă în anexa la Decizia de punere în aplicare a Consiliului este: </w:t>
            </w:r>
          </w:p>
          <w:p>
            <w:pPr>
              <w:spacing w:after="0"/>
              <w:textAlignment w:val="baseline"/>
              <w:rPr>
                <w:rFonts w:eastAsia="Times New Roman"/>
                <w:i/>
                <w:iCs/>
                <w:noProof/>
                <w:szCs w:val="24"/>
              </w:rPr>
            </w:pPr>
            <w:r>
              <w:rPr>
                <w:noProof/>
              </w:rPr>
              <w:t xml:space="preserve"> </w:t>
            </w:r>
            <w:r>
              <w:rPr>
                <w:i/>
                <w:noProof/>
              </w:rPr>
              <w:t>Adoptarea și publicarea pe site-ul Cabinetului de Miniștri a Planului operațional de măsuri pentru punerea în aplicare, în perioada 2026-2028, a Strategiei naționale pentru depășirea diferenței de remunerare între femei și bărbați pentru perioada până în 2030.</w:t>
            </w:r>
          </w:p>
          <w:p>
            <w:pPr>
              <w:spacing w:after="0"/>
              <w:textAlignment w:val="baseline"/>
              <w:rPr>
                <w:rFonts w:eastAsia="Times New Roman"/>
                <w:noProof/>
                <w:szCs w:val="24"/>
              </w:rPr>
            </w:pPr>
            <w:r>
              <w:rPr>
                <w:noProof/>
              </w:rPr>
              <w:t>Etapa 7.20 este cea de a treia etapă în implementarea reformei 6 din capitolul 7 (Capitalul uman) în ceea ce privește adoptarea Planului operațional de măsuri pentru punerea în aplicare, în perioada 2026-2028, a Strategiei naționale pentru depășirea diferenței de remunerare între femei și bărbați pentru perioada până în 2030. Aceasta a fost precedată de etapa 7.6 (adoptarea Strategiei de dezvoltare demografică pentru perioada până în 2040), care a fost evaluată pozitiv în T3 2024, și de etapa 7.7 (adoptarea Strategiei privind ocuparea forței de muncă în rândul populației), care a fost evaluată pozitiv în T4 2026. Aceasta va fi urmată de etapa 7.21 privind intrarea în vigoare a legislației privind securitatea și sănătatea în muncă.</w:t>
            </w:r>
          </w:p>
          <w:p>
            <w:pPr>
              <w:spacing w:after="0"/>
              <w:rPr>
                <w:noProof/>
                <w:szCs w:val="24"/>
              </w:rPr>
            </w:pP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noProof/>
                <w:szCs w:val="24"/>
              </w:rPr>
            </w:pPr>
            <w:r>
              <w:rPr>
                <w:b/>
                <w:noProof/>
              </w:rPr>
              <w:t>Elemente justificative furnizate</w:t>
            </w:r>
          </w:p>
          <w:p>
            <w:pPr>
              <w:spacing w:after="0"/>
              <w:contextualSpacing/>
              <w:rPr>
                <w:rFonts w:eastAsia="Times New Roman"/>
                <w:b/>
                <w:bCs/>
                <w:noProof/>
                <w:szCs w:val="24"/>
              </w:rPr>
            </w:pPr>
          </w:p>
          <w:p>
            <w:pPr>
              <w:pStyle w:val="ListParagraph"/>
              <w:numPr>
                <w:ilvl w:val="0"/>
                <w:numId w:val="12"/>
              </w:numPr>
              <w:spacing w:after="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document de sinteză care dovedește în mod corespunzător modul în care etapa a fost îndeplinită în mod satisfăcător, în concordanță cu cerințele prevăzute în anexa la Decizia de punere în aplicare a Consiliului; </w:t>
            </w:r>
          </w:p>
          <w:p>
            <w:pPr>
              <w:pStyle w:val="ListParagraph"/>
              <w:numPr>
                <w:ilvl w:val="0"/>
                <w:numId w:val="12"/>
              </w:numPr>
              <w:spacing w:after="0" w:line="240" w:lineRule="auto"/>
              <w:jc w:val="both"/>
              <w:textAlignment w:val="baseline"/>
              <w:rPr>
                <w:rFonts w:ascii="Times New Roman" w:eastAsia="Times New Roman" w:hAnsi="Times New Roman" w:cs="Times New Roman"/>
                <w:noProof/>
                <w:sz w:val="24"/>
                <w:szCs w:val="24"/>
              </w:rPr>
            </w:pPr>
            <w:r>
              <w:rPr>
                <w:rFonts w:ascii="Times New Roman" w:hAnsi="Times New Roman"/>
                <w:noProof/>
                <w:sz w:val="24"/>
              </w:rPr>
              <w:t>Un exemplar al Ordinului nr. 504-p al Cabinetului de Miniștri al Ucrainei din 27 mai 2026 privind „</w:t>
            </w:r>
            <w:r>
              <w:rPr>
                <w:rFonts w:ascii="Times New Roman" w:hAnsi="Times New Roman"/>
                <w:i/>
                <w:iCs/>
                <w:noProof/>
                <w:sz w:val="24"/>
              </w:rPr>
              <w:t>aprobarea Planului operațional de măsuri pentru punerea în aplicare, în perioada 2026-2028, a Strategiei naționale pentru eliminarea diferenței de remunerare între femei și bărbați pentru perioada de până în 2030</w:t>
            </w:r>
            <w:r>
              <w:rPr>
                <w:rFonts w:ascii="Times New Roman" w:hAnsi="Times New Roman"/>
                <w:noProof/>
                <w:sz w:val="24"/>
              </w:rPr>
              <w:t>”.</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Analiză</w:t>
            </w:r>
          </w:p>
          <w:p>
            <w:pPr>
              <w:spacing w:after="0"/>
              <w:textAlignment w:val="baseline"/>
              <w:rPr>
                <w:rFonts w:eastAsia="Times New Roman"/>
                <w:noProof/>
                <w:szCs w:val="24"/>
              </w:rPr>
            </w:pPr>
            <w:r>
              <w:rPr>
                <w:noProof/>
              </w:rPr>
              <w:t>Justificarea și dovezile de fond furnizate de autoritățile ucrainene acoperă toate elementele constitutive ale etapei 7.20.</w:t>
            </w:r>
          </w:p>
          <w:p>
            <w:pPr>
              <w:spacing w:after="0"/>
              <w:textAlignment w:val="baseline"/>
              <w:rPr>
                <w:rFonts w:eastAsia="Times New Roman"/>
                <w:noProof/>
                <w:szCs w:val="24"/>
              </w:rPr>
            </w:pPr>
            <w:r>
              <w:rPr>
                <w:noProof/>
              </w:rPr>
              <w:t>Obiectivul reformei 6 din capitolul 7 (capitalul uman) este de a contribui la funcționarea pieței forței de muncă. În acest sens, Cabinetul de Miniștri al Ucrainei a adoptat Ordinul nr. 504-p din 27 mai 2026 privind „</w:t>
            </w:r>
            <w:r>
              <w:rPr>
                <w:i/>
                <w:iCs/>
                <w:noProof/>
              </w:rPr>
              <w:t>aprobarea Planului operațional de măsuri pentru punerea în aplicare, în perioada 2026-2028, a Strategiei naționale pentru eliminarea diferenței de remunerare între femei și bărbați pentru perioada de până în 2030</w:t>
            </w:r>
            <w:r>
              <w:rPr>
                <w:noProof/>
              </w:rPr>
              <w:t xml:space="preserve">” (denumit </w:t>
            </w:r>
            <w:r>
              <w:rPr>
                <w:noProof/>
              </w:rPr>
              <w:lastRenderedPageBreak/>
              <w:t>în continuare „planul operațional”). Planul operațional este anexat la Ordinul nr. 504-p care a fost aprobat.</w:t>
            </w:r>
          </w:p>
          <w:p>
            <w:pPr>
              <w:spacing w:after="0"/>
              <w:textAlignment w:val="baseline"/>
              <w:rPr>
                <w:rFonts w:eastAsia="Times New Roman"/>
                <w:noProof/>
                <w:szCs w:val="24"/>
              </w:rPr>
            </w:pPr>
            <w:r>
              <w:rPr>
                <w:noProof/>
              </w:rPr>
              <w:t>Planul operațional pentru perioada 2026-2028 stabilește un cadru structurat și relevant pentru politicile care vizează promovarea egalității de gen, cu un accent deosebit pe egalitatea de remunerare, participarea pe piața forței de muncă, incluziunea educațională și accesul la educația și îngrijirea timpurie. Măsurile planificate corespund angajamentelor internaționale și europene relevante în domeniile în cauză.</w:t>
            </w:r>
          </w:p>
          <w:p>
            <w:pPr>
              <w:spacing w:after="0"/>
              <w:textAlignment w:val="baseline"/>
              <w:rPr>
                <w:rFonts w:eastAsia="Times New Roman"/>
                <w:noProof/>
                <w:szCs w:val="24"/>
              </w:rPr>
            </w:pP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b/>
                <w:noProof/>
              </w:rPr>
              <w:lastRenderedPageBreak/>
              <w:t xml:space="preserve">Evaluarea Comisiei: </w:t>
            </w:r>
            <w:r>
              <w:rPr>
                <w:noProof/>
              </w:rPr>
              <w:t>îndeplinită în mod satisfăcător</w:t>
            </w:r>
          </w:p>
        </w:tc>
      </w:tr>
    </w:tbl>
    <w:p>
      <w:pPr>
        <w:keepNext/>
        <w:keepLines/>
        <w:contextualSpacing/>
        <w:outlineLvl w:val="0"/>
        <w:rPr>
          <w:noProof/>
        </w:rPr>
      </w:pPr>
    </w:p>
    <w:p>
      <w:pPr>
        <w:keepNext/>
        <w:keepLines/>
        <w:contextualSpacing/>
        <w:outlineLvl w:val="0"/>
        <w:rPr>
          <w:rFonts w:eastAsia="Times New Roman"/>
          <w:b/>
          <w:bCs/>
          <w:noProof/>
          <w:szCs w:val="24"/>
        </w:rPr>
      </w:pPr>
      <w:r>
        <w:rPr>
          <w:b/>
          <w:noProof/>
        </w:rPr>
        <w:t>Etapa 15.11</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06"/>
      </w:tblGrid>
      <w:tr>
        <w:trPr>
          <w:trHeight w:val="660"/>
        </w:trPr>
        <w:tc>
          <w:tcPr>
            <w:tcW w:w="9006"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 xml:space="preserve">Denumirea etapei: </w:t>
            </w:r>
            <w:r>
              <w:rPr>
                <w:noProof/>
              </w:rPr>
              <w:t>Adoptarea modificărilor la Procedura referitoare la monitorizarea apelor de către stat</w:t>
            </w:r>
          </w:p>
        </w:tc>
      </w:tr>
      <w:tr>
        <w:trPr>
          <w:trHeight w:val="615"/>
        </w:trPr>
        <w:tc>
          <w:tcPr>
            <w:tcW w:w="9006"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Reforma/investiția aferentă:</w:t>
            </w:r>
            <w:r>
              <w:rPr>
                <w:noProof/>
              </w:rPr>
              <w:t xml:space="preserve"> Reforma 4: Refacerea și conservarea resurselor naturale </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Contextul</w:t>
            </w:r>
          </w:p>
          <w:p>
            <w:pPr>
              <w:spacing w:after="0"/>
              <w:rPr>
                <w:rFonts w:eastAsia="Times New Roman"/>
                <w:noProof/>
                <w:szCs w:val="24"/>
              </w:rPr>
            </w:pPr>
            <w:r>
              <w:rPr>
                <w:noProof/>
              </w:rPr>
              <w:t>Cerința pentru etapa 15.11 descrisă în anexa la Decizia de punere în aplicare a Consiliului este:</w:t>
            </w:r>
          </w:p>
          <w:p>
            <w:pPr>
              <w:spacing w:after="0"/>
              <w:rPr>
                <w:rFonts w:eastAsia="Times New Roman"/>
                <w:i/>
                <w:iCs/>
                <w:noProof/>
                <w:szCs w:val="24"/>
              </w:rPr>
            </w:pPr>
            <w:r>
              <w:rPr>
                <w:i/>
                <w:noProof/>
              </w:rPr>
              <w:t>„Adoptarea amendamentelor la Rezoluția nr. 758 din 19 septembrie 2018 privind Procedura referitoare la monitorizarea apelor de către stat, în conformitate cu principiile Directivei 2000/60/CE a Parlamentului European și a Consiliului din 23 octombrie 2000 de stabilire a unui cadru de politică comunitară în domeniul apei și cu cele ale Directivei 2008/105/CE a Parlamentului European și a Consiliului din 16 decembrie 2008 privind standardele de calitate a mediului în domeniul apei, de modificare și de abrogare a Directivelor 82/176/CEE, 83/513/CEE, 84/156/CEE, 84/491/CEE și 86/280/CEE ale Consiliului și de modificare a Directivei 2000/60/CE a Parlamentului European și a Consiliului.”</w:t>
            </w:r>
          </w:p>
          <w:p>
            <w:pPr>
              <w:spacing w:after="0"/>
              <w:rPr>
                <w:noProof/>
                <w:szCs w:val="24"/>
              </w:rPr>
            </w:pPr>
            <w:r>
              <w:rPr>
                <w:noProof/>
              </w:rPr>
              <w:t xml:space="preserve">Etapa 15.11 este una dintre cele două etape de implementare a reformei 4 din capitolul 15 (Tranziția verde și protecția mediului). </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noProof/>
                <w:szCs w:val="24"/>
              </w:rPr>
            </w:pPr>
            <w:r>
              <w:rPr>
                <w:b/>
                <w:noProof/>
              </w:rPr>
              <w:t>Elemente justificative furnizate</w:t>
            </w:r>
          </w:p>
          <w:p>
            <w:pPr>
              <w:spacing w:after="0"/>
              <w:contextualSpacing/>
              <w:rPr>
                <w:rFonts w:eastAsia="Times New Roman"/>
                <w:b/>
                <w:bCs/>
                <w:noProof/>
                <w:szCs w:val="24"/>
              </w:rPr>
            </w:pPr>
          </w:p>
          <w:p>
            <w:pPr>
              <w:pStyle w:val="ListParagraph"/>
              <w:numPr>
                <w:ilvl w:val="0"/>
                <w:numId w:val="13"/>
              </w:numPr>
              <w:spacing w:after="0" w:line="240" w:lineRule="auto"/>
              <w:jc w:val="both"/>
              <w:textAlignment w:val="baseline"/>
              <w:rPr>
                <w:rFonts w:ascii="Times New Roman" w:eastAsia="Times New Roman" w:hAnsi="Times New Roman" w:cs="Times New Roman"/>
                <w:noProof/>
                <w:sz w:val="24"/>
                <w:szCs w:val="24"/>
              </w:rPr>
            </w:pPr>
            <w:r>
              <w:rPr>
                <w:rFonts w:ascii="Times New Roman" w:hAnsi="Times New Roman"/>
                <w:noProof/>
                <w:sz w:val="24"/>
              </w:rPr>
              <w:t>Un exemplar al Rezoluției nr. 754 a Cabinetului de Miniștri al Ucrainei din 10.6.2026 „privind modificările aduse procedurii de monitorizare a apelor de către stat”.</w:t>
            </w:r>
          </w:p>
          <w:p>
            <w:pPr>
              <w:pStyle w:val="ListParagraph"/>
              <w:numPr>
                <w:ilvl w:val="0"/>
                <w:numId w:val="13"/>
              </w:numPr>
              <w:spacing w:after="0" w:line="240" w:lineRule="auto"/>
              <w:jc w:val="both"/>
              <w:textAlignment w:val="baseline"/>
              <w:rPr>
                <w:rFonts w:eastAsia="Times New Roman"/>
                <w:noProof/>
                <w:szCs w:val="24"/>
              </w:rPr>
            </w:pPr>
            <w:r>
              <w:rPr>
                <w:rFonts w:ascii="Times New Roman" w:hAnsi="Times New Roman"/>
                <w:noProof/>
                <w:sz w:val="24"/>
              </w:rPr>
              <w:t>Un exemplar al Curierului Guvernului nr. 125 din 16.6.2026, în care este publicată rezoluția.</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Analiză</w:t>
            </w:r>
          </w:p>
          <w:p>
            <w:pPr>
              <w:spacing w:after="0"/>
              <w:rPr>
                <w:rFonts w:eastAsia="Times New Roman"/>
                <w:noProof/>
                <w:szCs w:val="24"/>
              </w:rPr>
            </w:pPr>
            <w:r>
              <w:rPr>
                <w:noProof/>
              </w:rPr>
              <w:t>Justificarea și dovezile furnizate de autoritățile ucrainene acoperă toate elementele constitutive ale etapei 15.11.</w:t>
            </w:r>
          </w:p>
          <w:p>
            <w:pPr>
              <w:spacing w:after="0"/>
              <w:rPr>
                <w:rFonts w:eastAsia="Times New Roman"/>
                <w:noProof/>
                <w:szCs w:val="24"/>
              </w:rPr>
            </w:pPr>
            <w:r>
              <w:rPr>
                <w:noProof/>
              </w:rPr>
              <w:t>La 10 iunie, Guvernul a adoptat Rezoluția nr. 754 de modificare a procedurii privind monitorizarea apelor de către stat (</w:t>
            </w:r>
            <w:hyperlink r:id="rId23" w:history="1">
              <w:r>
                <w:rPr>
                  <w:rStyle w:val="Hyperlink"/>
                  <w:noProof/>
                </w:rPr>
                <w:t>https://www.kmu.gov.ua/npas/pro-vnesennia-zmin-do-poriadku-zdiisnennia-derzhavnoho-monitorynhu-s754100626</w:t>
              </w:r>
            </w:hyperlink>
            <w:r>
              <w:rPr>
                <w:noProof/>
              </w:rPr>
              <w:t>), aliniind-o la cerințele din descrierea etapei.</w:t>
            </w:r>
          </w:p>
          <w:p>
            <w:pPr>
              <w:spacing w:after="0"/>
              <w:rPr>
                <w:rFonts w:eastAsia="Times New Roman"/>
                <w:noProof/>
                <w:szCs w:val="24"/>
              </w:rPr>
            </w:pPr>
            <w:r>
              <w:rPr>
                <w:noProof/>
              </w:rPr>
              <w:t xml:space="preserve">Rezoluția adoptată conține parametrii listei de supraveghere care corespund parametrilor din Decizia de punere în aplicare (UE) 2025/439 a Comisiei din 28 februarie 2025 de stabilire a unei liste de supraveghere a substanțelor pentru monitorizare în întreaga Uniune conform politicii în domeniul apei în temeiul Directivei 2008/105/CE a Parlamentului </w:t>
            </w:r>
            <w:r>
              <w:rPr>
                <w:noProof/>
              </w:rPr>
              <w:lastRenderedPageBreak/>
              <w:t>European și a Consiliului.</w:t>
            </w:r>
          </w:p>
          <w:p>
            <w:pPr>
              <w:spacing w:after="0"/>
              <w:rPr>
                <w:rFonts w:eastAsia="Times New Roman"/>
                <w:noProof/>
                <w:szCs w:val="24"/>
              </w:rPr>
            </w:pPr>
            <w:r>
              <w:rPr>
                <w:noProof/>
              </w:rPr>
              <w:t>Ar trebui remarcat faptul că data intrării în vigoare a rezoluției va fi în 2029, deoarece această decizie este legată de cel de al 2-lea ciclu de planificare a planurilor de management al bazinelor hidrografice . Planurile de management al bazinelor hidrografice funcționează pe baza unui ciclu continuu de planificare de 6 ani prevăzut de Directiva-cadru europeană privind apa. În Ucraina, planurile de management al bazinelor hidrografice care acoperă primul ciclu de planificare din perioada 2025-2030 au fost adoptate la sfârșitul anului 2024 și sunt în prezent în curs de punere în aplicare. Rezoluția nr. 754 a Guvernului este una dintre etapele de pregătire pentru alinierea în continuare a sistemului de monitorizare a apei din Ucraina la cerințele UE pentru a se asigura că acesta începe să se aplice începând cu cel de al 2-lea ciclu de planificare a planurilor de management al bazinelor hidrografice.</w:t>
            </w:r>
          </w:p>
          <w:p>
            <w:pPr>
              <w:spacing w:after="0"/>
              <w:rPr>
                <w:rFonts w:eastAsia="Times New Roman"/>
                <w:noProof/>
                <w:szCs w:val="24"/>
              </w:rPr>
            </w:pPr>
            <w:r>
              <w:rPr>
                <w:noProof/>
              </w:rPr>
              <w:t>Obiectivul reformei 4 este de a reduce defrișările și degradarea pădurilor.</w:t>
            </w:r>
          </w:p>
          <w:p>
            <w:pPr>
              <w:spacing w:after="0"/>
              <w:rPr>
                <w:rFonts w:eastAsia="Times New Roman"/>
                <w:noProof/>
                <w:szCs w:val="24"/>
              </w:rPr>
            </w:pP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b/>
                <w:noProof/>
              </w:rPr>
              <w:lastRenderedPageBreak/>
              <w:t xml:space="preserve">Evaluarea Comisiei: </w:t>
            </w:r>
            <w:r>
              <w:rPr>
                <w:noProof/>
              </w:rPr>
              <w:t>îndeplinită în mod satisfăcător</w:t>
            </w:r>
          </w:p>
        </w:tc>
      </w:tr>
    </w:tbl>
    <w:p>
      <w:pPr>
        <w:keepNext/>
        <w:keepLines/>
        <w:contextualSpacing/>
        <w:outlineLvl w:val="0"/>
        <w:rPr>
          <w:noProof/>
        </w:rPr>
      </w:pPr>
    </w:p>
    <w:p>
      <w:pPr>
        <w:keepNext/>
        <w:keepLines/>
        <w:contextualSpacing/>
        <w:outlineLvl w:val="0"/>
        <w:rPr>
          <w:noProof/>
        </w:rPr>
      </w:pPr>
    </w:p>
    <w:p>
      <w:pPr>
        <w:keepNext/>
        <w:keepLines/>
        <w:contextualSpacing/>
        <w:outlineLvl w:val="0"/>
        <w:rPr>
          <w:noProof/>
        </w:rPr>
      </w:pPr>
    </w:p>
    <w:p>
      <w:pPr>
        <w:keepNext/>
        <w:keepLines/>
        <w:contextualSpacing/>
        <w:outlineLvl w:val="0"/>
        <w:rPr>
          <w:noProof/>
        </w:rPr>
      </w:pPr>
    </w:p>
    <w:p>
      <w:pPr>
        <w:keepNext/>
        <w:keepLines/>
        <w:contextualSpacing/>
        <w:outlineLvl w:val="0"/>
        <w:rPr>
          <w:noProof/>
        </w:rPr>
      </w:pPr>
    </w:p>
    <w:sect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0" w:firstLine="0"/>
      </w:pPr>
      <w:r>
        <w:rPr>
          <w:rStyle w:val="FootnoteReference"/>
        </w:rPr>
        <w:footnoteRef/>
      </w:r>
      <w:r>
        <w:rPr>
          <w:lang w:val="fr-BE"/>
        </w:rPr>
        <w:tab/>
      </w:r>
      <w:r>
        <w:t xml:space="preserve">Regulamentul (UE) 2024/792 al Parlamentului European și al Consiliului din 29 februarie 2024 de instituire a Mecanismului pentru Ucraina (JO L, 2024/792, 29.2.2024, ELI: </w:t>
      </w:r>
      <w:hyperlink r:id="rId1">
        <w:r>
          <w:rPr>
            <w:color w:val="0563C1"/>
            <w:u w:val="single"/>
          </w:rPr>
          <w:t>http://data.europa.eu/eli/reg/2024/792/oj</w:t>
        </w:r>
      </w:hyperlink>
      <w:r>
        <w:t>).</w:t>
      </w:r>
    </w:p>
  </w:footnote>
  <w:footnote w:id="2">
    <w:p>
      <w:pPr>
        <w:pStyle w:val="FootnoteText"/>
        <w:ind w:left="0" w:firstLine="0"/>
        <w:jc w:val="left"/>
        <w:rPr>
          <w:rFonts w:eastAsia="Calibri"/>
        </w:rPr>
      </w:pPr>
      <w:r>
        <w:rPr>
          <w:rStyle w:val="FootnoteReference"/>
        </w:rPr>
        <w:footnoteRef/>
      </w:r>
      <w:r>
        <w:tab/>
        <w:t>Decizia de punere în aplicare (UE) 2024/1447 a Consiliului din 14 mai 2024 de aprobare a evaluării Planului pentru Ucraina (JO L, 2024/1447, 24.5.2024, ELI:</w:t>
      </w:r>
      <w:r>
        <w:rPr>
          <w:color w:val="000000"/>
          <w:u w:val="single"/>
        </w:rPr>
        <w:t xml:space="preserve"> </w:t>
      </w:r>
      <w:hyperlink r:id="rId2" w:history="1">
        <w:r>
          <w:rPr>
            <w:color w:val="0000FF"/>
            <w:u w:val="single"/>
          </w:rPr>
          <w:t>http://data.europa.eu/eli/dec_impl/2024/1447/oj</w:t>
        </w:r>
      </w:hyperlink>
      <w:r>
        <w:t xml:space="preserve">). Anexă la Decizia de punere în aplicare a Consiliului </w:t>
      </w:r>
      <w:hyperlink r:id="rId3" w:history="1">
        <w:r>
          <w:rPr>
            <w:rStyle w:val="Hyperlink"/>
          </w:rPr>
          <w:t>https://eur-lex.europa.eu/legal-content/EN/TXT/?uri=CONSIL%3AST_9492_2024_ADD_1&amp;qid=1716536456361</w:t>
        </w:r>
      </w:hyperlink>
      <w:r>
        <w:t>.</w:t>
      </w:r>
    </w:p>
  </w:footnote>
  <w:footnote w:id="3">
    <w:p>
      <w:pPr>
        <w:pStyle w:val="FootnoteText"/>
        <w:ind w:left="0" w:firstLine="0"/>
      </w:pPr>
      <w:r>
        <w:rPr>
          <w:rStyle w:val="FootnoteReference"/>
        </w:rPr>
        <w:footnoteRef/>
      </w:r>
      <w:r>
        <w:tab/>
        <w:t>Decizia de punere în aplicare (UE) 2026/1923 a Consiliului din 30 iulie 2026 de modificare a Deciziei de punere în aplicare (UE) 2024/1447 de aprobare a evaluării Planului pentru Ucraina (JO L, 2026/1923, 7.8.2026, ELI: http://data.europa.eu/eli/dec_impl/2026/1923/oj</w:t>
      </w:r>
    </w:p>
    <w:p>
      <w:pPr>
        <w:pStyle w:val="FootnoteText"/>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99DAEA4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BFE43E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6FC2F6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7D44AF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4A31EF7"/>
    <w:multiLevelType w:val="hybridMultilevel"/>
    <w:tmpl w:val="B5086DD4"/>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0983E2"/>
    <w:multiLevelType w:val="hybridMultilevel"/>
    <w:tmpl w:val="335EEA42"/>
    <w:lvl w:ilvl="0" w:tplc="A448105C">
      <w:start w:val="1"/>
      <w:numFmt w:val="bullet"/>
      <w:lvlText w:val=""/>
      <w:lvlJc w:val="left"/>
      <w:pPr>
        <w:ind w:left="720" w:hanging="360"/>
      </w:pPr>
      <w:rPr>
        <w:rFonts w:ascii="Symbol" w:hAnsi="Symbol" w:hint="default"/>
      </w:rPr>
    </w:lvl>
    <w:lvl w:ilvl="1" w:tplc="D4D0F060">
      <w:start w:val="1"/>
      <w:numFmt w:val="bullet"/>
      <w:lvlText w:val="o"/>
      <w:lvlJc w:val="left"/>
      <w:pPr>
        <w:ind w:left="1440" w:hanging="360"/>
      </w:pPr>
      <w:rPr>
        <w:rFonts w:ascii="Courier New" w:hAnsi="Courier New" w:hint="default"/>
      </w:rPr>
    </w:lvl>
    <w:lvl w:ilvl="2" w:tplc="31F86336">
      <w:start w:val="1"/>
      <w:numFmt w:val="bullet"/>
      <w:lvlText w:val=""/>
      <w:lvlJc w:val="left"/>
      <w:pPr>
        <w:ind w:left="2160" w:hanging="360"/>
      </w:pPr>
      <w:rPr>
        <w:rFonts w:ascii="Wingdings" w:hAnsi="Wingdings" w:hint="default"/>
      </w:rPr>
    </w:lvl>
    <w:lvl w:ilvl="3" w:tplc="87A2B422">
      <w:start w:val="1"/>
      <w:numFmt w:val="bullet"/>
      <w:lvlText w:val=""/>
      <w:lvlJc w:val="left"/>
      <w:pPr>
        <w:ind w:left="2880" w:hanging="360"/>
      </w:pPr>
      <w:rPr>
        <w:rFonts w:ascii="Symbol" w:hAnsi="Symbol" w:hint="default"/>
      </w:rPr>
    </w:lvl>
    <w:lvl w:ilvl="4" w:tplc="06625E36">
      <w:start w:val="1"/>
      <w:numFmt w:val="bullet"/>
      <w:lvlText w:val="o"/>
      <w:lvlJc w:val="left"/>
      <w:pPr>
        <w:ind w:left="3600" w:hanging="360"/>
      </w:pPr>
      <w:rPr>
        <w:rFonts w:ascii="Courier New" w:hAnsi="Courier New" w:hint="default"/>
      </w:rPr>
    </w:lvl>
    <w:lvl w:ilvl="5" w:tplc="BC221A4C">
      <w:start w:val="1"/>
      <w:numFmt w:val="bullet"/>
      <w:lvlText w:val=""/>
      <w:lvlJc w:val="left"/>
      <w:pPr>
        <w:ind w:left="4320" w:hanging="360"/>
      </w:pPr>
      <w:rPr>
        <w:rFonts w:ascii="Wingdings" w:hAnsi="Wingdings" w:hint="default"/>
      </w:rPr>
    </w:lvl>
    <w:lvl w:ilvl="6" w:tplc="41805540">
      <w:start w:val="1"/>
      <w:numFmt w:val="bullet"/>
      <w:lvlText w:val=""/>
      <w:lvlJc w:val="left"/>
      <w:pPr>
        <w:ind w:left="5040" w:hanging="360"/>
      </w:pPr>
      <w:rPr>
        <w:rFonts w:ascii="Symbol" w:hAnsi="Symbol" w:hint="default"/>
      </w:rPr>
    </w:lvl>
    <w:lvl w:ilvl="7" w:tplc="0E80BB46">
      <w:start w:val="1"/>
      <w:numFmt w:val="bullet"/>
      <w:lvlText w:val="o"/>
      <w:lvlJc w:val="left"/>
      <w:pPr>
        <w:ind w:left="5760" w:hanging="360"/>
      </w:pPr>
      <w:rPr>
        <w:rFonts w:ascii="Courier New" w:hAnsi="Courier New" w:hint="default"/>
      </w:rPr>
    </w:lvl>
    <w:lvl w:ilvl="8" w:tplc="F5A8CA0E">
      <w:start w:val="1"/>
      <w:numFmt w:val="bullet"/>
      <w:lvlText w:val=""/>
      <w:lvlJc w:val="left"/>
      <w:pPr>
        <w:ind w:left="6480" w:hanging="360"/>
      </w:pPr>
      <w:rPr>
        <w:rFonts w:ascii="Wingdings" w:hAnsi="Wingdings" w:hint="default"/>
      </w:rPr>
    </w:lvl>
  </w:abstractNum>
  <w:abstractNum w:abstractNumId="6"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2185F19E"/>
    <w:multiLevelType w:val="hybridMultilevel"/>
    <w:tmpl w:val="FFFFFFFF"/>
    <w:lvl w:ilvl="0" w:tplc="8B8CED78">
      <w:start w:val="1"/>
      <w:numFmt w:val="bullet"/>
      <w:lvlText w:val=""/>
      <w:lvlJc w:val="left"/>
      <w:pPr>
        <w:ind w:left="720" w:hanging="360"/>
      </w:pPr>
      <w:rPr>
        <w:rFonts w:ascii="Symbol" w:hAnsi="Symbol" w:hint="default"/>
      </w:rPr>
    </w:lvl>
    <w:lvl w:ilvl="1" w:tplc="9A4CF9DE">
      <w:start w:val="1"/>
      <w:numFmt w:val="bullet"/>
      <w:lvlText w:val="o"/>
      <w:lvlJc w:val="left"/>
      <w:pPr>
        <w:ind w:left="1440" w:hanging="360"/>
      </w:pPr>
      <w:rPr>
        <w:rFonts w:ascii="Courier New" w:hAnsi="Courier New" w:hint="default"/>
      </w:rPr>
    </w:lvl>
    <w:lvl w:ilvl="2" w:tplc="606EBBCC">
      <w:start w:val="1"/>
      <w:numFmt w:val="bullet"/>
      <w:lvlText w:val=""/>
      <w:lvlJc w:val="left"/>
      <w:pPr>
        <w:ind w:left="2160" w:hanging="360"/>
      </w:pPr>
      <w:rPr>
        <w:rFonts w:ascii="Wingdings" w:hAnsi="Wingdings" w:hint="default"/>
      </w:rPr>
    </w:lvl>
    <w:lvl w:ilvl="3" w:tplc="18920172">
      <w:start w:val="1"/>
      <w:numFmt w:val="bullet"/>
      <w:lvlText w:val=""/>
      <w:lvlJc w:val="left"/>
      <w:pPr>
        <w:ind w:left="2880" w:hanging="360"/>
      </w:pPr>
      <w:rPr>
        <w:rFonts w:ascii="Symbol" w:hAnsi="Symbol" w:hint="default"/>
      </w:rPr>
    </w:lvl>
    <w:lvl w:ilvl="4" w:tplc="BBE488F0">
      <w:start w:val="1"/>
      <w:numFmt w:val="bullet"/>
      <w:lvlText w:val="o"/>
      <w:lvlJc w:val="left"/>
      <w:pPr>
        <w:ind w:left="3600" w:hanging="360"/>
      </w:pPr>
      <w:rPr>
        <w:rFonts w:ascii="Courier New" w:hAnsi="Courier New" w:hint="default"/>
      </w:rPr>
    </w:lvl>
    <w:lvl w:ilvl="5" w:tplc="CDD2B154">
      <w:start w:val="1"/>
      <w:numFmt w:val="bullet"/>
      <w:lvlText w:val=""/>
      <w:lvlJc w:val="left"/>
      <w:pPr>
        <w:ind w:left="4320" w:hanging="360"/>
      </w:pPr>
      <w:rPr>
        <w:rFonts w:ascii="Wingdings" w:hAnsi="Wingdings" w:hint="default"/>
      </w:rPr>
    </w:lvl>
    <w:lvl w:ilvl="6" w:tplc="4FEA146E">
      <w:start w:val="1"/>
      <w:numFmt w:val="bullet"/>
      <w:lvlText w:val=""/>
      <w:lvlJc w:val="left"/>
      <w:pPr>
        <w:ind w:left="5040" w:hanging="360"/>
      </w:pPr>
      <w:rPr>
        <w:rFonts w:ascii="Symbol" w:hAnsi="Symbol" w:hint="default"/>
      </w:rPr>
    </w:lvl>
    <w:lvl w:ilvl="7" w:tplc="2458A5AE">
      <w:start w:val="1"/>
      <w:numFmt w:val="bullet"/>
      <w:lvlText w:val="o"/>
      <w:lvlJc w:val="left"/>
      <w:pPr>
        <w:ind w:left="5760" w:hanging="360"/>
      </w:pPr>
      <w:rPr>
        <w:rFonts w:ascii="Courier New" w:hAnsi="Courier New" w:hint="default"/>
      </w:rPr>
    </w:lvl>
    <w:lvl w:ilvl="8" w:tplc="7A6880DA">
      <w:start w:val="1"/>
      <w:numFmt w:val="bullet"/>
      <w:lvlText w:val=""/>
      <w:lvlJc w:val="left"/>
      <w:pPr>
        <w:ind w:left="6480" w:hanging="360"/>
      </w:pPr>
      <w:rPr>
        <w:rFonts w:ascii="Wingdings" w:hAnsi="Wingdings" w:hint="default"/>
      </w:rPr>
    </w:lvl>
  </w:abstractNum>
  <w:abstractNum w:abstractNumId="8" w15:restartNumberingAfterBreak="0">
    <w:nsid w:val="225715F2"/>
    <w:multiLevelType w:val="hybridMultilevel"/>
    <w:tmpl w:val="B5086DD4"/>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411835"/>
    <w:multiLevelType w:val="hybridMultilevel"/>
    <w:tmpl w:val="4782934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9540249"/>
    <w:multiLevelType w:val="hybridMultilevel"/>
    <w:tmpl w:val="FFFFFFFF"/>
    <w:lvl w:ilvl="0" w:tplc="69AC6468">
      <w:start w:val="1"/>
      <w:numFmt w:val="bullet"/>
      <w:lvlText w:val=""/>
      <w:lvlJc w:val="left"/>
      <w:pPr>
        <w:ind w:left="720" w:hanging="360"/>
      </w:pPr>
      <w:rPr>
        <w:rFonts w:ascii="Symbol" w:hAnsi="Symbol" w:hint="default"/>
      </w:rPr>
    </w:lvl>
    <w:lvl w:ilvl="1" w:tplc="88300582">
      <w:start w:val="1"/>
      <w:numFmt w:val="bullet"/>
      <w:lvlText w:val="o"/>
      <w:lvlJc w:val="left"/>
      <w:pPr>
        <w:ind w:left="1440" w:hanging="360"/>
      </w:pPr>
      <w:rPr>
        <w:rFonts w:ascii="Courier New" w:hAnsi="Courier New" w:hint="default"/>
      </w:rPr>
    </w:lvl>
    <w:lvl w:ilvl="2" w:tplc="B310ED02">
      <w:start w:val="1"/>
      <w:numFmt w:val="bullet"/>
      <w:lvlText w:val=""/>
      <w:lvlJc w:val="left"/>
      <w:pPr>
        <w:ind w:left="2160" w:hanging="360"/>
      </w:pPr>
      <w:rPr>
        <w:rFonts w:ascii="Wingdings" w:hAnsi="Wingdings" w:hint="default"/>
      </w:rPr>
    </w:lvl>
    <w:lvl w:ilvl="3" w:tplc="E3BAE2A4">
      <w:start w:val="1"/>
      <w:numFmt w:val="bullet"/>
      <w:lvlText w:val=""/>
      <w:lvlJc w:val="left"/>
      <w:pPr>
        <w:ind w:left="2880" w:hanging="360"/>
      </w:pPr>
      <w:rPr>
        <w:rFonts w:ascii="Symbol" w:hAnsi="Symbol" w:hint="default"/>
      </w:rPr>
    </w:lvl>
    <w:lvl w:ilvl="4" w:tplc="546AFA8C">
      <w:start w:val="1"/>
      <w:numFmt w:val="bullet"/>
      <w:lvlText w:val="o"/>
      <w:lvlJc w:val="left"/>
      <w:pPr>
        <w:ind w:left="3600" w:hanging="360"/>
      </w:pPr>
      <w:rPr>
        <w:rFonts w:ascii="Courier New" w:hAnsi="Courier New" w:hint="default"/>
      </w:rPr>
    </w:lvl>
    <w:lvl w:ilvl="5" w:tplc="93C2FB5A">
      <w:start w:val="1"/>
      <w:numFmt w:val="bullet"/>
      <w:lvlText w:val=""/>
      <w:lvlJc w:val="left"/>
      <w:pPr>
        <w:ind w:left="4320" w:hanging="360"/>
      </w:pPr>
      <w:rPr>
        <w:rFonts w:ascii="Wingdings" w:hAnsi="Wingdings" w:hint="default"/>
      </w:rPr>
    </w:lvl>
    <w:lvl w:ilvl="6" w:tplc="765C447E">
      <w:start w:val="1"/>
      <w:numFmt w:val="bullet"/>
      <w:lvlText w:val=""/>
      <w:lvlJc w:val="left"/>
      <w:pPr>
        <w:ind w:left="5040" w:hanging="360"/>
      </w:pPr>
      <w:rPr>
        <w:rFonts w:ascii="Symbol" w:hAnsi="Symbol" w:hint="default"/>
      </w:rPr>
    </w:lvl>
    <w:lvl w:ilvl="7" w:tplc="108C2376">
      <w:start w:val="1"/>
      <w:numFmt w:val="bullet"/>
      <w:lvlText w:val="o"/>
      <w:lvlJc w:val="left"/>
      <w:pPr>
        <w:ind w:left="5760" w:hanging="360"/>
      </w:pPr>
      <w:rPr>
        <w:rFonts w:ascii="Courier New" w:hAnsi="Courier New" w:hint="default"/>
      </w:rPr>
    </w:lvl>
    <w:lvl w:ilvl="8" w:tplc="E5D4AEFC">
      <w:start w:val="1"/>
      <w:numFmt w:val="bullet"/>
      <w:lvlText w:val=""/>
      <w:lvlJc w:val="left"/>
      <w:pPr>
        <w:ind w:left="6480" w:hanging="360"/>
      </w:pPr>
      <w:rPr>
        <w:rFonts w:ascii="Wingdings" w:hAnsi="Wingdings" w:hint="default"/>
      </w:r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38EFECC9"/>
    <w:multiLevelType w:val="hybridMultilevel"/>
    <w:tmpl w:val="19DEDCBC"/>
    <w:lvl w:ilvl="0" w:tplc="A84E3BBA">
      <w:start w:val="1"/>
      <w:numFmt w:val="decimal"/>
      <w:lvlText w:val="%1)"/>
      <w:lvlJc w:val="left"/>
      <w:pPr>
        <w:ind w:left="720" w:hanging="360"/>
      </w:pPr>
    </w:lvl>
    <w:lvl w:ilvl="1" w:tplc="B442DF8E">
      <w:start w:val="1"/>
      <w:numFmt w:val="lowerLetter"/>
      <w:lvlText w:val="%2."/>
      <w:lvlJc w:val="left"/>
      <w:pPr>
        <w:ind w:left="1440" w:hanging="360"/>
      </w:pPr>
    </w:lvl>
    <w:lvl w:ilvl="2" w:tplc="CDFA8FD4">
      <w:start w:val="1"/>
      <w:numFmt w:val="lowerRoman"/>
      <w:lvlText w:val="%3."/>
      <w:lvlJc w:val="right"/>
      <w:pPr>
        <w:ind w:left="2160" w:hanging="180"/>
      </w:pPr>
    </w:lvl>
    <w:lvl w:ilvl="3" w:tplc="546E938E">
      <w:start w:val="1"/>
      <w:numFmt w:val="decimal"/>
      <w:lvlText w:val="%4."/>
      <w:lvlJc w:val="left"/>
      <w:pPr>
        <w:ind w:left="2880" w:hanging="360"/>
      </w:pPr>
    </w:lvl>
    <w:lvl w:ilvl="4" w:tplc="3166A478">
      <w:start w:val="1"/>
      <w:numFmt w:val="lowerLetter"/>
      <w:lvlText w:val="%5."/>
      <w:lvlJc w:val="left"/>
      <w:pPr>
        <w:ind w:left="3600" w:hanging="360"/>
      </w:pPr>
    </w:lvl>
    <w:lvl w:ilvl="5" w:tplc="0ED2DCB0">
      <w:start w:val="1"/>
      <w:numFmt w:val="lowerRoman"/>
      <w:lvlText w:val="%6."/>
      <w:lvlJc w:val="right"/>
      <w:pPr>
        <w:ind w:left="4320" w:hanging="180"/>
      </w:pPr>
    </w:lvl>
    <w:lvl w:ilvl="6" w:tplc="EB860194">
      <w:start w:val="1"/>
      <w:numFmt w:val="decimal"/>
      <w:lvlText w:val="%7."/>
      <w:lvlJc w:val="left"/>
      <w:pPr>
        <w:ind w:left="5040" w:hanging="360"/>
      </w:pPr>
    </w:lvl>
    <w:lvl w:ilvl="7" w:tplc="F0BCF632">
      <w:start w:val="1"/>
      <w:numFmt w:val="lowerLetter"/>
      <w:lvlText w:val="%8."/>
      <w:lvlJc w:val="left"/>
      <w:pPr>
        <w:ind w:left="5760" w:hanging="360"/>
      </w:pPr>
    </w:lvl>
    <w:lvl w:ilvl="8" w:tplc="6DE6AEC8">
      <w:start w:val="1"/>
      <w:numFmt w:val="lowerRoman"/>
      <w:lvlText w:val="%9."/>
      <w:lvlJc w:val="right"/>
      <w:pPr>
        <w:ind w:left="6480" w:hanging="180"/>
      </w:p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4CB908BF"/>
    <w:multiLevelType w:val="hybridMultilevel"/>
    <w:tmpl w:val="4844CD1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5446508F"/>
    <w:multiLevelType w:val="hybridMultilevel"/>
    <w:tmpl w:val="70FCED84"/>
    <w:lvl w:ilvl="0" w:tplc="8BACF00A">
      <w:start w:val="1"/>
      <w:numFmt w:val="bullet"/>
      <w:lvlText w:val="-"/>
      <w:lvlJc w:val="left"/>
      <w:pPr>
        <w:ind w:left="360" w:hanging="360"/>
      </w:pPr>
      <w:rPr>
        <w:rFonts w:ascii="Aptos" w:hAnsi="Aptos" w:hint="default"/>
      </w:rPr>
    </w:lvl>
    <w:lvl w:ilvl="1" w:tplc="7A4298FE">
      <w:start w:val="1"/>
      <w:numFmt w:val="bullet"/>
      <w:lvlText w:val="o"/>
      <w:lvlJc w:val="left"/>
      <w:pPr>
        <w:ind w:left="1440" w:hanging="360"/>
      </w:pPr>
      <w:rPr>
        <w:rFonts w:ascii="Courier New" w:hAnsi="Courier New" w:hint="default"/>
      </w:rPr>
    </w:lvl>
    <w:lvl w:ilvl="2" w:tplc="E47CF122">
      <w:start w:val="1"/>
      <w:numFmt w:val="bullet"/>
      <w:lvlText w:val=""/>
      <w:lvlJc w:val="left"/>
      <w:pPr>
        <w:ind w:left="2160" w:hanging="360"/>
      </w:pPr>
      <w:rPr>
        <w:rFonts w:ascii="Wingdings" w:hAnsi="Wingdings" w:hint="default"/>
      </w:rPr>
    </w:lvl>
    <w:lvl w:ilvl="3" w:tplc="3282F31A">
      <w:start w:val="1"/>
      <w:numFmt w:val="bullet"/>
      <w:lvlText w:val=""/>
      <w:lvlJc w:val="left"/>
      <w:pPr>
        <w:ind w:left="2880" w:hanging="360"/>
      </w:pPr>
      <w:rPr>
        <w:rFonts w:ascii="Symbol" w:hAnsi="Symbol" w:hint="default"/>
      </w:rPr>
    </w:lvl>
    <w:lvl w:ilvl="4" w:tplc="B40EF282">
      <w:start w:val="1"/>
      <w:numFmt w:val="bullet"/>
      <w:lvlText w:val="o"/>
      <w:lvlJc w:val="left"/>
      <w:pPr>
        <w:ind w:left="3600" w:hanging="360"/>
      </w:pPr>
      <w:rPr>
        <w:rFonts w:ascii="Courier New" w:hAnsi="Courier New" w:hint="default"/>
      </w:rPr>
    </w:lvl>
    <w:lvl w:ilvl="5" w:tplc="21E81590">
      <w:start w:val="1"/>
      <w:numFmt w:val="bullet"/>
      <w:lvlText w:val=""/>
      <w:lvlJc w:val="left"/>
      <w:pPr>
        <w:ind w:left="4320" w:hanging="360"/>
      </w:pPr>
      <w:rPr>
        <w:rFonts w:ascii="Wingdings" w:hAnsi="Wingdings" w:hint="default"/>
      </w:rPr>
    </w:lvl>
    <w:lvl w:ilvl="6" w:tplc="96B29046">
      <w:start w:val="1"/>
      <w:numFmt w:val="bullet"/>
      <w:lvlText w:val=""/>
      <w:lvlJc w:val="left"/>
      <w:pPr>
        <w:ind w:left="5040" w:hanging="360"/>
      </w:pPr>
      <w:rPr>
        <w:rFonts w:ascii="Symbol" w:hAnsi="Symbol" w:hint="default"/>
      </w:rPr>
    </w:lvl>
    <w:lvl w:ilvl="7" w:tplc="35C8B902">
      <w:start w:val="1"/>
      <w:numFmt w:val="bullet"/>
      <w:lvlText w:val="o"/>
      <w:lvlJc w:val="left"/>
      <w:pPr>
        <w:ind w:left="5760" w:hanging="360"/>
      </w:pPr>
      <w:rPr>
        <w:rFonts w:ascii="Courier New" w:hAnsi="Courier New" w:hint="default"/>
      </w:rPr>
    </w:lvl>
    <w:lvl w:ilvl="8" w:tplc="16D08966">
      <w:start w:val="1"/>
      <w:numFmt w:val="bullet"/>
      <w:lvlText w:val=""/>
      <w:lvlJc w:val="left"/>
      <w:pPr>
        <w:ind w:left="6480" w:hanging="360"/>
      </w:pPr>
      <w:rPr>
        <w:rFonts w:ascii="Wingdings" w:hAnsi="Wingdings" w:hint="default"/>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760374E"/>
    <w:multiLevelType w:val="hybridMultilevel"/>
    <w:tmpl w:val="4844CD1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5FCB03"/>
    <w:multiLevelType w:val="hybridMultilevel"/>
    <w:tmpl w:val="FFFFFFFF"/>
    <w:lvl w:ilvl="0" w:tplc="F5A2F3A8">
      <w:start w:val="1"/>
      <w:numFmt w:val="bullet"/>
      <w:lvlText w:val="-"/>
      <w:lvlJc w:val="left"/>
      <w:pPr>
        <w:ind w:left="720" w:hanging="360"/>
      </w:pPr>
      <w:rPr>
        <w:rFonts w:ascii="Aptos" w:hAnsi="Aptos" w:hint="default"/>
      </w:rPr>
    </w:lvl>
    <w:lvl w:ilvl="1" w:tplc="143C9EBA">
      <w:start w:val="1"/>
      <w:numFmt w:val="bullet"/>
      <w:lvlText w:val="o"/>
      <w:lvlJc w:val="left"/>
      <w:pPr>
        <w:ind w:left="1440" w:hanging="360"/>
      </w:pPr>
      <w:rPr>
        <w:rFonts w:ascii="Courier New" w:hAnsi="Courier New" w:hint="default"/>
      </w:rPr>
    </w:lvl>
    <w:lvl w:ilvl="2" w:tplc="C82CD1C4">
      <w:start w:val="1"/>
      <w:numFmt w:val="bullet"/>
      <w:lvlText w:val=""/>
      <w:lvlJc w:val="left"/>
      <w:pPr>
        <w:ind w:left="2160" w:hanging="360"/>
      </w:pPr>
      <w:rPr>
        <w:rFonts w:ascii="Wingdings" w:hAnsi="Wingdings" w:hint="default"/>
      </w:rPr>
    </w:lvl>
    <w:lvl w:ilvl="3" w:tplc="06F8A702">
      <w:start w:val="1"/>
      <w:numFmt w:val="bullet"/>
      <w:lvlText w:val=""/>
      <w:lvlJc w:val="left"/>
      <w:pPr>
        <w:ind w:left="2880" w:hanging="360"/>
      </w:pPr>
      <w:rPr>
        <w:rFonts w:ascii="Symbol" w:hAnsi="Symbol" w:hint="default"/>
      </w:rPr>
    </w:lvl>
    <w:lvl w:ilvl="4" w:tplc="6B724E3C">
      <w:start w:val="1"/>
      <w:numFmt w:val="bullet"/>
      <w:lvlText w:val="o"/>
      <w:lvlJc w:val="left"/>
      <w:pPr>
        <w:ind w:left="3600" w:hanging="360"/>
      </w:pPr>
      <w:rPr>
        <w:rFonts w:ascii="Courier New" w:hAnsi="Courier New" w:hint="default"/>
      </w:rPr>
    </w:lvl>
    <w:lvl w:ilvl="5" w:tplc="B0F66218">
      <w:start w:val="1"/>
      <w:numFmt w:val="bullet"/>
      <w:lvlText w:val=""/>
      <w:lvlJc w:val="left"/>
      <w:pPr>
        <w:ind w:left="4320" w:hanging="360"/>
      </w:pPr>
      <w:rPr>
        <w:rFonts w:ascii="Wingdings" w:hAnsi="Wingdings" w:hint="default"/>
      </w:rPr>
    </w:lvl>
    <w:lvl w:ilvl="6" w:tplc="AC862D28">
      <w:start w:val="1"/>
      <w:numFmt w:val="bullet"/>
      <w:lvlText w:val=""/>
      <w:lvlJc w:val="left"/>
      <w:pPr>
        <w:ind w:left="5040" w:hanging="360"/>
      </w:pPr>
      <w:rPr>
        <w:rFonts w:ascii="Symbol" w:hAnsi="Symbol" w:hint="default"/>
      </w:rPr>
    </w:lvl>
    <w:lvl w:ilvl="7" w:tplc="D73A898C">
      <w:start w:val="1"/>
      <w:numFmt w:val="bullet"/>
      <w:lvlText w:val="o"/>
      <w:lvlJc w:val="left"/>
      <w:pPr>
        <w:ind w:left="5760" w:hanging="360"/>
      </w:pPr>
      <w:rPr>
        <w:rFonts w:ascii="Courier New" w:hAnsi="Courier New" w:hint="default"/>
      </w:rPr>
    </w:lvl>
    <w:lvl w:ilvl="8" w:tplc="216EDC32">
      <w:start w:val="1"/>
      <w:numFmt w:val="bullet"/>
      <w:lvlText w:val=""/>
      <w:lvlJc w:val="left"/>
      <w:pPr>
        <w:ind w:left="6480" w:hanging="360"/>
      </w:pPr>
      <w:rPr>
        <w:rFonts w:ascii="Wingdings" w:hAnsi="Wingdings" w:hint="default"/>
      </w:rPr>
    </w:lvl>
  </w:abstractNum>
  <w:abstractNum w:abstractNumId="29" w15:restartNumberingAfterBreak="0">
    <w:nsid w:val="72980FA3"/>
    <w:multiLevelType w:val="hybridMultilevel"/>
    <w:tmpl w:val="4844CD1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73C76D6F"/>
    <w:multiLevelType w:val="hybridMultilevel"/>
    <w:tmpl w:val="B5086DD4"/>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99E68D2"/>
    <w:multiLevelType w:val="hybridMultilevel"/>
    <w:tmpl w:val="978C58B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3" w15:restartNumberingAfterBreak="0">
    <w:nsid w:val="7E0F4791"/>
    <w:multiLevelType w:val="hybridMultilevel"/>
    <w:tmpl w:val="569E744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5"/>
  </w:num>
  <w:num w:numId="2">
    <w:abstractNumId w:val="14"/>
  </w:num>
  <w:num w:numId="3">
    <w:abstractNumId w:val="20"/>
  </w:num>
  <w:num w:numId="4">
    <w:abstractNumId w:val="3"/>
  </w:num>
  <w:num w:numId="5">
    <w:abstractNumId w:val="2"/>
  </w:num>
  <w:num w:numId="6">
    <w:abstractNumId w:val="1"/>
  </w:num>
  <w:num w:numId="7">
    <w:abstractNumId w:val="0"/>
  </w:num>
  <w:num w:numId="8">
    <w:abstractNumId w:val="29"/>
  </w:num>
  <w:num w:numId="9">
    <w:abstractNumId w:val="31"/>
  </w:num>
  <w:num w:numId="10">
    <w:abstractNumId w:val="22"/>
  </w:num>
  <w:num w:numId="11">
    <w:abstractNumId w:val="19"/>
  </w:num>
  <w:num w:numId="12">
    <w:abstractNumId w:val="30"/>
  </w:num>
  <w:num w:numId="13">
    <w:abstractNumId w:val="8"/>
  </w:num>
  <w:num w:numId="14">
    <w:abstractNumId w:val="33"/>
  </w:num>
  <w:num w:numId="15">
    <w:abstractNumId w:val="11"/>
  </w:num>
  <w:num w:numId="16">
    <w:abstractNumId w:val="7"/>
  </w:num>
  <w:num w:numId="17">
    <w:abstractNumId w:val="4"/>
  </w:num>
  <w:num w:numId="18">
    <w:abstractNumId w:val="28"/>
  </w:num>
  <w:num w:numId="19">
    <w:abstractNumId w:val="10"/>
  </w:num>
  <w:num w:numId="20">
    <w:abstractNumId w:val="18"/>
    <w:lvlOverride w:ilvl="0">
      <w:startOverride w:val="1"/>
    </w:lvlOverride>
  </w:num>
  <w:num w:numId="21">
    <w:abstractNumId w:val="18"/>
    <w:lvlOverride w:ilvl="0">
      <w:startOverride w:val="1"/>
    </w:lvlOverride>
  </w:num>
  <w:num w:numId="22">
    <w:abstractNumId w:val="18"/>
    <w:lvlOverride w:ilvl="0">
      <w:startOverride w:val="1"/>
    </w:lvlOverride>
  </w:num>
  <w:num w:numId="23">
    <w:abstractNumId w:val="18"/>
    <w:lvlOverride w:ilvl="0">
      <w:startOverride w:val="1"/>
    </w:lvlOverride>
  </w:num>
  <w:num w:numId="24">
    <w:abstractNumId w:val="18"/>
    <w:lvlOverride w:ilvl="0">
      <w:startOverride w:val="1"/>
    </w:lvlOverride>
  </w:num>
  <w:num w:numId="25">
    <w:abstractNumId w:val="18"/>
    <w:lvlOverride w:ilvl="0">
      <w:startOverride w:val="1"/>
    </w:lvlOverride>
  </w:num>
  <w:num w:numId="26">
    <w:abstractNumId w:val="18"/>
    <w:lvlOverride w:ilvl="0">
      <w:startOverride w:val="1"/>
    </w:lvlOverride>
  </w:num>
  <w:num w:numId="27">
    <w:abstractNumId w:val="18"/>
    <w:lvlOverride w:ilvl="0">
      <w:startOverride w:val="1"/>
    </w:lvlOverride>
  </w:num>
  <w:num w:numId="28">
    <w:abstractNumId w:val="18"/>
    <w:lvlOverride w:ilvl="0">
      <w:startOverride w:val="1"/>
    </w:lvlOverride>
  </w:num>
  <w:num w:numId="29">
    <w:abstractNumId w:val="18"/>
    <w:lvlOverride w:ilvl="0">
      <w:startOverride w:val="1"/>
    </w:lvlOverride>
  </w:num>
  <w:num w:numId="30">
    <w:abstractNumId w:val="25"/>
  </w:num>
  <w:num w:numId="31">
    <w:abstractNumId w:val="15"/>
  </w:num>
  <w:num w:numId="32">
    <w:abstractNumId w:val="27"/>
  </w:num>
  <w:num w:numId="33">
    <w:abstractNumId w:val="13"/>
  </w:num>
  <w:num w:numId="34">
    <w:abstractNumId w:val="16"/>
  </w:num>
  <w:num w:numId="35">
    <w:abstractNumId w:val="17"/>
  </w:num>
  <w:num w:numId="36">
    <w:abstractNumId w:val="9"/>
  </w:num>
  <w:num w:numId="37">
    <w:abstractNumId w:val="26"/>
  </w:num>
  <w:num w:numId="38">
    <w:abstractNumId w:val="6"/>
  </w:num>
  <w:num w:numId="39">
    <w:abstractNumId w:val="18"/>
  </w:num>
  <w:num w:numId="40">
    <w:abstractNumId w:val="23"/>
  </w:num>
  <w:num w:numId="41">
    <w:abstractNumId w:val="24"/>
  </w:num>
  <w:num w:numId="42">
    <w:abstractNumId w:val="12"/>
  </w:num>
  <w:num w:numId="43">
    <w:abstractNumId w:val="21"/>
  </w:num>
  <w:num w:numId="44">
    <w:abstractNumId w:val="3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18 14:21: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A01386E2-B5EB-4501-904C-180842529C87"/>
    <w:docVar w:name="LW_COVERPAGE_TYPE" w:val="1"/>
    <w:docVar w:name="LW_CreatedUtc" w:val="2026-04-17T17:00:47.7343105Z"/>
    <w:docVar w:name="LW_CROSSREFERENCE" w:val="&lt;UNUSED&gt;"/>
    <w:docVar w:name="LW_DocType" w:val="ANNEX"/>
    <w:docVar w:name="LW_EMISSION" w:val="3.9.2026"/>
    <w:docVar w:name="LW_EMISSION_ISODATE" w:val="2026-09-03"/>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constatarea îndeplinirii în mod satisf\u259?c\u259?tor a condi\u539?iilor pentru plata par\u539?ial\u259? a celei de a opta tran\u537?e din cadrul Planului pentru Ucraina al Mecanismului pentru Ucraina"/>
    <w:docVar w:name="LW_OBJETACTEPRINCIPAL.CP" w:val="privind constatarea îndeplinirii în mod satisf\u259?c\u259?tor a condi\u539?iilor pentru plata par\u539?ial\u259? a celei de a opta tran\u537?e din cadrul Planului pentru Ucraina al Mecanismului pentru Ucraina"/>
    <w:docVar w:name="LW_PART_NBR" w:val="1"/>
    <w:docVar w:name="LW_PART_NBR_TOTAL" w:val="1"/>
    <w:docVar w:name="LW_REF.INST.NEW" w:val="COM"/>
    <w:docVar w:name="LW_REF.INST.NEW_ADOPTED" w:val="final"/>
    <w:docVar w:name="LW_REF.INST.NEW_TEXT" w:val="(2026) 47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de punere în aplicare a Consiliului"/>
    <w:docVar w:name="LW_TYPEACTEPRINCIPAL.CP" w:val="Propunerea de decizie de punere în aplicar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1016B09-C461-4B38-B61C-00A79CF47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normaltextrun">
    <w:name w:val="normaltextrun"/>
    <w:basedOn w:val="DefaultParagraphFont"/>
  </w:style>
  <w:style w:type="character" w:customStyle="1" w:styleId="eop">
    <w:name w:val="eop"/>
    <w:basedOn w:val="DefaultParagraphFont"/>
  </w:style>
  <w:style w:type="paragraph" w:styleId="Revision">
    <w:name w:val="Revision"/>
    <w:hidden/>
    <w:uiPriority w:val="99"/>
    <w:semiHidden/>
    <w:pPr>
      <w:spacing w:after="0" w:line="240" w:lineRule="auto"/>
    </w:pPr>
    <w:rPr>
      <w:kern w:val="2"/>
      <w14:ligatures w14:val="standardContextual"/>
    </w:rPr>
  </w:style>
  <w:style w:type="table" w:styleId="TableGrid">
    <w:name w:val="Table Grid"/>
    <w:basedOn w:val="TableNormal"/>
    <w:uiPriority w:val="39"/>
    <w:pPr>
      <w:spacing w:after="0" w:line="240" w:lineRule="auto"/>
    </w:pPr>
    <w:rPr>
      <w:kern w:val="2"/>
      <w14:ligatures w14:val="standardContextual"/>
    </w:rPr>
    <w:tblPr>
      <w:tblCellMar>
        <w:left w:w="0" w:type="dxa"/>
        <w:right w:w="0" w:type="dxa"/>
      </w:tblCellMar>
    </w:tblPr>
  </w:style>
  <w:style w:type="paragraph" w:styleId="ListParagraph">
    <w:name w:val="List Paragraph"/>
    <w:aliases w:val="List Paragraph à moi,Dot pt,No Spacing1,List Paragraph Char Char Char,Indicator Text,Numbered Para 1,Welt L Char,Welt L,Bullet List,FooterText,List Paragraph1,numbered,Paragraphe de liste1,Bulletr List Paragraph,列出段落,列出段落1,lista_2,リスト段落1"/>
    <w:basedOn w:val="Normal"/>
    <w:link w:val="ListParagraphChar"/>
    <w:uiPriority w:val="34"/>
    <w:qFormat/>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before="0" w:after="160"/>
      <w:jc w:val="left"/>
    </w:pPr>
    <w:rPr>
      <w:rFonts w:ascii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Pr>
      <w:kern w:val="2"/>
      <w:sz w:val="20"/>
      <w:szCs w:val="20"/>
      <w:lang w:val="ro-RO"/>
      <w14:ligatures w14:val="standardContextua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
      <w:sz w:val="20"/>
      <w:szCs w:val="20"/>
      <w:lang w:val="ro-RO"/>
      <w14:ligatures w14:val="standardContextual"/>
    </w:rPr>
  </w:style>
  <w:style w:type="paragraph" w:customStyle="1" w:styleId="P68B1DB1-a4">
    <w:name w:val="P68B1DB1-a4"/>
    <w:basedOn w:val="Normal"/>
    <w:uiPriority w:val="1"/>
    <w:pPr>
      <w:spacing w:before="0" w:after="160" w:line="259" w:lineRule="auto"/>
      <w:jc w:val="left"/>
    </w:pPr>
    <w:rPr>
      <w:rFonts w:eastAsia="Times New Roman"/>
      <w:kern w:val="2"/>
      <w:sz w:val="28"/>
      <w:szCs w:val="28"/>
      <w14:ligatures w14:val="standardContextual"/>
    </w:rPr>
  </w:style>
  <w:style w:type="character" w:customStyle="1" w:styleId="Bodytext1">
    <w:name w:val="Body text|1_"/>
    <w:basedOn w:val="DefaultParagraphFont"/>
    <w:link w:val="Bodytext10"/>
    <w:rPr>
      <w:sz w:val="28"/>
    </w:rPr>
  </w:style>
  <w:style w:type="paragraph" w:customStyle="1" w:styleId="Bodytext10">
    <w:name w:val="Body text|1"/>
    <w:basedOn w:val="Normal"/>
    <w:link w:val="Bodytext1"/>
    <w:pPr>
      <w:widowControl w:val="0"/>
      <w:spacing w:before="0"/>
      <w:ind w:firstLine="400"/>
      <w:jc w:val="left"/>
    </w:pPr>
    <w:rPr>
      <w:rFonts w:asciiTheme="minorHAnsi" w:hAnsiTheme="minorHAnsi" w:cstheme="minorBidi"/>
      <w:sz w:val="28"/>
    </w:rPr>
  </w:style>
  <w:style w:type="character" w:customStyle="1" w:styleId="Mention1">
    <w:name w:val="Mention1"/>
    <w:basedOn w:val="DefaultParagraphFont"/>
    <w:uiPriority w:val="99"/>
    <w:unhideWhenUsed/>
    <w:rPr>
      <w:color w:val="2B579A"/>
      <w:shd w:val="clear" w:color="auto" w:fill="E1DFDD"/>
    </w:rPr>
  </w:style>
  <w:style w:type="character" w:styleId="Hyperlink">
    <w:name w:val="Hyperlink"/>
    <w:basedOn w:val="DefaultParagraphFont"/>
    <w:uiPriority w:val="99"/>
    <w:unhideWhenUsed/>
    <w:rPr>
      <w:color w:val="0563C1"/>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kern w:val="2"/>
      <w14:ligatures w14:val="standardContextual"/>
    </w:rPr>
  </w:style>
  <w:style w:type="character" w:customStyle="1" w:styleId="PagedecouvertureChar">
    <w:name w:val="Page de couverture Char"/>
    <w:basedOn w:val="DefaultParagraphFont"/>
    <w:rPr>
      <w:rFonts w:ascii="Times New Roman" w:hAnsi="Times New Roman" w:cs="Times New Roman"/>
      <w:sz w:val="24"/>
      <w:lang w:val="ro-RO"/>
    </w:rPr>
  </w:style>
  <w:style w:type="character" w:customStyle="1" w:styleId="FooterCoverPageChar">
    <w:name w:val="Footer Cover Page Char"/>
    <w:basedOn w:val="PagedecouvertureChar"/>
    <w:link w:val="FooterCoverPage"/>
    <w:rPr>
      <w:rFonts w:ascii="Times New Roman" w:hAnsi="Times New Roman" w:cs="Times New Roman"/>
      <w:kern w:val="2"/>
      <w:sz w:val="24"/>
      <w:lang w:val="ro-RO"/>
      <w14:ligatures w14:val="standardContextual"/>
    </w:rPr>
  </w:style>
  <w:style w:type="character" w:customStyle="1" w:styleId="FooterSensitivityChar">
    <w:name w:val="Footer Sensitivity Char"/>
    <w:basedOn w:val="PagedecouvertureChar"/>
    <w:rPr>
      <w:rFonts w:ascii="Times New Roman" w:hAnsi="Times New Roman" w:cs="Times New Roman"/>
      <w:b/>
      <w:sz w:val="32"/>
      <w:lang w:val="ro-RO"/>
    </w:rPr>
  </w:style>
  <w:style w:type="paragraph" w:customStyle="1" w:styleId="HeaderCoverPage">
    <w:name w:val="Header Cover Page"/>
    <w:basedOn w:val="Normal"/>
    <w:link w:val="HeaderCoverPageChar"/>
    <w:pPr>
      <w:tabs>
        <w:tab w:val="center" w:pos="4535"/>
        <w:tab w:val="right" w:pos="9071"/>
      </w:tabs>
      <w:spacing w:before="0"/>
    </w:pPr>
    <w:rPr>
      <w:kern w:val="2"/>
      <w14:ligatures w14:val="standardContextual"/>
    </w:rPr>
  </w:style>
  <w:style w:type="character" w:customStyle="1" w:styleId="HeaderCoverPageChar">
    <w:name w:val="Header Cover Page Char"/>
    <w:basedOn w:val="PagedecouvertureChar"/>
    <w:link w:val="HeaderCoverPage"/>
    <w:rPr>
      <w:rFonts w:ascii="Times New Roman" w:hAnsi="Times New Roman" w:cs="Times New Roman"/>
      <w:kern w:val="2"/>
      <w:sz w:val="24"/>
      <w:lang w:val="ro-RO"/>
      <w14:ligatures w14:val="standardContextual"/>
    </w:rPr>
  </w:style>
  <w:style w:type="character" w:customStyle="1" w:styleId="HeaderSensitivityChar">
    <w:name w:val="Header Sensitivity Char"/>
    <w:basedOn w:val="PagedecouvertureChar"/>
    <w:rPr>
      <w:rFonts w:ascii="Times New Roman" w:hAnsi="Times New Roman" w:cs="Times New Roman"/>
      <w:b/>
      <w:sz w:val="32"/>
      <w:lang w:val="ro-RO"/>
    </w:rPr>
  </w:style>
  <w:style w:type="character" w:customStyle="1" w:styleId="HeaderSensitivityRightChar">
    <w:name w:val="Header Sensitivity Right Char"/>
    <w:basedOn w:val="PagedecouvertureChar"/>
    <w:rPr>
      <w:rFonts w:ascii="Times New Roman" w:hAnsi="Times New Roman" w:cs="Times New Roman"/>
      <w:sz w:val="28"/>
      <w:lang w:val="ro-RO"/>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P68B1DB1-a85">
    <w:name w:val="P68B1DB1-a85"/>
    <w:basedOn w:val="Normal"/>
    <w:uiPriority w:val="1"/>
    <w:pPr>
      <w:keepNext/>
      <w:keepLines/>
      <w:spacing w:before="240" w:after="240" w:line="259" w:lineRule="auto"/>
      <w:jc w:val="center"/>
    </w:pPr>
    <w:rPr>
      <w:rFonts w:eastAsia="Times New Roman"/>
      <w:b/>
      <w:bCs/>
      <w:kern w:val="2"/>
      <w:sz w:val="28"/>
      <w:szCs w:val="28"/>
      <w14:ligatures w14:val="standardContextual"/>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Mention2">
    <w:name w:val="Mention2"/>
    <w:basedOn w:val="DefaultParagraphFont"/>
    <w:uiPriority w:val="99"/>
    <w:unhideWhenUsed/>
    <w:rPr>
      <w:color w:val="2B579A"/>
      <w:shd w:val="clear" w:color="auto" w:fill="E1DFDD"/>
    </w:rPr>
  </w:style>
  <w:style w:type="paragraph" w:styleId="ListBullet">
    <w:name w:val="List Bullet"/>
    <w:basedOn w:val="Normal"/>
    <w:uiPriority w:val="99"/>
    <w:semiHidden/>
    <w:unhideWhenUsed/>
    <w:pPr>
      <w:numPr>
        <w:numId w:val="4"/>
      </w:numPr>
      <w:contextualSpacing/>
    </w:pPr>
  </w:style>
  <w:style w:type="paragraph" w:styleId="ListBullet2">
    <w:name w:val="List Bullet 2"/>
    <w:basedOn w:val="Normal"/>
    <w:uiPriority w:val="99"/>
    <w:semiHidden/>
    <w:unhideWhenUsed/>
    <w:pPr>
      <w:numPr>
        <w:numId w:val="5"/>
      </w:numPr>
      <w:contextualSpacing/>
    </w:pPr>
  </w:style>
  <w:style w:type="paragraph" w:styleId="ListBullet3">
    <w:name w:val="List Bullet 3"/>
    <w:basedOn w:val="Normal"/>
    <w:uiPriority w:val="99"/>
    <w:semiHidden/>
    <w:unhideWhenUsed/>
    <w:pPr>
      <w:numPr>
        <w:numId w:val="6"/>
      </w:numPr>
      <w:contextualSpacing/>
    </w:pPr>
  </w:style>
  <w:style w:type="paragraph" w:styleId="ListBullet4">
    <w:name w:val="List Bullet 4"/>
    <w:basedOn w:val="Normal"/>
    <w:uiPriority w:val="99"/>
    <w:semiHidden/>
    <w:unhideWhenUsed/>
    <w:pPr>
      <w:numPr>
        <w:numId w:val="7"/>
      </w:numPr>
      <w:contextualSpacing/>
    </w:p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character" w:customStyle="1" w:styleId="ListParagraphChar">
    <w:name w:val="List Paragraph Char"/>
    <w:aliases w:val="List Paragraph à moi Char,Dot pt Char,No Spacing1 Char,List Paragraph Char Char Char Char,Indicator Text Char,Numbered Para 1 Char,Welt L Char Char,Welt L Char1,Bullet List Char,FooterText Char,List Paragraph1 Char,numbered Char"/>
    <w:link w:val="ListParagraph"/>
    <w:uiPriority w:val="34"/>
    <w:qFormat/>
    <w:locked/>
    <w:rPr>
      <w:kern w:val="2"/>
      <w:lang w:val="ro-RO"/>
      <w14:ligatures w14:val="standardContextual"/>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Tiret5">
    <w:name w:val="Tiret 5"/>
    <w:basedOn w:val="Point5"/>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NumPar5">
    <w:name w:val="NumPar 5"/>
    <w:basedOn w:val="Normal"/>
    <w:next w:val="Text2"/>
    <w:pPr>
      <w:numPr>
        <w:ilvl w:val="4"/>
        <w:numId w:val="36"/>
      </w:numPr>
    </w:pPr>
  </w:style>
  <w:style w:type="paragraph" w:customStyle="1" w:styleId="NumPar6">
    <w:name w:val="NumPar 6"/>
    <w:basedOn w:val="Normal"/>
    <w:next w:val="Text2"/>
    <w:pPr>
      <w:numPr>
        <w:ilvl w:val="5"/>
        <w:numId w:val="36"/>
      </w:numPr>
    </w:pPr>
  </w:style>
  <w:style w:type="paragraph" w:customStyle="1" w:styleId="NumPar7">
    <w:name w:val="NumPar 7"/>
    <w:basedOn w:val="Normal"/>
    <w:next w:val="Text2"/>
    <w:pPr>
      <w:numPr>
        <w:ilvl w:val="6"/>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15283">
      <w:bodyDiv w:val="1"/>
      <w:marLeft w:val="0"/>
      <w:marRight w:val="0"/>
      <w:marTop w:val="0"/>
      <w:marBottom w:val="0"/>
      <w:divBdr>
        <w:top w:val="none" w:sz="0" w:space="0" w:color="auto"/>
        <w:left w:val="none" w:sz="0" w:space="0" w:color="auto"/>
        <w:bottom w:val="none" w:sz="0" w:space="0" w:color="auto"/>
        <w:right w:val="none" w:sz="0" w:space="0" w:color="auto"/>
      </w:divBdr>
      <w:divsChild>
        <w:div w:id="723991366">
          <w:marLeft w:val="0"/>
          <w:marRight w:val="0"/>
          <w:marTop w:val="0"/>
          <w:marBottom w:val="0"/>
          <w:divBdr>
            <w:top w:val="none" w:sz="0" w:space="0" w:color="auto"/>
            <w:left w:val="none" w:sz="0" w:space="0" w:color="auto"/>
            <w:bottom w:val="none" w:sz="0" w:space="0" w:color="auto"/>
            <w:right w:val="none" w:sz="0" w:space="0" w:color="auto"/>
          </w:divBdr>
        </w:div>
      </w:divsChild>
    </w:div>
    <w:div w:id="180780986">
      <w:bodyDiv w:val="1"/>
      <w:marLeft w:val="0"/>
      <w:marRight w:val="0"/>
      <w:marTop w:val="0"/>
      <w:marBottom w:val="0"/>
      <w:divBdr>
        <w:top w:val="none" w:sz="0" w:space="0" w:color="auto"/>
        <w:left w:val="none" w:sz="0" w:space="0" w:color="auto"/>
        <w:bottom w:val="none" w:sz="0" w:space="0" w:color="auto"/>
        <w:right w:val="none" w:sz="0" w:space="0" w:color="auto"/>
      </w:divBdr>
      <w:divsChild>
        <w:div w:id="1848639632">
          <w:marLeft w:val="0"/>
          <w:marRight w:val="0"/>
          <w:marTop w:val="0"/>
          <w:marBottom w:val="0"/>
          <w:divBdr>
            <w:top w:val="none" w:sz="0" w:space="0" w:color="auto"/>
            <w:left w:val="none" w:sz="0" w:space="0" w:color="auto"/>
            <w:bottom w:val="none" w:sz="0" w:space="0" w:color="auto"/>
            <w:right w:val="none" w:sz="0" w:space="0" w:color="auto"/>
          </w:divBdr>
        </w:div>
      </w:divsChild>
    </w:div>
    <w:div w:id="1113524249">
      <w:bodyDiv w:val="1"/>
      <w:marLeft w:val="0"/>
      <w:marRight w:val="0"/>
      <w:marTop w:val="0"/>
      <w:marBottom w:val="0"/>
      <w:divBdr>
        <w:top w:val="none" w:sz="0" w:space="0" w:color="auto"/>
        <w:left w:val="none" w:sz="0" w:space="0" w:color="auto"/>
        <w:bottom w:val="none" w:sz="0" w:space="0" w:color="auto"/>
        <w:right w:val="none" w:sz="0" w:space="0" w:color="auto"/>
      </w:divBdr>
    </w:div>
    <w:div w:id="164098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kmu.gov.ua/npas/pro-vnesennia-zmin-do-poriadku-zdiisnennia-derzhavnoho-monitorynhu-s754100626"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RO/TXT/?uri=CONSIL%3AST_9492_2024_ADD_1&amp;qid=1716536456361" TargetMode="External"/><Relationship Id="rId2" Type="http://schemas.openxmlformats.org/officeDocument/2006/relationships/hyperlink" Target="http://data.europa.eu/eli/dec_impl/2024/1447/oj" TargetMode="External"/><Relationship Id="rId1" Type="http://schemas.openxmlformats.org/officeDocument/2006/relationships/hyperlink" Target="http://data.europa.eu/eli/reg/2024/7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documenttasks/documenttasks1.xml><?xml version="1.0" encoding="utf-8"?>
<t:Tasks xmlns:t="http://schemas.microsoft.com/office/tasks/2019/documenttasks" xmlns:oel="http://schemas.microsoft.com/office/2019/extlst">
  <t:Task id="{03495FA9-2BA6-4EE1-A3E6-CFA1F73C5020}">
    <t:Anchor>
      <t:Comment id="194543466"/>
    </t:Anchor>
    <t:History>
      <t:Event time="2026-08-19T09:54:26.729Z" id="{FB915A59-3304-419E-BABE-D6A0264331F8}">
        <t:Attribution userId="S::Frank-Rothaus.JENSEN@ec.europa.eu::e3a82b17-73a3-48a8-81d7-a44cbf3e2f82" userName="JENSEN Frank Rothaus (ENEST)" userProvider="AD"/>
        <t:Anchor>
          <t:Comment id="194543466"/>
        </t:Anchor>
        <t:Create/>
      </t:Event>
      <t:Event time="2026-08-19T09:54:26.729Z" id="{33E2097C-EE77-4481-A812-CB5A1545336F}">
        <t:Attribution userId="S::Frank-Rothaus.JENSEN@ec.europa.eu::e3a82b17-73a3-48a8-81d7-a44cbf3e2f82" userName="JENSEN Frank Rothaus (ENEST)" userProvider="AD"/>
        <t:Anchor>
          <t:Comment id="194543466"/>
        </t:Anchor>
        <t:Assign userId="S::Giuseppe.MALGERI1@ec.europa.eu::9b1d0a44-c620-46e7-a051-2861850aa41f" userName="MALGERI Giuseppe (ENEST)" userProvider="AD"/>
      </t:Event>
      <t:Event time="2026-08-19T09:54:26.729Z" id="{F3EE6B47-6FD5-42E9-A8E1-0F992159D0A2}">
        <t:Attribution userId="S::Frank-Rothaus.JENSEN@ec.europa.eu::e3a82b17-73a3-48a8-81d7-a44cbf3e2f82" userName="JENSEN Frank Rothaus (ENEST)" userProvider="AD"/>
        <t:Anchor>
          <t:Comment id="194543466"/>
        </t:Anchor>
        <t:SetTitle title="@MALGERI Giuseppe (ENEST) Dear Pepe - could you insert your assessment into this table? Please check formatting and that it looks as it should 😊Also please flag it if we are still waiting for evidenc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9712F-34BA-4C63-BA9F-A2B547F5C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ED499C-D665-4B02-9D7D-05C08016CF34}">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3.xml><?xml version="1.0" encoding="utf-8"?>
<ds:datastoreItem xmlns:ds="http://schemas.openxmlformats.org/officeDocument/2006/customXml" ds:itemID="{30DEB4AF-3CD2-4E2C-AF54-D293B2180EFD}">
  <ds:schemaRefs>
    <ds:schemaRef ds:uri="http://schemas.microsoft.com/sharepoint/v3/contenttype/forms"/>
  </ds:schemaRefs>
</ds:datastoreItem>
</file>

<file path=customXml/itemProps4.xml><?xml version="1.0" encoding="utf-8"?>
<ds:datastoreItem xmlns:ds="http://schemas.openxmlformats.org/officeDocument/2006/customXml" ds:itemID="{9BF4FF1C-E967-4DF3-B431-A0E1DD0284AD}">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ANNEX.dotm</Template>
  <TotalTime>15</TotalTime>
  <Pages>2</Pages>
  <Words>10453</Words>
  <Characters>59585</Characters>
  <Application>Microsoft Office Word</Application>
  <DocSecurity>0</DocSecurity>
  <Lines>496</Lines>
  <Paragraphs>139</Paragraphs>
  <ScaleCrop>false</ScaleCrop>
  <Manager/>
  <Company/>
  <LinksUpToDate>false</LinksUpToDate>
  <CharactersWithSpaces>69899</CharactersWithSpaces>
  <SharedDoc>false</SharedDoc>
  <HLinks>
    <vt:vector size="24" baseType="variant">
      <vt:variant>
        <vt:i4>5701704</vt:i4>
      </vt:variant>
      <vt:variant>
        <vt:i4>3</vt:i4>
      </vt:variant>
      <vt:variant>
        <vt:i4>0</vt:i4>
      </vt:variant>
      <vt:variant>
        <vt:i4>5</vt:i4>
      </vt:variant>
      <vt:variant>
        <vt:lpwstr>https://www.kmu.gov.ua/npas/pro-vnesennia-zmin-do-poriadku-zdiisnennia-derzhavnoho-monitorynhu-s754100626</vt:lpwstr>
      </vt:variant>
      <vt:variant>
        <vt:lpwstr/>
      </vt:variant>
      <vt:variant>
        <vt:i4>2555950</vt:i4>
      </vt:variant>
      <vt:variant>
        <vt:i4>6</vt:i4>
      </vt:variant>
      <vt:variant>
        <vt:i4>0</vt:i4>
      </vt:variant>
      <vt:variant>
        <vt:i4>5</vt:i4>
      </vt:variant>
      <vt:variant>
        <vt:lpwstr>https://eur-lex.europa.eu/legal-content/EN/TXT/?uri=CONSIL%3AST_9492_2024_ADD_1&amp;qid=1716536456361</vt:lpwstr>
      </vt:variant>
      <vt:variant>
        <vt:lpwstr/>
      </vt:variant>
      <vt:variant>
        <vt:i4>2031654</vt:i4>
      </vt:variant>
      <vt:variant>
        <vt:i4>3</vt:i4>
      </vt:variant>
      <vt:variant>
        <vt:i4>0</vt:i4>
      </vt:variant>
      <vt:variant>
        <vt:i4>5</vt:i4>
      </vt:variant>
      <vt:variant>
        <vt:lpwstr>http://data.europa.eu/eli/dec_impl/2024/1447/oj</vt:lpwstr>
      </vt:variant>
      <vt:variant>
        <vt:lpwstr/>
      </vt:variant>
      <vt:variant>
        <vt:i4>4390933</vt:i4>
      </vt:variant>
      <vt:variant>
        <vt:i4>0</vt:i4>
      </vt:variant>
      <vt:variant>
        <vt:i4>0</vt:i4>
      </vt:variant>
      <vt:variant>
        <vt:i4>5</vt:i4>
      </vt:variant>
      <vt:variant>
        <vt:lpwstr>http://data.europa.eu/eli/reg/2024/792/oj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12</cp:revision>
  <dcterms:created xsi:type="dcterms:W3CDTF">2026-09-02T12:37:00Z</dcterms:created>
  <dcterms:modified xsi:type="dcterms:W3CDTF">2026-09-18T12:21:00Z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2026-04-17T17:52:01Z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ea175970-fdd1-411a-ab57-e308bca3401e</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ontentTypeId">
    <vt:lpwstr>0x01010089A035B8C3EAA64A9CFE17FEB37C94B7</vt:lpwstr>
  </property>
  <property fmtid="{D5CDD505-2E9C-101B-9397-08002B2CF9AE}" pid="12" name="MediaServiceImageTags">
    <vt:lpwstr/>
  </property>
  <property fmtid="{D5CDD505-2E9C-101B-9397-08002B2CF9AE}" pid="13" name="Category">
    <vt:lpwstr>COM/ANNEX</vt:lpwstr>
  </property>
  <property fmtid="{D5CDD505-2E9C-101B-9397-08002B2CF9AE}" pid="14" name="Level of sensitivity">
    <vt:lpwstr>Standard treatment</vt:lpwstr>
  </property>
  <property fmtid="{D5CDD505-2E9C-101B-9397-08002B2CF9AE}" pid="15" name="First annex">
    <vt:lpwstr>1</vt:lpwstr>
  </property>
  <property fmtid="{D5CDD505-2E9C-101B-9397-08002B2CF9AE}" pid="16" name="Last annex">
    <vt:lpwstr>1</vt:lpwstr>
  </property>
  <property fmtid="{D5CDD505-2E9C-101B-9397-08002B2CF9AE}" pid="17" name="Unique annex">
    <vt:lpwstr>1</vt:lpwstr>
  </property>
  <property fmtid="{D5CDD505-2E9C-101B-9397-08002B2CF9AE}" pid="18" name="Part">
    <vt:lpwstr>1</vt:lpwstr>
  </property>
  <property fmtid="{D5CDD505-2E9C-101B-9397-08002B2CF9AE}" pid="19" name="Total parts">
    <vt:lpwstr>1</vt:lpwstr>
  </property>
  <property fmtid="{D5CDD505-2E9C-101B-9397-08002B2CF9AE}" pid="20" name="LWTemplateID">
    <vt:lpwstr>SG-017</vt:lpwstr>
  </property>
  <property fmtid="{D5CDD505-2E9C-101B-9397-08002B2CF9AE}" pid="21" name="DQCStatus">
    <vt:lpwstr>Green (DQC version 03)</vt:lpwstr>
  </property>
</Properties>
</file>