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05C1B62-B8EF-4948-8839-2678E478112E" style="width:455.25pt;height:313.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jc w:val="center"/>
        <w:rPr>
          <w:rFonts w:ascii="Times New Roman Bold" w:hAnsi="Times New Roman Bold" w:cs="Times New Roman"/>
          <w:b/>
          <w:smallCaps/>
          <w:noProof/>
          <w:sz w:val="26"/>
          <w:szCs w:val="26"/>
          <w:u w:val="single"/>
        </w:rPr>
      </w:pPr>
      <w:r>
        <w:rPr>
          <w:rFonts w:ascii="Times New Roman Bold" w:hAnsi="Times New Roman Bold" w:cs="Times New Roman"/>
          <w:b/>
          <w:smallCaps/>
          <w:noProof/>
          <w:sz w:val="26"/>
          <w:szCs w:val="26"/>
          <w:u w:val="single"/>
        </w:rPr>
        <w:lastRenderedPageBreak/>
        <w:t>EXPLANATORY MEMORANDUM</w:t>
      </w:r>
    </w:p>
    <w:p>
      <w:pPr>
        <w:spacing w:before="360"/>
        <w:rPr>
          <w:rFonts w:ascii="Times New Roman" w:hAnsi="Times New Roman" w:cs="Times New Roman"/>
          <w:b/>
          <w:noProof/>
          <w:sz w:val="24"/>
          <w:szCs w:val="24"/>
        </w:rPr>
      </w:pPr>
      <w:r>
        <w:rPr>
          <w:rFonts w:ascii="Times New Roman" w:hAnsi="Times New Roman" w:cs="Times New Roman"/>
          <w:b/>
          <w:noProof/>
          <w:sz w:val="24"/>
          <w:szCs w:val="24"/>
        </w:rPr>
        <w:t>1.</w:t>
      </w:r>
      <w:r>
        <w:rPr>
          <w:rFonts w:ascii="Times New Roman" w:hAnsi="Times New Roman" w:cs="Times New Roman"/>
          <w:b/>
          <w:noProof/>
          <w:sz w:val="24"/>
          <w:szCs w:val="24"/>
        </w:rPr>
        <w:tab/>
        <w:t>LEGAL BASE AND OBJECTIVES OF THE REPORT</w:t>
      </w:r>
    </w:p>
    <w:p>
      <w:pPr>
        <w:jc w:val="both"/>
        <w:rPr>
          <w:rFonts w:ascii="Times New Roman" w:hAnsi="Times New Roman" w:cs="Times New Roman"/>
          <w:noProof/>
          <w:sz w:val="24"/>
          <w:szCs w:val="24"/>
        </w:rPr>
      </w:pPr>
      <w:r>
        <w:rPr>
          <w:rFonts w:ascii="Times New Roman" w:hAnsi="Times New Roman" w:cs="Times New Roman"/>
          <w:noProof/>
          <w:sz w:val="24"/>
          <w:szCs w:val="24"/>
        </w:rPr>
        <w:t>The European Parliament and the Council have laid down, by means of a regulation, the Staff Regulations of Officials of the European Union</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(hereinafter referred to as the ‘</w:t>
      </w:r>
      <w:r>
        <w:rPr>
          <w:rFonts w:ascii="Times New Roman" w:hAnsi="Times New Roman" w:cs="Times New Roman"/>
          <w:b/>
          <w:noProof/>
          <w:sz w:val="24"/>
          <w:szCs w:val="24"/>
        </w:rPr>
        <w:t>Staff Regulations</w:t>
      </w:r>
      <w:r>
        <w:rPr>
          <w:rFonts w:ascii="Times New Roman" w:hAnsi="Times New Roman" w:cs="Times New Roman"/>
          <w:noProof/>
          <w:sz w:val="24"/>
          <w:szCs w:val="24"/>
        </w:rPr>
        <w:t>’) and the Conditions of Employment of other servants of the Union (hereinafter referred to as the ‘</w:t>
      </w:r>
      <w:r>
        <w:rPr>
          <w:rFonts w:ascii="Times New Roman" w:hAnsi="Times New Roman" w:cs="Times New Roman"/>
          <w:b/>
          <w:noProof/>
          <w:sz w:val="24"/>
          <w:szCs w:val="24"/>
        </w:rPr>
        <w:t>CEOS</w:t>
      </w:r>
      <w:r>
        <w:rPr>
          <w:rFonts w:ascii="Times New Roman" w:hAnsi="Times New Roman" w:cs="Times New Roman"/>
          <w:noProof/>
          <w:sz w:val="24"/>
          <w:szCs w:val="24"/>
        </w:rPr>
        <w:t>’), as required by Article 336 of the Treaty on the Functioning of the European Union.</w:t>
      </w:r>
    </w:p>
    <w:p>
      <w:pPr>
        <w:jc w:val="both"/>
        <w:rPr>
          <w:rFonts w:ascii="Times New Roman" w:hAnsi="Times New Roman" w:cs="Times New Roman"/>
          <w:noProof/>
          <w:sz w:val="24"/>
          <w:szCs w:val="24"/>
        </w:rPr>
      </w:pPr>
      <w:r>
        <w:rPr>
          <w:rFonts w:ascii="Times New Roman" w:hAnsi="Times New Roman" w:cs="Times New Roman"/>
          <w:noProof/>
          <w:sz w:val="24"/>
          <w:szCs w:val="24"/>
        </w:rPr>
        <w:t>While these legislative acts regulate the legal relations between the EU institutions</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(and agencies</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and their staff in detail, they are not exhaustive, as they expressly empower EU institutions and agencies to adopt further implementing rules on a number of issues.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As part of the </w:t>
      </w:r>
      <w:r>
        <w:rPr>
          <w:rFonts w:ascii="Times New Roman" w:hAnsi="Times New Roman" w:cs="Times New Roman"/>
          <w:b/>
          <w:noProof/>
          <w:sz w:val="24"/>
          <w:szCs w:val="24"/>
        </w:rPr>
        <w:t>2014 Reform of the Staff Regulations</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the co-legislators introduced mechanisms to increase </w:t>
      </w:r>
      <w:r>
        <w:rPr>
          <w:rFonts w:ascii="Times New Roman" w:hAnsi="Times New Roman" w:cs="Times New Roman"/>
          <w:b/>
          <w:noProof/>
          <w:sz w:val="24"/>
          <w:szCs w:val="24"/>
        </w:rPr>
        <w:t>compliance</w:t>
      </w:r>
      <w:r>
        <w:rPr>
          <w:rFonts w:ascii="Times New Roman" w:hAnsi="Times New Roman" w:cs="Times New Roman"/>
          <w:noProof/>
          <w:sz w:val="24"/>
          <w:szCs w:val="24"/>
        </w:rPr>
        <w:t xml:space="preserve"> with the legislative framework and to strengthen effective </w:t>
      </w:r>
      <w:r>
        <w:rPr>
          <w:rFonts w:ascii="Times New Roman" w:hAnsi="Times New Roman" w:cs="Times New Roman"/>
          <w:b/>
          <w:noProof/>
          <w:sz w:val="24"/>
          <w:szCs w:val="24"/>
        </w:rPr>
        <w:t>governance</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while allowing the institutions and the agencies to enjoy autonomy as regards the application of the Staff Regulations and the CEOS to their staff.</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Since that reform, </w:t>
      </w:r>
      <w:r>
        <w:rPr>
          <w:rFonts w:ascii="Times New Roman" w:hAnsi="Times New Roman" w:cs="Times New Roman"/>
          <w:b/>
          <w:noProof/>
          <w:sz w:val="24"/>
          <w:szCs w:val="24"/>
        </w:rPr>
        <w:t>Article 110(6) of the Staff Regulations</w:t>
      </w:r>
      <w:r>
        <w:rPr>
          <w:rFonts w:ascii="Times New Roman" w:hAnsi="Times New Roman" w:cs="Times New Roman"/>
          <w:noProof/>
          <w:sz w:val="24"/>
          <w:szCs w:val="24"/>
        </w:rPr>
        <w:t xml:space="preserve"> requires the Commission to present every three years a report on the rules adopted by the appointing authority of each institution to give effect to the Staff Regulations and by the authority authorised to conclude contracts of employment to give effect to the CEOS. Given that Article 110(6) of the Staff Regulations does not specify that each report should cover a three-year period, it is possible to cover a longer period if this is appropriate, notably in view of presenting a more complete and comprehensive report.</w:t>
      </w:r>
    </w:p>
    <w:p>
      <w:pPr>
        <w:jc w:val="both"/>
        <w:rPr>
          <w:rFonts w:ascii="Times New Roman" w:hAnsi="Times New Roman" w:cs="Times New Roman"/>
          <w:noProof/>
          <w:sz w:val="24"/>
          <w:szCs w:val="24"/>
        </w:rPr>
      </w:pPr>
      <w:r>
        <w:rPr>
          <w:rFonts w:ascii="Times New Roman" w:hAnsi="Times New Roman" w:cs="Times New Roman"/>
          <w:noProof/>
          <w:sz w:val="24"/>
          <w:szCs w:val="24"/>
        </w:rPr>
        <w:t>The first report under Article 110(6) of the Staff Regulations was published in 2017</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and the second report was published in 2021</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Taking into consideration that the last report covered the period from 1 January 2017 to 31 December 2019, it is appropriate that the third report covers a four-year period to present more up-to-date data. Hence, the present report covers the period from </w:t>
      </w:r>
      <w:r>
        <w:rPr>
          <w:rFonts w:ascii="Times New Roman" w:hAnsi="Times New Roman" w:cs="Times New Roman"/>
          <w:b/>
          <w:noProof/>
          <w:sz w:val="24"/>
          <w:szCs w:val="24"/>
        </w:rPr>
        <w:t>1 January 2020 to 31 December 2023</w:t>
      </w:r>
      <w:r>
        <w:rPr>
          <w:rFonts w:ascii="Times New Roman" w:hAnsi="Times New Roman" w:cs="Times New Roman"/>
          <w:noProof/>
          <w:sz w:val="24"/>
          <w:szCs w:val="24"/>
        </w:rPr>
        <w:t>.</w:t>
      </w:r>
    </w:p>
    <w:p>
      <w:pPr>
        <w:jc w:val="both"/>
        <w:rPr>
          <w:rFonts w:ascii="Times New Roman" w:hAnsi="Times New Roman" w:cs="Times New Roman"/>
          <w:b/>
          <w:noProof/>
          <w:sz w:val="24"/>
          <w:szCs w:val="24"/>
        </w:rPr>
      </w:pPr>
      <w:r>
        <w:rPr>
          <w:rFonts w:ascii="Times New Roman" w:hAnsi="Times New Roman" w:cs="Times New Roman"/>
          <w:noProof/>
          <w:sz w:val="24"/>
          <w:szCs w:val="24"/>
        </w:rPr>
        <w:t>Together with the register on implementing rules administered by the Court of Justice of the European Union</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the report is a tool that allows for </w:t>
      </w:r>
      <w:r>
        <w:rPr>
          <w:rFonts w:ascii="Times New Roman" w:hAnsi="Times New Roman" w:cs="Times New Roman"/>
          <w:b/>
          <w:noProof/>
          <w:sz w:val="24"/>
          <w:szCs w:val="24"/>
        </w:rPr>
        <w:t>transparency</w:t>
      </w:r>
      <w:r>
        <w:rPr>
          <w:rFonts w:ascii="Times New Roman" w:hAnsi="Times New Roman" w:cs="Times New Roman"/>
          <w:noProof/>
          <w:sz w:val="24"/>
          <w:szCs w:val="24"/>
        </w:rPr>
        <w:t xml:space="preserve"> and promotes a </w:t>
      </w:r>
      <w:r>
        <w:rPr>
          <w:rFonts w:ascii="Times New Roman" w:hAnsi="Times New Roman" w:cs="Times New Roman"/>
          <w:b/>
          <w:noProof/>
          <w:sz w:val="24"/>
          <w:szCs w:val="24"/>
        </w:rPr>
        <w:t xml:space="preserve">consistent </w:t>
      </w:r>
      <w:r>
        <w:rPr>
          <w:rFonts w:ascii="Times New Roman" w:hAnsi="Times New Roman" w:cs="Times New Roman"/>
          <w:b/>
          <w:noProof/>
          <w:sz w:val="24"/>
          <w:szCs w:val="24"/>
        </w:rPr>
        <w:lastRenderedPageBreak/>
        <w:t>application of the Staff Regulations and the CEOS</w:t>
      </w:r>
      <w:r>
        <w:rPr>
          <w:rStyle w:val="FootnoteReference"/>
          <w:rFonts w:ascii="Times New Roman" w:hAnsi="Times New Roman" w:cs="Times New Roman"/>
          <w:bCs/>
          <w:noProof/>
          <w:sz w:val="24"/>
          <w:szCs w:val="24"/>
        </w:rPr>
        <w:footnoteReference w:id="8"/>
      </w:r>
      <w:r>
        <w:rPr>
          <w:rFonts w:ascii="Times New Roman" w:hAnsi="Times New Roman" w:cs="Times New Roman"/>
          <w:bCs/>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while rendering the rules </w:t>
      </w:r>
      <w:r>
        <w:rPr>
          <w:rFonts w:ascii="Times New Roman" w:hAnsi="Times New Roman" w:cs="Times New Roman"/>
          <w:b/>
          <w:noProof/>
          <w:sz w:val="24"/>
          <w:szCs w:val="24"/>
        </w:rPr>
        <w:t>accessible to the citizens</w:t>
      </w:r>
      <w:r>
        <w:rPr>
          <w:rFonts w:ascii="Times New Roman" w:hAnsi="Times New Roman" w:cs="Times New Roman"/>
          <w:noProof/>
          <w:sz w:val="24"/>
          <w:szCs w:val="24"/>
        </w:rPr>
        <w:t xml:space="preserve"> of the European Union.</w:t>
      </w:r>
      <w:r>
        <w:rPr>
          <w:rFonts w:ascii="Times New Roman" w:hAnsi="Times New Roman" w:cs="Times New Roman"/>
          <w:noProof/>
          <w:sz w:val="24"/>
        </w:rPr>
        <w:t xml:space="preserve"> </w:t>
      </w:r>
    </w:p>
    <w:p>
      <w:pPr>
        <w:jc w:val="both"/>
        <w:rPr>
          <w:rFonts w:ascii="Times New Roman" w:hAnsi="Times New Roman" w:cs="Times New Roman"/>
          <w:b/>
          <w:noProof/>
          <w:sz w:val="24"/>
          <w:szCs w:val="24"/>
        </w:rPr>
      </w:pPr>
      <w:r>
        <w:rPr>
          <w:rFonts w:ascii="Times New Roman" w:hAnsi="Times New Roman" w:cs="Times New Roman"/>
          <w:b/>
          <w:noProof/>
          <w:sz w:val="24"/>
          <w:szCs w:val="24"/>
        </w:rPr>
        <w:t>2.</w:t>
      </w:r>
      <w:r>
        <w:rPr>
          <w:rFonts w:ascii="Times New Roman" w:hAnsi="Times New Roman" w:cs="Times New Roman"/>
          <w:b/>
          <w:noProof/>
          <w:sz w:val="24"/>
          <w:szCs w:val="24"/>
        </w:rPr>
        <w:tab/>
        <w:t>COLLECTION OF INFORMATION FOR THE REPORT</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prepare the report, the Commission asked all institutions to update the list of the implementing rules established for the purposes of the 2017-2019 report. First, the institutions were asked to update the list included in the 2017-2019 report to reflect all decisions implementing the Staff Regulations and the CEOS that were in force during the period 1 January 2020 to 31 December 2023.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subsequently compared the information provided to the rules recorded in the register administered by the Court of Justice of the European Union.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Information regarding the implementing rules applicable in the agencies was collected, similarly to the methodology followed for the previous two reports, based on the comprehensive records of the Commission services responsible for coordination of the relations with the </w:t>
      </w:r>
      <w:hyperlink r:id="rId15" w:tgtFrame="_blank" w:history="1">
        <w:r>
          <w:rPr>
            <w:rFonts w:ascii="Times New Roman" w:hAnsi="Times New Roman" w:cs="Times New Roman"/>
            <w:noProof/>
            <w:sz w:val="24"/>
            <w:szCs w:val="24"/>
          </w:rPr>
          <w:t>executive agencies, decentralised agencies</w:t>
        </w:r>
      </w:hyperlink>
      <w:r>
        <w:rPr>
          <w:rFonts w:ascii="Times New Roman" w:hAnsi="Times New Roman" w:cs="Times New Roman"/>
          <w:noProof/>
          <w:sz w:val="24"/>
          <w:szCs w:val="24"/>
        </w:rPr>
        <w:t>, and joint undertakings on human resources topics.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This collection exercise was completed on 20 June 2024. Final verification by each institution of all the data was completed on 22 November 2024. The data regarding the agencies was collected and verified internally in May 2024. </w:t>
      </w:r>
    </w:p>
    <w:p>
      <w:pPr>
        <w:rPr>
          <w:rFonts w:ascii="Times New Roman" w:hAnsi="Times New Roman" w:cs="Times New Roman"/>
          <w:b/>
          <w:noProof/>
          <w:sz w:val="24"/>
          <w:szCs w:val="24"/>
        </w:rPr>
      </w:pPr>
      <w:r>
        <w:rPr>
          <w:rFonts w:ascii="Times New Roman" w:hAnsi="Times New Roman" w:cs="Times New Roman"/>
          <w:b/>
          <w:noProof/>
          <w:sz w:val="24"/>
          <w:szCs w:val="24"/>
        </w:rPr>
        <w:t>3.</w:t>
      </w:r>
      <w:r>
        <w:rPr>
          <w:rFonts w:ascii="Times New Roman" w:hAnsi="Times New Roman" w:cs="Times New Roman"/>
          <w:b/>
          <w:noProof/>
          <w:sz w:val="24"/>
          <w:szCs w:val="24"/>
        </w:rPr>
        <w:tab/>
        <w:t>KEY ELEMENTS OF THE REPORT</w:t>
      </w:r>
    </w:p>
    <w:p>
      <w:pPr>
        <w:jc w:val="both"/>
        <w:rPr>
          <w:rFonts w:ascii="Times New Roman" w:hAnsi="Times New Roman" w:cs="Times New Roman"/>
          <w:b/>
          <w:i/>
          <w:noProof/>
          <w:sz w:val="24"/>
          <w:szCs w:val="24"/>
        </w:rPr>
      </w:pPr>
      <w:r>
        <w:rPr>
          <w:rFonts w:ascii="Times New Roman" w:hAnsi="Times New Roman" w:cs="Times New Roman"/>
          <w:b/>
          <w:i/>
          <w:noProof/>
          <w:sz w:val="24"/>
          <w:szCs w:val="24"/>
        </w:rPr>
        <w:t>Presentation of implementing rules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Title 1 describes the mechanisms for ensuring consistent application of the Staff Regulations, by providing an overview of the different types of rules that can be adopted either by an appointing authority to give effect to the Staff Regulations or by an authority authorised to conclude contracts of employment to give effect to the CEOS. </w:t>
      </w:r>
    </w:p>
    <w:p>
      <w:pPr>
        <w:jc w:val="both"/>
        <w:rPr>
          <w:rFonts w:ascii="Times New Roman" w:hAnsi="Times New Roman" w:cs="Times New Roman"/>
          <w:b/>
          <w:i/>
          <w:noProof/>
          <w:sz w:val="24"/>
          <w:szCs w:val="24"/>
        </w:rPr>
      </w:pPr>
      <w:r>
        <w:rPr>
          <w:rFonts w:ascii="Times New Roman" w:hAnsi="Times New Roman" w:cs="Times New Roman"/>
          <w:b/>
          <w:i/>
          <w:noProof/>
          <w:sz w:val="24"/>
          <w:szCs w:val="24"/>
        </w:rPr>
        <w:t>Quantitative assessment / Transparency</w:t>
      </w:r>
    </w:p>
    <w:p>
      <w:pPr>
        <w:jc w:val="both"/>
        <w:rPr>
          <w:rFonts w:ascii="Times New Roman" w:hAnsi="Times New Roman" w:cs="Times New Roman"/>
          <w:noProof/>
          <w:sz w:val="24"/>
          <w:szCs w:val="24"/>
        </w:rPr>
      </w:pPr>
      <w:r>
        <w:rPr>
          <w:rFonts w:ascii="Times New Roman" w:hAnsi="Times New Roman" w:cs="Times New Roman"/>
          <w:noProof/>
          <w:sz w:val="24"/>
          <w:szCs w:val="24"/>
        </w:rPr>
        <w:t>Title 2 provides an exhaustive inventory of all the implementing rules adopted by the appointing authority or the authority authorised to conclude contracts of engagement of the different institutions and agencies, thereby giving a clear and transparent account of the current situation across all institutions and the agencies.</w:t>
      </w:r>
    </w:p>
    <w:p>
      <w:pPr>
        <w:jc w:val="both"/>
        <w:rPr>
          <w:rFonts w:ascii="Times New Roman" w:hAnsi="Times New Roman" w:cs="Times New Roman"/>
          <w:noProof/>
          <w:sz w:val="24"/>
          <w:szCs w:val="24"/>
        </w:rPr>
      </w:pPr>
      <w:r>
        <w:rPr>
          <w:rFonts w:ascii="Times New Roman" w:hAnsi="Times New Roman" w:cs="Times New Roman"/>
          <w:noProof/>
          <w:sz w:val="24"/>
          <w:szCs w:val="24"/>
        </w:rPr>
        <w:t>Notably, in agreement with the institutions concerned, the Commission has drawn up tables that detail the situation in each of the ten institutions during the period from 1 January 2020 to 31 December 2023. Based on these tables, the Commission has established a general table that provides an overview of the situation across the institutions during the reference period.</w:t>
      </w:r>
    </w:p>
    <w:p>
      <w:pPr>
        <w:jc w:val="both"/>
        <w:rPr>
          <w:rFonts w:ascii="Times New Roman" w:hAnsi="Times New Roman" w:cs="Times New Roman"/>
          <w:noProof/>
          <w:sz w:val="24"/>
          <w:szCs w:val="24"/>
        </w:rPr>
      </w:pPr>
      <w:r>
        <w:rPr>
          <w:rFonts w:ascii="Times New Roman" w:hAnsi="Times New Roman" w:cs="Times New Roman"/>
          <w:noProof/>
          <w:sz w:val="24"/>
          <w:szCs w:val="24"/>
        </w:rPr>
        <w:t>Another general table provides an aggregated overview of the rules applicable in the agencies on 31 December 2023.</w:t>
      </w:r>
    </w:p>
    <w:p>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The tables identify the subjects on which the respective appointing authorities or authorities authorised to conclude contracts of employment have adopted rules and the extent to which individual authorities have made use of their rule making power.</w:t>
      </w:r>
    </w:p>
    <w:p>
      <w:pPr>
        <w:jc w:val="both"/>
        <w:rPr>
          <w:rFonts w:ascii="Times New Roman" w:hAnsi="Times New Roman" w:cs="Times New Roman"/>
          <w:noProof/>
          <w:sz w:val="24"/>
          <w:szCs w:val="24"/>
        </w:rPr>
      </w:pPr>
      <w:r>
        <w:rPr>
          <w:rFonts w:ascii="Times New Roman" w:hAnsi="Times New Roman" w:cs="Times New Roman"/>
          <w:noProof/>
          <w:sz w:val="24"/>
          <w:szCs w:val="24"/>
        </w:rPr>
        <w:t>Observations are made on the main changes since the last reporting period concerning the number and type of rules adopted across the institutions and the agencies.</w:t>
      </w:r>
    </w:p>
    <w:p>
      <w:pPr>
        <w:jc w:val="both"/>
        <w:rPr>
          <w:rFonts w:ascii="Times New Roman" w:hAnsi="Times New Roman" w:cs="Times New Roman"/>
          <w:b/>
          <w:i/>
          <w:noProof/>
          <w:sz w:val="24"/>
          <w:szCs w:val="24"/>
        </w:rPr>
      </w:pPr>
      <w:r>
        <w:rPr>
          <w:rFonts w:ascii="Times New Roman" w:hAnsi="Times New Roman" w:cs="Times New Roman"/>
          <w:b/>
          <w:i/>
          <w:noProof/>
          <w:sz w:val="24"/>
          <w:szCs w:val="24"/>
        </w:rPr>
        <w:t>Qualitative assessment / Compliance</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report presents how appointing authorities or authorities authorised to conclude contracts of employment have complied with the framework set by the Staff Regulations and the CEOS, paying particular attention to subjects where authorities have not (yet) made use of their power to adopt rules.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report also identifies any inconsistencies with the Staff Regulations and the CEOS when it comes to compliance with the obligation to adopt implementing rules, when so required, and compliance with the imposed procedure for adoption of the implementing rule in question.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Furthermore, the report looks into the main changes that occurred compared to the previous reporting period, in particular, when it comes to the new subject matters covered by the rules adopted and the extent of convergence between the institutions on the subject matters of such rules.  </w:t>
      </w:r>
    </w:p>
    <w:p>
      <w:pPr>
        <w:jc w:val="both"/>
        <w:rPr>
          <w:rFonts w:ascii="Times New Roman" w:hAnsi="Times New Roman" w:cs="Times New Roman"/>
          <w:noProof/>
          <w:sz w:val="24"/>
          <w:szCs w:val="24"/>
        </w:rPr>
      </w:pPr>
      <w:r>
        <w:rPr>
          <w:rFonts w:ascii="Times New Roman" w:hAnsi="Times New Roman" w:cs="Times New Roman"/>
          <w:noProof/>
          <w:sz w:val="24"/>
          <w:szCs w:val="24"/>
        </w:rPr>
        <w:t>Finally, the report provides an overview of the presentation of implementing rules in the register administered by the Court of Justice of the European Union.</w:t>
      </w:r>
    </w:p>
    <w:p>
      <w:pPr>
        <w:rPr>
          <w:rFonts w:ascii="Times New Roman" w:hAnsi="Times New Roman" w:cs="Times New Roman"/>
          <w:b/>
          <w:noProof/>
          <w:sz w:val="24"/>
          <w:szCs w:val="24"/>
        </w:rPr>
      </w:pPr>
      <w:r>
        <w:rPr>
          <w:rFonts w:ascii="Times New Roman" w:hAnsi="Times New Roman" w:cs="Times New Roman"/>
          <w:b/>
          <w:noProof/>
          <w:sz w:val="24"/>
          <w:szCs w:val="24"/>
        </w:rPr>
        <w:t>4.</w:t>
      </w:r>
      <w:r>
        <w:rPr>
          <w:rFonts w:ascii="Times New Roman" w:hAnsi="Times New Roman" w:cs="Times New Roman"/>
          <w:b/>
          <w:noProof/>
          <w:sz w:val="24"/>
          <w:szCs w:val="24"/>
        </w:rPr>
        <w:tab/>
        <w:t>OUTLOOK</w:t>
      </w:r>
    </w:p>
    <w:p>
      <w:pPr>
        <w:jc w:val="both"/>
        <w:rPr>
          <w:rFonts w:ascii="Times New Roman" w:hAnsi="Times New Roman" w:cs="Times New Roman"/>
          <w:noProof/>
          <w:sz w:val="24"/>
          <w:szCs w:val="24"/>
        </w:rPr>
      </w:pPr>
      <w:r>
        <w:rPr>
          <w:rFonts w:ascii="Times New Roman" w:hAnsi="Times New Roman" w:cs="Times New Roman"/>
          <w:noProof/>
          <w:sz w:val="24"/>
          <w:szCs w:val="24"/>
        </w:rPr>
        <w:t>The Commission will be required to submit the next report on the basis of Article 110(6) of the Staff Regulations in principle to cover implementing rules in force in the period between 1 January 2024 and 31 December 2026.</w:t>
      </w:r>
    </w:p>
    <w:p>
      <w:pPr>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cs="Times New Roman"/>
          <w:noProof/>
        </w:rPr>
        <w:t>The Commission completed the present report on the basis of data as made available by the institutions and the agencies. The responsibility for completeness and accurateness of this data lies with the respective institution or agency.</w:t>
      </w:r>
    </w:p>
    <w:p>
      <w:pPr>
        <w:rPr>
          <w:rFonts w:ascii="Times New Roman" w:hAnsi="Times New Roman" w:cs="Times New Roman"/>
          <w:noProof/>
        </w:rPr>
      </w:pPr>
      <w:r>
        <w:rPr>
          <w:rFonts w:ascii="Times New Roman" w:hAnsi="Times New Roman" w:cs="Times New Roman"/>
          <w:noProof/>
        </w:rPr>
        <w:br w:type="page"/>
      </w:r>
    </w:p>
    <w:sdt>
      <w:sdtPr>
        <w:rPr>
          <w:rFonts w:ascii="Times New Roman" w:eastAsiaTheme="minorHAnsi" w:hAnsi="Times New Roman" w:cs="Times New Roman"/>
          <w:b w:val="0"/>
          <w:bCs w:val="0"/>
          <w:noProof/>
          <w:color w:val="auto"/>
          <w:kern w:val="2"/>
          <w:sz w:val="22"/>
          <w:szCs w:val="22"/>
          <w:lang w:val="en-GB" w:eastAsia="en-US"/>
          <w14:ligatures w14:val="standardContextual"/>
        </w:rPr>
        <w:id w:val="461463876"/>
        <w:docPartObj>
          <w:docPartGallery w:val="Table of Contents"/>
          <w:docPartUnique/>
        </w:docPartObj>
      </w:sdtPr>
      <w:sdtContent>
        <w:p>
          <w:pPr>
            <w:pStyle w:val="TOCHeading"/>
            <w:jc w:val="center"/>
            <w:rPr>
              <w:rFonts w:ascii="Times New Roman" w:hAnsi="Times New Roman" w:cs="Times New Roman"/>
              <w:noProof/>
            </w:rPr>
          </w:pPr>
          <w:r>
            <w:rPr>
              <w:rFonts w:ascii="Times New Roman" w:hAnsi="Times New Roman" w:cs="Times New Roman"/>
              <w:noProof/>
            </w:rPr>
            <w:t>Contents</w:t>
          </w:r>
        </w:p>
        <w:p>
          <w:pPr>
            <w:rPr>
              <w:rFonts w:ascii="Times New Roman" w:hAnsi="Times New Roman" w:cs="Times New Roman"/>
              <w:noProof/>
              <w:lang w:val="en-US" w:eastAsia="ja-JP"/>
            </w:rPr>
          </w:pPr>
        </w:p>
        <w:p>
          <w:pPr>
            <w:pStyle w:val="TOC1"/>
            <w:rPr>
              <w:rFonts w:eastAsiaTheme="minorEastAsia"/>
              <w:b w:val="0"/>
              <w:kern w:val="2"/>
              <w:sz w:val="24"/>
              <w:szCs w:val="24"/>
              <w:lang w:val="en-IE" w:eastAsia="en-IE"/>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32689742" w:history="1">
            <w:r>
              <w:rPr>
                <w:rStyle w:val="Hyperlink"/>
                <w:rFonts w:ascii="Times New Roman" w:hAnsi="Times New Roman" w:cs="Times New Roman"/>
              </w:rPr>
              <w:t>TITLE 1.</w:t>
            </w:r>
            <w:r>
              <w:rPr>
                <w:rFonts w:eastAsiaTheme="minorEastAsia"/>
                <w:b w:val="0"/>
                <w:kern w:val="2"/>
                <w:sz w:val="24"/>
                <w:szCs w:val="24"/>
                <w:lang w:val="en-IE" w:eastAsia="en-IE"/>
                <w14:ligatures w14:val="standardContextual"/>
              </w:rPr>
              <w:tab/>
            </w:r>
            <w:r>
              <w:rPr>
                <w:rStyle w:val="Hyperlink"/>
                <w:rFonts w:ascii="Times New Roman" w:hAnsi="Times New Roman" w:cs="Times New Roman"/>
              </w:rPr>
              <w:t>PRESENTATION OF IMPLEMENTING RULES</w:t>
            </w:r>
            <w:r>
              <w:rPr>
                <w:webHidden/>
              </w:rPr>
              <w:tab/>
            </w:r>
            <w:r>
              <w:rPr>
                <w:webHidden/>
              </w:rPr>
              <w:fldChar w:fldCharType="begin"/>
            </w:r>
            <w:r>
              <w:rPr>
                <w:webHidden/>
              </w:rPr>
              <w:instrText xml:space="preserve"> PAGEREF _Toc232689742 \h </w:instrText>
            </w:r>
            <w:r>
              <w:rPr>
                <w:webHidden/>
              </w:rPr>
            </w:r>
            <w:r>
              <w:rPr>
                <w:webHidden/>
              </w:rPr>
              <w:fldChar w:fldCharType="separate"/>
            </w:r>
            <w:r>
              <w:rPr>
                <w:webHidden/>
              </w:rPr>
              <w:t>5</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2689743" w:history="1">
            <w:r>
              <w:rPr>
                <w:rStyle w:val="Hyperlink"/>
                <w:rFonts w:ascii="Times New Roman" w:hAnsi="Times New Roman" w:cs="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cs="Times New Roman"/>
                <w:noProof/>
              </w:rPr>
              <w:t>Rules adopted by agreement between the institutions of the Union ("Règles arrêtées d'un commun accord")</w:t>
            </w:r>
            <w:r>
              <w:rPr>
                <w:noProof/>
                <w:webHidden/>
              </w:rPr>
              <w:tab/>
            </w:r>
            <w:r>
              <w:rPr>
                <w:noProof/>
                <w:webHidden/>
              </w:rPr>
              <w:fldChar w:fldCharType="begin"/>
            </w:r>
            <w:r>
              <w:rPr>
                <w:noProof/>
                <w:webHidden/>
              </w:rPr>
              <w:instrText xml:space="preserve"> PAGEREF _Toc232689743 \h </w:instrText>
            </w:r>
            <w:r>
              <w:rPr>
                <w:noProof/>
                <w:webHidden/>
              </w:rPr>
            </w:r>
            <w:r>
              <w:rPr>
                <w:noProof/>
                <w:webHidden/>
              </w:rPr>
              <w:fldChar w:fldCharType="separate"/>
            </w:r>
            <w:r>
              <w:rPr>
                <w:noProof/>
                <w:webHidden/>
              </w:rPr>
              <w:t>5</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2689744" w:history="1">
            <w:r>
              <w:rPr>
                <w:rStyle w:val="Hyperlink"/>
                <w:rFonts w:ascii="Times New Roman" w:hAnsi="Times New Roman" w:cs="Times New Roman"/>
                <w:noProof/>
                <w:lang w:val="fr-FR"/>
              </w:rPr>
              <w:t>b)</w:t>
            </w:r>
            <w:r>
              <w:rPr>
                <w:rFonts w:eastAsiaTheme="minorEastAsia"/>
                <w:noProof/>
                <w:kern w:val="2"/>
                <w:sz w:val="24"/>
                <w:szCs w:val="24"/>
                <w:lang w:val="en-IE" w:eastAsia="en-IE"/>
                <w14:ligatures w14:val="standardContextual"/>
              </w:rPr>
              <w:tab/>
            </w:r>
            <w:r>
              <w:rPr>
                <w:rStyle w:val="Hyperlink"/>
                <w:rFonts w:ascii="Times New Roman" w:hAnsi="Times New Roman" w:cs="Times New Roman"/>
                <w:noProof/>
                <w:lang w:val="fr-FR"/>
              </w:rPr>
              <w:t>General implementing provisions ("Dispositions générales d'exécution")</w:t>
            </w:r>
            <w:r>
              <w:rPr>
                <w:noProof/>
                <w:webHidden/>
              </w:rPr>
              <w:tab/>
            </w:r>
            <w:r>
              <w:rPr>
                <w:noProof/>
                <w:webHidden/>
              </w:rPr>
              <w:fldChar w:fldCharType="begin"/>
            </w:r>
            <w:r>
              <w:rPr>
                <w:noProof/>
                <w:webHidden/>
              </w:rPr>
              <w:instrText xml:space="preserve"> PAGEREF _Toc232689744 \h </w:instrText>
            </w:r>
            <w:r>
              <w:rPr>
                <w:noProof/>
                <w:webHidden/>
              </w:rPr>
            </w:r>
            <w:r>
              <w:rPr>
                <w:noProof/>
                <w:webHidden/>
              </w:rPr>
              <w:fldChar w:fldCharType="separate"/>
            </w:r>
            <w:r>
              <w:rPr>
                <w:noProof/>
                <w:webHidden/>
              </w:rPr>
              <w:t>6</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2689745" w:history="1">
            <w:r>
              <w:rPr>
                <w:rStyle w:val="Hyperlink"/>
                <w:rFonts w:ascii="Times New Roman" w:hAnsi="Times New Roman" w:cs="Times New Roman"/>
                <w:noProof/>
              </w:rPr>
              <w:t>c)</w:t>
            </w:r>
            <w:r>
              <w:rPr>
                <w:rFonts w:eastAsiaTheme="minorEastAsia"/>
                <w:noProof/>
                <w:kern w:val="2"/>
                <w:sz w:val="24"/>
                <w:szCs w:val="24"/>
                <w:lang w:val="en-IE" w:eastAsia="en-IE"/>
                <w14:ligatures w14:val="standardContextual"/>
              </w:rPr>
              <w:tab/>
            </w:r>
            <w:r>
              <w:rPr>
                <w:rStyle w:val="Hyperlink"/>
                <w:rFonts w:ascii="Times New Roman" w:hAnsi="Times New Roman" w:cs="Times New Roman"/>
                <w:noProof/>
              </w:rPr>
              <w:t>Other implementing rules</w:t>
            </w:r>
            <w:r>
              <w:rPr>
                <w:noProof/>
                <w:webHidden/>
              </w:rPr>
              <w:tab/>
            </w:r>
            <w:r>
              <w:rPr>
                <w:noProof/>
                <w:webHidden/>
              </w:rPr>
              <w:fldChar w:fldCharType="begin"/>
            </w:r>
            <w:r>
              <w:rPr>
                <w:noProof/>
                <w:webHidden/>
              </w:rPr>
              <w:instrText xml:space="preserve"> PAGEREF _Toc232689745 \h </w:instrText>
            </w:r>
            <w:r>
              <w:rPr>
                <w:noProof/>
                <w:webHidden/>
              </w:rPr>
            </w:r>
            <w:r>
              <w:rPr>
                <w:noProof/>
                <w:webHidden/>
              </w:rPr>
              <w:fldChar w:fldCharType="separate"/>
            </w:r>
            <w:r>
              <w:rPr>
                <w:noProof/>
                <w:webHidden/>
              </w:rPr>
              <w:t>8</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2689746" w:history="1">
            <w:r>
              <w:rPr>
                <w:rStyle w:val="Hyperlink"/>
                <w:rFonts w:ascii="Times New Roman" w:hAnsi="Times New Roman" w:cs="Times New Roman"/>
              </w:rPr>
              <w:t>TITLE 2.</w:t>
            </w:r>
            <w:r>
              <w:rPr>
                <w:rFonts w:eastAsiaTheme="minorEastAsia"/>
                <w:b w:val="0"/>
                <w:kern w:val="2"/>
                <w:sz w:val="24"/>
                <w:szCs w:val="24"/>
                <w:lang w:val="en-IE" w:eastAsia="en-IE"/>
                <w14:ligatures w14:val="standardContextual"/>
              </w:rPr>
              <w:tab/>
            </w:r>
            <w:r>
              <w:rPr>
                <w:rStyle w:val="Hyperlink"/>
                <w:rFonts w:ascii="Times New Roman" w:hAnsi="Times New Roman" w:cs="Times New Roman"/>
              </w:rPr>
              <w:t>QUANTITATIVE ASSESSMENT / TRANSPARENCY</w:t>
            </w:r>
            <w:r>
              <w:rPr>
                <w:webHidden/>
              </w:rPr>
              <w:tab/>
            </w:r>
            <w:r>
              <w:rPr>
                <w:webHidden/>
              </w:rPr>
              <w:fldChar w:fldCharType="begin"/>
            </w:r>
            <w:r>
              <w:rPr>
                <w:webHidden/>
              </w:rPr>
              <w:instrText xml:space="preserve"> PAGEREF _Toc232689746 \h </w:instrText>
            </w:r>
            <w:r>
              <w:rPr>
                <w:webHidden/>
              </w:rPr>
            </w:r>
            <w:r>
              <w:rPr>
                <w:webHidden/>
              </w:rPr>
              <w:fldChar w:fldCharType="separate"/>
            </w:r>
            <w:r>
              <w:rPr>
                <w:webHidden/>
              </w:rPr>
              <w:t>10</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2689747" w:history="1">
            <w:r>
              <w:rPr>
                <w:rStyle w:val="Hyperlink"/>
                <w:rFonts w:ascii="Times New Roman" w:hAnsi="Times New Roman" w:cs="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cs="Times New Roman"/>
                <w:noProof/>
              </w:rPr>
              <w:t>Implementing rules in the institutions</w:t>
            </w:r>
            <w:r>
              <w:rPr>
                <w:noProof/>
                <w:webHidden/>
              </w:rPr>
              <w:tab/>
            </w:r>
            <w:r>
              <w:rPr>
                <w:noProof/>
                <w:webHidden/>
              </w:rPr>
              <w:fldChar w:fldCharType="begin"/>
            </w:r>
            <w:r>
              <w:rPr>
                <w:noProof/>
                <w:webHidden/>
              </w:rPr>
              <w:instrText xml:space="preserve"> PAGEREF _Toc232689747 \h </w:instrText>
            </w:r>
            <w:r>
              <w:rPr>
                <w:noProof/>
                <w:webHidden/>
              </w:rPr>
            </w:r>
            <w:r>
              <w:rPr>
                <w:noProof/>
                <w:webHidden/>
              </w:rPr>
              <w:fldChar w:fldCharType="separate"/>
            </w:r>
            <w:r>
              <w:rPr>
                <w:noProof/>
                <w:webHidden/>
              </w:rPr>
              <w:t>10</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2689748" w:history="1">
            <w:r>
              <w:rPr>
                <w:rStyle w:val="Hyperlink"/>
                <w:rFonts w:ascii="Times New Roman" w:hAnsi="Times New Roman" w:cs="Times New Roman"/>
                <w:noProof/>
              </w:rPr>
              <w:t>b)</w:t>
            </w:r>
            <w:r>
              <w:rPr>
                <w:rFonts w:eastAsiaTheme="minorEastAsia"/>
                <w:noProof/>
                <w:kern w:val="2"/>
                <w:sz w:val="24"/>
                <w:szCs w:val="24"/>
                <w:lang w:val="en-IE" w:eastAsia="en-IE"/>
                <w14:ligatures w14:val="standardContextual"/>
              </w:rPr>
              <w:tab/>
            </w:r>
            <w:r>
              <w:rPr>
                <w:rStyle w:val="Hyperlink"/>
                <w:rFonts w:ascii="Times New Roman" w:hAnsi="Times New Roman" w:cs="Times New Roman"/>
                <w:noProof/>
              </w:rPr>
              <w:t>Implementing rules in the executive agencies, decentralised agencies, and joint undertakings</w:t>
            </w:r>
            <w:r>
              <w:rPr>
                <w:noProof/>
                <w:webHidden/>
              </w:rPr>
              <w:tab/>
            </w:r>
            <w:r>
              <w:rPr>
                <w:noProof/>
                <w:webHidden/>
              </w:rPr>
              <w:fldChar w:fldCharType="begin"/>
            </w:r>
            <w:r>
              <w:rPr>
                <w:noProof/>
                <w:webHidden/>
              </w:rPr>
              <w:instrText xml:space="preserve"> PAGEREF _Toc232689748 \h </w:instrText>
            </w:r>
            <w:r>
              <w:rPr>
                <w:noProof/>
                <w:webHidden/>
              </w:rPr>
            </w:r>
            <w:r>
              <w:rPr>
                <w:noProof/>
                <w:webHidden/>
              </w:rPr>
              <w:fldChar w:fldCharType="separate"/>
            </w:r>
            <w:r>
              <w:rPr>
                <w:noProof/>
                <w:webHidden/>
              </w:rPr>
              <w:t>13</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2689749" w:history="1">
            <w:r>
              <w:rPr>
                <w:rStyle w:val="Hyperlink"/>
                <w:rFonts w:ascii="Times New Roman" w:hAnsi="Times New Roman" w:cs="Times New Roman"/>
              </w:rPr>
              <w:t>TITLE 3.</w:t>
            </w:r>
            <w:r>
              <w:rPr>
                <w:rFonts w:eastAsiaTheme="minorEastAsia"/>
                <w:b w:val="0"/>
                <w:kern w:val="2"/>
                <w:sz w:val="24"/>
                <w:szCs w:val="24"/>
                <w:lang w:val="en-IE" w:eastAsia="en-IE"/>
                <w14:ligatures w14:val="standardContextual"/>
              </w:rPr>
              <w:tab/>
            </w:r>
            <w:r>
              <w:rPr>
                <w:rStyle w:val="Hyperlink"/>
                <w:rFonts w:ascii="Times New Roman" w:hAnsi="Times New Roman" w:cs="Times New Roman"/>
              </w:rPr>
              <w:t>QUALITATIVE ASSESSMENT / COMPLIANCE</w:t>
            </w:r>
            <w:r>
              <w:rPr>
                <w:webHidden/>
              </w:rPr>
              <w:tab/>
            </w:r>
            <w:r>
              <w:rPr>
                <w:webHidden/>
              </w:rPr>
              <w:fldChar w:fldCharType="begin"/>
            </w:r>
            <w:r>
              <w:rPr>
                <w:webHidden/>
              </w:rPr>
              <w:instrText xml:space="preserve"> PAGEREF _Toc232689749 \h </w:instrText>
            </w:r>
            <w:r>
              <w:rPr>
                <w:webHidden/>
              </w:rPr>
            </w:r>
            <w:r>
              <w:rPr>
                <w:webHidden/>
              </w:rPr>
              <w:fldChar w:fldCharType="separate"/>
            </w:r>
            <w:r>
              <w:rPr>
                <w:webHidden/>
              </w:rPr>
              <w:t>15</w:t>
            </w:r>
            <w:r>
              <w:rPr>
                <w:webHidden/>
              </w:rPr>
              <w:fldChar w:fldCharType="end"/>
            </w:r>
          </w:hyperlink>
        </w:p>
        <w:p>
          <w:pPr>
            <w:pStyle w:val="TOC2"/>
            <w:rPr>
              <w:rFonts w:eastAsiaTheme="minorEastAsia"/>
              <w:noProof/>
              <w:kern w:val="2"/>
              <w:sz w:val="24"/>
              <w:szCs w:val="24"/>
              <w:lang w:val="en-IE" w:eastAsia="en-IE"/>
              <w14:ligatures w14:val="standardContextual"/>
            </w:rPr>
          </w:pPr>
          <w:hyperlink w:anchor="_Toc232689750" w:history="1">
            <w:r>
              <w:rPr>
                <w:rStyle w:val="Hyperlink"/>
                <w:rFonts w:ascii="Times New Roman" w:hAnsi="Times New Roman" w:cs="Times New Roman"/>
                <w:noProof/>
              </w:rPr>
              <w:t>a)</w:t>
            </w:r>
            <w:r>
              <w:rPr>
                <w:rFonts w:eastAsiaTheme="minorEastAsia"/>
                <w:noProof/>
                <w:kern w:val="2"/>
                <w:sz w:val="24"/>
                <w:szCs w:val="24"/>
                <w:lang w:val="en-IE" w:eastAsia="en-IE"/>
                <w14:ligatures w14:val="standardContextual"/>
              </w:rPr>
              <w:tab/>
            </w:r>
            <w:r>
              <w:rPr>
                <w:rStyle w:val="Hyperlink"/>
                <w:rFonts w:ascii="Times New Roman" w:hAnsi="Times New Roman" w:cs="Times New Roman"/>
                <w:noProof/>
              </w:rPr>
              <w:t>Compliance with the Staff Regulations and the Conditions of Employment of Other Servants</w:t>
            </w:r>
            <w:r>
              <w:rPr>
                <w:noProof/>
                <w:webHidden/>
              </w:rPr>
              <w:tab/>
            </w:r>
            <w:r>
              <w:rPr>
                <w:noProof/>
                <w:webHidden/>
              </w:rPr>
              <w:fldChar w:fldCharType="begin"/>
            </w:r>
            <w:r>
              <w:rPr>
                <w:noProof/>
                <w:webHidden/>
              </w:rPr>
              <w:instrText xml:space="preserve"> PAGEREF _Toc232689750 \h </w:instrText>
            </w:r>
            <w:r>
              <w:rPr>
                <w:noProof/>
                <w:webHidden/>
              </w:rPr>
            </w:r>
            <w:r>
              <w:rPr>
                <w:noProof/>
                <w:webHidden/>
              </w:rPr>
              <w:fldChar w:fldCharType="separate"/>
            </w:r>
            <w:r>
              <w:rPr>
                <w:noProof/>
                <w:webHidden/>
              </w:rPr>
              <w:t>15</w:t>
            </w:r>
            <w:r>
              <w:rPr>
                <w:noProof/>
                <w:webHidden/>
              </w:rPr>
              <w:fldChar w:fldCharType="end"/>
            </w:r>
          </w:hyperlink>
        </w:p>
        <w:p>
          <w:pPr>
            <w:pStyle w:val="TOC2"/>
            <w:rPr>
              <w:rFonts w:eastAsiaTheme="minorEastAsia"/>
              <w:noProof/>
              <w:kern w:val="2"/>
              <w:sz w:val="24"/>
              <w:szCs w:val="24"/>
              <w:lang w:val="en-IE" w:eastAsia="en-IE"/>
              <w14:ligatures w14:val="standardContextual"/>
            </w:rPr>
          </w:pPr>
          <w:hyperlink w:anchor="_Toc232689751" w:history="1">
            <w:r>
              <w:rPr>
                <w:rStyle w:val="Hyperlink"/>
                <w:rFonts w:ascii="Times New Roman" w:hAnsi="Times New Roman" w:cs="Times New Roman"/>
                <w:noProof/>
              </w:rPr>
              <w:t>b)</w:t>
            </w:r>
            <w:r>
              <w:rPr>
                <w:rFonts w:eastAsiaTheme="minorEastAsia"/>
                <w:noProof/>
                <w:kern w:val="2"/>
                <w:sz w:val="24"/>
                <w:szCs w:val="24"/>
                <w:lang w:val="en-IE" w:eastAsia="en-IE"/>
                <w14:ligatures w14:val="standardContextual"/>
              </w:rPr>
              <w:tab/>
            </w:r>
            <w:r>
              <w:rPr>
                <w:rStyle w:val="Hyperlink"/>
                <w:rFonts w:ascii="Times New Roman" w:hAnsi="Times New Roman" w:cs="Times New Roman"/>
                <w:noProof/>
              </w:rPr>
              <w:t>The register administered by the Court of Justice</w:t>
            </w:r>
            <w:r>
              <w:rPr>
                <w:noProof/>
                <w:webHidden/>
              </w:rPr>
              <w:tab/>
            </w:r>
            <w:r>
              <w:rPr>
                <w:noProof/>
                <w:webHidden/>
              </w:rPr>
              <w:fldChar w:fldCharType="begin"/>
            </w:r>
            <w:r>
              <w:rPr>
                <w:noProof/>
                <w:webHidden/>
              </w:rPr>
              <w:instrText xml:space="preserve"> PAGEREF _Toc232689751 \h </w:instrText>
            </w:r>
            <w:r>
              <w:rPr>
                <w:noProof/>
                <w:webHidden/>
              </w:rPr>
            </w:r>
            <w:r>
              <w:rPr>
                <w:noProof/>
                <w:webHidden/>
              </w:rPr>
              <w:fldChar w:fldCharType="separate"/>
            </w:r>
            <w:r>
              <w:rPr>
                <w:noProof/>
                <w:webHidden/>
              </w:rPr>
              <w:t>25</w:t>
            </w:r>
            <w:r>
              <w:rPr>
                <w:noProof/>
                <w:webHidden/>
              </w:rPr>
              <w:fldChar w:fldCharType="end"/>
            </w:r>
          </w:hyperlink>
        </w:p>
        <w:p>
          <w:pPr>
            <w:pStyle w:val="TOC1"/>
            <w:rPr>
              <w:rFonts w:eastAsiaTheme="minorEastAsia"/>
              <w:b w:val="0"/>
              <w:kern w:val="2"/>
              <w:sz w:val="24"/>
              <w:szCs w:val="24"/>
              <w:lang w:val="en-IE" w:eastAsia="en-IE"/>
              <w14:ligatures w14:val="standardContextual"/>
            </w:rPr>
          </w:pPr>
          <w:hyperlink w:anchor="_Toc232689752" w:history="1">
            <w:r>
              <w:rPr>
                <w:rStyle w:val="Hyperlink"/>
                <w:rFonts w:ascii="Times New Roman" w:hAnsi="Times New Roman" w:cs="Times New Roman"/>
              </w:rPr>
              <w:t>TITLE 4.</w:t>
            </w:r>
            <w:r>
              <w:rPr>
                <w:rFonts w:eastAsiaTheme="minorEastAsia"/>
                <w:b w:val="0"/>
                <w:kern w:val="2"/>
                <w:sz w:val="24"/>
                <w:szCs w:val="24"/>
                <w:lang w:val="en-IE" w:eastAsia="en-IE"/>
                <w14:ligatures w14:val="standardContextual"/>
              </w:rPr>
              <w:tab/>
            </w:r>
            <w:r>
              <w:rPr>
                <w:rStyle w:val="Hyperlink"/>
                <w:rFonts w:ascii="Times New Roman" w:hAnsi="Times New Roman" w:cs="Times New Roman"/>
              </w:rPr>
              <w:t>SUMMARY</w:t>
            </w:r>
            <w:r>
              <w:rPr>
                <w:webHidden/>
              </w:rPr>
              <w:tab/>
            </w:r>
            <w:r>
              <w:rPr>
                <w:webHidden/>
              </w:rPr>
              <w:fldChar w:fldCharType="begin"/>
            </w:r>
            <w:r>
              <w:rPr>
                <w:webHidden/>
              </w:rPr>
              <w:instrText xml:space="preserve"> PAGEREF _Toc232689752 \h </w:instrText>
            </w:r>
            <w:r>
              <w:rPr>
                <w:webHidden/>
              </w:rPr>
            </w:r>
            <w:r>
              <w:rPr>
                <w:webHidden/>
              </w:rPr>
              <w:fldChar w:fldCharType="separate"/>
            </w:r>
            <w:r>
              <w:rPr>
                <w:webHidden/>
              </w:rPr>
              <w:t>28</w:t>
            </w:r>
            <w:r>
              <w:rPr>
                <w:webHidden/>
              </w:rPr>
              <w:fldChar w:fldCharType="end"/>
            </w:r>
          </w:hyperlink>
        </w:p>
        <w:p>
          <w:pPr>
            <w:rPr>
              <w:rFonts w:ascii="Times New Roman" w:hAnsi="Times New Roman" w:cs="Times New Roman"/>
              <w:noProof/>
            </w:rPr>
          </w:pPr>
          <w:r>
            <w:rPr>
              <w:rFonts w:ascii="Times New Roman" w:hAnsi="Times New Roman" w:cs="Times New Roman"/>
              <w:b/>
              <w:bCs/>
              <w:noProof/>
            </w:rPr>
            <w:fldChar w:fldCharType="end"/>
          </w:r>
        </w:p>
      </w:sdtContent>
    </w:sdt>
    <w:p>
      <w:pPr>
        <w:rPr>
          <w:rFonts w:ascii="Times New Roman" w:hAnsi="Times New Roman" w:cs="Times New Roman"/>
          <w:b/>
          <w:noProof/>
          <w:sz w:val="24"/>
          <w:szCs w:val="24"/>
        </w:rPr>
      </w:pPr>
      <w:r>
        <w:rPr>
          <w:rFonts w:ascii="Times New Roman" w:hAnsi="Times New Roman" w:cs="Times New Roman"/>
          <w:b/>
          <w:noProof/>
          <w:sz w:val="24"/>
          <w:szCs w:val="24"/>
        </w:rPr>
        <w:br w:type="page"/>
      </w:r>
    </w:p>
    <w:p>
      <w:pPr>
        <w:pStyle w:val="Heading1"/>
        <w:rPr>
          <w:rFonts w:ascii="Times New Roman" w:hAnsi="Times New Roman" w:cs="Times New Roman"/>
          <w:noProof/>
        </w:rPr>
      </w:pPr>
      <w:bookmarkStart w:id="1" w:name="_Toc232689742"/>
      <w:r>
        <w:rPr>
          <w:rFonts w:ascii="Times New Roman" w:hAnsi="Times New Roman" w:cs="Times New Roman"/>
          <w:noProof/>
        </w:rPr>
        <w:lastRenderedPageBreak/>
        <w:t>TITLE 1.</w:t>
      </w:r>
      <w:r>
        <w:rPr>
          <w:rFonts w:ascii="Times New Roman" w:hAnsi="Times New Roman" w:cs="Times New Roman"/>
          <w:noProof/>
        </w:rPr>
        <w:tab/>
        <w:t>PRESENTATION OF IMPLEMENTING RULES</w:t>
      </w:r>
      <w:bookmarkEnd w:id="1"/>
    </w:p>
    <w:p>
      <w:pPr>
        <w:rPr>
          <w:rFonts w:ascii="Times New Roman" w:hAnsi="Times New Roman" w:cs="Times New Roman"/>
          <w:b/>
          <w:noProof/>
          <w:sz w:val="24"/>
          <w:szCs w:val="24"/>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t>MECHANISMS FOR ENSURING CONSISTENT APPLICATION OF THE STAFF REGULATIONS</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What is the system provided for by the Staff Regulations regarding their implementation?</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How do the Staff Regulations achieve a consistent application of their provisions?</w:t>
      </w:r>
    </w:p>
    <w:p>
      <w:pPr>
        <w:jc w:val="both"/>
        <w:rPr>
          <w:rFonts w:ascii="Times New Roman" w:hAnsi="Times New Roman" w:cs="Times New Roman"/>
          <w:noProof/>
          <w:sz w:val="24"/>
          <w:szCs w:val="24"/>
        </w:rPr>
      </w:pPr>
      <w:r>
        <w:rPr>
          <w:rFonts w:ascii="Times New Roman" w:hAnsi="Times New Roman" w:cs="Times New Roman"/>
          <w:noProof/>
          <w:sz w:val="24"/>
          <w:szCs w:val="24"/>
        </w:rPr>
        <w:t>This title presents the different types of rules implementing the Staff Regulations and the CEOS within the meaning of Article 110(6) of the Staff Regulations.</w:t>
      </w:r>
    </w:p>
    <w:p>
      <w:pPr>
        <w:jc w:val="both"/>
        <w:rPr>
          <w:rFonts w:ascii="Times New Roman" w:hAnsi="Times New Roman" w:cs="Times New Roman"/>
          <w:noProof/>
          <w:sz w:val="24"/>
          <w:szCs w:val="24"/>
        </w:rPr>
      </w:pPr>
      <w:r>
        <w:rPr>
          <w:rFonts w:ascii="Times New Roman" w:hAnsi="Times New Roman" w:cs="Times New Roman"/>
          <w:noProof/>
          <w:sz w:val="24"/>
          <w:szCs w:val="24"/>
        </w:rPr>
        <w:t>A general feature of all these rules is that they do not concern the general public. Therefore, they are not the subject of publication in the Official Journal of the European Union. However, in order to be enforceable towards staff concerned, the rules have to be brought to the attention of staff according to Article 110(4) of the Staff Regulations.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It should be noted from the outset that the legislative framework has remained unchanged since 2014. As the co-legislators have not introduced new types of implementing rules, the present report will follow the same presentational structure as the previous two reports. </w:t>
      </w:r>
    </w:p>
    <w:p>
      <w:pPr>
        <w:jc w:val="both"/>
        <w:rPr>
          <w:rFonts w:ascii="Times New Roman" w:hAnsi="Times New Roman" w:cs="Times New Roman"/>
          <w:noProof/>
          <w:sz w:val="24"/>
          <w:szCs w:val="24"/>
        </w:rPr>
      </w:pPr>
      <w:r>
        <w:rPr>
          <w:rFonts w:ascii="Times New Roman" w:hAnsi="Times New Roman" w:cs="Times New Roman"/>
          <w:noProof/>
          <w:sz w:val="24"/>
          <w:szCs w:val="24"/>
        </w:rPr>
        <w:t>The following rules fall within the scope of the report:</w:t>
      </w:r>
      <w:r>
        <w:rPr>
          <w:rStyle w:val="FootnoteReference"/>
          <w:rFonts w:ascii="Times New Roman" w:hAnsi="Times New Roman" w:cs="Times New Roman"/>
          <w:noProof/>
          <w:sz w:val="24"/>
          <w:szCs w:val="24"/>
        </w:rPr>
        <w:footnoteReference w:id="9"/>
      </w:r>
      <w:r>
        <w:rPr>
          <w:rStyle w:val="FootnoteReference"/>
          <w:rFonts w:ascii="Times New Roman" w:hAnsi="Times New Roman" w:cs="Times New Roman"/>
          <w:noProof/>
          <w:sz w:val="24"/>
          <w:szCs w:val="24"/>
        </w:rPr>
        <w:footnoteReference w:id="10"/>
      </w:r>
    </w:p>
    <w:p>
      <w:pPr>
        <w:pStyle w:val="Heading2"/>
        <w:spacing w:before="360" w:after="240"/>
        <w:rPr>
          <w:rFonts w:ascii="Times New Roman" w:hAnsi="Times New Roman" w:cs="Times New Roman"/>
          <w:noProof/>
        </w:rPr>
      </w:pPr>
      <w:bookmarkStart w:id="2" w:name="_Toc232689743"/>
      <w:r>
        <w:rPr>
          <w:rFonts w:ascii="Times New Roman" w:hAnsi="Times New Roman" w:cs="Times New Roman"/>
          <w:noProof/>
        </w:rPr>
        <w:t>a)</w:t>
      </w:r>
      <w:r>
        <w:rPr>
          <w:rFonts w:ascii="Times New Roman" w:hAnsi="Times New Roman" w:cs="Times New Roman"/>
          <w:noProof/>
        </w:rPr>
        <w:tab/>
        <w:t>Rules adopted by agreement between the institutions of the Union ("Règles arrêtées d'un commun accord")</w:t>
      </w:r>
      <w:bookmarkEnd w:id="2"/>
    </w:p>
    <w:p>
      <w:pPr>
        <w:jc w:val="both"/>
        <w:rPr>
          <w:rFonts w:ascii="Times New Roman" w:hAnsi="Times New Roman" w:cs="Times New Roman"/>
          <w:noProof/>
          <w:sz w:val="24"/>
          <w:szCs w:val="24"/>
        </w:rPr>
      </w:pPr>
      <w:r>
        <w:rPr>
          <w:rFonts w:ascii="Times New Roman" w:hAnsi="Times New Roman" w:cs="Times New Roman"/>
          <w:noProof/>
          <w:sz w:val="24"/>
          <w:szCs w:val="24"/>
        </w:rPr>
        <w:t>The Staff Regulations and the CEOS provide, for the application of certain provisions, for the adoption of rules by agreement between the institutions of the Union.</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This concerns the following subject matters:</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lastRenderedPageBreak/>
        <w:t>Staff Regulations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bCs/>
          <w:noProof/>
          <w:sz w:val="20"/>
          <w:szCs w:val="20"/>
        </w:rPr>
        <w:t>Article 9</w:t>
      </w:r>
      <w:r>
        <w:rPr>
          <w:rFonts w:ascii="Times New Roman" w:hAnsi="Times New Roman" w:cs="Times New Roman"/>
          <w:noProof/>
          <w:sz w:val="20"/>
          <w:szCs w:val="20"/>
        </w:rPr>
        <w:t xml:space="preserve"> + Annex II, Article 2</w:t>
      </w:r>
      <w:r>
        <w:rPr>
          <w:rFonts w:ascii="Times New Roman" w:hAnsi="Times New Roman" w:cs="Times New Roman"/>
          <w:noProof/>
          <w:sz w:val="20"/>
          <w:szCs w:val="20"/>
        </w:rPr>
        <w:tab/>
        <w:t>Procedure for instituting the common Joint Committee (COPARCO)</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10(1)</w:t>
      </w:r>
      <w:r>
        <w:rPr>
          <w:rFonts w:ascii="Times New Roman" w:hAnsi="Times New Roman" w:cs="Times New Roman"/>
          <w:noProof/>
          <w:sz w:val="20"/>
          <w:szCs w:val="20"/>
        </w:rPr>
        <w:tab/>
      </w:r>
      <w:r>
        <w:rPr>
          <w:rFonts w:ascii="Times New Roman" w:hAnsi="Times New Roman" w:cs="Times New Roman"/>
          <w:noProof/>
          <w:sz w:val="20"/>
          <w:szCs w:val="20"/>
        </w:rPr>
        <w:tab/>
        <w:t xml:space="preserve"> </w:t>
      </w:r>
      <w:r>
        <w:rPr>
          <w:rFonts w:ascii="Times New Roman" w:hAnsi="Times New Roman" w:cs="Times New Roman"/>
          <w:noProof/>
          <w:sz w:val="20"/>
          <w:szCs w:val="20"/>
        </w:rPr>
        <w:tab/>
        <w:t>Procedure for appointing members of the Staff Regulations Committee</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cs="Times New Roman"/>
          <w:noProof/>
          <w:sz w:val="20"/>
          <w:szCs w:val="20"/>
        </w:rPr>
        <w:t>Article 37(b)</w:t>
      </w:r>
      <w:r>
        <w:rPr>
          <w:rFonts w:ascii="Times New Roman" w:hAnsi="Times New Roman" w:cs="Times New Roman"/>
          <w:noProof/>
          <w:sz w:val="20"/>
          <w:szCs w:val="20"/>
        </w:rPr>
        <w:tab/>
        <w:t>Common rules on establishment of a list of organisations devoted to furthering the Union's interests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45(2)</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Ability to work in a third language before the first promotion</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57</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Annual leave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61</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List of public holidays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72(1)</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Sickness insurance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73(1)</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Insurance against risk of occupational disease or accidents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cs="Times New Roman"/>
          <w:noProof/>
          <w:sz w:val="20"/>
          <w:szCs w:val="20"/>
        </w:rPr>
        <w:t>Article 76a</w:t>
      </w:r>
      <w:r>
        <w:rPr>
          <w:rFonts w:ascii="Times New Roman" w:hAnsi="Times New Roman" w:cs="Times New Roman"/>
          <w:noProof/>
          <w:sz w:val="20"/>
          <w:szCs w:val="20"/>
        </w:rPr>
        <w:tab/>
        <w:t>Financial aid increasing the pension of a surviving spouse who has a serious or protracted illness or who is disabled</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Annex VII, Article 17(2)</w:t>
      </w:r>
      <w:r>
        <w:rPr>
          <w:rFonts w:ascii="Times New Roman" w:hAnsi="Times New Roman" w:cs="Times New Roman"/>
          <w:noProof/>
          <w:sz w:val="20"/>
          <w:szCs w:val="20"/>
        </w:rPr>
        <w:tab/>
      </w:r>
      <w:r>
        <w:rPr>
          <w:rFonts w:ascii="Times New Roman" w:hAnsi="Times New Roman" w:cs="Times New Roman"/>
          <w:noProof/>
          <w:sz w:val="20"/>
          <w:szCs w:val="20"/>
        </w:rPr>
        <w:tab/>
        <w:t>Special regular transfer of part of the remuneration</w:t>
      </w:r>
    </w:p>
    <w:p>
      <w:pPr>
        <w:pBdr>
          <w:top w:val="single" w:sz="4" w:space="1" w:color="auto"/>
          <w:left w:val="single" w:sz="4" w:space="4" w:color="auto"/>
          <w:bottom w:val="single" w:sz="4" w:space="1" w:color="auto"/>
          <w:right w:val="single" w:sz="4" w:space="4" w:color="auto"/>
        </w:pBdr>
        <w:ind w:left="1440" w:hanging="1440"/>
        <w:jc w:val="center"/>
        <w:rPr>
          <w:rFonts w:ascii="Times New Roman" w:hAnsi="Times New Roman" w:cs="Times New Roman"/>
          <w:b/>
          <w:i/>
          <w:noProof/>
          <w:sz w:val="24"/>
          <w:szCs w:val="24"/>
        </w:rPr>
      </w:pPr>
      <w:r>
        <w:rPr>
          <w:rFonts w:ascii="Times New Roman" w:hAnsi="Times New Roman" w:cs="Times New Roman"/>
          <w:b/>
          <w:i/>
          <w:noProof/>
          <w:sz w:val="24"/>
          <w:szCs w:val="24"/>
        </w:rPr>
        <w:t>Conditions of Employment of Other Servants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4"/>
          <w:szCs w:val="24"/>
        </w:rPr>
      </w:pPr>
      <w:r>
        <w:rPr>
          <w:rFonts w:ascii="Times New Roman" w:hAnsi="Times New Roman" w:cs="Times New Roman"/>
          <w:noProof/>
          <w:sz w:val="20"/>
          <w:szCs w:val="20"/>
        </w:rPr>
        <w:t>Article 28a(10)</w:t>
      </w:r>
      <w:r>
        <w:rPr>
          <w:rFonts w:ascii="Times New Roman" w:hAnsi="Times New Roman" w:cs="Times New Roman"/>
          <w:noProof/>
          <w:sz w:val="20"/>
          <w:szCs w:val="20"/>
        </w:rPr>
        <w:tab/>
        <w:t>Detailed arrangements for the provisions on granting an unemployment allowance to temporary staff</w:t>
      </w:r>
    </w:p>
    <w:p>
      <w:pPr>
        <w:pStyle w:val="Heading2"/>
        <w:spacing w:before="360" w:after="240"/>
        <w:rPr>
          <w:rFonts w:ascii="Times New Roman" w:hAnsi="Times New Roman" w:cs="Times New Roman"/>
          <w:noProof/>
          <w:lang w:val="fr-FR"/>
        </w:rPr>
      </w:pPr>
      <w:bookmarkStart w:id="3" w:name="_Toc232689744"/>
      <w:r>
        <w:rPr>
          <w:rFonts w:ascii="Times New Roman" w:hAnsi="Times New Roman" w:cs="Times New Roman"/>
          <w:noProof/>
          <w:lang w:val="fr-FR"/>
        </w:rPr>
        <w:t>b)</w:t>
      </w:r>
      <w:r>
        <w:rPr>
          <w:rFonts w:ascii="Times New Roman" w:hAnsi="Times New Roman" w:cs="Times New Roman"/>
          <w:noProof/>
          <w:lang w:val="fr-FR"/>
        </w:rPr>
        <w:tab/>
        <w:t>General implementing provisions ("Dispositions générales d'exécution")</w:t>
      </w:r>
      <w:bookmarkEnd w:id="3"/>
    </w:p>
    <w:p>
      <w:pPr>
        <w:jc w:val="both"/>
        <w:rPr>
          <w:rFonts w:ascii="Times New Roman" w:hAnsi="Times New Roman" w:cs="Times New Roman"/>
          <w:noProof/>
          <w:sz w:val="24"/>
          <w:szCs w:val="24"/>
        </w:rPr>
      </w:pPr>
      <w:r>
        <w:rPr>
          <w:rFonts w:ascii="Times New Roman" w:hAnsi="Times New Roman" w:cs="Times New Roman"/>
          <w:noProof/>
          <w:sz w:val="24"/>
          <w:szCs w:val="24"/>
        </w:rPr>
        <w:t>The Staff Regulations and the CEOS grant specific empowerments to the appointing authority and the authority authorised to conclude contracts of employment, respectively, to adopt general</w:t>
      </w:r>
      <w:r>
        <w:rPr>
          <w:rFonts w:ascii="Times New Roman" w:hAnsi="Times New Roman" w:cs="Times New Roman"/>
          <w:i/>
          <w:noProof/>
          <w:sz w:val="24"/>
          <w:szCs w:val="24"/>
        </w:rPr>
        <w:t xml:space="preserve"> </w:t>
      </w:r>
      <w:r>
        <w:rPr>
          <w:rFonts w:ascii="Times New Roman" w:hAnsi="Times New Roman" w:cs="Times New Roman"/>
          <w:noProof/>
          <w:sz w:val="24"/>
          <w:szCs w:val="24"/>
        </w:rPr>
        <w:t>implementing provisions</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This concerns the following subject matters:</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t>Staff Regulations</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cs="Times New Roman"/>
          <w:noProof/>
          <w:sz w:val="20"/>
          <w:szCs w:val="20"/>
        </w:rPr>
        <w:t>Article 27(2)</w:t>
      </w:r>
      <w:r>
        <w:rPr>
          <w:rFonts w:ascii="Times New Roman" w:hAnsi="Times New Roman" w:cs="Times New Roman"/>
          <w:noProof/>
          <w:sz w:val="20"/>
          <w:szCs w:val="20"/>
        </w:rPr>
        <w:tab/>
        <w:t>Appropriate measures following the observation of a significant imbalance between nationalities among officials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32(2)</w:t>
      </w:r>
      <w:r>
        <w:rPr>
          <w:rFonts w:ascii="Times New Roman" w:hAnsi="Times New Roman" w:cs="Times New Roman"/>
          <w:noProof/>
          <w:sz w:val="20"/>
          <w:szCs w:val="20"/>
        </w:rPr>
        <w:tab/>
      </w:r>
      <w:r>
        <w:rPr>
          <w:rFonts w:ascii="Times New Roman" w:hAnsi="Times New Roman" w:cs="Times New Roman"/>
          <w:noProof/>
          <w:sz w:val="20"/>
          <w:szCs w:val="20"/>
        </w:rPr>
        <w:tab/>
        <w:t>Classification in step upon recruitment</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42a</w:t>
      </w:r>
      <w:r>
        <w:rPr>
          <w:rFonts w:ascii="Times New Roman" w:hAnsi="Times New Roman" w:cs="Times New Roman"/>
          <w:noProof/>
          <w:sz w:val="20"/>
          <w:szCs w:val="20"/>
        </w:rPr>
        <w:tab/>
      </w:r>
      <w:r>
        <w:rPr>
          <w:rFonts w:ascii="Times New Roman" w:hAnsi="Times New Roman" w:cs="Times New Roman"/>
          <w:noProof/>
          <w:sz w:val="20"/>
          <w:szCs w:val="20"/>
        </w:rPr>
        <w:tab/>
        <w:t>Parental leave, single parents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43</w:t>
      </w:r>
      <w:r>
        <w:rPr>
          <w:rFonts w:ascii="Times New Roman" w:hAnsi="Times New Roman" w:cs="Times New Roman"/>
          <w:noProof/>
          <w:sz w:val="20"/>
          <w:szCs w:val="20"/>
        </w:rPr>
        <w:tab/>
      </w:r>
      <w:r>
        <w:rPr>
          <w:rFonts w:ascii="Times New Roman" w:hAnsi="Times New Roman" w:cs="Times New Roman"/>
          <w:noProof/>
          <w:sz w:val="20"/>
          <w:szCs w:val="20"/>
        </w:rPr>
        <w:tab/>
        <w:t>Annual report on ability, efficiency and conduct in the service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45a(5)</w:t>
      </w:r>
      <w:r>
        <w:rPr>
          <w:rFonts w:ascii="Times New Roman" w:hAnsi="Times New Roman" w:cs="Times New Roman"/>
          <w:noProof/>
          <w:sz w:val="20"/>
          <w:szCs w:val="20"/>
        </w:rPr>
        <w:tab/>
      </w:r>
      <w:r>
        <w:rPr>
          <w:rFonts w:ascii="Times New Roman" w:hAnsi="Times New Roman" w:cs="Times New Roman"/>
          <w:noProof/>
          <w:sz w:val="20"/>
          <w:szCs w:val="20"/>
        </w:rPr>
        <w:tab/>
        <w:t>Appointment of an AST official to an AD post (‘certification’)</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72(1)</w:t>
      </w:r>
      <w:r>
        <w:rPr>
          <w:rFonts w:ascii="Times New Roman" w:hAnsi="Times New Roman" w:cs="Times New Roman"/>
          <w:noProof/>
          <w:sz w:val="20"/>
          <w:szCs w:val="20"/>
        </w:rPr>
        <w:tab/>
      </w:r>
      <w:r>
        <w:rPr>
          <w:rFonts w:ascii="Times New Roman" w:hAnsi="Times New Roman" w:cs="Times New Roman"/>
          <w:noProof/>
          <w:sz w:val="20"/>
          <w:szCs w:val="20"/>
        </w:rPr>
        <w:tab/>
        <w:t>Reimbursement of medical expenses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VII, Article 3(1)</w:t>
      </w:r>
      <w:r>
        <w:rPr>
          <w:rFonts w:ascii="Times New Roman" w:hAnsi="Times New Roman" w:cs="Times New Roman"/>
          <w:noProof/>
          <w:sz w:val="20"/>
          <w:szCs w:val="20"/>
        </w:rPr>
        <w:tab/>
        <w:t>Education allowance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lastRenderedPageBreak/>
        <w:t>Annex VII, Article 9(1)</w:t>
      </w:r>
      <w:r>
        <w:rPr>
          <w:rFonts w:ascii="Times New Roman" w:hAnsi="Times New Roman" w:cs="Times New Roman"/>
          <w:noProof/>
          <w:sz w:val="20"/>
          <w:szCs w:val="20"/>
        </w:rPr>
        <w:tab/>
        <w:t>Removal expenses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VII, Article 13a</w:t>
      </w:r>
      <w:r>
        <w:rPr>
          <w:rFonts w:ascii="Times New Roman" w:hAnsi="Times New Roman" w:cs="Times New Roman"/>
          <w:noProof/>
          <w:sz w:val="20"/>
          <w:szCs w:val="20"/>
        </w:rPr>
        <w:tab/>
        <w:t>Missions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VII, Article 13(2)(b)  Scale for missions in third countries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VIII, Article 11(2)</w:t>
      </w:r>
      <w:r>
        <w:rPr>
          <w:rFonts w:ascii="Times New Roman" w:hAnsi="Times New Roman" w:cs="Times New Roman"/>
          <w:noProof/>
          <w:sz w:val="20"/>
          <w:szCs w:val="20"/>
        </w:rPr>
        <w:tab/>
        <w:t xml:space="preserve">Transfer IN of pension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IX, Article 2(3)</w:t>
      </w:r>
      <w:r>
        <w:rPr>
          <w:rFonts w:ascii="Times New Roman" w:hAnsi="Times New Roman" w:cs="Times New Roman"/>
          <w:noProof/>
          <w:sz w:val="20"/>
          <w:szCs w:val="20"/>
        </w:rPr>
        <w:tab/>
        <w:t>Administrative enquiries</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cs="Times New Roman"/>
          <w:noProof/>
          <w:sz w:val="20"/>
          <w:szCs w:val="20"/>
        </w:rPr>
        <w:t>Annex X, Article 3</w:t>
      </w:r>
      <w:r>
        <w:rPr>
          <w:rStyle w:val="FootnoteReference"/>
          <w:rFonts w:ascii="Times New Roman" w:hAnsi="Times New Roman" w:cs="Times New Roman"/>
          <w:noProof/>
          <w:sz w:val="20"/>
          <w:szCs w:val="20"/>
        </w:rPr>
        <w:footnoteReference w:id="13"/>
      </w:r>
      <w:r>
        <w:rPr>
          <w:rFonts w:ascii="Times New Roman" w:hAnsi="Times New Roman" w:cs="Times New Roman"/>
          <w:noProof/>
          <w:sz w:val="20"/>
          <w:szCs w:val="20"/>
        </w:rPr>
        <w:tab/>
        <w:t>Exceptional application of Annex X to officials temporarily reassigned to Headquarters</w:t>
      </w:r>
    </w:p>
    <w:p>
      <w:pPr>
        <w:pBdr>
          <w:top w:val="single" w:sz="4" w:space="1" w:color="auto"/>
          <w:left w:val="single" w:sz="4" w:space="4" w:color="auto"/>
          <w:bottom w:val="single" w:sz="4" w:space="1" w:color="auto"/>
          <w:right w:val="single" w:sz="4" w:space="4" w:color="auto"/>
        </w:pBdr>
        <w:ind w:left="1440" w:hanging="1440"/>
        <w:jc w:val="center"/>
        <w:rPr>
          <w:rFonts w:ascii="Times New Roman" w:hAnsi="Times New Roman" w:cs="Times New Roman"/>
          <w:b/>
          <w:i/>
          <w:noProof/>
          <w:sz w:val="24"/>
          <w:szCs w:val="24"/>
        </w:rPr>
      </w:pPr>
      <w:r>
        <w:rPr>
          <w:rFonts w:ascii="Times New Roman" w:hAnsi="Times New Roman" w:cs="Times New Roman"/>
          <w:b/>
          <w:i/>
          <w:noProof/>
          <w:sz w:val="24"/>
          <w:szCs w:val="24"/>
        </w:rPr>
        <w:t>Conditions of Employment of Other Servants</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cs="Times New Roman"/>
          <w:noProof/>
          <w:sz w:val="20"/>
          <w:szCs w:val="20"/>
        </w:rPr>
        <w:t>Article 12(1)</w:t>
      </w:r>
      <w:r>
        <w:rPr>
          <w:rFonts w:ascii="Times New Roman" w:hAnsi="Times New Roman" w:cs="Times New Roman"/>
          <w:noProof/>
          <w:sz w:val="20"/>
          <w:szCs w:val="20"/>
        </w:rPr>
        <w:tab/>
        <w:t>Appropriate measures following the observation of a significant imbalance between nationalities among temporary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12(5)</w:t>
      </w:r>
      <w:r>
        <w:rPr>
          <w:rFonts w:ascii="Times New Roman" w:hAnsi="Times New Roman" w:cs="Times New Roman"/>
          <w:noProof/>
          <w:sz w:val="20"/>
          <w:szCs w:val="20"/>
        </w:rPr>
        <w:tab/>
      </w:r>
      <w:r>
        <w:rPr>
          <w:rFonts w:ascii="Times New Roman" w:hAnsi="Times New Roman" w:cs="Times New Roman"/>
          <w:noProof/>
          <w:sz w:val="20"/>
          <w:szCs w:val="20"/>
        </w:rPr>
        <w:tab/>
        <w:t>Procedures for recruitment of temporary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54</w:t>
      </w:r>
      <w:r>
        <w:rPr>
          <w:rFonts w:ascii="Times New Roman" w:hAnsi="Times New Roman" w:cs="Times New Roman"/>
          <w:noProof/>
          <w:sz w:val="20"/>
          <w:szCs w:val="20"/>
        </w:rPr>
        <w:tab/>
      </w:r>
      <w:r>
        <w:rPr>
          <w:rFonts w:ascii="Times New Roman" w:hAnsi="Times New Roman" w:cs="Times New Roman"/>
          <w:noProof/>
          <w:sz w:val="20"/>
          <w:szCs w:val="20"/>
        </w:rPr>
        <w:tab/>
        <w:t>Reclassification of temporary staff referred to in Article 2(f)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56</w:t>
      </w:r>
      <w:r>
        <w:rPr>
          <w:rFonts w:ascii="Times New Roman" w:hAnsi="Times New Roman" w:cs="Times New Roman"/>
          <w:noProof/>
          <w:sz w:val="20"/>
          <w:szCs w:val="20"/>
        </w:rPr>
        <w:tab/>
      </w:r>
      <w:r>
        <w:rPr>
          <w:rFonts w:ascii="Times New Roman" w:hAnsi="Times New Roman" w:cs="Times New Roman"/>
          <w:noProof/>
          <w:sz w:val="20"/>
          <w:szCs w:val="20"/>
        </w:rPr>
        <w:tab/>
        <w:t>Engagement and use of temporary staff referred to in Article 2(f)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79</w:t>
      </w:r>
      <w:r>
        <w:rPr>
          <w:rFonts w:ascii="Times New Roman" w:hAnsi="Times New Roman" w:cs="Times New Roman"/>
          <w:noProof/>
          <w:sz w:val="20"/>
          <w:szCs w:val="20"/>
        </w:rPr>
        <w:tab/>
      </w:r>
      <w:r>
        <w:rPr>
          <w:rFonts w:ascii="Times New Roman" w:hAnsi="Times New Roman" w:cs="Times New Roman"/>
          <w:noProof/>
          <w:sz w:val="20"/>
          <w:szCs w:val="20"/>
        </w:rPr>
        <w:tab/>
        <w:t>Use of contract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82(6)</w:t>
      </w:r>
      <w:r>
        <w:rPr>
          <w:rFonts w:ascii="Times New Roman" w:hAnsi="Times New Roman" w:cs="Times New Roman"/>
          <w:noProof/>
          <w:sz w:val="20"/>
          <w:szCs w:val="20"/>
        </w:rPr>
        <w:tab/>
      </w:r>
      <w:r>
        <w:rPr>
          <w:rFonts w:ascii="Times New Roman" w:hAnsi="Times New Roman" w:cs="Times New Roman"/>
          <w:noProof/>
          <w:sz w:val="20"/>
          <w:szCs w:val="20"/>
        </w:rPr>
        <w:tab/>
        <w:t>Engagement of contract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86(1)</w:t>
      </w:r>
      <w:r>
        <w:rPr>
          <w:rFonts w:ascii="Times New Roman" w:hAnsi="Times New Roman" w:cs="Times New Roman"/>
          <w:noProof/>
          <w:sz w:val="20"/>
          <w:szCs w:val="20"/>
        </w:rPr>
        <w:tab/>
      </w:r>
      <w:r>
        <w:rPr>
          <w:rFonts w:ascii="Times New Roman" w:hAnsi="Times New Roman" w:cs="Times New Roman"/>
          <w:noProof/>
          <w:sz w:val="20"/>
          <w:szCs w:val="20"/>
        </w:rPr>
        <w:tab/>
        <w:t>Grading of contract staff</w:t>
      </w:r>
    </w:p>
    <w:p>
      <w:pPr>
        <w:jc w:val="both"/>
        <w:rPr>
          <w:rFonts w:ascii="Times New Roman" w:hAnsi="Times New Roman" w:cs="Times New Roman"/>
          <w:noProof/>
          <w:sz w:val="24"/>
          <w:szCs w:val="24"/>
        </w:rPr>
      </w:pPr>
      <w:r>
        <w:rPr>
          <w:rFonts w:ascii="Times New Roman" w:hAnsi="Times New Roman" w:cs="Times New Roman"/>
          <w:noProof/>
          <w:sz w:val="24"/>
          <w:szCs w:val="24"/>
        </w:rPr>
        <w:t>Unlike in the case of rules adopted by agreement between the institutions, the content of general implementing provisions is determined by each institution</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according to the principle of autonomy of each institution as an employer as recognised by Article 13(2) of the Treaty on European Union and Article 298 of the Treaty of the Functioning of the European Union.</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rPr>
        <w:t>General implementing provisions</w:t>
      </w:r>
      <w:r>
        <w:rPr>
          <w:rFonts w:ascii="Times New Roman" w:hAnsi="Times New Roman" w:cs="Times New Roman"/>
          <w:i/>
          <w:noProof/>
          <w:sz w:val="24"/>
          <w:szCs w:val="24"/>
        </w:rPr>
        <w:t xml:space="preserve"> </w:t>
      </w:r>
      <w:r>
        <w:rPr>
          <w:rFonts w:ascii="Times New Roman" w:hAnsi="Times New Roman" w:cs="Times New Roman"/>
          <w:noProof/>
          <w:sz w:val="24"/>
          <w:szCs w:val="24"/>
        </w:rPr>
        <w:t>are adopted by the competent authority of each institution after consulting the Staff Committee and the Staff Regulations Committee, pursuant to Article 110(1) of the Staff Regulations and Article 141, first subparagraph, of the CEOS.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Article 142 of the CEOS stipulates that general implementing provisions, referred to in Article 110 of the Staff Regulations, apply to servants covered by the CEOS, where by virtue of the CEOS, the provisions of the Staff Regulations apply to those servants.</w:t>
      </w:r>
    </w:p>
    <w:p>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According to the jurisprudence of the European Court of Justice, </w:t>
      </w:r>
      <w:r>
        <w:rPr>
          <w:rFonts w:ascii="Times New Roman" w:hAnsi="Times New Roman" w:cs="Times New Roman"/>
          <w:noProof/>
          <w:color w:val="000000"/>
          <w:sz w:val="24"/>
          <w:szCs w:val="24"/>
        </w:rPr>
        <w:t>the expression “general implementing provisions” in Article 110(1) of the Staff Regulations refers, first and foremost, to general implementing provisions expressly provided for by certain special provisions of the Staff Regulations. However, in exceptional circumstances, an obligation to adopt implementing rules subject to the procedural requirements of Article 110(1) of the Staff Regulations may arise also when the Staff Regulations do not expressly stipulate for the adoption of general implementing provisions. According to the Court, this could namely be the case “</w:t>
      </w:r>
      <w:r>
        <w:rPr>
          <w:rFonts w:ascii="Times New Roman" w:hAnsi="Times New Roman" w:cs="Times New Roman"/>
          <w:i/>
          <w:noProof/>
          <w:color w:val="000000"/>
          <w:sz w:val="24"/>
          <w:szCs w:val="24"/>
        </w:rPr>
        <w:t>where the provisions of the Staff Regulations are so unclear and imprecise that any application of them must be arbitrary.</w:t>
      </w:r>
      <w:r>
        <w:rPr>
          <w:rFonts w:ascii="Times New Roman" w:hAnsi="Times New Roman" w:cs="Times New Roman"/>
          <w:noProof/>
          <w:color w:val="000000"/>
          <w:sz w:val="24"/>
          <w:szCs w:val="24"/>
        </w:rPr>
        <w:t>”</w:t>
      </w:r>
      <w:r>
        <w:rPr>
          <w:rStyle w:val="FootnoteReference"/>
          <w:rFonts w:ascii="Times New Roman" w:hAnsi="Times New Roman" w:cs="Times New Roman"/>
          <w:noProof/>
          <w:color w:val="000000"/>
          <w:sz w:val="24"/>
          <w:szCs w:val="24"/>
        </w:rPr>
        <w:footnoteReference w:id="17"/>
      </w:r>
      <w:r>
        <w:rPr>
          <w:rFonts w:ascii="Times New Roman" w:hAnsi="Times New Roman" w:cs="Times New Roman"/>
          <w:noProof/>
          <w:color w:val="000000"/>
          <w:sz w:val="24"/>
          <w:szCs w:val="24"/>
        </w:rPr>
        <w:t xml:space="preserve"> </w:t>
      </w:r>
    </w:p>
    <w:p>
      <w:pPr>
        <w:pStyle w:val="Heading2"/>
        <w:spacing w:before="360" w:after="240"/>
        <w:rPr>
          <w:rFonts w:ascii="Times New Roman" w:hAnsi="Times New Roman" w:cs="Times New Roman"/>
          <w:noProof/>
        </w:rPr>
      </w:pPr>
      <w:bookmarkStart w:id="4" w:name="_Toc232689745"/>
      <w:r>
        <w:rPr>
          <w:rFonts w:ascii="Times New Roman" w:hAnsi="Times New Roman" w:cs="Times New Roman"/>
          <w:noProof/>
        </w:rPr>
        <w:t>c)</w:t>
      </w:r>
      <w:r>
        <w:rPr>
          <w:rFonts w:ascii="Times New Roman" w:hAnsi="Times New Roman" w:cs="Times New Roman"/>
          <w:noProof/>
        </w:rPr>
        <w:tab/>
        <w:t>Other implementing rules</w:t>
      </w:r>
      <w:bookmarkEnd w:id="4"/>
    </w:p>
    <w:p>
      <w:pPr>
        <w:jc w:val="both"/>
        <w:rPr>
          <w:rFonts w:ascii="Times New Roman" w:hAnsi="Times New Roman" w:cs="Times New Roman"/>
          <w:noProof/>
          <w:sz w:val="24"/>
          <w:szCs w:val="24"/>
        </w:rPr>
      </w:pPr>
      <w:r>
        <w:rPr>
          <w:rFonts w:ascii="Times New Roman" w:hAnsi="Times New Roman" w:cs="Times New Roman"/>
          <w:noProof/>
          <w:sz w:val="24"/>
          <w:szCs w:val="24"/>
        </w:rPr>
        <w:t>The Staff Regulations and the CEOS also expressly provide for empowerments for the appointing authority of each institution and the authority authorised to conclude contracts of employment of each institution, respectively</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to adopt other implementing rules, without further specifying the procedure for adoption.</w:t>
      </w:r>
    </w:p>
    <w:p>
      <w:pPr>
        <w:jc w:val="both"/>
        <w:rPr>
          <w:rFonts w:ascii="Times New Roman" w:hAnsi="Times New Roman" w:cs="Times New Roman"/>
          <w:noProof/>
          <w:sz w:val="24"/>
          <w:szCs w:val="24"/>
        </w:rPr>
      </w:pPr>
      <w:r>
        <w:rPr>
          <w:rFonts w:ascii="Times New Roman" w:hAnsi="Times New Roman" w:cs="Times New Roman"/>
          <w:noProof/>
          <w:sz w:val="24"/>
          <w:szCs w:val="24"/>
        </w:rPr>
        <w:t>Other implementing rules are expressly envisaged for the following subject matters:</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t>Staff Regulations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2</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Determination of powers of appointing authority</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5</w:t>
      </w:r>
      <w:r>
        <w:rPr>
          <w:rFonts w:ascii="Times New Roman" w:hAnsi="Times New Roman" w:cs="Times New Roman"/>
          <w:noProof/>
          <w:sz w:val="20"/>
          <w:szCs w:val="20"/>
        </w:rPr>
        <w:tab/>
        <w:t>(4)</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Definition of types of posts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9</w:t>
      </w:r>
      <w:r>
        <w:rPr>
          <w:rFonts w:ascii="Times New Roman" w:hAnsi="Times New Roman" w:cs="Times New Roman"/>
          <w:noProof/>
          <w:sz w:val="20"/>
          <w:szCs w:val="20"/>
        </w:rPr>
        <w:tab/>
        <w:t>(2)</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Composition and procedures of bodies (committees)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22c</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Whistleblowing</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51(1)</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Procedure for dealing with incompetence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55(3)</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Standby duty</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55(4)</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Flexible working time arrangements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lang w:val="en-IE"/>
        </w:rPr>
      </w:pPr>
      <w:r>
        <w:rPr>
          <w:rFonts w:ascii="Times New Roman" w:hAnsi="Times New Roman" w:cs="Times New Roman"/>
          <w:noProof/>
          <w:sz w:val="20"/>
          <w:szCs w:val="20"/>
          <w:lang w:val="en-IE"/>
        </w:rPr>
        <w:t>Article 55a + Annex IVa, Article 5</w:t>
      </w:r>
      <w:r>
        <w:rPr>
          <w:rFonts w:ascii="Times New Roman" w:hAnsi="Times New Roman" w:cs="Times New Roman"/>
          <w:noProof/>
          <w:sz w:val="20"/>
          <w:szCs w:val="20"/>
          <w:lang w:val="en-IE"/>
        </w:rPr>
        <w:tab/>
        <w:t>Part-time work</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Article 55b</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Job sharing</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lang w:val="en-IE"/>
        </w:rPr>
      </w:pPr>
      <w:r>
        <w:rPr>
          <w:rFonts w:ascii="Times New Roman" w:hAnsi="Times New Roman" w:cs="Times New Roman"/>
          <w:noProof/>
          <w:sz w:val="20"/>
          <w:szCs w:val="20"/>
          <w:lang w:val="en-IE"/>
        </w:rPr>
        <w:t>Article 56 + Annex VI, Article 3</w:t>
      </w:r>
      <w:r>
        <w:rPr>
          <w:rFonts w:ascii="Times New Roman" w:hAnsi="Times New Roman" w:cs="Times New Roman"/>
          <w:noProof/>
          <w:sz w:val="20"/>
          <w:szCs w:val="20"/>
          <w:lang w:val="en-IE"/>
        </w:rPr>
        <w:tab/>
        <w:t>Overtime</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cs="Times New Roman"/>
          <w:noProof/>
          <w:sz w:val="20"/>
          <w:szCs w:val="20"/>
        </w:rPr>
        <w:t>Article 96</w:t>
      </w:r>
      <w:r>
        <w:rPr>
          <w:rFonts w:ascii="Times New Roman" w:hAnsi="Times New Roman" w:cs="Times New Roman"/>
          <w:noProof/>
          <w:sz w:val="20"/>
          <w:szCs w:val="20"/>
        </w:rPr>
        <w:tab/>
        <w:t>Commission officials working in a Union delegation and EEAS officials who have to carry out tasks for the Commission as part of their duties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VII, Article 14(2)</w:t>
      </w:r>
      <w:r>
        <w:rPr>
          <w:rFonts w:ascii="Times New Roman" w:hAnsi="Times New Roman" w:cs="Times New Roman"/>
          <w:noProof/>
          <w:sz w:val="20"/>
          <w:szCs w:val="20"/>
        </w:rPr>
        <w:tab/>
      </w:r>
      <w:r>
        <w:rPr>
          <w:rFonts w:ascii="Times New Roman" w:hAnsi="Times New Roman" w:cs="Times New Roman"/>
          <w:noProof/>
          <w:sz w:val="20"/>
          <w:szCs w:val="20"/>
        </w:rPr>
        <w:tab/>
        <w:t>Entertainment allowance</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lastRenderedPageBreak/>
        <w:t>Annex IX, Article 30</w:t>
      </w:r>
      <w:r>
        <w:rPr>
          <w:rFonts w:ascii="Times New Roman" w:hAnsi="Times New Roman" w:cs="Times New Roman"/>
          <w:noProof/>
          <w:sz w:val="20"/>
          <w:szCs w:val="20"/>
        </w:rPr>
        <w:tab/>
      </w:r>
      <w:r>
        <w:rPr>
          <w:rFonts w:ascii="Times New Roman" w:hAnsi="Times New Roman" w:cs="Times New Roman"/>
          <w:noProof/>
          <w:sz w:val="20"/>
          <w:szCs w:val="20"/>
        </w:rPr>
        <w:tab/>
        <w:t>Disciplinary proceedings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X, Article 2</w:t>
      </w:r>
      <w:r>
        <w:rPr>
          <w:rFonts w:ascii="Times New Roman" w:hAnsi="Times New Roman" w:cs="Times New Roman"/>
          <w:noProof/>
          <w:sz w:val="20"/>
          <w:szCs w:val="20"/>
        </w:rPr>
        <w:tab/>
      </w:r>
      <w:r>
        <w:rPr>
          <w:rFonts w:ascii="Times New Roman" w:hAnsi="Times New Roman" w:cs="Times New Roman"/>
          <w:noProof/>
          <w:sz w:val="20"/>
          <w:szCs w:val="20"/>
        </w:rPr>
        <w:tab/>
        <w:t>Transfer of officials serving in third countries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X, Article 5(2)</w:t>
      </w:r>
      <w:r>
        <w:rPr>
          <w:rFonts w:ascii="Times New Roman" w:hAnsi="Times New Roman" w:cs="Times New Roman"/>
          <w:noProof/>
          <w:sz w:val="20"/>
          <w:szCs w:val="20"/>
        </w:rPr>
        <w:tab/>
      </w:r>
      <w:r>
        <w:rPr>
          <w:rFonts w:ascii="Times New Roman" w:hAnsi="Times New Roman" w:cs="Times New Roman"/>
          <w:noProof/>
          <w:sz w:val="20"/>
          <w:szCs w:val="20"/>
        </w:rPr>
        <w:tab/>
        <w:t>Accommodation for officials serving in third countries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X, Article 10(3)</w:t>
      </w:r>
      <w:r>
        <w:rPr>
          <w:rFonts w:ascii="Times New Roman" w:hAnsi="Times New Roman" w:cs="Times New Roman"/>
          <w:noProof/>
          <w:sz w:val="20"/>
          <w:szCs w:val="20"/>
        </w:rPr>
        <w:tab/>
      </w:r>
      <w:r>
        <w:rPr>
          <w:rFonts w:ascii="Times New Roman" w:hAnsi="Times New Roman" w:cs="Times New Roman"/>
          <w:noProof/>
          <w:sz w:val="20"/>
          <w:szCs w:val="20"/>
        </w:rPr>
        <w:tab/>
        <w:t>Allowance for living conditions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noProof/>
          <w:sz w:val="20"/>
          <w:szCs w:val="20"/>
        </w:rPr>
      </w:pPr>
      <w:r>
        <w:rPr>
          <w:rFonts w:ascii="Times New Roman" w:hAnsi="Times New Roman" w:cs="Times New Roman"/>
          <w:noProof/>
          <w:sz w:val="20"/>
          <w:szCs w:val="20"/>
        </w:rPr>
        <w:t>Annex X, Article 23</w:t>
      </w:r>
      <w:r>
        <w:rPr>
          <w:rFonts w:ascii="Times New Roman" w:hAnsi="Times New Roman" w:cs="Times New Roman"/>
          <w:noProof/>
          <w:sz w:val="20"/>
          <w:szCs w:val="20"/>
        </w:rPr>
        <w:tab/>
      </w:r>
      <w:r>
        <w:rPr>
          <w:rFonts w:ascii="Times New Roman" w:hAnsi="Times New Roman" w:cs="Times New Roman"/>
          <w:noProof/>
          <w:sz w:val="20"/>
          <w:szCs w:val="20"/>
        </w:rPr>
        <w:tab/>
        <w:t>Reimbursement of rent for officials serving in third countries</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noProof/>
          <w:sz w:val="20"/>
          <w:szCs w:val="20"/>
        </w:rPr>
      </w:pPr>
      <w:r>
        <w:rPr>
          <w:rFonts w:ascii="Times New Roman" w:hAnsi="Times New Roman" w:cs="Times New Roman"/>
          <w:noProof/>
          <w:sz w:val="20"/>
          <w:szCs w:val="20"/>
        </w:rPr>
        <w:t>Annex XIII, Article 30(3)</w:t>
      </w:r>
      <w:r>
        <w:rPr>
          <w:rFonts w:ascii="Times New Roman" w:hAnsi="Times New Roman" w:cs="Times New Roman"/>
          <w:noProof/>
          <w:sz w:val="20"/>
          <w:szCs w:val="20"/>
        </w:rPr>
        <w:tab/>
        <w:t>Assignment of officials holding special responsibilities to "Head of unit or equivalent" or "Adviser or equivalent" before 31 December 2015</w:t>
      </w: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t>Conditions of Employment of Other Servants</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bCs/>
          <w:i/>
          <w:noProof/>
          <w:sz w:val="20"/>
          <w:szCs w:val="20"/>
        </w:rPr>
      </w:pPr>
      <w:r>
        <w:rPr>
          <w:rFonts w:ascii="Times New Roman" w:hAnsi="Times New Roman" w:cs="Times New Roman"/>
          <w:bCs/>
          <w:noProof/>
          <w:sz w:val="20"/>
          <w:szCs w:val="20"/>
        </w:rPr>
        <w:t>Article 28a(2)</w:t>
      </w:r>
      <w:r>
        <w:rPr>
          <w:rFonts w:ascii="Times New Roman" w:hAnsi="Times New Roman" w:cs="Times New Roman"/>
          <w:bCs/>
          <w:noProof/>
          <w:sz w:val="20"/>
          <w:szCs w:val="20"/>
        </w:rPr>
        <w:tab/>
      </w:r>
      <w:r>
        <w:rPr>
          <w:rFonts w:ascii="Times New Roman" w:hAnsi="Times New Roman" w:cs="Times New Roman"/>
          <w:bCs/>
          <w:noProof/>
          <w:sz w:val="20"/>
          <w:szCs w:val="20"/>
        </w:rPr>
        <w:tab/>
        <w:t>Provisions on granting unemployment allowance for temporary staff</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cs="Times New Roman"/>
          <w:bCs/>
          <w:noProof/>
          <w:sz w:val="20"/>
          <w:szCs w:val="20"/>
        </w:rPr>
        <w:t>Article 42</w:t>
      </w:r>
      <w:r>
        <w:rPr>
          <w:rFonts w:ascii="Times New Roman" w:hAnsi="Times New Roman" w:cs="Times New Roman"/>
          <w:bCs/>
          <w:noProof/>
          <w:sz w:val="20"/>
          <w:szCs w:val="20"/>
        </w:rPr>
        <w:tab/>
        <w:t>Conditions for payments to constitute or maintain pension rights in the country of origin</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cs="Times New Roman"/>
          <w:bCs/>
          <w:noProof/>
          <w:sz w:val="20"/>
          <w:szCs w:val="20"/>
        </w:rPr>
        <w:t>Article 96(2)</w:t>
      </w:r>
      <w:r>
        <w:rPr>
          <w:rFonts w:ascii="Times New Roman" w:hAnsi="Times New Roman" w:cs="Times New Roman"/>
          <w:bCs/>
          <w:noProof/>
          <w:sz w:val="20"/>
          <w:szCs w:val="20"/>
        </w:rPr>
        <w:tab/>
        <w:t>Unemployment allowance for contract staff</w:t>
      </w:r>
    </w:p>
    <w:p>
      <w:pPr>
        <w:pBdr>
          <w:top w:val="single" w:sz="4" w:space="1" w:color="auto"/>
          <w:left w:val="single" w:sz="4" w:space="4" w:color="auto"/>
          <w:bottom w:val="single" w:sz="4" w:space="1" w:color="auto"/>
          <w:right w:val="single" w:sz="4" w:space="4" w:color="auto"/>
        </w:pBdr>
        <w:ind w:left="2880" w:hanging="2880"/>
        <w:jc w:val="both"/>
        <w:rPr>
          <w:rFonts w:ascii="Times New Roman" w:hAnsi="Times New Roman" w:cs="Times New Roman"/>
          <w:bCs/>
          <w:noProof/>
          <w:sz w:val="20"/>
          <w:szCs w:val="20"/>
        </w:rPr>
      </w:pPr>
      <w:r>
        <w:rPr>
          <w:rFonts w:ascii="Times New Roman" w:hAnsi="Times New Roman" w:cs="Times New Roman"/>
          <w:bCs/>
          <w:noProof/>
          <w:sz w:val="20"/>
          <w:szCs w:val="20"/>
        </w:rPr>
        <w:t>Article 112</w:t>
      </w:r>
      <w:r>
        <w:rPr>
          <w:rFonts w:ascii="Times New Roman" w:hAnsi="Times New Roman" w:cs="Times New Roman"/>
          <w:bCs/>
          <w:noProof/>
          <w:sz w:val="20"/>
          <w:szCs w:val="20"/>
        </w:rPr>
        <w:tab/>
        <w:t>Conditions for payments for pension rights, unemployment, invalidity, life and sickness insurances in the country of last coverage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125(1)</w: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t>Parliamentary assistants</w:t>
      </w:r>
    </w:p>
    <w:p>
      <w:pPr>
        <w:spacing w:before="240" w:after="360"/>
        <w:jc w:val="both"/>
        <w:rPr>
          <w:rFonts w:asciiTheme="majorBidi" w:hAnsiTheme="majorBidi" w:cstheme="majorBidi"/>
          <w:noProof/>
        </w:rPr>
      </w:pPr>
      <w:r>
        <w:rPr>
          <w:rFonts w:ascii="Times New Roman" w:hAnsi="Times New Roman" w:cs="Times New Roman"/>
          <w:noProof/>
          <w:sz w:val="24"/>
          <w:szCs w:val="24"/>
        </w:rPr>
        <w:t>Furthermore, the institutions have adopted implementing rules also in instances not expressly provided for in the Staff Regulations and the CEOS when there was a need to implement statutory provisions by means of more specific rules. The adoption process for these other implementing rules depends on the administrative practice of the institution concerned. In the interest of transparency, t</w:t>
      </w:r>
      <w:r>
        <w:rPr>
          <w:rFonts w:asciiTheme="majorBidi" w:hAnsiTheme="majorBidi" w:cstheme="majorBidi"/>
          <w:noProof/>
          <w:sz w:val="24"/>
          <w:szCs w:val="24"/>
        </w:rPr>
        <w:t xml:space="preserve">he report provides a complete list of other implementing rules adopted by the institutions, regardless of the adoption procedure followed, the title, or the type of the legal act in which those rules were included. </w:t>
      </w: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t>MECHANISMS FOR ENSURING CONSISTENT APPLICATION OF THE STAFF REGULATIONS</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 The institutions enjoy autonomy as regards the application of the Staff Regulations and the CEOS to their staff. This autonomy is exercised within the legal framework as provided for by the Staff Regulations. </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rPr>
      </w:pPr>
      <w:r>
        <w:rPr>
          <w:rFonts w:ascii="Times New Roman" w:hAnsi="Times New Roman" w:cs="Times New Roman"/>
          <w:b/>
          <w:i/>
          <w:noProof/>
          <w:sz w:val="24"/>
          <w:szCs w:val="24"/>
        </w:rPr>
        <w:t>→ The Staff Regulations provide for specific mechanisms to achieve a common inter-institutional approach whenever the subject matter calls for such harmonisation.</w:t>
      </w:r>
      <w:r>
        <w:rPr>
          <w:rFonts w:ascii="Times New Roman" w:hAnsi="Times New Roman" w:cs="Times New Roman"/>
          <w:noProof/>
        </w:rPr>
        <w:br w:type="page"/>
      </w:r>
    </w:p>
    <w:p>
      <w:pPr>
        <w:pStyle w:val="Heading1"/>
        <w:rPr>
          <w:rFonts w:ascii="Times New Roman" w:hAnsi="Times New Roman" w:cs="Times New Roman"/>
          <w:noProof/>
        </w:rPr>
      </w:pPr>
      <w:bookmarkStart w:id="5" w:name="_Toc232689746"/>
      <w:r>
        <w:rPr>
          <w:rFonts w:ascii="Times New Roman" w:hAnsi="Times New Roman" w:cs="Times New Roman"/>
          <w:noProof/>
        </w:rPr>
        <w:lastRenderedPageBreak/>
        <w:t>TITLE 2.</w:t>
      </w:r>
      <w:r>
        <w:rPr>
          <w:rFonts w:ascii="Times New Roman" w:hAnsi="Times New Roman" w:cs="Times New Roman"/>
          <w:noProof/>
        </w:rPr>
        <w:tab/>
        <w:t>QUANTITATIVE ASSESSMENT / TRANSPARENCY</w:t>
      </w:r>
      <w:bookmarkEnd w:id="5"/>
    </w:p>
    <w:p>
      <w:pPr>
        <w:rPr>
          <w:rFonts w:ascii="Times New Roman" w:hAnsi="Times New Roman" w:cs="Times New Roman"/>
          <w:noProof/>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t>TRANSPARENCY</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Which rules were in force in the relevant period and for which subject matters in the institutions and the agencies?</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sz w:val="24"/>
          <w:szCs w:val="24"/>
        </w:rPr>
      </w:pPr>
      <w:r>
        <w:rPr>
          <w:rFonts w:ascii="Times New Roman" w:hAnsi="Times New Roman" w:cs="Times New Roman"/>
          <w:b/>
          <w:i/>
          <w:noProof/>
          <w:sz w:val="24"/>
          <w:szCs w:val="24"/>
        </w:rPr>
        <w:t>→ What were the main changes compared to the previous reporting period in terms of the number and type of newly adopted rules?</w:t>
      </w:r>
    </w:p>
    <w:p>
      <w:pPr>
        <w:pStyle w:val="Heading2"/>
        <w:spacing w:before="360" w:after="240"/>
        <w:rPr>
          <w:rFonts w:ascii="Times New Roman" w:hAnsi="Times New Roman" w:cs="Times New Roman"/>
          <w:noProof/>
        </w:rPr>
      </w:pPr>
      <w:bookmarkStart w:id="6" w:name="_Toc232689747"/>
      <w:r>
        <w:rPr>
          <w:rFonts w:ascii="Times New Roman" w:hAnsi="Times New Roman" w:cs="Times New Roman"/>
          <w:noProof/>
        </w:rPr>
        <w:t>a)</w:t>
      </w:r>
      <w:r>
        <w:rPr>
          <w:rFonts w:ascii="Times New Roman" w:hAnsi="Times New Roman" w:cs="Times New Roman"/>
          <w:noProof/>
        </w:rPr>
        <w:tab/>
        <w:t>Implementing rules in the institutions</w:t>
      </w:r>
      <w:bookmarkEnd w:id="6"/>
    </w:p>
    <w:p>
      <w:pPr>
        <w:jc w:val="both"/>
        <w:rPr>
          <w:rFonts w:ascii="Times New Roman" w:hAnsi="Times New Roman" w:cs="Times New Roman"/>
          <w:noProof/>
          <w:sz w:val="24"/>
          <w:szCs w:val="24"/>
        </w:rPr>
      </w:pPr>
      <w:r>
        <w:rPr>
          <w:rFonts w:ascii="Times New Roman" w:hAnsi="Times New Roman" w:cs="Times New Roman"/>
          <w:noProof/>
          <w:sz w:val="24"/>
          <w:szCs w:val="24"/>
        </w:rPr>
        <w:t>In accordance with Article 13 of the Treaty of the European Union and Articles 1, 1a, and 1b of the Staff Regulations, the following ten institutions are concerned by this report:</w:t>
      </w:r>
      <w:r>
        <w:rPr>
          <w:rStyle w:val="FootnoteReference"/>
          <w:rFonts w:ascii="Times New Roman" w:hAnsi="Times New Roman" w:cs="Times New Roman"/>
          <w:noProof/>
          <w:sz w:val="24"/>
          <w:szCs w:val="24"/>
        </w:rPr>
        <w:footnoteReference w:id="19"/>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European Parliament (EP),</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Council (C),</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European Commission (COM),</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Court of Justice of the European Union (CoJ),</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Court of Auditors (CoA),</w:t>
      </w:r>
      <w:r>
        <w:rPr>
          <w:rFonts w:ascii="Times New Roman" w:hAnsi="Times New Roman" w:cs="Times New Roman"/>
          <w:noProof/>
          <w:sz w:val="24"/>
          <w:szCs w:val="24"/>
          <w:lang w:eastAsia="fr-FR"/>
        </w:rPr>
        <w:t xml:space="preserve"> </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European External Action Service (EEAS),</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European Economic and Social Committee (EESC),</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Committee of the Regions (CoR),</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European Ombudsman (EO), and</w:t>
      </w:r>
    </w:p>
    <w:p>
      <w:pPr>
        <w:pStyle w:val="ListParagraph"/>
        <w:numPr>
          <w:ilvl w:val="0"/>
          <w:numId w:val="14"/>
        </w:numPr>
        <w:jc w:val="both"/>
        <w:rPr>
          <w:rFonts w:ascii="Times New Roman" w:hAnsi="Times New Roman" w:cs="Times New Roman"/>
          <w:noProof/>
          <w:sz w:val="24"/>
          <w:szCs w:val="24"/>
        </w:rPr>
      </w:pPr>
      <w:r>
        <w:rPr>
          <w:rFonts w:ascii="Times New Roman" w:hAnsi="Times New Roman" w:cs="Times New Roman"/>
          <w:noProof/>
          <w:sz w:val="24"/>
          <w:szCs w:val="24"/>
        </w:rPr>
        <w:t>The European Data Protection Supervisor (EDPS).</w:t>
      </w:r>
    </w:p>
    <w:p>
      <w:pPr>
        <w:jc w:val="both"/>
        <w:rPr>
          <w:rFonts w:ascii="Times New Roman" w:hAnsi="Times New Roman" w:cs="Times New Roman"/>
          <w:noProof/>
          <w:sz w:val="24"/>
          <w:szCs w:val="24"/>
        </w:rPr>
      </w:pPr>
      <w:r>
        <w:rPr>
          <w:rFonts w:ascii="Times New Roman" w:hAnsi="Times New Roman" w:cs="Times New Roman"/>
          <w:noProof/>
          <w:sz w:val="24"/>
          <w:szCs w:val="24"/>
        </w:rPr>
        <w:t>For the purposes of establishing the present report, the nine other institutions transmitted information on their implementing rules to the Commission. In parallel, the Commission consulted the register administered by the Court of Justice of the European Union.</w:t>
      </w:r>
    </w:p>
    <w:p>
      <w:pPr>
        <w:jc w:val="both"/>
        <w:rPr>
          <w:rFonts w:ascii="Times New Roman" w:hAnsi="Times New Roman" w:cs="Times New Roman"/>
          <w:noProof/>
          <w:sz w:val="24"/>
          <w:szCs w:val="24"/>
        </w:rPr>
      </w:pPr>
      <w:r>
        <w:rPr>
          <w:rFonts w:ascii="Times New Roman" w:hAnsi="Times New Roman" w:cs="Times New Roman"/>
          <w:noProof/>
          <w:sz w:val="24"/>
          <w:szCs w:val="24"/>
        </w:rPr>
        <w:t>Based on this input and in agreement with the institutions concerned, the Commission has drawn up tables that detail the rules in force during the period 1 January 2020 to 31 December 2023 in each of the ten institutions as follows:</w:t>
      </w:r>
    </w:p>
    <w:p>
      <w:pPr>
        <w:pStyle w:val="ListParagraph"/>
        <w:numPr>
          <w:ilvl w:val="0"/>
          <w:numId w:val="31"/>
        </w:numPr>
        <w:jc w:val="both"/>
        <w:rPr>
          <w:rFonts w:ascii="Times New Roman" w:hAnsi="Times New Roman" w:cs="Times New Roman"/>
          <w:noProof/>
          <w:sz w:val="24"/>
          <w:szCs w:val="24"/>
        </w:rPr>
      </w:pPr>
      <w:r>
        <w:rPr>
          <w:rFonts w:ascii="Times New Roman" w:hAnsi="Times New Roman" w:cs="Times New Roman"/>
          <w:noProof/>
          <w:sz w:val="24"/>
          <w:szCs w:val="24"/>
        </w:rPr>
        <w:t>A list of the rules adopted by agreement between the institutions (</w:t>
      </w:r>
      <w:r>
        <w:rPr>
          <w:rFonts w:ascii="Times New Roman" w:hAnsi="Times New Roman" w:cs="Times New Roman"/>
          <w:b/>
          <w:noProof/>
          <w:sz w:val="24"/>
          <w:szCs w:val="24"/>
        </w:rPr>
        <w:t>Annex I</w:t>
      </w:r>
      <w:r>
        <w:rPr>
          <w:rFonts w:ascii="Times New Roman" w:hAnsi="Times New Roman" w:cs="Times New Roman"/>
          <w:noProof/>
          <w:sz w:val="24"/>
          <w:szCs w:val="24"/>
        </w:rPr>
        <w:t>);</w:t>
      </w:r>
    </w:p>
    <w:p>
      <w:pPr>
        <w:pStyle w:val="ListParagraph"/>
        <w:numPr>
          <w:ilvl w:val="0"/>
          <w:numId w:val="31"/>
        </w:numPr>
        <w:jc w:val="both"/>
        <w:rPr>
          <w:rFonts w:ascii="Times New Roman" w:hAnsi="Times New Roman" w:cs="Times New Roman"/>
          <w:noProof/>
          <w:sz w:val="24"/>
          <w:szCs w:val="24"/>
        </w:rPr>
      </w:pPr>
      <w:r>
        <w:rPr>
          <w:rFonts w:ascii="Times New Roman" w:hAnsi="Times New Roman" w:cs="Times New Roman"/>
          <w:noProof/>
          <w:sz w:val="24"/>
          <w:szCs w:val="24"/>
        </w:rPr>
        <w:t>Tables listing general implementing provisions and other implementing rules adopted by each institution's appointing authority or the authority empowered to conclude contracts of employment (</w:t>
      </w:r>
      <w:r>
        <w:rPr>
          <w:rFonts w:ascii="Times New Roman" w:hAnsi="Times New Roman" w:cs="Times New Roman"/>
          <w:b/>
          <w:noProof/>
          <w:sz w:val="24"/>
          <w:szCs w:val="24"/>
        </w:rPr>
        <w:t>Annex II</w:t>
      </w:r>
      <w:r>
        <w:rPr>
          <w:rFonts w:ascii="Times New Roman" w:hAnsi="Times New Roman" w:cs="Times New Roman"/>
          <w:noProof/>
          <w:sz w:val="24"/>
          <w:szCs w:val="24"/>
        </w:rPr>
        <w:t>);</w:t>
      </w:r>
    </w:p>
    <w:p>
      <w:pPr>
        <w:pStyle w:val="ListParagraph"/>
        <w:numPr>
          <w:ilvl w:val="0"/>
          <w:numId w:val="31"/>
        </w:numPr>
        <w:jc w:val="both"/>
        <w:rPr>
          <w:rFonts w:ascii="Times New Roman" w:hAnsi="Times New Roman" w:cs="Times New Roman"/>
          <w:noProof/>
          <w:sz w:val="24"/>
          <w:szCs w:val="24"/>
        </w:rPr>
      </w:pPr>
      <w:r>
        <w:rPr>
          <w:rFonts w:ascii="Times New Roman" w:hAnsi="Times New Roman" w:cs="Times New Roman"/>
          <w:noProof/>
          <w:sz w:val="24"/>
          <w:szCs w:val="24"/>
        </w:rPr>
        <w:lastRenderedPageBreak/>
        <w:t>A general table that provides a comparative summary of rules implementing the Staff Regulations and the CEOS across all institutions (</w:t>
      </w:r>
      <w:r>
        <w:rPr>
          <w:rFonts w:ascii="Times New Roman" w:hAnsi="Times New Roman" w:cs="Times New Roman"/>
          <w:b/>
          <w:noProof/>
          <w:sz w:val="24"/>
          <w:szCs w:val="24"/>
        </w:rPr>
        <w:t>Annex III</w:t>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t>The tables use a common methodology:</w:t>
      </w:r>
    </w:p>
    <w:p>
      <w:pPr>
        <w:pStyle w:val="ListParagraph"/>
        <w:numPr>
          <w:ilvl w:val="0"/>
          <w:numId w:val="26"/>
        </w:numPr>
        <w:jc w:val="both"/>
        <w:rPr>
          <w:rFonts w:ascii="Times New Roman" w:hAnsi="Times New Roman" w:cs="Times New Roman"/>
          <w:noProof/>
          <w:sz w:val="24"/>
          <w:szCs w:val="24"/>
        </w:rPr>
      </w:pPr>
      <w:r>
        <w:rPr>
          <w:rFonts w:ascii="Times New Roman" w:hAnsi="Times New Roman" w:cs="Times New Roman"/>
          <w:noProof/>
          <w:sz w:val="24"/>
          <w:szCs w:val="24"/>
        </w:rPr>
        <w:t>They list implementing rules that have been in force, at least partially, during the period covered by the report (from 1 January 2020 to 31 December 2023);</w:t>
      </w:r>
    </w:p>
    <w:p>
      <w:pPr>
        <w:pStyle w:val="ListParagraph"/>
        <w:numPr>
          <w:ilvl w:val="0"/>
          <w:numId w:val="26"/>
        </w:numPr>
        <w:jc w:val="both"/>
        <w:rPr>
          <w:rFonts w:ascii="Times New Roman" w:hAnsi="Times New Roman" w:cs="Times New Roman"/>
          <w:noProof/>
          <w:sz w:val="24"/>
          <w:szCs w:val="24"/>
        </w:rPr>
      </w:pPr>
      <w:r>
        <w:rPr>
          <w:rFonts w:ascii="Times New Roman" w:hAnsi="Times New Roman" w:cs="Times New Roman"/>
          <w:noProof/>
          <w:sz w:val="24"/>
          <w:szCs w:val="24"/>
        </w:rPr>
        <w:t>They group implementing rules by different subject matters, following the structure of the Staff Regulations and the CEOS;</w:t>
      </w:r>
    </w:p>
    <w:p>
      <w:pPr>
        <w:pStyle w:val="ListParagraph"/>
        <w:numPr>
          <w:ilvl w:val="0"/>
          <w:numId w:val="26"/>
        </w:numPr>
        <w:jc w:val="both"/>
        <w:rPr>
          <w:rFonts w:ascii="Times New Roman" w:hAnsi="Times New Roman" w:cs="Times New Roman"/>
          <w:noProof/>
          <w:sz w:val="24"/>
          <w:szCs w:val="24"/>
        </w:rPr>
      </w:pPr>
      <w:r>
        <w:rPr>
          <w:rFonts w:ascii="Times New Roman" w:hAnsi="Times New Roman" w:cs="Times New Roman"/>
          <w:noProof/>
          <w:sz w:val="24"/>
          <w:szCs w:val="24"/>
        </w:rPr>
        <w:t>They identify implementing rules by reference number, date of entry into force</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and, if applicable, date of expiry.</w:t>
      </w:r>
    </w:p>
    <w:p>
      <w:pPr>
        <w:jc w:val="both"/>
        <w:rPr>
          <w:rFonts w:ascii="Times New Roman" w:hAnsi="Times New Roman" w:cs="Times New Roman"/>
          <w:noProof/>
          <w:sz w:val="24"/>
          <w:szCs w:val="24"/>
        </w:rPr>
      </w:pPr>
      <w:r>
        <w:rPr>
          <w:rFonts w:ascii="Times New Roman" w:hAnsi="Times New Roman" w:cs="Times New Roman"/>
          <w:noProof/>
          <w:sz w:val="24"/>
          <w:szCs w:val="24"/>
        </w:rPr>
        <w:t>The following method of counting was applied:</w:t>
      </w:r>
    </w:p>
    <w:p>
      <w:pPr>
        <w:pStyle w:val="ListParagraph"/>
        <w:numPr>
          <w:ilvl w:val="0"/>
          <w:numId w:val="35"/>
        </w:numPr>
        <w:jc w:val="both"/>
        <w:rPr>
          <w:rFonts w:ascii="Times New Roman" w:hAnsi="Times New Roman" w:cs="Times New Roman"/>
          <w:noProof/>
          <w:sz w:val="24"/>
          <w:szCs w:val="24"/>
        </w:rPr>
      </w:pPr>
      <w:r>
        <w:rPr>
          <w:rFonts w:ascii="Times New Roman" w:hAnsi="Times New Roman" w:cs="Times New Roman"/>
          <w:noProof/>
          <w:sz w:val="24"/>
          <w:szCs w:val="24"/>
        </w:rPr>
        <w:t>Implementing rules were counted on the basis of the lists for each institution;</w:t>
      </w:r>
    </w:p>
    <w:p>
      <w:pPr>
        <w:pStyle w:val="ListParagraph"/>
        <w:numPr>
          <w:ilvl w:val="0"/>
          <w:numId w:val="35"/>
        </w:numPr>
        <w:jc w:val="both"/>
        <w:rPr>
          <w:rFonts w:ascii="Times New Roman" w:hAnsi="Times New Roman" w:cs="Times New Roman"/>
          <w:noProof/>
          <w:sz w:val="24"/>
          <w:szCs w:val="24"/>
        </w:rPr>
      </w:pPr>
      <w:r>
        <w:rPr>
          <w:rFonts w:ascii="Times New Roman" w:hAnsi="Times New Roman" w:cs="Times New Roman"/>
          <w:noProof/>
          <w:sz w:val="24"/>
          <w:szCs w:val="24"/>
        </w:rPr>
        <w:t>An implementing rule was counted once, even if it covered more than one subject matter;</w:t>
      </w:r>
      <w:r>
        <w:rPr>
          <w:rStyle w:val="FootnoteReference"/>
          <w:rFonts w:ascii="Times New Roman" w:hAnsi="Times New Roman" w:cs="Times New Roman"/>
          <w:noProof/>
          <w:sz w:val="24"/>
          <w:szCs w:val="24"/>
        </w:rPr>
        <w:footnoteReference w:id="21"/>
      </w:r>
    </w:p>
    <w:p>
      <w:pPr>
        <w:pStyle w:val="ListParagraph"/>
        <w:numPr>
          <w:ilvl w:val="0"/>
          <w:numId w:val="35"/>
        </w:numPr>
        <w:jc w:val="both"/>
        <w:rPr>
          <w:rFonts w:ascii="Times New Roman" w:hAnsi="Times New Roman" w:cs="Times New Roman"/>
          <w:noProof/>
          <w:sz w:val="24"/>
          <w:szCs w:val="24"/>
        </w:rPr>
      </w:pPr>
      <w:r>
        <w:rPr>
          <w:rFonts w:ascii="Times New Roman" w:hAnsi="Times New Roman" w:cs="Times New Roman"/>
          <w:noProof/>
          <w:sz w:val="24"/>
          <w:szCs w:val="24"/>
        </w:rPr>
        <w:t>A rule amending an already existing rule was not counted separately;</w:t>
      </w:r>
    </w:p>
    <w:p>
      <w:pPr>
        <w:pStyle w:val="ListParagraph"/>
        <w:numPr>
          <w:ilvl w:val="0"/>
          <w:numId w:val="35"/>
        </w:numPr>
        <w:jc w:val="both"/>
        <w:rPr>
          <w:rFonts w:ascii="Times New Roman" w:hAnsi="Times New Roman" w:cs="Times New Roman"/>
          <w:noProof/>
          <w:sz w:val="24"/>
          <w:szCs w:val="24"/>
        </w:rPr>
      </w:pPr>
      <w:r>
        <w:rPr>
          <w:rFonts w:ascii="Times New Roman" w:hAnsi="Times New Roman" w:cs="Times New Roman"/>
          <w:noProof/>
          <w:sz w:val="24"/>
          <w:szCs w:val="24"/>
        </w:rPr>
        <w:t>If an implementing rule was replaced during the period covered by the report, only one implementing rule was counted;</w:t>
      </w:r>
      <w:r>
        <w:rPr>
          <w:rStyle w:val="FootnoteReference"/>
          <w:rFonts w:ascii="Times New Roman" w:hAnsi="Times New Roman" w:cs="Times New Roman"/>
          <w:noProof/>
          <w:sz w:val="24"/>
          <w:szCs w:val="24"/>
        </w:rPr>
        <w:footnoteReference w:id="22"/>
      </w:r>
    </w:p>
    <w:p>
      <w:pPr>
        <w:pStyle w:val="ListParagraph"/>
        <w:numPr>
          <w:ilvl w:val="0"/>
          <w:numId w:val="35"/>
        </w:numPr>
        <w:jc w:val="both"/>
        <w:rPr>
          <w:rFonts w:ascii="Times New Roman" w:hAnsi="Times New Roman" w:cs="Times New Roman"/>
          <w:noProof/>
          <w:sz w:val="24"/>
          <w:szCs w:val="24"/>
        </w:rPr>
      </w:pPr>
      <w:r>
        <w:rPr>
          <w:rFonts w:ascii="Times New Roman" w:hAnsi="Times New Roman" w:cs="Times New Roman"/>
          <w:noProof/>
          <w:sz w:val="24"/>
          <w:szCs w:val="24"/>
        </w:rPr>
        <w:t>Rules adopted by one or more institution jointly were counted separately in each institution concerned.</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following three tables give a quantitative overview of the number of implementing rules adopted by the institutions during the first three reporting periods (2014-2016, 2017-2019, 2020-2023). </w:t>
      </w:r>
    </w:p>
    <w:p>
      <w:pPr>
        <w:spacing w:before="360"/>
        <w:jc w:val="center"/>
        <w:rPr>
          <w:rFonts w:ascii="Times New Roman" w:hAnsi="Times New Roman" w:cs="Times New Roman"/>
          <w:b/>
          <w:noProof/>
          <w:sz w:val="24"/>
          <w:szCs w:val="24"/>
        </w:rPr>
      </w:pPr>
      <w:r>
        <w:rPr>
          <w:rFonts w:ascii="Times New Roman" w:hAnsi="Times New Roman" w:cs="Times New Roman"/>
          <w:b/>
          <w:noProof/>
          <w:sz w:val="24"/>
          <w:szCs w:val="24"/>
        </w:rPr>
        <w:t>NUMBER OF IMPLEMENTING RULES ADOPTED BY INSTITUTIONS IN FORCE during the first reporting period 2014-2016</w:t>
      </w:r>
      <w:r>
        <w:rPr>
          <w:rStyle w:val="FootnoteReference"/>
          <w:rFonts w:ascii="Times New Roman" w:hAnsi="Times New Roman" w:cs="Times New Roman"/>
          <w:b/>
          <w:noProof/>
          <w:sz w:val="24"/>
          <w:szCs w:val="24"/>
        </w:rPr>
        <w:footnoteReference w:id="24"/>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Rules adopted by common agreement</w:t>
            </w:r>
          </w:p>
        </w:tc>
        <w:tc>
          <w:tcPr>
            <w:tcW w:w="252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General implementing provisions</w:t>
            </w:r>
          </w:p>
        </w:tc>
        <w:tc>
          <w:tcPr>
            <w:tcW w:w="207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Other implementing rules</w:t>
            </w:r>
          </w:p>
        </w:tc>
        <w:tc>
          <w:tcPr>
            <w:tcW w:w="166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EP</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19</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38</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67</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36</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61</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COM</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61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95</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CoJ</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40</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lastRenderedPageBreak/>
              <w:t>CoA</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10</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38</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58</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EEAS</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23</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72</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EESC</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37</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59</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CoR</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EO</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37</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cs="Times New Roman"/>
                <w:b/>
                <w:noProof/>
                <w:sz w:val="20"/>
                <w:szCs w:val="20"/>
              </w:rPr>
              <w:t>EDPS</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21</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47</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highlight w:val="yellow"/>
              </w:rPr>
            </w:pP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Total</w:t>
            </w:r>
          </w:p>
        </w:tc>
        <w:tc>
          <w:tcPr>
            <w:tcW w:w="223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100</w:t>
            </w:r>
          </w:p>
        </w:tc>
        <w:tc>
          <w:tcPr>
            <w:tcW w:w="252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160</w:t>
            </w:r>
          </w:p>
        </w:tc>
        <w:tc>
          <w:tcPr>
            <w:tcW w:w="207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331</w:t>
            </w:r>
          </w:p>
        </w:tc>
        <w:tc>
          <w:tcPr>
            <w:tcW w:w="1665" w:type="dxa"/>
          </w:tcPr>
          <w:p>
            <w:pPr>
              <w:jc w:val="center"/>
              <w:rPr>
                <w:rFonts w:ascii="Times New Roman" w:hAnsi="Times New Roman" w:cs="Times New Roman"/>
                <w:b/>
                <w:noProof/>
                <w:sz w:val="20"/>
                <w:szCs w:val="20"/>
                <w:highlight w:val="yellow"/>
              </w:rPr>
            </w:pPr>
            <w:r>
              <w:rPr>
                <w:rFonts w:ascii="Times New Roman" w:hAnsi="Times New Roman" w:cs="Times New Roman"/>
                <w:b/>
                <w:noProof/>
                <w:sz w:val="20"/>
                <w:szCs w:val="20"/>
              </w:rPr>
              <w:t>591</w:t>
            </w:r>
          </w:p>
        </w:tc>
      </w:tr>
    </w:tbl>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r>
        <w:rPr>
          <w:rFonts w:ascii="Times New Roman" w:hAnsi="Times New Roman" w:cs="Times New Roman"/>
          <w:b/>
          <w:noProof/>
          <w:sz w:val="24"/>
          <w:szCs w:val="24"/>
        </w:rPr>
        <w:t>NUMBER OF IMPLEMENTING RULES ADOPTED BY INSTITUTIONS IN FORCE during the second reporting period 2017-2019</w:t>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Rules adopted by common agreement</w:t>
            </w:r>
          </w:p>
        </w:tc>
        <w:tc>
          <w:tcPr>
            <w:tcW w:w="252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General implementing provisions</w:t>
            </w:r>
          </w:p>
        </w:tc>
        <w:tc>
          <w:tcPr>
            <w:tcW w:w="207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Other implementing rules</w:t>
            </w:r>
          </w:p>
        </w:tc>
        <w:tc>
          <w:tcPr>
            <w:tcW w:w="166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EP</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45</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72</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37</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62</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COM</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62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96</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CoJ</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60</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CoA</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10</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52</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EEAS</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24</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46</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80</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EESC</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44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66</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CoR</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60</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EO</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14</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41</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cs="Times New Roman"/>
                <w:b/>
                <w:noProof/>
                <w:sz w:val="20"/>
                <w:szCs w:val="20"/>
              </w:rPr>
              <w:t>EDPS</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25</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51</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rPr>
            </w:pP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Total</w:t>
            </w:r>
          </w:p>
        </w:tc>
        <w:tc>
          <w:tcPr>
            <w:tcW w:w="223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100</w:t>
            </w:r>
          </w:p>
        </w:tc>
        <w:tc>
          <w:tcPr>
            <w:tcW w:w="252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162</w:t>
            </w:r>
          </w:p>
        </w:tc>
        <w:tc>
          <w:tcPr>
            <w:tcW w:w="207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378</w:t>
            </w:r>
          </w:p>
        </w:tc>
        <w:tc>
          <w:tcPr>
            <w:tcW w:w="166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640</w:t>
            </w:r>
          </w:p>
        </w:tc>
      </w:tr>
    </w:tbl>
    <w:p>
      <w:pPr>
        <w:jc w:val="both"/>
        <w:rPr>
          <w:rFonts w:ascii="Times New Roman" w:hAnsi="Times New Roman" w:cs="Times New Roman"/>
          <w:noProof/>
          <w:sz w:val="24"/>
          <w:szCs w:val="24"/>
        </w:rPr>
      </w:pPr>
    </w:p>
    <w:p>
      <w:pPr>
        <w:jc w:val="center"/>
        <w:rPr>
          <w:rFonts w:ascii="Times New Roman" w:hAnsi="Times New Roman" w:cs="Times New Roman"/>
          <w:b/>
          <w:noProof/>
          <w:sz w:val="24"/>
          <w:szCs w:val="24"/>
        </w:rPr>
      </w:pPr>
      <w:r>
        <w:rPr>
          <w:rFonts w:ascii="Times New Roman" w:hAnsi="Times New Roman" w:cs="Times New Roman"/>
          <w:b/>
          <w:noProof/>
          <w:sz w:val="24"/>
          <w:szCs w:val="24"/>
        </w:rPr>
        <w:t>NUMBER OF IMPLEMENTING RULES ADOPTED BY INSTITUTIONS IN FORCE during the third reporting period 2020-2023</w:t>
      </w:r>
    </w:p>
    <w:tbl>
      <w:tblPr>
        <w:tblStyle w:val="TableGrid"/>
        <w:tblW w:w="0" w:type="auto"/>
        <w:tblLook w:val="04A0" w:firstRow="1" w:lastRow="0" w:firstColumn="1" w:lastColumn="0" w:noHBand="0" w:noVBand="1"/>
      </w:tblPr>
      <w:tblGrid>
        <w:gridCol w:w="790"/>
        <w:gridCol w:w="2234"/>
        <w:gridCol w:w="2524"/>
        <w:gridCol w:w="2075"/>
        <w:gridCol w:w="1665"/>
      </w:tblGrid>
      <w:tr>
        <w:tc>
          <w:tcPr>
            <w:tcW w:w="790" w:type="dxa"/>
          </w:tcPr>
          <w:p>
            <w:pPr>
              <w:jc w:val="center"/>
              <w:rPr>
                <w:rFonts w:ascii="Times New Roman" w:hAnsi="Times New Roman" w:cs="Times New Roman"/>
                <w:b/>
                <w:noProof/>
                <w:sz w:val="20"/>
                <w:szCs w:val="20"/>
              </w:rPr>
            </w:pPr>
          </w:p>
        </w:tc>
        <w:tc>
          <w:tcPr>
            <w:tcW w:w="223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Rules adopted by common agreement</w:t>
            </w:r>
          </w:p>
        </w:tc>
        <w:tc>
          <w:tcPr>
            <w:tcW w:w="252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General implementing provisions</w:t>
            </w:r>
          </w:p>
        </w:tc>
        <w:tc>
          <w:tcPr>
            <w:tcW w:w="207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Other implementing rules</w:t>
            </w:r>
          </w:p>
        </w:tc>
        <w:tc>
          <w:tcPr>
            <w:tcW w:w="166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 xml:space="preserve">Total </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EP</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42</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68</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COM</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71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107</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CoJ</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55</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CoA</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11</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29</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50</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EEAS</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27</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51</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89</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EESC</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12</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40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62</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CoR</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16</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30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56</w:t>
            </w: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EO</w:t>
            </w:r>
          </w:p>
        </w:tc>
        <w:tc>
          <w:tcPr>
            <w:tcW w:w="2234" w:type="dxa"/>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15</w:t>
            </w:r>
          </w:p>
        </w:tc>
        <w:tc>
          <w:tcPr>
            <w:tcW w:w="2075" w:type="dxa"/>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20</w:t>
            </w:r>
          </w:p>
        </w:tc>
        <w:tc>
          <w:tcPr>
            <w:tcW w:w="1665" w:type="dxa"/>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45</w:t>
            </w:r>
          </w:p>
        </w:tc>
      </w:tr>
      <w:tr>
        <w:tc>
          <w:tcPr>
            <w:tcW w:w="790" w:type="dxa"/>
            <w:tcBorders>
              <w:bottom w:val="single" w:sz="4" w:space="0" w:color="auto"/>
            </w:tcBorders>
          </w:tcPr>
          <w:p>
            <w:pPr>
              <w:jc w:val="center"/>
              <w:rPr>
                <w:rFonts w:ascii="Times New Roman" w:hAnsi="Times New Roman" w:cs="Times New Roman"/>
                <w:b/>
                <w:noProof/>
                <w:sz w:val="20"/>
                <w:szCs w:val="20"/>
              </w:rPr>
            </w:pPr>
            <w:r>
              <w:rPr>
                <w:rFonts w:ascii="Times New Roman" w:hAnsi="Times New Roman" w:cs="Times New Roman"/>
                <w:b/>
                <w:noProof/>
                <w:sz w:val="20"/>
                <w:szCs w:val="20"/>
              </w:rPr>
              <w:t>EDPS</w:t>
            </w:r>
          </w:p>
        </w:tc>
        <w:tc>
          <w:tcPr>
            <w:tcW w:w="2234" w:type="dxa"/>
            <w:tcBorders>
              <w:bottom w:val="single" w:sz="4" w:space="0" w:color="auto"/>
            </w:tcBorders>
          </w:tcPr>
          <w:p>
            <w:pPr>
              <w:jc w:val="center"/>
              <w:rPr>
                <w:rFonts w:ascii="Times New Roman" w:hAnsi="Times New Roman" w:cs="Times New Roman"/>
                <w:noProof/>
                <w:sz w:val="20"/>
                <w:szCs w:val="20"/>
              </w:rPr>
            </w:pPr>
            <w:r>
              <w:rPr>
                <w:rFonts w:ascii="Times New Roman" w:hAnsi="Times New Roman" w:cs="Times New Roman"/>
                <w:noProof/>
                <w:sz w:val="20"/>
                <w:szCs w:val="20"/>
              </w:rPr>
              <w:t>10</w:t>
            </w:r>
          </w:p>
        </w:tc>
        <w:tc>
          <w:tcPr>
            <w:tcW w:w="2524"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16</w:t>
            </w:r>
          </w:p>
        </w:tc>
        <w:tc>
          <w:tcPr>
            <w:tcW w:w="2075" w:type="dxa"/>
            <w:tcBorders>
              <w:bottom w:val="single" w:sz="4" w:space="0" w:color="auto"/>
            </w:tcBorders>
            <w:vAlign w:val="bottom"/>
          </w:tcPr>
          <w:p>
            <w:pPr>
              <w:jc w:val="center"/>
              <w:rPr>
                <w:rFonts w:ascii="Times New Roman" w:hAnsi="Times New Roman" w:cs="Times New Roman"/>
                <w:noProof/>
                <w:color w:val="000000"/>
                <w:sz w:val="20"/>
                <w:szCs w:val="20"/>
              </w:rPr>
            </w:pPr>
            <w:r>
              <w:rPr>
                <w:rFonts w:ascii="Times New Roman" w:hAnsi="Times New Roman" w:cs="Times New Roman"/>
                <w:noProof/>
                <w:color w:val="000000"/>
                <w:sz w:val="20"/>
                <w:szCs w:val="20"/>
              </w:rPr>
              <w:t>22</w:t>
            </w:r>
          </w:p>
        </w:tc>
        <w:tc>
          <w:tcPr>
            <w:tcW w:w="1665" w:type="dxa"/>
            <w:tcBorders>
              <w:bottom w:val="single" w:sz="4" w:space="0" w:color="auto"/>
            </w:tcBorders>
            <w:vAlign w:val="bottom"/>
          </w:tcPr>
          <w:p>
            <w:pPr>
              <w:jc w:val="center"/>
              <w:rPr>
                <w:rFonts w:ascii="Times New Roman" w:hAnsi="Times New Roman" w:cs="Times New Roman"/>
                <w:b/>
                <w:noProof/>
                <w:color w:val="000000"/>
                <w:sz w:val="20"/>
                <w:szCs w:val="20"/>
              </w:rPr>
            </w:pPr>
            <w:r>
              <w:rPr>
                <w:rFonts w:ascii="Times New Roman" w:hAnsi="Times New Roman" w:cs="Times New Roman"/>
                <w:b/>
                <w:noProof/>
                <w:color w:val="000000"/>
                <w:sz w:val="20"/>
                <w:szCs w:val="20"/>
              </w:rPr>
              <w:t>48</w:t>
            </w:r>
          </w:p>
        </w:tc>
      </w:tr>
      <w:tr>
        <w:tc>
          <w:tcPr>
            <w:tcW w:w="790" w:type="dxa"/>
            <w:tcBorders>
              <w:left w:val="nil"/>
              <w:right w:val="nil"/>
            </w:tcBorders>
          </w:tcPr>
          <w:p>
            <w:pPr>
              <w:jc w:val="center"/>
              <w:rPr>
                <w:rFonts w:ascii="Times New Roman" w:hAnsi="Times New Roman" w:cs="Times New Roman"/>
                <w:b/>
                <w:noProof/>
                <w:sz w:val="20"/>
                <w:szCs w:val="20"/>
              </w:rPr>
            </w:pPr>
          </w:p>
        </w:tc>
        <w:tc>
          <w:tcPr>
            <w:tcW w:w="2234" w:type="dxa"/>
            <w:tcBorders>
              <w:left w:val="nil"/>
              <w:right w:val="nil"/>
            </w:tcBorders>
          </w:tcPr>
          <w:p>
            <w:pPr>
              <w:jc w:val="center"/>
              <w:rPr>
                <w:rFonts w:ascii="Times New Roman" w:hAnsi="Times New Roman" w:cs="Times New Roman"/>
                <w:b/>
                <w:noProof/>
                <w:sz w:val="20"/>
                <w:szCs w:val="20"/>
              </w:rPr>
            </w:pPr>
          </w:p>
        </w:tc>
        <w:tc>
          <w:tcPr>
            <w:tcW w:w="2524" w:type="dxa"/>
            <w:tcBorders>
              <w:left w:val="nil"/>
              <w:right w:val="nil"/>
            </w:tcBorders>
          </w:tcPr>
          <w:p>
            <w:pPr>
              <w:jc w:val="center"/>
              <w:rPr>
                <w:rFonts w:ascii="Times New Roman" w:hAnsi="Times New Roman" w:cs="Times New Roman"/>
                <w:b/>
                <w:noProof/>
                <w:sz w:val="20"/>
                <w:szCs w:val="20"/>
              </w:rPr>
            </w:pPr>
          </w:p>
        </w:tc>
        <w:tc>
          <w:tcPr>
            <w:tcW w:w="2075" w:type="dxa"/>
            <w:tcBorders>
              <w:left w:val="nil"/>
              <w:right w:val="nil"/>
            </w:tcBorders>
          </w:tcPr>
          <w:p>
            <w:pPr>
              <w:jc w:val="center"/>
              <w:rPr>
                <w:rFonts w:ascii="Times New Roman" w:hAnsi="Times New Roman" w:cs="Times New Roman"/>
                <w:b/>
                <w:noProof/>
                <w:sz w:val="20"/>
                <w:szCs w:val="20"/>
              </w:rPr>
            </w:pPr>
          </w:p>
        </w:tc>
        <w:tc>
          <w:tcPr>
            <w:tcW w:w="1665" w:type="dxa"/>
            <w:tcBorders>
              <w:left w:val="nil"/>
              <w:right w:val="nil"/>
            </w:tcBorders>
          </w:tcPr>
          <w:p>
            <w:pPr>
              <w:jc w:val="center"/>
              <w:rPr>
                <w:rFonts w:ascii="Times New Roman" w:hAnsi="Times New Roman" w:cs="Times New Roman"/>
                <w:b/>
                <w:noProof/>
                <w:sz w:val="20"/>
                <w:szCs w:val="20"/>
              </w:rPr>
            </w:pPr>
          </w:p>
        </w:tc>
      </w:tr>
      <w:tr>
        <w:tc>
          <w:tcPr>
            <w:tcW w:w="790"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Total</w:t>
            </w:r>
          </w:p>
        </w:tc>
        <w:tc>
          <w:tcPr>
            <w:tcW w:w="223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100</w:t>
            </w:r>
          </w:p>
        </w:tc>
        <w:tc>
          <w:tcPr>
            <w:tcW w:w="2524"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170</w:t>
            </w:r>
          </w:p>
        </w:tc>
        <w:tc>
          <w:tcPr>
            <w:tcW w:w="207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364</w:t>
            </w:r>
          </w:p>
        </w:tc>
        <w:tc>
          <w:tcPr>
            <w:tcW w:w="1665" w:type="dxa"/>
          </w:tcPr>
          <w:p>
            <w:pPr>
              <w:jc w:val="center"/>
              <w:rPr>
                <w:rFonts w:ascii="Times New Roman" w:hAnsi="Times New Roman" w:cs="Times New Roman"/>
                <w:b/>
                <w:noProof/>
                <w:sz w:val="20"/>
                <w:szCs w:val="20"/>
              </w:rPr>
            </w:pPr>
            <w:r>
              <w:rPr>
                <w:rFonts w:ascii="Times New Roman" w:hAnsi="Times New Roman" w:cs="Times New Roman"/>
                <w:b/>
                <w:noProof/>
                <w:sz w:val="20"/>
                <w:szCs w:val="20"/>
              </w:rPr>
              <w:t>635</w:t>
            </w:r>
          </w:p>
        </w:tc>
      </w:tr>
    </w:tbl>
    <w:p>
      <w:pPr>
        <w:jc w:val="both"/>
        <w:rPr>
          <w:rFonts w:ascii="Times New Roman" w:hAnsi="Times New Roman" w:cs="Times New Roman"/>
          <w:noProof/>
          <w:sz w:val="24"/>
          <w:szCs w:val="24"/>
        </w:rPr>
      </w:pPr>
    </w:p>
    <w:p>
      <w:pPr>
        <w:jc w:val="both"/>
        <w:rPr>
          <w:rFonts w:ascii="Times New Roman" w:hAnsi="Times New Roman" w:cs="Times New Roman"/>
          <w:noProof/>
          <w:sz w:val="24"/>
          <w:szCs w:val="24"/>
          <w:lang w:eastAsia="fr-FR"/>
        </w:rPr>
      </w:pPr>
      <w:r>
        <w:rPr>
          <w:rFonts w:ascii="Times New Roman" w:hAnsi="Times New Roman" w:cs="Times New Roman"/>
          <w:noProof/>
          <w:sz w:val="24"/>
          <w:szCs w:val="24"/>
          <w:lang w:eastAsia="fr-FR"/>
        </w:rPr>
        <w:t xml:space="preserve">A comparison of tables shows that there has been a relatively substantial change between the first and the second period, while the number of rules has remained largely stable in the third reporting period. </w:t>
      </w:r>
    </w:p>
    <w:p>
      <w:pPr>
        <w:pStyle w:val="Heading2"/>
        <w:spacing w:before="240" w:after="360"/>
        <w:rPr>
          <w:rFonts w:ascii="Times New Roman" w:hAnsi="Times New Roman" w:cs="Times New Roman"/>
          <w:noProof/>
        </w:rPr>
      </w:pPr>
      <w:bookmarkStart w:id="7" w:name="_Toc232689748"/>
      <w:r>
        <w:rPr>
          <w:rFonts w:ascii="Times New Roman" w:hAnsi="Times New Roman" w:cs="Times New Roman"/>
          <w:noProof/>
        </w:rPr>
        <w:lastRenderedPageBreak/>
        <w:t>b)</w:t>
      </w:r>
      <w:r>
        <w:rPr>
          <w:rFonts w:ascii="Times New Roman" w:hAnsi="Times New Roman" w:cs="Times New Roman"/>
          <w:noProof/>
        </w:rPr>
        <w:tab/>
        <w:t>Implementing rules in the executive agencies, decentralised agencies, and joint undertakings</w:t>
      </w:r>
      <w:bookmarkEnd w:id="7"/>
    </w:p>
    <w:p>
      <w:pPr>
        <w:jc w:val="both"/>
        <w:rPr>
          <w:rFonts w:ascii="Times New Roman" w:hAnsi="Times New Roman" w:cs="Times New Roman"/>
          <w:noProof/>
          <w:sz w:val="24"/>
          <w:szCs w:val="24"/>
        </w:rPr>
      </w:pPr>
      <w:r>
        <w:rPr>
          <w:rFonts w:ascii="Times New Roman" w:hAnsi="Times New Roman" w:cs="Times New Roman"/>
          <w:noProof/>
          <w:sz w:val="24"/>
          <w:szCs w:val="24"/>
          <w:lang w:eastAsia="fr-FR"/>
        </w:rPr>
        <w:t>The present report also provides an overview of implementing rules adopted by the executive agencies, decentralised agencies, and joint undertakings (‘</w:t>
      </w:r>
      <w:r>
        <w:rPr>
          <w:rFonts w:ascii="Times New Roman" w:hAnsi="Times New Roman" w:cs="Times New Roman"/>
          <w:b/>
          <w:bCs/>
          <w:noProof/>
          <w:sz w:val="24"/>
          <w:szCs w:val="24"/>
          <w:lang w:eastAsia="fr-FR"/>
        </w:rPr>
        <w:t>agencies</w:t>
      </w:r>
      <w:r>
        <w:rPr>
          <w:rFonts w:ascii="Times New Roman" w:hAnsi="Times New Roman" w:cs="Times New Roman"/>
          <w:noProof/>
          <w:sz w:val="24"/>
          <w:szCs w:val="24"/>
          <w:lang w:eastAsia="fr-FR"/>
        </w:rPr>
        <w:t>’), which were in force on</w:t>
      </w:r>
      <w:r>
        <w:rPr>
          <w:rFonts w:ascii="Times New Roman" w:hAnsi="Times New Roman" w:cs="Times New Roman"/>
          <w:noProof/>
          <w:sz w:val="24"/>
          <w:szCs w:val="24"/>
        </w:rPr>
        <w:t xml:space="preserve"> 31 December 2023. This concerns the following 54 agencies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in the sense of Article 1a(2) of the Staff Regulations: </w:t>
      </w:r>
    </w:p>
    <w:p>
      <w:pPr>
        <w:pStyle w:val="ListParagraph"/>
        <w:numPr>
          <w:ilvl w:val="0"/>
          <w:numId w:val="32"/>
        </w:numPr>
        <w:jc w:val="both"/>
        <w:rPr>
          <w:rFonts w:ascii="Times New Roman" w:hAnsi="Times New Roman" w:cs="Times New Roman"/>
          <w:noProof/>
          <w:sz w:val="24"/>
          <w:szCs w:val="24"/>
        </w:rPr>
      </w:pPr>
      <w:r>
        <w:rPr>
          <w:rFonts w:ascii="Times New Roman" w:hAnsi="Times New Roman" w:cs="Times New Roman"/>
          <w:noProof/>
          <w:sz w:val="24"/>
          <w:szCs w:val="24"/>
        </w:rPr>
        <w:t xml:space="preserve">6 executive agencies, </w:t>
      </w:r>
    </w:p>
    <w:p>
      <w:pPr>
        <w:pStyle w:val="ListParagraph"/>
        <w:numPr>
          <w:ilvl w:val="0"/>
          <w:numId w:val="32"/>
        </w:numPr>
        <w:jc w:val="both"/>
        <w:rPr>
          <w:rFonts w:ascii="Times New Roman" w:hAnsi="Times New Roman" w:cs="Times New Roman"/>
          <w:noProof/>
          <w:sz w:val="24"/>
          <w:szCs w:val="24"/>
        </w:rPr>
      </w:pPr>
      <w:r>
        <w:rPr>
          <w:rFonts w:ascii="Times New Roman" w:hAnsi="Times New Roman" w:cs="Times New Roman"/>
          <w:noProof/>
          <w:sz w:val="24"/>
          <w:szCs w:val="24"/>
        </w:rPr>
        <w:t xml:space="preserve">36 decentralised agencies and EU bodies, and </w:t>
      </w:r>
    </w:p>
    <w:p>
      <w:pPr>
        <w:pStyle w:val="ListParagraph"/>
        <w:numPr>
          <w:ilvl w:val="0"/>
          <w:numId w:val="32"/>
        </w:numPr>
        <w:jc w:val="both"/>
        <w:rPr>
          <w:rFonts w:ascii="Times New Roman" w:hAnsi="Times New Roman" w:cs="Times New Roman"/>
          <w:noProof/>
          <w:sz w:val="24"/>
          <w:szCs w:val="24"/>
        </w:rPr>
      </w:pPr>
      <w:r>
        <w:rPr>
          <w:rFonts w:ascii="Times New Roman" w:hAnsi="Times New Roman" w:cs="Times New Roman"/>
          <w:noProof/>
          <w:sz w:val="24"/>
          <w:szCs w:val="24"/>
        </w:rPr>
        <w:t>12 joint undertakings.</w:t>
      </w:r>
    </w:p>
    <w:p>
      <w:pPr>
        <w:jc w:val="both"/>
        <w:rPr>
          <w:rFonts w:ascii="Times New Roman" w:hAnsi="Times New Roman" w:cs="Times New Roman"/>
          <w:noProof/>
          <w:sz w:val="24"/>
          <w:szCs w:val="24"/>
        </w:rPr>
      </w:pPr>
      <w:r>
        <w:rPr>
          <w:rFonts w:ascii="Times New Roman" w:hAnsi="Times New Roman" w:cs="Times New Roman"/>
          <w:noProof/>
          <w:sz w:val="24"/>
          <w:szCs w:val="24"/>
        </w:rPr>
        <w:t>The 2014 reform of the Staff Regulations set up a new framework for the adoption of rules implementing the Staff Regulations by the agencies. The general principle introduced by Article 110(2) of the Staff Regulations is that implementing rules adopted by the Commission apply by analogy to the agencies. To that end, the Commission informs the agencies of any such implementing rule without delay after adoption.</w:t>
      </w:r>
    </w:p>
    <w:p>
      <w:pPr>
        <w:jc w:val="both"/>
        <w:rPr>
          <w:rFonts w:ascii="Times New Roman" w:hAnsi="Times New Roman" w:cs="Times New Roman"/>
          <w:noProof/>
          <w:sz w:val="24"/>
          <w:szCs w:val="24"/>
        </w:rPr>
      </w:pPr>
      <w:r>
        <w:rPr>
          <w:rFonts w:ascii="Times New Roman" w:hAnsi="Times New Roman" w:cs="Times New Roman"/>
          <w:noProof/>
          <w:sz w:val="24"/>
          <w:szCs w:val="24"/>
        </w:rPr>
        <w:t>By way of exception to the principle of analogy, an agency may decide, after having consulted its Staff Committee and after having received the Commission's agreement, to adopt individual decision setting out:</w:t>
      </w:r>
    </w:p>
    <w:p>
      <w:pPr>
        <w:pStyle w:val="ListParagraph"/>
        <w:numPr>
          <w:ilvl w:val="0"/>
          <w:numId w:val="11"/>
        </w:numPr>
        <w:jc w:val="both"/>
        <w:rPr>
          <w:rFonts w:ascii="Times New Roman" w:hAnsi="Times New Roman" w:cs="Times New Roman"/>
          <w:noProof/>
          <w:sz w:val="24"/>
          <w:szCs w:val="24"/>
        </w:rPr>
      </w:pPr>
      <w:r>
        <w:rPr>
          <w:rFonts w:ascii="Times New Roman" w:hAnsi="Times New Roman" w:cs="Times New Roman"/>
          <w:noProof/>
          <w:sz w:val="24"/>
          <w:szCs w:val="24"/>
        </w:rPr>
        <w:t>the non-application of certain Commission rules (opt-out);</w:t>
      </w:r>
    </w:p>
    <w:p>
      <w:pPr>
        <w:pStyle w:val="ListParagraph"/>
        <w:numPr>
          <w:ilvl w:val="0"/>
          <w:numId w:val="11"/>
        </w:numPr>
        <w:jc w:val="both"/>
        <w:rPr>
          <w:rFonts w:ascii="Times New Roman" w:hAnsi="Times New Roman" w:cs="Times New Roman"/>
          <w:noProof/>
          <w:sz w:val="24"/>
          <w:szCs w:val="24"/>
        </w:rPr>
      </w:pPr>
      <w:r>
        <w:rPr>
          <w:rFonts w:ascii="Times New Roman" w:hAnsi="Times New Roman" w:cs="Times New Roman"/>
          <w:noProof/>
          <w:sz w:val="24"/>
          <w:szCs w:val="24"/>
        </w:rPr>
        <w:t>rules which are different from those of the Commission;</w:t>
      </w:r>
    </w:p>
    <w:p>
      <w:pPr>
        <w:pStyle w:val="ListParagraph"/>
        <w:numPr>
          <w:ilvl w:val="0"/>
          <w:numId w:val="11"/>
        </w:numPr>
        <w:jc w:val="both"/>
        <w:rPr>
          <w:rFonts w:ascii="Times New Roman" w:hAnsi="Times New Roman" w:cs="Times New Roman"/>
          <w:noProof/>
          <w:sz w:val="24"/>
          <w:szCs w:val="24"/>
        </w:rPr>
      </w:pPr>
      <w:r>
        <w:rPr>
          <w:rFonts w:ascii="Times New Roman" w:hAnsi="Times New Roman" w:cs="Times New Roman"/>
          <w:noProof/>
          <w:sz w:val="24"/>
          <w:szCs w:val="24"/>
        </w:rPr>
        <w:t>rules on subject matter other than those covered by the rules adopted by the Commission.</w:t>
      </w:r>
    </w:p>
    <w:p>
      <w:pPr>
        <w:jc w:val="both"/>
        <w:rPr>
          <w:rFonts w:asciiTheme="majorBidi" w:hAnsiTheme="majorBidi" w:cstheme="majorBidi"/>
          <w:noProof/>
          <w:sz w:val="24"/>
          <w:szCs w:val="24"/>
        </w:rPr>
      </w:pPr>
      <w:r>
        <w:rPr>
          <w:rFonts w:asciiTheme="majorBidi" w:hAnsiTheme="majorBidi" w:cstheme="majorBidi"/>
          <w:noProof/>
          <w:sz w:val="24"/>
          <w:szCs w:val="24"/>
        </w:rPr>
        <w:t xml:space="preserve">If a significant number of agencies seek to obtain an authorisation to not apply Commission’s implementing rules on a certain matter by analogy, the Commission can grant a horizontal agreement according to which the agencies can adopt an individual decision without having to submit a formal request (i.e. Commission gives an </w:t>
      </w:r>
      <w:r>
        <w:rPr>
          <w:rFonts w:asciiTheme="majorBidi" w:eastAsia="Times New Roman" w:hAnsiTheme="majorBidi" w:cstheme="majorBidi"/>
          <w:i/>
          <w:iCs/>
          <w:noProof/>
          <w:sz w:val="24"/>
          <w:szCs w:val="24"/>
          <w:lang w:val="en-IE" w:eastAsia="en-IE"/>
        </w:rPr>
        <w:t>ex</w:t>
      </w:r>
      <w:r>
        <w:rPr>
          <w:rFonts w:asciiTheme="majorBidi" w:hAnsiTheme="majorBidi" w:cstheme="majorBidi"/>
          <w:i/>
          <w:iCs/>
          <w:noProof/>
          <w:sz w:val="24"/>
          <w:szCs w:val="24"/>
        </w:rPr>
        <w:t xml:space="preserve"> </w:t>
      </w:r>
      <w:r>
        <w:rPr>
          <w:rFonts w:asciiTheme="majorBidi" w:eastAsia="Times New Roman" w:hAnsiTheme="majorBidi" w:cstheme="majorBidi"/>
          <w:i/>
          <w:iCs/>
          <w:noProof/>
          <w:sz w:val="24"/>
          <w:szCs w:val="24"/>
          <w:lang w:val="en-IE" w:eastAsia="en-IE"/>
        </w:rPr>
        <w:t>ante</w:t>
      </w:r>
      <w:r>
        <w:rPr>
          <w:rFonts w:asciiTheme="majorBidi" w:hAnsiTheme="majorBidi" w:cstheme="majorBidi"/>
          <w:noProof/>
          <w:sz w:val="24"/>
          <w:szCs w:val="24"/>
        </w:rPr>
        <w:t xml:space="preserve"> agreement), provided their individual decision follows the model implementing rules attached to the </w:t>
      </w:r>
      <w:r>
        <w:rPr>
          <w:rFonts w:asciiTheme="majorBidi" w:hAnsiTheme="majorBidi" w:cstheme="majorBidi"/>
          <w:i/>
          <w:iCs/>
          <w:noProof/>
          <w:sz w:val="24"/>
          <w:szCs w:val="24"/>
        </w:rPr>
        <w:t>ex ante</w:t>
      </w:r>
      <w:r>
        <w:rPr>
          <w:rFonts w:asciiTheme="majorBidi" w:hAnsiTheme="majorBidi" w:cstheme="majorBidi"/>
          <w:noProof/>
          <w:sz w:val="24"/>
          <w:szCs w:val="24"/>
        </w:rPr>
        <w:t xml:space="preserve"> agreement (hereinafter referred to as ‘</w:t>
      </w:r>
      <w:r>
        <w:rPr>
          <w:rFonts w:asciiTheme="majorBidi" w:hAnsiTheme="majorBidi" w:cstheme="majorBidi"/>
          <w:b/>
          <w:bCs/>
          <w:noProof/>
          <w:sz w:val="24"/>
          <w:szCs w:val="24"/>
        </w:rPr>
        <w:t>model decisions</w:t>
      </w:r>
      <w:r>
        <w:rPr>
          <w:rFonts w:asciiTheme="majorBidi" w:hAnsiTheme="majorBidi" w:cstheme="majorBidi"/>
          <w:noProof/>
          <w:sz w:val="24"/>
          <w:szCs w:val="24"/>
        </w:rPr>
        <w:t xml:space="preserve">’). The model decisions are based on Commission’s implementing rules but are adapted to specific context of agencies, and drafted in cooperation with the representatives of the agencies. This process contributes to the harmonisation of the application of the Staff Regulations among different agencies.  </w:t>
      </w:r>
    </w:p>
    <w:p>
      <w:pPr>
        <w:jc w:val="both"/>
        <w:rPr>
          <w:rFonts w:ascii="Times New Roman" w:hAnsi="Times New Roman" w:cs="Times New Roman"/>
          <w:noProof/>
          <w:sz w:val="18"/>
          <w:szCs w:val="18"/>
        </w:rPr>
      </w:pPr>
      <w:r>
        <w:rPr>
          <w:rFonts w:ascii="Times New Roman" w:hAnsi="Times New Roman" w:cs="Times New Roman"/>
          <w:noProof/>
          <w:sz w:val="24"/>
          <w:szCs w:val="24"/>
        </w:rPr>
        <w:t>The general table presented as Annex IV</w:t>
      </w:r>
      <w:r>
        <w:rPr>
          <w:rFonts w:ascii="Times New Roman" w:hAnsi="Times New Roman" w:cs="Times New Roman"/>
          <w:b/>
          <w:i/>
          <w:noProof/>
          <w:sz w:val="24"/>
          <w:szCs w:val="24"/>
        </w:rPr>
        <w:t xml:space="preserve"> </w:t>
      </w:r>
      <w:r>
        <w:rPr>
          <w:rFonts w:ascii="Times New Roman" w:hAnsi="Times New Roman" w:cs="Times New Roman"/>
          <w:noProof/>
          <w:sz w:val="24"/>
          <w:szCs w:val="24"/>
        </w:rPr>
        <w:t>to the present report provides a summary of the number and types of implementing rules that were applicable in the agencies on 31 December 2023, distinguishing the different reporting</w:t>
      </w:r>
      <w:r>
        <w:rPr>
          <w:rFonts w:ascii="Times New Roman" w:hAnsi="Times New Roman" w:cs="Times New Roman"/>
          <w:noProof/>
          <w:sz w:val="28"/>
          <w:szCs w:val="28"/>
        </w:rPr>
        <w:t xml:space="preserve"> </w:t>
      </w:r>
      <w:r>
        <w:rPr>
          <w:rFonts w:ascii="Times New Roman" w:hAnsi="Times New Roman" w:cs="Times New Roman"/>
          <w:noProof/>
          <w:sz w:val="24"/>
          <w:szCs w:val="24"/>
        </w:rPr>
        <w:t>periods since the 2014 reform of the Staff Regulations.</w:t>
      </w:r>
    </w:p>
    <w:p>
      <w:pPr>
        <w:jc w:val="both"/>
        <w:rPr>
          <w:rFonts w:ascii="Times New Roman" w:hAnsi="Times New Roman" w:cs="Times New Roman"/>
          <w:noProof/>
          <w:sz w:val="24"/>
          <w:szCs w:val="24"/>
        </w:rPr>
      </w:pPr>
      <w:r>
        <w:rPr>
          <w:rFonts w:ascii="Times New Roman" w:hAnsi="Times New Roman" w:cs="Times New Roman"/>
          <w:noProof/>
          <w:sz w:val="24"/>
          <w:szCs w:val="24"/>
        </w:rPr>
        <w:t>It uses the following</w:t>
      </w:r>
      <w:r>
        <w:rPr>
          <w:rFonts w:ascii="Times New Roman" w:hAnsi="Times New Roman" w:cs="Times New Roman"/>
          <w:b/>
          <w:noProof/>
          <w:sz w:val="24"/>
          <w:szCs w:val="24"/>
        </w:rPr>
        <w:t xml:space="preserve"> </w:t>
      </w:r>
      <w:r>
        <w:rPr>
          <w:rFonts w:ascii="Times New Roman" w:hAnsi="Times New Roman" w:cs="Times New Roman"/>
          <w:noProof/>
          <w:sz w:val="24"/>
          <w:szCs w:val="24"/>
        </w:rPr>
        <w:t>methodology:</w:t>
      </w:r>
    </w:p>
    <w:p>
      <w:pPr>
        <w:pStyle w:val="ListParagraph"/>
        <w:numPr>
          <w:ilvl w:val="0"/>
          <w:numId w:val="26"/>
        </w:numPr>
        <w:jc w:val="both"/>
        <w:rPr>
          <w:rFonts w:ascii="Times New Roman" w:hAnsi="Times New Roman" w:cs="Times New Roman"/>
          <w:noProof/>
          <w:sz w:val="24"/>
          <w:szCs w:val="24"/>
        </w:rPr>
      </w:pPr>
      <w:r>
        <w:rPr>
          <w:rFonts w:ascii="Times New Roman" w:hAnsi="Times New Roman" w:cs="Times New Roman"/>
          <w:noProof/>
          <w:sz w:val="24"/>
          <w:szCs w:val="24"/>
        </w:rPr>
        <w:lastRenderedPageBreak/>
        <w:t>It follows the structure of the Staff Regulations and the CEOS in order to help identify the different subject matters where the agencies have adopted implementing rules;</w:t>
      </w:r>
    </w:p>
    <w:p>
      <w:pPr>
        <w:pStyle w:val="ListParagraph"/>
        <w:numPr>
          <w:ilvl w:val="0"/>
          <w:numId w:val="26"/>
        </w:numPr>
        <w:jc w:val="both"/>
        <w:rPr>
          <w:rFonts w:ascii="Times New Roman" w:hAnsi="Times New Roman" w:cs="Times New Roman"/>
          <w:noProof/>
          <w:sz w:val="24"/>
          <w:szCs w:val="24"/>
        </w:rPr>
      </w:pPr>
      <w:r>
        <w:rPr>
          <w:rFonts w:ascii="Times New Roman" w:hAnsi="Times New Roman" w:cs="Times New Roman"/>
          <w:noProof/>
          <w:sz w:val="24"/>
          <w:szCs w:val="24"/>
        </w:rPr>
        <w:t>With regard to each subject matter, the table distinguishes different scenarios under which the agencies have adopted their rules.</w:t>
      </w:r>
    </w:p>
    <w:p>
      <w:pPr>
        <w:jc w:val="both"/>
        <w:rPr>
          <w:rFonts w:ascii="Times New Roman" w:hAnsi="Times New Roman" w:cs="Times New Roman"/>
          <w:noProof/>
          <w:sz w:val="24"/>
          <w:szCs w:val="24"/>
        </w:rPr>
      </w:pPr>
      <w:r>
        <w:rPr>
          <w:rFonts w:ascii="Times New Roman" w:hAnsi="Times New Roman" w:cs="Times New Roman"/>
          <w:noProof/>
          <w:sz w:val="24"/>
          <w:szCs w:val="24"/>
        </w:rPr>
        <w:t>In particular, this table demonstrates how the mechanisms introduced in 2014 have worked in practice.</w:t>
      </w:r>
    </w:p>
    <w:p>
      <w:pPr>
        <w:jc w:val="center"/>
        <w:rPr>
          <w:rFonts w:ascii="Times New Roman" w:hAnsi="Times New Roman" w:cs="Times New Roman"/>
          <w:noProof/>
          <w:sz w:val="24"/>
          <w:szCs w:val="24"/>
        </w:rPr>
      </w:pPr>
      <w:r>
        <w:rPr>
          <w:rFonts w:ascii="Times New Roman" w:hAnsi="Times New Roman" w:cs="Times New Roman"/>
          <w:b/>
          <w:noProof/>
          <w:sz w:val="24"/>
          <w:szCs w:val="24"/>
        </w:rPr>
        <w:t xml:space="preserve">EFFECTS OF MECHANISMS INTRODUCED SINCE 2014 </w:t>
      </w:r>
    </w:p>
    <w:tbl>
      <w:tblPr>
        <w:tblStyle w:val="TableGrid"/>
        <w:tblW w:w="0" w:type="auto"/>
        <w:tblLook w:val="04A0" w:firstRow="1" w:lastRow="0" w:firstColumn="1" w:lastColumn="0" w:noHBand="0" w:noVBand="1"/>
      </w:tblPr>
      <w:tblGrid>
        <w:gridCol w:w="5937"/>
        <w:gridCol w:w="1117"/>
        <w:gridCol w:w="1117"/>
        <w:gridCol w:w="1117"/>
      </w:tblGrid>
      <w:tr>
        <w:tc>
          <w:tcPr>
            <w:tcW w:w="0" w:type="auto"/>
          </w:tcPr>
          <w:p>
            <w:pPr>
              <w:jc w:val="both"/>
              <w:rPr>
                <w:rFonts w:ascii="Times New Roman" w:hAnsi="Times New Roman" w:cs="Times New Roman"/>
                <w:noProof/>
                <w:sz w:val="24"/>
                <w:szCs w:val="24"/>
              </w:rPr>
            </w:pPr>
          </w:p>
        </w:tc>
        <w:tc>
          <w:tcPr>
            <w:tcW w:w="0" w:type="auto"/>
            <w:vAlign w:val="center"/>
          </w:tcPr>
          <w:p>
            <w:pPr>
              <w:jc w:val="center"/>
              <w:rPr>
                <w:rFonts w:ascii="Times New Roman" w:hAnsi="Times New Roman" w:cs="Times New Roman"/>
                <w:b/>
                <w:noProof/>
                <w:sz w:val="20"/>
                <w:szCs w:val="20"/>
              </w:rPr>
            </w:pPr>
            <w:r>
              <w:rPr>
                <w:rFonts w:ascii="Times New Roman" w:hAnsi="Times New Roman" w:cs="Times New Roman"/>
                <w:b/>
                <w:noProof/>
                <w:sz w:val="20"/>
                <w:szCs w:val="20"/>
              </w:rPr>
              <w:t>Period 2014-2016</w:t>
            </w:r>
          </w:p>
        </w:tc>
        <w:tc>
          <w:tcPr>
            <w:tcW w:w="0" w:type="auto"/>
            <w:vAlign w:val="center"/>
          </w:tcPr>
          <w:p>
            <w:pPr>
              <w:jc w:val="center"/>
              <w:rPr>
                <w:rFonts w:ascii="Times New Roman" w:hAnsi="Times New Roman" w:cs="Times New Roman"/>
                <w:b/>
                <w:noProof/>
                <w:sz w:val="20"/>
                <w:szCs w:val="20"/>
              </w:rPr>
            </w:pPr>
            <w:r>
              <w:rPr>
                <w:rFonts w:ascii="Times New Roman" w:hAnsi="Times New Roman" w:cs="Times New Roman"/>
                <w:b/>
                <w:noProof/>
                <w:sz w:val="20"/>
                <w:szCs w:val="20"/>
              </w:rPr>
              <w:t>Period 2014-2019</w:t>
            </w:r>
          </w:p>
        </w:tc>
        <w:tc>
          <w:tcPr>
            <w:tcW w:w="0" w:type="auto"/>
          </w:tcPr>
          <w:p>
            <w:pPr>
              <w:jc w:val="center"/>
              <w:rPr>
                <w:rFonts w:ascii="Times New Roman" w:hAnsi="Times New Roman" w:cs="Times New Roman"/>
                <w:b/>
                <w:noProof/>
                <w:sz w:val="20"/>
                <w:szCs w:val="20"/>
              </w:rPr>
            </w:pPr>
            <w:r>
              <w:rPr>
                <w:rFonts w:ascii="Times New Roman" w:hAnsi="Times New Roman" w:cs="Times New Roman"/>
                <w:b/>
                <w:noProof/>
                <w:sz w:val="20"/>
                <w:szCs w:val="20"/>
              </w:rPr>
              <w:t>Period 2014-2023</w:t>
            </w:r>
          </w:p>
        </w:tc>
      </w:tr>
      <w:tr>
        <w:tc>
          <w:tcPr>
            <w:tcW w:w="0" w:type="auto"/>
            <w:vAlign w:val="center"/>
          </w:tcPr>
          <w:p>
            <w:pPr>
              <w:rPr>
                <w:rFonts w:ascii="Times New Roman" w:hAnsi="Times New Roman" w:cs="Times New Roman"/>
                <w:b/>
                <w:noProof/>
                <w:sz w:val="20"/>
                <w:szCs w:val="20"/>
              </w:rPr>
            </w:pPr>
            <w:r>
              <w:rPr>
                <w:rFonts w:ascii="Times New Roman" w:hAnsi="Times New Roman" w:cs="Times New Roman"/>
                <w:b/>
                <w:noProof/>
                <w:sz w:val="20"/>
                <w:szCs w:val="20"/>
              </w:rPr>
              <w:t>Commission implementing rules adopted after the reform of 2014 and notified to the agencies</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23</w:t>
            </w: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29</w:t>
            </w: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29</w:t>
            </w:r>
          </w:p>
        </w:tc>
      </w:tr>
      <w:tr>
        <w:tc>
          <w:tcPr>
            <w:tcW w:w="0" w:type="auto"/>
            <w:vAlign w:val="center"/>
          </w:tcPr>
          <w:p>
            <w:pPr>
              <w:rPr>
                <w:rFonts w:ascii="Times New Roman" w:hAnsi="Times New Roman" w:cs="Times New Roman"/>
                <w:b/>
                <w:noProof/>
                <w:sz w:val="20"/>
                <w:szCs w:val="20"/>
              </w:rPr>
            </w:pPr>
            <w:r>
              <w:rPr>
                <w:rFonts w:ascii="Times New Roman" w:hAnsi="Times New Roman" w:cs="Times New Roman"/>
                <w:b/>
                <w:noProof/>
                <w:sz w:val="20"/>
                <w:szCs w:val="20"/>
              </w:rPr>
              <w:t>Implementing rules in the agencies which apply by analogy after the reform of 2014 (Article 110 (2) SR)</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593</w:t>
            </w: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749</w:t>
            </w: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925</w:t>
            </w:r>
          </w:p>
        </w:tc>
      </w:tr>
      <w:tr>
        <w:tc>
          <w:tcPr>
            <w:tcW w:w="0" w:type="auto"/>
            <w:vAlign w:val="center"/>
          </w:tcPr>
          <w:p>
            <w:pPr>
              <w:rPr>
                <w:rFonts w:ascii="Times New Roman" w:hAnsi="Times New Roman" w:cs="Times New Roman"/>
                <w:b/>
                <w:noProof/>
                <w:sz w:val="20"/>
                <w:szCs w:val="20"/>
              </w:rPr>
            </w:pPr>
            <w:r>
              <w:rPr>
                <w:rFonts w:ascii="Times New Roman" w:hAnsi="Times New Roman" w:cs="Times New Roman"/>
                <w:b/>
                <w:noProof/>
                <w:sz w:val="20"/>
                <w:szCs w:val="20"/>
              </w:rPr>
              <w:t>Derogations after 2014 (own rules or opt out)</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201</w:t>
            </w: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173</w:t>
            </w: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129</w:t>
            </w:r>
          </w:p>
        </w:tc>
      </w:tr>
      <w:tr>
        <w:tc>
          <w:tcPr>
            <w:tcW w:w="0" w:type="auto"/>
            <w:vAlign w:val="center"/>
          </w:tcPr>
          <w:p>
            <w:pPr>
              <w:rPr>
                <w:rFonts w:ascii="Times New Roman" w:hAnsi="Times New Roman" w:cs="Times New Roman"/>
                <w:b/>
                <w:noProof/>
                <w:sz w:val="20"/>
                <w:szCs w:val="20"/>
                <w:lang w:val="fr-BE"/>
              </w:rPr>
            </w:pPr>
            <w:r>
              <w:rPr>
                <w:rFonts w:ascii="Times New Roman" w:hAnsi="Times New Roman" w:cs="Times New Roman"/>
                <w:b/>
                <w:noProof/>
                <w:sz w:val="20"/>
                <w:szCs w:val="20"/>
                <w:lang w:val="fr-BE"/>
              </w:rPr>
              <w:t xml:space="preserve">Commission’s </w:t>
            </w:r>
            <w:r>
              <w:rPr>
                <w:rFonts w:ascii="Times New Roman" w:hAnsi="Times New Roman" w:cs="Times New Roman"/>
                <w:b/>
                <w:i/>
                <w:iCs/>
                <w:noProof/>
                <w:sz w:val="20"/>
                <w:szCs w:val="20"/>
                <w:lang w:val="fr-BE"/>
              </w:rPr>
              <w:t>ex-ante</w:t>
            </w:r>
            <w:r>
              <w:rPr>
                <w:rFonts w:ascii="Times New Roman" w:hAnsi="Times New Roman" w:cs="Times New Roman"/>
                <w:b/>
                <w:noProof/>
                <w:sz w:val="20"/>
                <w:szCs w:val="20"/>
                <w:lang w:val="fr-BE"/>
              </w:rPr>
              <w:t xml:space="preserve"> agreements</w:t>
            </w:r>
          </w:p>
          <w:p>
            <w:pPr>
              <w:rPr>
                <w:rFonts w:ascii="Times New Roman" w:hAnsi="Times New Roman" w:cs="Times New Roman"/>
                <w:b/>
                <w:noProof/>
                <w:sz w:val="24"/>
                <w:szCs w:val="24"/>
                <w:lang w:val="fr-BE"/>
              </w:rPr>
            </w:pPr>
          </w:p>
        </w:tc>
        <w:tc>
          <w:tcPr>
            <w:tcW w:w="0" w:type="auto"/>
            <w:vAlign w:val="center"/>
          </w:tcPr>
          <w:p>
            <w:pPr>
              <w:jc w:val="center"/>
              <w:rPr>
                <w:rFonts w:ascii="Times New Roman" w:hAnsi="Times New Roman" w:cs="Times New Roman"/>
                <w:noProof/>
                <w:sz w:val="20"/>
                <w:szCs w:val="20"/>
                <w:lang w:val="fr-BE"/>
              </w:rPr>
            </w:pPr>
            <w:r>
              <w:rPr>
                <w:rFonts w:ascii="Times New Roman" w:hAnsi="Times New Roman" w:cs="Times New Roman"/>
                <w:noProof/>
                <w:sz w:val="20"/>
                <w:szCs w:val="20"/>
                <w:lang w:val="fr-BE"/>
              </w:rPr>
              <w:t>14</w:t>
            </w:r>
          </w:p>
        </w:tc>
        <w:tc>
          <w:tcPr>
            <w:tcW w:w="0" w:type="auto"/>
            <w:vAlign w:val="center"/>
          </w:tcPr>
          <w:p>
            <w:pPr>
              <w:jc w:val="center"/>
              <w:rPr>
                <w:rFonts w:ascii="Times New Roman" w:hAnsi="Times New Roman" w:cs="Times New Roman"/>
                <w:noProof/>
                <w:sz w:val="20"/>
                <w:szCs w:val="20"/>
                <w:lang w:val="fr-BE"/>
              </w:rPr>
            </w:pPr>
            <w:r>
              <w:rPr>
                <w:rFonts w:ascii="Times New Roman" w:hAnsi="Times New Roman" w:cs="Times New Roman"/>
                <w:noProof/>
                <w:sz w:val="20"/>
                <w:szCs w:val="20"/>
                <w:lang w:val="fr-BE"/>
              </w:rPr>
              <w:t>27</w:t>
            </w:r>
          </w:p>
        </w:tc>
        <w:tc>
          <w:tcPr>
            <w:tcW w:w="0" w:type="auto"/>
            <w:vAlign w:val="center"/>
          </w:tcPr>
          <w:p>
            <w:pPr>
              <w:jc w:val="center"/>
              <w:rPr>
                <w:rFonts w:ascii="Times New Roman" w:hAnsi="Times New Roman" w:cs="Times New Roman"/>
                <w:noProof/>
                <w:sz w:val="20"/>
                <w:szCs w:val="20"/>
                <w:lang w:val="fr-BE"/>
              </w:rPr>
            </w:pPr>
            <w:r>
              <w:rPr>
                <w:rFonts w:ascii="Times New Roman" w:hAnsi="Times New Roman" w:cs="Times New Roman"/>
                <w:noProof/>
                <w:sz w:val="20"/>
                <w:szCs w:val="20"/>
                <w:lang w:val="fr-BE"/>
              </w:rPr>
              <w:t>29</w:t>
            </w:r>
          </w:p>
        </w:tc>
      </w:tr>
      <w:tr>
        <w:tc>
          <w:tcPr>
            <w:tcW w:w="0" w:type="auto"/>
            <w:vAlign w:val="center"/>
          </w:tcPr>
          <w:p>
            <w:pPr>
              <w:rPr>
                <w:rFonts w:ascii="Times New Roman" w:hAnsi="Times New Roman" w:cs="Times New Roman"/>
                <w:b/>
                <w:noProof/>
                <w:sz w:val="20"/>
                <w:szCs w:val="20"/>
                <w:lang w:val="en-US"/>
              </w:rPr>
            </w:pPr>
            <w:r>
              <w:rPr>
                <w:rFonts w:ascii="Times New Roman" w:hAnsi="Times New Roman" w:cs="Times New Roman"/>
                <w:b/>
                <w:noProof/>
                <w:sz w:val="20"/>
                <w:szCs w:val="20"/>
                <w:lang w:val="en-US"/>
              </w:rPr>
              <w:t xml:space="preserve">Commission’s </w:t>
            </w:r>
            <w:r>
              <w:rPr>
                <w:rFonts w:ascii="Times New Roman" w:hAnsi="Times New Roman" w:cs="Times New Roman"/>
                <w:b/>
                <w:i/>
                <w:iCs/>
                <w:noProof/>
                <w:sz w:val="20"/>
                <w:szCs w:val="20"/>
                <w:lang w:val="en-US"/>
              </w:rPr>
              <w:t>ex ante</w:t>
            </w:r>
            <w:r>
              <w:rPr>
                <w:rFonts w:ascii="Times New Roman" w:hAnsi="Times New Roman" w:cs="Times New Roman"/>
                <w:b/>
                <w:noProof/>
                <w:sz w:val="20"/>
                <w:szCs w:val="20"/>
                <w:lang w:val="en-US"/>
              </w:rPr>
              <w:t xml:space="preserve"> agreements in areas covered by Commission implementing rules after 2014</w:t>
            </w:r>
          </w:p>
        </w:tc>
        <w:tc>
          <w:tcPr>
            <w:tcW w:w="0" w:type="auto"/>
            <w:vAlign w:val="center"/>
          </w:tcPr>
          <w:p>
            <w:pPr>
              <w:jc w:val="center"/>
              <w:rPr>
                <w:rFonts w:ascii="Times New Roman" w:hAnsi="Times New Roman" w:cs="Times New Roman"/>
                <w:noProof/>
                <w:sz w:val="20"/>
                <w:szCs w:val="20"/>
                <w:lang w:val="en-US"/>
              </w:rPr>
            </w:pPr>
            <w:r>
              <w:rPr>
                <w:rFonts w:ascii="Times New Roman" w:hAnsi="Times New Roman" w:cs="Times New Roman"/>
                <w:noProof/>
                <w:sz w:val="20"/>
                <w:szCs w:val="20"/>
                <w:lang w:val="en-US"/>
              </w:rPr>
              <w:t>10</w:t>
            </w:r>
          </w:p>
        </w:tc>
        <w:tc>
          <w:tcPr>
            <w:tcW w:w="0" w:type="auto"/>
            <w:vAlign w:val="center"/>
          </w:tcPr>
          <w:p>
            <w:pPr>
              <w:jc w:val="center"/>
              <w:rPr>
                <w:rFonts w:ascii="Times New Roman" w:hAnsi="Times New Roman" w:cs="Times New Roman"/>
                <w:noProof/>
                <w:sz w:val="20"/>
                <w:szCs w:val="20"/>
                <w:lang w:val="en-US"/>
              </w:rPr>
            </w:pPr>
            <w:r>
              <w:rPr>
                <w:rFonts w:ascii="Times New Roman" w:hAnsi="Times New Roman" w:cs="Times New Roman"/>
                <w:noProof/>
                <w:sz w:val="20"/>
                <w:szCs w:val="20"/>
                <w:lang w:val="en-US"/>
              </w:rPr>
              <w:t>21</w:t>
            </w:r>
          </w:p>
        </w:tc>
        <w:tc>
          <w:tcPr>
            <w:tcW w:w="0" w:type="auto"/>
            <w:vAlign w:val="center"/>
          </w:tcPr>
          <w:p>
            <w:pPr>
              <w:jc w:val="center"/>
              <w:rPr>
                <w:rFonts w:ascii="Times New Roman" w:hAnsi="Times New Roman" w:cs="Times New Roman"/>
                <w:noProof/>
                <w:sz w:val="20"/>
                <w:szCs w:val="20"/>
                <w:lang w:val="en-US"/>
              </w:rPr>
            </w:pPr>
            <w:r>
              <w:rPr>
                <w:rFonts w:ascii="Times New Roman" w:hAnsi="Times New Roman" w:cs="Times New Roman"/>
                <w:noProof/>
                <w:sz w:val="20"/>
                <w:szCs w:val="20"/>
                <w:lang w:val="en-US"/>
              </w:rPr>
              <w:t>23</w:t>
            </w:r>
            <w:r>
              <w:rPr>
                <w:rStyle w:val="FootnoteReference"/>
                <w:rFonts w:ascii="Times New Roman" w:hAnsi="Times New Roman" w:cs="Times New Roman"/>
                <w:noProof/>
                <w:sz w:val="20"/>
                <w:szCs w:val="20"/>
                <w:lang w:val="en-US"/>
              </w:rPr>
              <w:footnoteReference w:id="26"/>
            </w:r>
          </w:p>
        </w:tc>
      </w:tr>
      <w:tr>
        <w:tc>
          <w:tcPr>
            <w:tcW w:w="0" w:type="auto"/>
            <w:vAlign w:val="center"/>
          </w:tcPr>
          <w:p>
            <w:pPr>
              <w:rPr>
                <w:rFonts w:ascii="Times New Roman" w:hAnsi="Times New Roman" w:cs="Times New Roman"/>
                <w:b/>
                <w:noProof/>
                <w:sz w:val="20"/>
                <w:szCs w:val="20"/>
                <w:lang w:val="en-US"/>
              </w:rPr>
            </w:pPr>
            <w:r>
              <w:rPr>
                <w:rFonts w:ascii="Times New Roman" w:hAnsi="Times New Roman" w:cs="Times New Roman"/>
                <w:b/>
                <w:noProof/>
                <w:sz w:val="20"/>
                <w:szCs w:val="20"/>
                <w:lang w:val="en-US"/>
              </w:rPr>
              <w:t xml:space="preserve">Commission’s </w:t>
            </w:r>
            <w:r>
              <w:rPr>
                <w:rFonts w:ascii="Times New Roman" w:hAnsi="Times New Roman" w:cs="Times New Roman"/>
                <w:b/>
                <w:i/>
                <w:iCs/>
                <w:noProof/>
                <w:sz w:val="20"/>
                <w:szCs w:val="20"/>
                <w:lang w:val="en-US"/>
              </w:rPr>
              <w:t>ex ante</w:t>
            </w:r>
            <w:r>
              <w:rPr>
                <w:rFonts w:ascii="Times New Roman" w:hAnsi="Times New Roman" w:cs="Times New Roman"/>
                <w:b/>
                <w:noProof/>
                <w:sz w:val="20"/>
                <w:szCs w:val="20"/>
                <w:lang w:val="en-US"/>
              </w:rPr>
              <w:t xml:space="preserve"> agreements in areas not covered by Commission implementing rules after 2014</w:t>
            </w:r>
          </w:p>
        </w:tc>
        <w:tc>
          <w:tcPr>
            <w:tcW w:w="0" w:type="auto"/>
            <w:vAlign w:val="center"/>
          </w:tcPr>
          <w:p>
            <w:pPr>
              <w:jc w:val="center"/>
              <w:rPr>
                <w:rFonts w:ascii="Times New Roman" w:hAnsi="Times New Roman" w:cs="Times New Roman"/>
                <w:noProof/>
                <w:sz w:val="20"/>
                <w:szCs w:val="20"/>
                <w:lang w:val="en-US"/>
              </w:rPr>
            </w:pPr>
            <w:r>
              <w:rPr>
                <w:rFonts w:ascii="Times New Roman" w:hAnsi="Times New Roman" w:cs="Times New Roman"/>
                <w:noProof/>
                <w:sz w:val="20"/>
                <w:szCs w:val="20"/>
                <w:lang w:val="en-US"/>
              </w:rPr>
              <w:t>4</w:t>
            </w:r>
          </w:p>
        </w:tc>
        <w:tc>
          <w:tcPr>
            <w:tcW w:w="0" w:type="auto"/>
            <w:vAlign w:val="center"/>
          </w:tcPr>
          <w:p>
            <w:pPr>
              <w:jc w:val="center"/>
              <w:rPr>
                <w:rFonts w:ascii="Times New Roman" w:hAnsi="Times New Roman" w:cs="Times New Roman"/>
                <w:noProof/>
                <w:sz w:val="20"/>
                <w:szCs w:val="20"/>
                <w:lang w:val="en-US"/>
              </w:rPr>
            </w:pPr>
            <w:r>
              <w:rPr>
                <w:rFonts w:ascii="Times New Roman" w:hAnsi="Times New Roman" w:cs="Times New Roman"/>
                <w:noProof/>
                <w:sz w:val="20"/>
                <w:szCs w:val="20"/>
                <w:lang w:val="en-US"/>
              </w:rPr>
              <w:t>6</w:t>
            </w:r>
          </w:p>
        </w:tc>
        <w:tc>
          <w:tcPr>
            <w:tcW w:w="0" w:type="auto"/>
            <w:vAlign w:val="center"/>
          </w:tcPr>
          <w:p>
            <w:pPr>
              <w:jc w:val="center"/>
              <w:rPr>
                <w:rFonts w:ascii="Times New Roman" w:hAnsi="Times New Roman" w:cs="Times New Roman"/>
                <w:noProof/>
                <w:sz w:val="20"/>
                <w:szCs w:val="20"/>
                <w:lang w:val="en-US"/>
              </w:rPr>
            </w:pPr>
            <w:r>
              <w:rPr>
                <w:rFonts w:ascii="Times New Roman" w:hAnsi="Times New Roman" w:cs="Times New Roman"/>
                <w:noProof/>
                <w:sz w:val="20"/>
                <w:szCs w:val="20"/>
                <w:lang w:val="en-US"/>
              </w:rPr>
              <w:t>6</w:t>
            </w:r>
          </w:p>
        </w:tc>
      </w:tr>
      <w:tr>
        <w:tc>
          <w:tcPr>
            <w:tcW w:w="0" w:type="auto"/>
            <w:vAlign w:val="center"/>
          </w:tcPr>
          <w:p>
            <w:pPr>
              <w:rPr>
                <w:rFonts w:ascii="Times New Roman" w:hAnsi="Times New Roman" w:cs="Times New Roman"/>
                <w:b/>
                <w:noProof/>
                <w:sz w:val="20"/>
                <w:szCs w:val="20"/>
                <w:lang w:val="en-IE"/>
              </w:rPr>
            </w:pPr>
            <w:r>
              <w:rPr>
                <w:rFonts w:ascii="Times New Roman" w:hAnsi="Times New Roman" w:cs="Times New Roman"/>
                <w:b/>
                <w:noProof/>
                <w:sz w:val="20"/>
                <w:szCs w:val="20"/>
                <w:lang w:val="en-IE"/>
              </w:rPr>
              <w:t xml:space="preserve">Derogations – Commision’s </w:t>
            </w:r>
            <w:r>
              <w:rPr>
                <w:rFonts w:ascii="Times New Roman" w:hAnsi="Times New Roman" w:cs="Times New Roman"/>
                <w:b/>
                <w:i/>
                <w:iCs/>
                <w:noProof/>
                <w:sz w:val="20"/>
                <w:szCs w:val="20"/>
                <w:lang w:val="en-IE"/>
              </w:rPr>
              <w:t>ex ante</w:t>
            </w:r>
            <w:r>
              <w:rPr>
                <w:rFonts w:ascii="Times New Roman" w:hAnsi="Times New Roman" w:cs="Times New Roman"/>
                <w:b/>
                <w:noProof/>
                <w:sz w:val="20"/>
                <w:szCs w:val="20"/>
                <w:lang w:val="en-IE"/>
              </w:rPr>
              <w:t xml:space="preserve"> agreements for non-application of Commission implementing rules after 2014</w:t>
            </w:r>
          </w:p>
        </w:tc>
        <w:tc>
          <w:tcPr>
            <w:tcW w:w="0" w:type="auto"/>
            <w:vAlign w:val="center"/>
          </w:tcPr>
          <w:p>
            <w:pPr>
              <w:jc w:val="center"/>
              <w:rPr>
                <w:rFonts w:ascii="Times New Roman" w:hAnsi="Times New Roman" w:cs="Times New Roman"/>
                <w:noProof/>
                <w:sz w:val="20"/>
                <w:szCs w:val="20"/>
                <w:lang w:val="fr-BE"/>
              </w:rPr>
            </w:pPr>
            <w:r>
              <w:rPr>
                <w:rFonts w:ascii="Times New Roman" w:hAnsi="Times New Roman" w:cs="Times New Roman"/>
                <w:noProof/>
                <w:sz w:val="20"/>
                <w:szCs w:val="20"/>
                <w:lang w:val="fr-BE"/>
              </w:rPr>
              <w:t>1</w:t>
            </w:r>
          </w:p>
        </w:tc>
        <w:tc>
          <w:tcPr>
            <w:tcW w:w="0" w:type="auto"/>
            <w:vAlign w:val="center"/>
          </w:tcPr>
          <w:p>
            <w:pPr>
              <w:jc w:val="center"/>
              <w:rPr>
                <w:rFonts w:ascii="Times New Roman" w:hAnsi="Times New Roman" w:cs="Times New Roman"/>
                <w:noProof/>
                <w:sz w:val="20"/>
                <w:szCs w:val="20"/>
                <w:lang w:val="fr-BE"/>
              </w:rPr>
            </w:pPr>
            <w:r>
              <w:rPr>
                <w:rFonts w:ascii="Times New Roman" w:hAnsi="Times New Roman" w:cs="Times New Roman"/>
                <w:noProof/>
                <w:sz w:val="20"/>
                <w:szCs w:val="20"/>
                <w:lang w:val="fr-BE"/>
              </w:rPr>
              <w:t>3</w:t>
            </w:r>
          </w:p>
        </w:tc>
        <w:tc>
          <w:tcPr>
            <w:tcW w:w="0" w:type="auto"/>
            <w:vAlign w:val="center"/>
          </w:tcPr>
          <w:p>
            <w:pPr>
              <w:jc w:val="center"/>
              <w:rPr>
                <w:rFonts w:ascii="Times New Roman" w:hAnsi="Times New Roman" w:cs="Times New Roman"/>
                <w:noProof/>
                <w:sz w:val="20"/>
                <w:szCs w:val="20"/>
                <w:lang w:val="fr-BE"/>
              </w:rPr>
            </w:pPr>
            <w:r>
              <w:rPr>
                <w:rFonts w:ascii="Times New Roman" w:hAnsi="Times New Roman" w:cs="Times New Roman"/>
                <w:noProof/>
                <w:sz w:val="20"/>
                <w:szCs w:val="20"/>
                <w:lang w:val="fr-BE"/>
              </w:rPr>
              <w:t>3</w:t>
            </w:r>
          </w:p>
        </w:tc>
      </w:tr>
      <w:tr>
        <w:tc>
          <w:tcPr>
            <w:tcW w:w="0" w:type="auto"/>
            <w:vAlign w:val="center"/>
          </w:tcPr>
          <w:p>
            <w:pPr>
              <w:rPr>
                <w:rFonts w:ascii="Times New Roman" w:hAnsi="Times New Roman" w:cs="Times New Roman"/>
                <w:b/>
                <w:noProof/>
                <w:sz w:val="20"/>
                <w:szCs w:val="20"/>
                <w:lang w:val="en-US"/>
              </w:rPr>
            </w:pPr>
            <w:r>
              <w:rPr>
                <w:rFonts w:ascii="Times New Roman" w:hAnsi="Times New Roman" w:cs="Times New Roman"/>
                <w:b/>
                <w:noProof/>
                <w:sz w:val="20"/>
                <w:szCs w:val="20"/>
                <w:lang w:val="en-US"/>
              </w:rPr>
              <w:t xml:space="preserve">Derogations – </w:t>
            </w:r>
          </w:p>
          <w:p>
            <w:pPr>
              <w:rPr>
                <w:rFonts w:ascii="Times New Roman" w:hAnsi="Times New Roman" w:cs="Times New Roman"/>
                <w:b/>
                <w:noProof/>
                <w:sz w:val="20"/>
                <w:szCs w:val="20"/>
                <w:lang w:val="en-US"/>
              </w:rPr>
            </w:pPr>
            <w:r>
              <w:rPr>
                <w:rFonts w:ascii="Times New Roman" w:hAnsi="Times New Roman" w:cs="Times New Roman"/>
                <w:b/>
                <w:noProof/>
                <w:sz w:val="20"/>
                <w:szCs w:val="20"/>
                <w:lang w:val="en-US"/>
              </w:rPr>
              <w:t xml:space="preserve">Commission’s agreements to agencies’ different rules (different from the Commission implementing rules or the model decision provided by </w:t>
            </w:r>
            <w:r>
              <w:rPr>
                <w:rFonts w:ascii="Times New Roman" w:hAnsi="Times New Roman" w:cs="Times New Roman"/>
                <w:b/>
                <w:i/>
                <w:iCs/>
                <w:noProof/>
                <w:sz w:val="20"/>
                <w:szCs w:val="20"/>
                <w:lang w:val="en-US"/>
              </w:rPr>
              <w:t xml:space="preserve">ex ante </w:t>
            </w:r>
            <w:r>
              <w:rPr>
                <w:rFonts w:ascii="Times New Roman" w:hAnsi="Times New Roman" w:cs="Times New Roman"/>
                <w:b/>
                <w:noProof/>
                <w:sz w:val="20"/>
                <w:szCs w:val="20"/>
                <w:lang w:val="en-US"/>
              </w:rPr>
              <w:t>agreement)</w:t>
            </w:r>
          </w:p>
        </w:tc>
        <w:tc>
          <w:tcPr>
            <w:tcW w:w="0" w:type="auto"/>
            <w:vAlign w:val="center"/>
          </w:tcPr>
          <w:p>
            <w:pPr>
              <w:jc w:val="center"/>
              <w:rPr>
                <w:rFonts w:ascii="Times New Roman" w:hAnsi="Times New Roman" w:cs="Times New Roman"/>
                <w:noProof/>
                <w:sz w:val="20"/>
                <w:szCs w:val="20"/>
                <w:lang w:val="en-US"/>
              </w:rPr>
            </w:pPr>
          </w:p>
        </w:tc>
        <w:tc>
          <w:tcPr>
            <w:tcW w:w="0" w:type="auto"/>
            <w:vAlign w:val="center"/>
          </w:tcPr>
          <w:p>
            <w:pPr>
              <w:jc w:val="center"/>
              <w:rPr>
                <w:rFonts w:ascii="Times New Roman" w:hAnsi="Times New Roman" w:cs="Times New Roman"/>
                <w:noProof/>
                <w:sz w:val="20"/>
                <w:szCs w:val="20"/>
                <w:lang w:val="en-US"/>
              </w:rPr>
            </w:pPr>
            <w:r>
              <w:rPr>
                <w:rFonts w:ascii="Times New Roman" w:hAnsi="Times New Roman" w:cs="Times New Roman"/>
                <w:noProof/>
                <w:sz w:val="20"/>
                <w:szCs w:val="20"/>
                <w:lang w:val="en-US"/>
              </w:rPr>
              <w:t>5</w:t>
            </w:r>
          </w:p>
        </w:tc>
        <w:tc>
          <w:tcPr>
            <w:tcW w:w="0" w:type="auto"/>
            <w:vAlign w:val="center"/>
          </w:tcPr>
          <w:p>
            <w:pPr>
              <w:jc w:val="center"/>
              <w:rPr>
                <w:rFonts w:ascii="Times New Roman" w:hAnsi="Times New Roman" w:cs="Times New Roman"/>
                <w:noProof/>
                <w:sz w:val="20"/>
                <w:szCs w:val="20"/>
                <w:lang w:val="en-US"/>
              </w:rPr>
            </w:pPr>
            <w:r>
              <w:rPr>
                <w:rFonts w:ascii="Times New Roman" w:hAnsi="Times New Roman" w:cs="Times New Roman"/>
                <w:noProof/>
                <w:sz w:val="20"/>
                <w:szCs w:val="20"/>
                <w:lang w:val="en-US"/>
              </w:rPr>
              <w:t>7</w:t>
            </w:r>
          </w:p>
        </w:tc>
      </w:tr>
      <w:tr>
        <w:tc>
          <w:tcPr>
            <w:tcW w:w="0" w:type="auto"/>
            <w:vAlign w:val="center"/>
          </w:tcPr>
          <w:p>
            <w:pPr>
              <w:rPr>
                <w:rFonts w:ascii="Times New Roman" w:hAnsi="Times New Roman" w:cs="Times New Roman"/>
                <w:b/>
                <w:noProof/>
                <w:sz w:val="20"/>
                <w:szCs w:val="20"/>
              </w:rPr>
            </w:pPr>
            <w:r>
              <w:rPr>
                <w:rFonts w:ascii="Times New Roman" w:hAnsi="Times New Roman" w:cs="Times New Roman"/>
                <w:b/>
                <w:noProof/>
                <w:sz w:val="20"/>
                <w:szCs w:val="20"/>
              </w:rPr>
              <w:t xml:space="preserve">Implementing rules adopted by the agencies on the basis of an </w:t>
            </w:r>
            <w:r>
              <w:rPr>
                <w:rFonts w:ascii="Times New Roman" w:hAnsi="Times New Roman" w:cs="Times New Roman"/>
                <w:b/>
                <w:i/>
                <w:iCs/>
                <w:noProof/>
                <w:sz w:val="20"/>
                <w:szCs w:val="20"/>
              </w:rPr>
              <w:t>ex-ante</w:t>
            </w:r>
            <w:r>
              <w:rPr>
                <w:rFonts w:ascii="Times New Roman" w:hAnsi="Times New Roman" w:cs="Times New Roman"/>
                <w:b/>
                <w:noProof/>
                <w:sz w:val="20"/>
                <w:szCs w:val="20"/>
              </w:rPr>
              <w:t xml:space="preserve"> agreement</w:t>
            </w:r>
          </w:p>
          <w:p>
            <w:pPr>
              <w:rPr>
                <w:rFonts w:ascii="Times New Roman" w:hAnsi="Times New Roman" w:cs="Times New Roman"/>
                <w:b/>
                <w:noProof/>
                <w:sz w:val="24"/>
                <w:szCs w:val="24"/>
              </w:rPr>
            </w:pP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284</w:t>
            </w:r>
          </w:p>
        </w:tc>
        <w:tc>
          <w:tcPr>
            <w:tcW w:w="0" w:type="auto"/>
            <w:vAlign w:val="center"/>
          </w:tcPr>
          <w:p>
            <w:pPr>
              <w:jc w:val="center"/>
              <w:rPr>
                <w:rFonts w:ascii="Times New Roman" w:hAnsi="Times New Roman" w:cs="Times New Roman"/>
                <w:noProof/>
                <w:sz w:val="20"/>
                <w:szCs w:val="20"/>
              </w:rPr>
            </w:pPr>
            <w:r>
              <w:rPr>
                <w:rFonts w:ascii="Times New Roman" w:hAnsi="Times New Roman" w:cs="Times New Roman"/>
                <w:noProof/>
                <w:sz w:val="20"/>
                <w:szCs w:val="20"/>
              </w:rPr>
              <w:t>689</w:t>
            </w:r>
          </w:p>
        </w:tc>
        <w:tc>
          <w:tcPr>
            <w:tcW w:w="0" w:type="auto"/>
          </w:tcPr>
          <w:p>
            <w:pPr>
              <w:jc w:val="center"/>
              <w:rPr>
                <w:rFonts w:ascii="Times New Roman" w:hAnsi="Times New Roman" w:cs="Times New Roman"/>
                <w:noProof/>
                <w:sz w:val="20"/>
                <w:szCs w:val="20"/>
              </w:rPr>
            </w:pPr>
            <w:r>
              <w:rPr>
                <w:rFonts w:ascii="Times New Roman" w:hAnsi="Times New Roman" w:cs="Times New Roman"/>
                <w:noProof/>
                <w:sz w:val="20"/>
                <w:szCs w:val="20"/>
              </w:rPr>
              <w:br/>
              <w:t>868</w:t>
            </w:r>
          </w:p>
        </w:tc>
      </w:tr>
    </w:tbl>
    <w:p>
      <w:pPr>
        <w:spacing w:before="240"/>
        <w:jc w:val="both"/>
        <w:rPr>
          <w:rFonts w:ascii="Times New Roman" w:hAnsi="Times New Roman" w:cs="Times New Roman"/>
          <w:noProof/>
          <w:sz w:val="24"/>
          <w:szCs w:val="24"/>
        </w:rPr>
      </w:pPr>
    </w:p>
    <w:p>
      <w:pPr>
        <w:spacing w:after="360"/>
        <w:jc w:val="both"/>
        <w:rPr>
          <w:rFonts w:ascii="Times New Roman" w:hAnsi="Times New Roman" w:cs="Times New Roman"/>
          <w:noProof/>
          <w:sz w:val="24"/>
          <w:szCs w:val="24"/>
        </w:rPr>
      </w:pPr>
      <w:r>
        <w:rPr>
          <w:rFonts w:ascii="Times New Roman" w:hAnsi="Times New Roman" w:cs="Times New Roman"/>
          <w:noProof/>
          <w:sz w:val="24"/>
          <w:szCs w:val="24"/>
        </w:rPr>
        <w:t>Following the reform of the mechanism of Article 110(2) Staff Regulations in 2014, agencies widely apply the Commission’s implementing rules by analogy or adopt their own rules based on a model decision. The</w:t>
      </w:r>
      <w:r>
        <w:rPr>
          <w:rFonts w:ascii="Times New Roman" w:hAnsi="Times New Roman" w:cs="Times New Roman"/>
          <w:i/>
          <w:iCs/>
          <w:noProof/>
          <w:sz w:val="24"/>
          <w:szCs w:val="24"/>
        </w:rPr>
        <w:t xml:space="preserve"> </w:t>
      </w:r>
      <w:r>
        <w:rPr>
          <w:rFonts w:ascii="Times New Roman" w:hAnsi="Times New Roman" w:cs="Times New Roman"/>
          <w:noProof/>
          <w:sz w:val="24"/>
          <w:szCs w:val="24"/>
        </w:rPr>
        <w:t>Commission only gave its agreement for non-application of Commission’s rules on three occasions of no relevance for the agencies (two Commission decisions on the maximum duration for the recourse to non-permanent staff in the Commission services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xml:space="preserve"> and Commission decision concerning the function of adviser</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The Commission granted seven agreements to adopt implementing rules different from that of the Commission or from the model decision.</w:t>
      </w:r>
    </w:p>
    <w:p>
      <w:pPr>
        <w:pBdr>
          <w:top w:val="double" w:sz="4" w:space="1" w:color="auto"/>
          <w:left w:val="double" w:sz="4" w:space="4" w:color="auto"/>
          <w:bottom w:val="double" w:sz="4" w:space="1" w:color="auto"/>
          <w:right w:val="doub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lastRenderedPageBreak/>
        <w:t>TRANSPARENCY</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 The report provides an exhaustive inventory of the different types of implementing rules across the institutions and the agencies in force during the relevant period. Using common methodology allows for a comparative approach across the institutions, thereby enhancing transparency.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The report shows that the overall number of implementing rules has remained relatively stable across the institutions since the last reporting period.</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The report demonstrates that the mechanisms introduced by the 2014 reform aimed at ensuring consistent application of staff rules across the agencies continue to be widely used and continues to be effective.</w:t>
      </w:r>
    </w:p>
    <w:p>
      <w:pPr>
        <w:pStyle w:val="Heading1"/>
        <w:rPr>
          <w:rFonts w:ascii="Times New Roman" w:hAnsi="Times New Roman" w:cs="Times New Roman"/>
          <w:noProof/>
        </w:rPr>
      </w:pPr>
      <w:bookmarkStart w:id="8" w:name="_Toc232689749"/>
      <w:r>
        <w:rPr>
          <w:rFonts w:ascii="Times New Roman" w:hAnsi="Times New Roman" w:cs="Times New Roman"/>
          <w:noProof/>
        </w:rPr>
        <w:t>TITLE 3.</w:t>
      </w:r>
      <w:r>
        <w:rPr>
          <w:rFonts w:ascii="Times New Roman" w:hAnsi="Times New Roman" w:cs="Times New Roman"/>
          <w:noProof/>
        </w:rPr>
        <w:tab/>
        <w:t>QUALITATIVE ASSESSMENT / COMPLIANCE</w:t>
      </w:r>
      <w:bookmarkEnd w:id="8"/>
    </w:p>
    <w:p>
      <w:pPr>
        <w:rPr>
          <w:rFonts w:ascii="Times New Roman" w:hAnsi="Times New Roman" w:cs="Times New Roman"/>
          <w:noProof/>
        </w:rPr>
      </w:pPr>
    </w:p>
    <w:p>
      <w:pPr>
        <w:pBdr>
          <w:top w:val="double" w:sz="4" w:space="1" w:color="auto"/>
          <w:left w:val="double" w:sz="4" w:space="4" w:color="auto"/>
          <w:bottom w:val="double" w:sz="4" w:space="7" w:color="auto"/>
          <w:right w:val="doub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t>COMPLIANCE</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Have the institutions complied with the framework of the Staff Regulations and the CEOS?</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Has there been any further convergence among the institutions on the subject matters covered by the implementing rules adopted by them?</w:t>
      </w:r>
    </w:p>
    <w:p>
      <w:pPr>
        <w:pBdr>
          <w:top w:val="double" w:sz="4" w:space="1" w:color="auto"/>
          <w:left w:val="double" w:sz="4" w:space="4" w:color="auto"/>
          <w:bottom w:val="double" w:sz="4" w:space="7" w:color="auto"/>
          <w:right w:val="double" w:sz="4" w:space="4" w:color="auto"/>
        </w:pBdr>
        <w:jc w:val="both"/>
        <w:rPr>
          <w:rFonts w:ascii="Times New Roman" w:hAnsi="Times New Roman" w:cs="Times New Roman"/>
          <w:noProof/>
          <w:sz w:val="24"/>
          <w:szCs w:val="24"/>
        </w:rPr>
      </w:pPr>
      <w:r>
        <w:rPr>
          <w:rFonts w:ascii="Times New Roman" w:hAnsi="Times New Roman" w:cs="Times New Roman"/>
          <w:b/>
          <w:i/>
          <w:noProof/>
          <w:sz w:val="24"/>
          <w:szCs w:val="24"/>
        </w:rPr>
        <w:t>→ What is the state of play of the register held by the Court of Justice?</w:t>
      </w:r>
    </w:p>
    <w:p>
      <w:pPr>
        <w:pStyle w:val="Heading2"/>
        <w:spacing w:before="240" w:after="360"/>
        <w:rPr>
          <w:rFonts w:ascii="Times New Roman" w:hAnsi="Times New Roman" w:cs="Times New Roman"/>
          <w:noProof/>
        </w:rPr>
      </w:pPr>
      <w:bookmarkStart w:id="9" w:name="_Toc232689750"/>
      <w:r>
        <w:rPr>
          <w:rFonts w:ascii="Times New Roman" w:hAnsi="Times New Roman" w:cs="Times New Roman"/>
          <w:noProof/>
        </w:rPr>
        <w:t>a)</w:t>
      </w:r>
      <w:r>
        <w:rPr>
          <w:rFonts w:ascii="Times New Roman" w:hAnsi="Times New Roman" w:cs="Times New Roman"/>
          <w:noProof/>
        </w:rPr>
        <w:tab/>
        <w:t>Compliance with the Staff Regulations and the Conditions of Employment of Other Servants</w:t>
      </w:r>
      <w:bookmarkEnd w:id="9"/>
    </w:p>
    <w:p>
      <w:pPr>
        <w:jc w:val="both"/>
        <w:rPr>
          <w:rFonts w:ascii="Times New Roman" w:hAnsi="Times New Roman" w:cs="Times New Roman"/>
          <w:noProof/>
          <w:sz w:val="24"/>
          <w:szCs w:val="24"/>
          <w:bdr w:val="dashSmallGap" w:sz="4" w:space="0" w:color="auto"/>
        </w:rPr>
      </w:pPr>
      <w:r>
        <w:rPr>
          <w:rFonts w:ascii="Times New Roman" w:hAnsi="Times New Roman" w:cs="Times New Roman"/>
          <w:noProof/>
          <w:sz w:val="24"/>
          <w:szCs w:val="24"/>
        </w:rPr>
        <w:t xml:space="preserve">In the following section, the report examines to what extent the appointing authorities and the authorities authorised to conclude contacts of employment of institutions have, to date, used the specific empowerments granted in the Staff Regulations and the CEOS, respectively, to adopt implementing rules (shown below in lists within a </w:t>
      </w:r>
      <w:r>
        <w:rPr>
          <w:rFonts w:ascii="Times New Roman" w:hAnsi="Times New Roman" w:cs="Times New Roman"/>
          <w:noProof/>
          <w:sz w:val="24"/>
          <w:szCs w:val="24"/>
          <w:bdr w:val="single" w:sz="4" w:space="0" w:color="auto"/>
        </w:rPr>
        <w:t>frame)</w:t>
      </w:r>
      <w:r>
        <w:rPr>
          <w:rFonts w:ascii="Times New Roman" w:hAnsi="Times New Roman" w:cs="Times New Roman"/>
          <w:noProof/>
          <w:sz w:val="24"/>
          <w:szCs w:val="24"/>
        </w:rPr>
        <w:t xml:space="preserve">. Particular attention is accorded to the subject matters, where the authorities have not (yet) made use of their power to adopt rules. </w:t>
      </w:r>
    </w:p>
    <w:p>
      <w:pPr>
        <w:jc w:val="both"/>
        <w:rPr>
          <w:rFonts w:ascii="Times New Roman" w:hAnsi="Times New Roman" w:cs="Times New Roman"/>
          <w:noProof/>
          <w:sz w:val="24"/>
          <w:szCs w:val="24"/>
          <w:highlight w:val="green"/>
        </w:rPr>
      </w:pPr>
      <w:r>
        <w:rPr>
          <w:rFonts w:ascii="Times New Roman" w:hAnsi="Times New Roman" w:cs="Times New Roman"/>
          <w:noProof/>
          <w:sz w:val="24"/>
          <w:szCs w:val="24"/>
        </w:rPr>
        <w:t xml:space="preserve">In addition, the report lists the matters where the institutions have adopted implementing rules not expressly provided for by the Staff Regulations and the CEOS (shown below in lists within a </w:t>
      </w:r>
      <w:r>
        <w:rPr>
          <w:rFonts w:ascii="Times New Roman" w:hAnsi="Times New Roman" w:cs="Times New Roman"/>
          <w:noProof/>
          <w:sz w:val="24"/>
          <w:szCs w:val="24"/>
          <w:bdr w:val="dashSmallGap" w:sz="4" w:space="0" w:color="auto"/>
        </w:rPr>
        <w:t>perforated frame</w:t>
      </w:r>
      <w:r>
        <w:rPr>
          <w:rFonts w:ascii="Times New Roman" w:hAnsi="Times New Roman" w:cs="Times New Roman"/>
          <w:noProof/>
          <w:sz w:val="24"/>
          <w:szCs w:val="24"/>
        </w:rPr>
        <w:t>).</w:t>
      </w:r>
      <w:r>
        <w:rPr>
          <w:rFonts w:ascii="Times New Roman" w:hAnsi="Times New Roman" w:cs="Times New Roman"/>
          <w:noProof/>
          <w:sz w:val="24"/>
          <w:szCs w:val="24"/>
          <w:highlight w:val="green"/>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the above-mentioned lists, the report also identifies any inconsistencies with the Staff Regulations and the CEOS when it comes to compliance with the obligation to adopt </w:t>
      </w:r>
      <w:r>
        <w:rPr>
          <w:rFonts w:ascii="Times New Roman" w:hAnsi="Times New Roman" w:cs="Times New Roman"/>
          <w:noProof/>
          <w:sz w:val="24"/>
          <w:szCs w:val="24"/>
        </w:rPr>
        <w:lastRenderedPageBreak/>
        <w:t xml:space="preserve">implementing rules, when so required, and compliance with the imposed procedure for adoption of the implementing rule in question. That is the choice between rules by agreement between the institutions, general implementing provisions, and other implementing rules. These remarks have been emphasised in </w:t>
      </w:r>
      <w:r>
        <w:rPr>
          <w:rFonts w:ascii="Times New Roman" w:hAnsi="Times New Roman" w:cs="Times New Roman"/>
          <w:b/>
          <w:noProof/>
          <w:sz w:val="24"/>
          <w:szCs w:val="24"/>
        </w:rPr>
        <w:t>bold font</w:t>
      </w:r>
      <w:r>
        <w:rPr>
          <w:rFonts w:ascii="Times New Roman" w:hAnsi="Times New Roman" w:cs="Times New Roman"/>
          <w:noProof/>
          <w:sz w:val="24"/>
          <w:szCs w:val="24"/>
        </w:rPr>
        <w:t xml:space="preserve"> in the lists.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Finally, this section of the report looks into where the focus of the regulatory activity was during the reporting period 2020-2023 insofar as the subject matters of implementing rules are concerned. </w:t>
      </w:r>
    </w:p>
    <w:p>
      <w:pPr>
        <w:jc w:val="both"/>
        <w:rPr>
          <w:rFonts w:ascii="Times New Roman" w:hAnsi="Times New Roman" w:cs="Times New Roman"/>
          <w:noProof/>
          <w:sz w:val="24"/>
          <w:szCs w:val="24"/>
        </w:rPr>
      </w:pPr>
    </w:p>
    <w:p>
      <w:pPr>
        <w:jc w:val="center"/>
        <w:rPr>
          <w:rFonts w:ascii="Times New Roman" w:hAnsi="Times New Roman" w:cs="Times New Roman"/>
          <w:b/>
          <w:i/>
          <w:noProof/>
          <w:sz w:val="28"/>
          <w:szCs w:val="28"/>
        </w:rPr>
      </w:pPr>
      <w:r>
        <w:rPr>
          <w:rFonts w:ascii="Times New Roman" w:hAnsi="Times New Roman" w:cs="Times New Roman"/>
          <w:b/>
          <w:i/>
          <w:noProof/>
          <w:sz w:val="28"/>
          <w:szCs w:val="28"/>
        </w:rPr>
        <w:t>Staff Regulations</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I – General Provisions</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cs="Times New Roman"/>
          <w:i/>
          <w:noProof/>
          <w:sz w:val="20"/>
          <w:szCs w:val="20"/>
        </w:rPr>
        <w:t>Article 2 – Exercise of appointing authority power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All but one institution have used the empowerments to adopt implementing rules regarding the exercise of appointing authority power. Some institutions have made use of the possibility to entrust this power to another institution or inter-institutional body.</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cs="Times New Roman"/>
          <w:i/>
          <w:noProof/>
          <w:sz w:val="20"/>
          <w:szCs w:val="20"/>
        </w:rPr>
        <w:t>Article 5(4) – Definition of the duties and powers attaching to each type of post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made use of the possibility given by the Staff Regulations to define in more detail the duties and powers attaching to each type of post. One institution also adopted general implementing provisions on the matter.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9 + Annex II, Article 2 – Procedure for instituting the common Joint Committee (COPARCO)</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All institutions have adopted a rule by agreement on the procedures for instituting the common Joint Committee.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9(2) – Composition and procedures of bodies (committees)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but one institution have used the empowerment to determine the composition and procedure of the bodies. </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cs="Times New Roman"/>
          <w:i/>
          <w:noProof/>
          <w:sz w:val="20"/>
          <w:szCs w:val="20"/>
        </w:rPr>
        <w:t>Article 10 – Procedure for appointing members of the Staff Regulations Committee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All institutions have adopted a rule by agreement on the procedure for appointing members of the Staff Regulations Committee.</w:t>
      </w:r>
    </w:p>
    <w:p>
      <w:pPr>
        <w:pBdr>
          <w:top w:val="single" w:sz="4" w:space="1" w:color="auto"/>
          <w:left w:val="single" w:sz="4" w:space="4" w:color="auto"/>
          <w:bottom w:val="single" w:sz="4" w:space="1" w:color="auto"/>
          <w:right w:val="single" w:sz="4" w:space="4" w:color="auto"/>
        </w:pBdr>
        <w:rPr>
          <w:rFonts w:ascii="Times New Roman" w:hAnsi="Times New Roman" w:cs="Times New Roman"/>
          <w:noProof/>
          <w:sz w:val="20"/>
          <w:szCs w:val="20"/>
        </w:rPr>
      </w:pPr>
      <w:r>
        <w:rPr>
          <w:rFonts w:ascii="Times New Roman" w:hAnsi="Times New Roman" w:cs="Times New Roman"/>
          <w:i/>
          <w:noProof/>
          <w:sz w:val="20"/>
          <w:szCs w:val="20"/>
        </w:rPr>
        <w:t>Annex XIII, Article 30(3) - Assignment of officials holding special responsibilities to "Head of unit or equivalent" or "Adviser or equivalent" before 31 December 2015</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Five institutions have laid down provisions on derogating from Article 30(2) of Annex XIII to the Staff Regulations regarding the assignment of officials in grades AD 9 to AD 14 holding special responsibilities to the type of post "Head of unit or equivalent" or "Adviser or equivalent" before 31 December 2015.</w:t>
      </w:r>
    </w:p>
    <w:p>
      <w:pPr>
        <w:pBdr>
          <w:top w:val="dashed" w:sz="4" w:space="1" w:color="auto"/>
          <w:left w:val="dashed" w:sz="4" w:space="4" w:color="auto"/>
          <w:bottom w:val="dashed" w:sz="4" w:space="1" w:color="auto"/>
          <w:right w:val="dashed"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Although not expressly required by the Staff Regulations, some institutions have also adopted implementing rules on the following matters dealt with in Title I of the Staff Regulations:  disability, measures of a social nature, telework, compensatory allowance for certain categories of staff serving in Luxemburg, rules on Consultative Committee on Appointments, health and safety standards, and transfer/mobility.</w:t>
      </w:r>
    </w:p>
    <w:p>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The subject matters that were added by some institutions in the period 2020-2023 concerned telework, rules on Consultative Committee on Appointments, and compensatory allowance for certain categories of staff serving in Luxemburg.</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II – Rights and obligations of officials</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cs="Times New Roman"/>
          <w:i/>
          <w:noProof/>
          <w:sz w:val="20"/>
          <w:szCs w:val="20"/>
        </w:rPr>
        <w:t>Article 22c – Internal rules on whistleblowing</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implementing rules on whistleblowing. </w:t>
      </w:r>
    </w:p>
    <w:p>
      <w:pPr>
        <w:pBdr>
          <w:top w:val="dashed" w:sz="4" w:space="1" w:color="auto"/>
          <w:left w:val="dashed" w:sz="4" w:space="4" w:color="auto"/>
          <w:bottom w:val="dashed" w:sz="4" w:space="1" w:color="auto"/>
          <w:right w:val="dashed"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Some institutions have also adopted implementing rules on the following matters dealt with in Title II of the Staff Regulations: ethics and integrity, prevention of harassment (including concerning the Members the of European Parliament), outside activities (including when linked to elections), place of residence, financial responsibility, trade unions, and training (including at own initiative).</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subject matters added by some institutions in the period 2020-2023 concerned, notably, harassment complaints concerning members of the European Parliament, training at own initiative, and trade unions. </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III – Career of officials</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cs="Times New Roman"/>
          <w:i/>
          <w:noProof/>
          <w:sz w:val="20"/>
          <w:szCs w:val="20"/>
        </w:rPr>
        <w:t>Article 27(2) – Appropriate measures following the observation of a significant imbalance between nationalities among officials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Only one institution adopted general implementing provisions on the matter.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32(2) - Classification in step upon recruitment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general implementing provisions to allow additional seniority up to a maximum of 24 months to take account of an official's professional experience.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37(b) - Establishment on a list of organisations devoted to furthering the Union's interests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drawn up a list by agreement on organisations devoted to furthering the Union's interests.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42a - Parental leave, single parents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implementing provisions on parental leave, including the question of recognition of single parents for doubling the duration of parental leave. </w:t>
      </w:r>
      <w:r>
        <w:rPr>
          <w:rFonts w:ascii="Times New Roman" w:hAnsi="Times New Roman" w:cs="Times New Roman"/>
          <w:b/>
          <w:noProof/>
          <w:sz w:val="20"/>
          <w:szCs w:val="20"/>
        </w:rPr>
        <w:t>One institution has, however, not adopted these rules in the form of general implementing provisions, as provided for in Article 42a(1) of the Staff Regulations.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43 - Annual report on ability, efficiency and conduct in the service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general implementing provisions on annual reports regarding the ability, efficiency and conduct in the service. Three institutions also adopted other implementing rules on this matter.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45(2) - Ability to work in a third language before the first promotion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All institutions have adopted rules by agreement for implementing the requirement for officials to demonstrate before their first promotion the ability to work in a third language.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45a(5) - Appointment of an AST official to an AD post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lastRenderedPageBreak/>
        <w:t xml:space="preserve">All institutions have adopted implementing provisions for giving effect to the possibility to appoint an official in function group AST to a post in function group AD, the so-called certification procedure. </w:t>
      </w:r>
      <w:r>
        <w:rPr>
          <w:rFonts w:ascii="Times New Roman" w:hAnsi="Times New Roman" w:cs="Times New Roman"/>
          <w:b/>
          <w:noProof/>
          <w:sz w:val="20"/>
          <w:szCs w:val="20"/>
        </w:rPr>
        <w:t>One institution has, however, not adopted these rules in the form of general implementing provisions, as provided for in Article 45a(5) of the Staff Regulations.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51(1) - Procedure for dealing with incompetence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noProof/>
          <w:sz w:val="20"/>
          <w:szCs w:val="20"/>
        </w:rPr>
      </w:pPr>
      <w:r>
        <w:rPr>
          <w:rFonts w:ascii="Times New Roman" w:hAnsi="Times New Roman" w:cs="Times New Roman"/>
          <w:noProof/>
          <w:sz w:val="20"/>
          <w:szCs w:val="20"/>
        </w:rPr>
        <w:t xml:space="preserve">Eight institutions have adopted internal provisions to identify, deal with, and remedy cases of incompetence in a timely and appropriate fashion. </w:t>
      </w:r>
      <w:r>
        <w:rPr>
          <w:rFonts w:ascii="Times New Roman" w:hAnsi="Times New Roman" w:cs="Times New Roman"/>
          <w:b/>
          <w:bCs/>
          <w:noProof/>
          <w:sz w:val="20"/>
          <w:szCs w:val="20"/>
        </w:rPr>
        <w:t xml:space="preserve">One institution has adopted those rules in the format of general implementing provisions. </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Some institutions have also adopted implementing rules on the following matters dealt with in Title III of the Staff Regulations: middle management, recruitment of senior officials, probation, secondment, leave on personal grounds, family leave, leave in the interest of the service, advancement in step, confirmation in management posts, promotion, retirement, and honorary rank.</w:t>
      </w:r>
    </w:p>
    <w:p>
      <w:pPr>
        <w:jc w:val="both"/>
        <w:rPr>
          <w:rFonts w:ascii="Times New Roman" w:hAnsi="Times New Roman" w:cs="Times New Roman"/>
          <w:noProof/>
          <w:sz w:val="24"/>
          <w:szCs w:val="24"/>
        </w:rPr>
      </w:pPr>
      <w:r>
        <w:rPr>
          <w:rFonts w:ascii="Times New Roman" w:hAnsi="Times New Roman" w:cs="Times New Roman"/>
          <w:noProof/>
          <w:sz w:val="24"/>
          <w:szCs w:val="24"/>
        </w:rPr>
        <w:t>The subject matters added by some institutions in the period 2020-2023 concern geographical balance, family leave, leave in the interest of the service, and professional incompetence.</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IV – Working conditions of officials</w:t>
      </w:r>
      <w:r>
        <w:rPr>
          <w:rStyle w:val="FootnoteReference"/>
          <w:rFonts w:ascii="Times New Roman" w:hAnsi="Times New Roman" w:cs="Times New Roman"/>
          <w:i/>
          <w:noProof/>
          <w:sz w:val="24"/>
          <w:szCs w:val="24"/>
          <w:u w:val="single"/>
        </w:rPr>
        <w:footnoteReference w:id="29"/>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55(3) - Standby duty</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0"/>
          <w:szCs w:val="20"/>
        </w:rPr>
      </w:pPr>
      <w:r>
        <w:rPr>
          <w:rFonts w:ascii="Times New Roman" w:hAnsi="Times New Roman" w:cs="Times New Roman"/>
          <w:b/>
          <w:noProof/>
          <w:sz w:val="20"/>
          <w:szCs w:val="20"/>
        </w:rPr>
        <w:t>No institution has laid down detailed rules for the application of the provisions on standby duty under this article</w:t>
      </w:r>
      <w:r>
        <w:rPr>
          <w:rFonts w:ascii="Times New Roman" w:hAnsi="Times New Roman" w:cs="Times New Roman"/>
          <w:bCs/>
          <w:noProof/>
          <w:sz w:val="20"/>
          <w:szCs w:val="20"/>
        </w:rPr>
        <w:t>.</w:t>
      </w:r>
      <w:r>
        <w:rPr>
          <w:rFonts w:ascii="Times New Roman" w:hAnsi="Times New Roman" w:cs="Times New Roman"/>
          <w:b/>
          <w:noProof/>
          <w:sz w:val="20"/>
          <w:szCs w:val="20"/>
        </w:rPr>
        <w:t xml:space="preserve"> </w:t>
      </w:r>
      <w:r>
        <w:rPr>
          <w:rFonts w:ascii="Times New Roman" w:hAnsi="Times New Roman" w:cs="Times New Roman"/>
          <w:bCs/>
          <w:noProof/>
          <w:sz w:val="20"/>
          <w:szCs w:val="20"/>
        </w:rPr>
        <w:t xml:space="preserve">Two institutions have, however, adopted implementing rules on standby duty pursuant to Article 56b of the Staff Regulations.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55(4) - Working time / flexible working time arrangements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introduced flexible working-time arrangements.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55a + Annex IVa, Article 5 – Part time work</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laid down detailed rules for the application of the provisions on part time work. Seven institutions also adopted rules on telework under this article.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55b - Job sharing</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One institution has laid down detailed rules for the application of the article on job sharing.</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56 – Overtime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Seven institutions have laid down rules on the procedure regarding the authorisation of overtime or the terms for fixed allowance.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57 - Annual leave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b/>
          <w:noProof/>
          <w:sz w:val="20"/>
          <w:szCs w:val="20"/>
        </w:rPr>
        <w:t>The institutions have not laid down rules by agreement between institutions</w:t>
      </w:r>
      <w:r>
        <w:rPr>
          <w:rFonts w:ascii="Times New Roman" w:hAnsi="Times New Roman" w:cs="Times New Roman"/>
          <w:b/>
          <w:i/>
          <w:noProof/>
          <w:sz w:val="20"/>
          <w:szCs w:val="20"/>
        </w:rPr>
        <w:t xml:space="preserve"> </w:t>
      </w:r>
      <w:r>
        <w:rPr>
          <w:rFonts w:ascii="Times New Roman" w:hAnsi="Times New Roman" w:cs="Times New Roman"/>
          <w:b/>
          <w:noProof/>
          <w:sz w:val="20"/>
          <w:szCs w:val="20"/>
        </w:rPr>
        <w:t xml:space="preserve">on annual leave. Instead, nine institutions have adopted their own implementing rules on this matter.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lastRenderedPageBreak/>
        <w:t>Article 61 - List of public holidays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0"/>
          <w:szCs w:val="20"/>
        </w:rPr>
        <w:t>All institutions have drawn up a list of public holidays by agreement.</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Some institutions have also adopted implementing rules on the following matters that concern Title IV of the Staff Regulations: maternity leave, sick leave, invalidity procedure, annual medical visit, </w:t>
      </w:r>
      <w:bookmarkStart w:id="10" w:name="_Hlk187305439"/>
      <w:r>
        <w:rPr>
          <w:rFonts w:ascii="Times New Roman" w:hAnsi="Times New Roman" w:cs="Times New Roman"/>
          <w:noProof/>
          <w:sz w:val="24"/>
          <w:szCs w:val="24"/>
        </w:rPr>
        <w:t>standby duty under Article 56b of the Staff Regulations</w:t>
      </w:r>
      <w:bookmarkEnd w:id="10"/>
      <w:r>
        <w:rPr>
          <w:rFonts w:ascii="Times New Roman" w:hAnsi="Times New Roman" w:cs="Times New Roman"/>
          <w:noProof/>
          <w:sz w:val="24"/>
          <w:szCs w:val="24"/>
        </w:rPr>
        <w:t>, and absence.</w:t>
      </w:r>
    </w:p>
    <w:p>
      <w:pPr>
        <w:jc w:val="both"/>
        <w:rPr>
          <w:rFonts w:ascii="Times New Roman" w:hAnsi="Times New Roman" w:cs="Times New Roman"/>
          <w:noProof/>
          <w:sz w:val="24"/>
          <w:szCs w:val="24"/>
        </w:rPr>
      </w:pPr>
      <w:r>
        <w:rPr>
          <w:rFonts w:ascii="Times New Roman" w:hAnsi="Times New Roman" w:cs="Times New Roman"/>
          <w:noProof/>
          <w:sz w:val="24"/>
          <w:szCs w:val="24"/>
        </w:rPr>
        <w:t>The subject matters added by some institutions in the period 2020-2023 concerned, notably maternity leave, annual leave, telework, sick leave, standby duty under Article 56b of the Staff Regulations, and absence. The institutions adopted provisions on telework under different provisions of this Title as well as under Title I.</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V – Emoluments and social security for officials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72(1) - Sickness insurance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drawn up rules by agreement on sickness insurance.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72(1) - Reimbursement of medical expenses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Following an empowerment by all institutions as provided for in Article 72(1), third subparagraph, of the Staff Regulations, the Commission has adopted rules governing the reimbursement of expenses, which are applicable in all institutions.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Article 73(1) - Insurance against risk of occupational disease or accidents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All institutions have drawn up rules by agreement on insurance against the risk of occupational disease or accidents.</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cs="Times New Roman"/>
          <w:i/>
          <w:noProof/>
          <w:sz w:val="20"/>
          <w:szCs w:val="20"/>
        </w:rPr>
        <w:t>Article 76a - Financial aid increasing the pension of a surviving spouse who has a serious or protracted illness or who is disabled</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All institutions have fixed by agreement rules implementing on financial aid increasing the pension of a surviving spouse who has a serious or protracted illness or who is disabled.</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lang w:val="en-IE"/>
        </w:rPr>
      </w:pPr>
      <w:r>
        <w:rPr>
          <w:rFonts w:ascii="Times New Roman" w:hAnsi="Times New Roman" w:cs="Times New Roman"/>
          <w:i/>
          <w:noProof/>
          <w:sz w:val="20"/>
          <w:szCs w:val="20"/>
          <w:lang w:val="en-IE"/>
        </w:rPr>
        <w:t>Annex VII, Article 3(1) - Education allowance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laid down general implementing provisions on education allowance.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lang w:val="en-IE"/>
        </w:rPr>
      </w:pPr>
      <w:r>
        <w:rPr>
          <w:rFonts w:ascii="Times New Roman" w:hAnsi="Times New Roman" w:cs="Times New Roman"/>
          <w:i/>
          <w:noProof/>
          <w:sz w:val="20"/>
          <w:szCs w:val="20"/>
          <w:lang w:val="en-IE"/>
        </w:rPr>
        <w:t>Annex VII, Article 9(1) – Removal expenses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implementing provisions on removal expenses. </w:t>
      </w:r>
      <w:r>
        <w:rPr>
          <w:rFonts w:ascii="Times New Roman" w:hAnsi="Times New Roman" w:cs="Times New Roman"/>
          <w:b/>
          <w:noProof/>
          <w:sz w:val="20"/>
          <w:szCs w:val="20"/>
        </w:rPr>
        <w:t>One institution has, however, not adopted these rules in the form of general implementing provisions, as provided for in Article 9(1) of Annex VII to the Staff Regulations.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Annex VII, Article 13(2)(b) – Scale for missions in third countries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Two institutions have fixed the scale for expenses during missions taking place in countries outside the European Union.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lang w:val="en-IE"/>
        </w:rPr>
      </w:pPr>
      <w:r>
        <w:rPr>
          <w:rFonts w:ascii="Times New Roman" w:hAnsi="Times New Roman" w:cs="Times New Roman"/>
          <w:i/>
          <w:noProof/>
          <w:sz w:val="20"/>
          <w:szCs w:val="20"/>
          <w:lang w:val="en-IE"/>
        </w:rPr>
        <w:t>Annex VII, Article 13a - Mission expenses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All institutions have adopted general implementing provisions on mission expenses. Three institutions also adopted other implementing rules on this matter.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lastRenderedPageBreak/>
        <w:t>Annex VII, Article 14(2) – Entertainment allowance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No institution has laid down terms for reimbursement of occasionally incurred entertainment expenses.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Annex VII, Article 17(2) – Transfer of part of the remuneration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laid down rules by agreement on special regular transfer of part of an official's remuneration.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Annex VIII, Article 11(2) - Transfer IN of pension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0"/>
          <w:szCs w:val="20"/>
        </w:rPr>
        <w:t xml:space="preserve">Nine institutions have adopted general implementing provisions to determine the number of years of pensionable service with which an official who enters the service of the Union after leaving the service of a government administration or of a national or international organisation or pursuing an activity in an unemployed or self-employed capacity shall be credited under the Union pension scheme in respect of the former period of service. </w:t>
      </w:r>
      <w:r>
        <w:rPr>
          <w:rFonts w:ascii="Times New Roman" w:hAnsi="Times New Roman" w:cs="Times New Roman"/>
          <w:b/>
          <w:noProof/>
          <w:sz w:val="20"/>
          <w:szCs w:val="20"/>
        </w:rPr>
        <w:t xml:space="preserve">One institution has yet to adopt general implementing provisions as required by Article 11(2) of Annex VIII to the Staff Regulations. </w:t>
      </w:r>
      <w:r>
        <w:rPr>
          <w:rFonts w:ascii="Times New Roman" w:hAnsi="Times New Roman" w:cs="Times New Roman"/>
          <w:bCs/>
          <w:noProof/>
          <w:sz w:val="20"/>
          <w:szCs w:val="20"/>
        </w:rPr>
        <w:t>One institution also adopted other implementing rules on the matter.</w:t>
      </w:r>
      <w:r>
        <w:rPr>
          <w:rFonts w:ascii="Times New Roman" w:hAnsi="Times New Roman" w:cs="Times New Roman"/>
          <w:b/>
          <w:noProof/>
          <w:sz w:val="20"/>
          <w:szCs w:val="20"/>
        </w:rPr>
        <w:t xml:space="preserve"> </w:t>
      </w:r>
    </w:p>
    <w:p>
      <w:pPr>
        <w:pBdr>
          <w:top w:val="dashSmallGap" w:sz="4" w:space="1" w:color="auto"/>
          <w:left w:val="dashSmallGap" w:sz="4" w:space="1" w:color="auto"/>
          <w:bottom w:val="dashSmallGap" w:sz="4" w:space="1" w:color="auto"/>
          <w:right w:val="dashSmallGap" w:sz="4" w:space="1" w:color="auto"/>
        </w:pBdr>
        <w:jc w:val="both"/>
        <w:rPr>
          <w:rFonts w:ascii="Times New Roman" w:hAnsi="Times New Roman" w:cs="Times New Roman"/>
          <w:noProof/>
          <w:sz w:val="24"/>
          <w:szCs w:val="24"/>
        </w:rPr>
      </w:pPr>
      <w:r>
        <w:rPr>
          <w:rFonts w:ascii="Times New Roman" w:hAnsi="Times New Roman" w:cs="Times New Roman"/>
          <w:noProof/>
          <w:sz w:val="24"/>
          <w:szCs w:val="24"/>
        </w:rPr>
        <w:t>Almost all institutions have also adopted implementing rules on the following matters dealt with in Title V of the Staff Regulations: family allowances, household allowance by special decision, persons treated as if they were a dependent child, annual travel expenses, place of origin, mission and duty travel expenses, and transfer of pension rights. In the vast majority of cases, the institutions chose to adopt general implementing provisions on these subject matters.</w:t>
      </w:r>
    </w:p>
    <w:p>
      <w:pPr>
        <w:pBdr>
          <w:top w:val="dashSmallGap" w:sz="4" w:space="1" w:color="auto"/>
          <w:left w:val="dashSmallGap" w:sz="4" w:space="1" w:color="auto"/>
          <w:bottom w:val="dashSmallGap" w:sz="4" w:space="1" w:color="auto"/>
          <w:right w:val="dashSmallGap" w:sz="4" w:space="1" w:color="auto"/>
        </w:pBdr>
        <w:jc w:val="both"/>
        <w:rPr>
          <w:rFonts w:ascii="Times New Roman" w:hAnsi="Times New Roman" w:cs="Times New Roman"/>
          <w:noProof/>
          <w:sz w:val="24"/>
          <w:szCs w:val="24"/>
        </w:rPr>
      </w:pPr>
      <w:r>
        <w:rPr>
          <w:rFonts w:ascii="Times New Roman" w:hAnsi="Times New Roman" w:cs="Times New Roman"/>
          <w:noProof/>
          <w:sz w:val="24"/>
          <w:szCs w:val="24"/>
        </w:rPr>
        <w:t>Some institutions have also adopted implementing rules on loans and advances, calculation of pension rights, contribution for public transportation expenses, early retirement, and invalidity allowance.</w:t>
      </w:r>
    </w:p>
    <w:p>
      <w:pPr>
        <w:jc w:val="both"/>
        <w:rPr>
          <w:rFonts w:ascii="Times New Roman" w:hAnsi="Times New Roman" w:cs="Times New Roman"/>
          <w:noProof/>
          <w:sz w:val="24"/>
          <w:szCs w:val="24"/>
        </w:rPr>
      </w:pPr>
      <w:r>
        <w:rPr>
          <w:rFonts w:ascii="Times New Roman" w:hAnsi="Times New Roman" w:cs="Times New Roman"/>
          <w:noProof/>
          <w:sz w:val="24"/>
          <w:szCs w:val="24"/>
        </w:rPr>
        <w:t>The subject matters added by some institutions in the period 2020-2023 concerned mission and duty travel expenses and contribution for public transportation expenses.</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VI – Disciplinary measures</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 xml:space="preserve">Annex IX, Article 2(3) – Administrative enquiries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implementing rules on administrative enquiries in the form of general implementing provisions.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Annex IX, Article 30 – Disciplinary proceedings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All institutions have adopted implementing rules on disciplinary proceedings more generally.</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One institution has adopted implementing rules on investigations concerning EPSO selection boards and one institution adopted implementing rules on prevention of fraud, corruption and any other illegal activity.</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VII – Appeals</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One institution has adopted implementing rules on complaints in the sense of Articles 90 and 91 of the Staff Regulations.</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lastRenderedPageBreak/>
        <w:t xml:space="preserve">Title VIIIa – Special provisions applicable to the EEAS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rPr>
      </w:pPr>
      <w:r>
        <w:rPr>
          <w:rFonts w:ascii="Times New Roman" w:hAnsi="Times New Roman" w:cs="Times New Roman"/>
          <w:i/>
          <w:noProof/>
        </w:rPr>
        <w:t xml:space="preserve">Article 96 - Commission officials working in a Union delegation and EEAS officials who have to carry out tasks for the Commission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cs="Times New Roman"/>
          <w:noProof/>
        </w:rPr>
        <w:t xml:space="preserve">The Commission and the EEAS have agreed on the detailed arrangements on the taking of instructions by a Commission official working in a Union delegation from the Head of Delegation and by an EEAS official who has to carry out tasks for the Commission from the Commission. </w:t>
      </w:r>
    </w:p>
    <w:p>
      <w:pPr>
        <w:jc w:val="center"/>
        <w:rPr>
          <w:rFonts w:ascii="Times New Roman" w:hAnsi="Times New Roman" w:cs="Times New Roman"/>
          <w:i/>
          <w:noProof/>
          <w:sz w:val="24"/>
          <w:szCs w:val="24"/>
          <w:u w:val="single"/>
        </w:rPr>
      </w:pP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 xml:space="preserve">Title VIIIb – Special and exceptional provisions applicable to officials serving in a third country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Annex X, Article 1, third paragraph - Officials serving in a third country</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The Commission and the EEAS have adopted general implementing provisions applicable to officials of the European Union serving in a third country. The Court of Justice has clarified in its jurisprudence that the Staff Regulations do not oblige the institutions to adopt general implementing provisions for Annex X of the Staff Regulations. However, if an institution chooses to do so, the procedure provided for in Article 110 of the Staff Regulations (i.e. adoption by way of general implementing provisions) needs to be followed.</w:t>
      </w:r>
      <w:r>
        <w:rPr>
          <w:rStyle w:val="FootnoteReference"/>
          <w:rFonts w:ascii="Times New Roman" w:hAnsi="Times New Roman" w:cs="Times New Roman"/>
          <w:noProof/>
          <w:sz w:val="20"/>
          <w:szCs w:val="20"/>
        </w:rPr>
        <w:footnoteReference w:id="30"/>
      </w:r>
      <w:r>
        <w:rPr>
          <w:rFonts w:ascii="Times New Roman" w:hAnsi="Times New Roman" w:cs="Times New Roman"/>
          <w:noProof/>
          <w:sz w:val="20"/>
          <w:szCs w:val="20"/>
        </w:rPr>
        <w:t xml:space="preserv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Annex X, Article 2 - Transfer of officials serving in third countries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Two institutions have laid down detailed implementing rules on transfers of officials by a specific procedure referred to as the 'mobility procedure'.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Annex X, Article 3 – Exceptional application of Annex X to officials who are temporarily reassigned to Headquarters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Two institutions have laid down general implementing provisions on granting education allowance to staff temporarily assigned to the Headquarters.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Annex X, Article 5(2) - Accommodation for officials serving in third countries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Two institutions have laid down detailed rules on providing an official with accommodation. </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Annex X, Article 10(3) – Allowance for living conditions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Two institutions have adopted detailed provisions on the allowance for living conditions. One institution also adopted general implementing provisions on this matter.</w:t>
      </w:r>
    </w:p>
    <w:p>
      <w:pPr>
        <w:pBdr>
          <w:top w:val="single" w:sz="4" w:space="1" w:color="auto"/>
          <w:left w:val="single" w:sz="4" w:space="4" w:color="auto"/>
          <w:bottom w:val="single" w:sz="4" w:space="1" w:color="auto"/>
          <w:right w:val="single" w:sz="4" w:space="4" w:color="auto"/>
        </w:pBdr>
        <w:ind w:left="1440" w:hanging="1440"/>
        <w:jc w:val="both"/>
        <w:rPr>
          <w:rFonts w:ascii="Times New Roman" w:hAnsi="Times New Roman" w:cs="Times New Roman"/>
          <w:i/>
          <w:noProof/>
          <w:sz w:val="20"/>
          <w:szCs w:val="20"/>
        </w:rPr>
      </w:pPr>
      <w:r>
        <w:rPr>
          <w:rFonts w:ascii="Times New Roman" w:hAnsi="Times New Roman" w:cs="Times New Roman"/>
          <w:i/>
          <w:noProof/>
          <w:sz w:val="20"/>
          <w:szCs w:val="20"/>
        </w:rPr>
        <w:t>Annex X, Article 23 - Reimbursement of rent for officials serving in third countries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Two institutions have laid down detailed rules on an accommodation allowance or reimbursement of rent. </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and the EEAS have also adopted implementing rules on the following matters dealt with in Title VIIIb of the Staff Regulations and its Annex X: rest leave, currency and weighting, reimbursement to officials assigned in non-member countries, mobility of EEAS contract agents, temporary accommodation allowance and the cost of transport, sickness insurance and accident insurance. The Commission also adopted implementing rules </w:t>
      </w:r>
      <w:r>
        <w:rPr>
          <w:rFonts w:ascii="Times New Roman" w:hAnsi="Times New Roman" w:cs="Times New Roman"/>
          <w:noProof/>
          <w:sz w:val="24"/>
          <w:szCs w:val="24"/>
        </w:rPr>
        <w:lastRenderedPageBreak/>
        <w:t xml:space="preserve">applicable to staff serving in Commission’s Office in Greenland to whom the provisions of Annex X to the Staff Regulations apply due to Greenland’s specific status.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the period 2020-2023, the Commission and the EEAS only added implementing rules on granting education allowance to staff temporarily assigned to the Headquarters. The Commission also adopted implementing rules concerning staff serving in the Commission’s Office in Greenland. </w:t>
      </w:r>
    </w:p>
    <w:p>
      <w:pPr>
        <w:jc w:val="center"/>
        <w:rPr>
          <w:rFonts w:ascii="Times New Roman" w:hAnsi="Times New Roman" w:cs="Times New Roman"/>
          <w:i/>
          <w:iCs/>
          <w:noProof/>
          <w:sz w:val="24"/>
          <w:szCs w:val="24"/>
          <w:u w:val="single"/>
        </w:rPr>
      </w:pPr>
      <w:r>
        <w:rPr>
          <w:rFonts w:ascii="Times New Roman" w:hAnsi="Times New Roman" w:cs="Times New Roman"/>
          <w:i/>
          <w:iCs/>
          <w:noProof/>
          <w:sz w:val="24"/>
          <w:szCs w:val="24"/>
          <w:u w:val="single"/>
        </w:rPr>
        <w:t>Title IX – Transitional and final provisions</w:t>
      </w:r>
    </w:p>
    <w:p>
      <w:pPr>
        <w:jc w:val="both"/>
        <w:rPr>
          <w:rFonts w:ascii="Times New Roman" w:hAnsi="Times New Roman" w:cs="Times New Roman"/>
          <w:noProof/>
          <w:sz w:val="20"/>
          <w:szCs w:val="20"/>
        </w:rPr>
      </w:pPr>
      <w:r>
        <w:rPr>
          <w:rFonts w:ascii="Times New Roman" w:hAnsi="Times New Roman" w:cs="Times New Roman"/>
          <w:noProof/>
          <w:sz w:val="20"/>
          <w:szCs w:val="20"/>
        </w:rPr>
        <w:t xml:space="preserve">One institution adopted implementing rules on compensatory payment and general implementing provisions concerning pension rights. </w:t>
      </w:r>
    </w:p>
    <w:p>
      <w:pPr>
        <w:jc w:val="center"/>
        <w:rPr>
          <w:rFonts w:ascii="Times New Roman" w:hAnsi="Times New Roman" w:cs="Times New Roman"/>
          <w:b/>
          <w:i/>
          <w:noProof/>
          <w:sz w:val="28"/>
          <w:szCs w:val="28"/>
        </w:rPr>
      </w:pPr>
      <w:r>
        <w:rPr>
          <w:rFonts w:ascii="Times New Roman" w:hAnsi="Times New Roman" w:cs="Times New Roman"/>
          <w:b/>
          <w:i/>
          <w:noProof/>
          <w:sz w:val="28"/>
          <w:szCs w:val="28"/>
        </w:rPr>
        <w:t>Conditions of Employment of Other Servants</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II – Temporary staff</w:t>
      </w:r>
    </w:p>
    <w:p>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0"/>
          <w:szCs w:val="20"/>
        </w:rPr>
      </w:pPr>
      <w:r>
        <w:rPr>
          <w:rFonts w:ascii="Times New Roman" w:hAnsi="Times New Roman" w:cs="Times New Roman"/>
          <w:i/>
          <w:noProof/>
          <w:sz w:val="20"/>
          <w:szCs w:val="20"/>
        </w:rPr>
        <w:t>Article 12(1), third subparagraph – Appropriate measures following the observation of a significant imbalance between nationalities among temporary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Article 12(1), third subparagraph, allows each institution to adopt appropriate measures following the observation of a significant imbalance between nationalities among temporary staff that is not justified by objective criteria. Those appropriate measures must be justified and shall never result in recruitment criteria other than those based on merit. Before such appropriate measures are adopted, the authority authorised to conclude contracts of employment shall adopt general implementing provisions. At the time of finalisation of the present report, no institution has yet adopted such implementing provisions.</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cs="Times New Roman"/>
          <w:i/>
          <w:noProof/>
          <w:sz w:val="20"/>
          <w:szCs w:val="20"/>
        </w:rPr>
        <w:t>Article 12(5) – Procedures for the recruitment of temporary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Five institutions have adopted implementing provisions on the procedures for recruitment of temporary staff. </w:t>
      </w:r>
      <w:r>
        <w:rPr>
          <w:rFonts w:ascii="Times New Roman" w:hAnsi="Times New Roman" w:cs="Times New Roman"/>
          <w:b/>
          <w:noProof/>
          <w:sz w:val="20"/>
          <w:szCs w:val="20"/>
        </w:rPr>
        <w:t xml:space="preserve">Two out of five institutions have, however, not followed the requirement to adopt such rules in the form of general implementing provisions, as required by Article 12(5) of the CEOS. Five institutions are yet to adopt the rules on recruitment of temporary staff. </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cs="Times New Roman"/>
          <w:i/>
          <w:noProof/>
          <w:sz w:val="20"/>
          <w:szCs w:val="20"/>
        </w:rPr>
        <w:t>Article 28a(2) – Provisions on granting unemployment allowance for temporary staff</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noProof/>
          <w:sz w:val="20"/>
          <w:szCs w:val="20"/>
        </w:rPr>
      </w:pPr>
      <w:r>
        <w:rPr>
          <w:rFonts w:ascii="Times New Roman" w:hAnsi="Times New Roman" w:cs="Times New Roman"/>
          <w:noProof/>
          <w:sz w:val="20"/>
          <w:szCs w:val="20"/>
        </w:rPr>
        <w:t xml:space="preserve">No institutions have laid down provisions on granting an unemployment allowance to temporary staff. </w:t>
      </w:r>
    </w:p>
    <w:p>
      <w:pPr>
        <w:pBdr>
          <w:top w:val="single" w:sz="4" w:space="1" w:color="auto"/>
          <w:left w:val="single" w:sz="4" w:space="4" w:color="auto"/>
          <w:bottom w:val="single" w:sz="4" w:space="1" w:color="auto"/>
          <w:right w:val="single" w:sz="4" w:space="4" w:color="auto"/>
        </w:pBdr>
        <w:ind w:left="2160" w:hanging="2160"/>
        <w:jc w:val="both"/>
        <w:rPr>
          <w:rFonts w:ascii="Times New Roman" w:hAnsi="Times New Roman" w:cs="Times New Roman"/>
          <w:i/>
          <w:noProof/>
          <w:sz w:val="20"/>
          <w:szCs w:val="20"/>
        </w:rPr>
      </w:pPr>
      <w:r>
        <w:rPr>
          <w:rFonts w:ascii="Times New Roman" w:hAnsi="Times New Roman" w:cs="Times New Roman"/>
          <w:i/>
          <w:noProof/>
          <w:sz w:val="20"/>
          <w:szCs w:val="20"/>
        </w:rPr>
        <w:t>Article 28a(10) – Detailed arrangements on granting an unemployment allowance to temporary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laid down by mutual agreement detailed arrangements for the provisions on granting an unemployment allowance to temporary staff.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42 – Conditions for payments to constitute or maintain pension rights in the country of origin</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No institutions have laid down conditions for payments to constitute or maintain pension rights in the country of origin for temporary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54 – Reclassification of temporary staff - Article 2(f) CEOS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Cs/>
          <w:noProof/>
          <w:sz w:val="20"/>
          <w:szCs w:val="20"/>
        </w:rPr>
      </w:pPr>
      <w:r>
        <w:rPr>
          <w:rFonts w:ascii="Times New Roman" w:hAnsi="Times New Roman" w:cs="Times New Roman"/>
          <w:bCs/>
          <w:noProof/>
          <w:sz w:val="20"/>
          <w:szCs w:val="20"/>
        </w:rPr>
        <w:t xml:space="preserve">All agencies have adopted general implementing provisions for the implementation of the provisions on classification of temporary staff (Article 2(f) CEOS) in the next higher grade. All but one agency adopted those general implementing provisions on the basis of a Commission’s ex-ante agreement, while one agency adopted its own different rules.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lastRenderedPageBreak/>
        <w:t>Article 56 – Engagement and use of temporary staff - Article 2(f) CEOS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Cs/>
          <w:noProof/>
          <w:sz w:val="24"/>
          <w:szCs w:val="24"/>
        </w:rPr>
      </w:pPr>
      <w:r>
        <w:rPr>
          <w:rFonts w:ascii="Times New Roman" w:hAnsi="Times New Roman" w:cs="Times New Roman"/>
          <w:bCs/>
          <w:noProof/>
          <w:sz w:val="20"/>
          <w:szCs w:val="20"/>
        </w:rPr>
        <w:t>All agencies have adopted general provisions for the implementation of the procedures governing the engagement and use of temporary staff (Article 2(f) CEOS). All but two agencies adopted those rules on the basis of a Commission’s ex-ante agreement, while two agencies adopted their own different rules.</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Some institutions have also adopted implementing rules on the following matters that concern Title II of the CEOS: Junior Professionals Programme, general policy for the engagement and use of temporary agents, reclassification of temporary staff, measures of social nature, classification in step of temporary staff, working conditions of temporary agents, drivers, maternity pay, early retirement.</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subject matters added in the period 2020-2023 concerned notably general </w:t>
      </w:r>
      <w:bookmarkStart w:id="11" w:name="_Hlk187305511"/>
      <w:r>
        <w:rPr>
          <w:rFonts w:ascii="Times New Roman" w:hAnsi="Times New Roman" w:cs="Times New Roman"/>
          <w:noProof/>
          <w:sz w:val="24"/>
          <w:szCs w:val="24"/>
        </w:rPr>
        <w:t>policy for the engagement of temporary staff and classification in step of temporary staff.</w:t>
      </w:r>
      <w:bookmarkEnd w:id="11"/>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IV – Contract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79(2) - Use of contract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general implementing provisions governing the use of contract staff. Two institutions also adopted other implementing rules on the matter.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82(6) - Engagement of contract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general implementing provisions on the procedures for engagement of contract staff. Three institutions also adopted other implementing rules on the matter.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86(1) - Grading of contract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All institutions have adopted general implementing provisions on the grading of contract staff. One institution also adopted other implementing rules on the matter.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96(2) – Provisions on granting unemployment allowance for contract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No institutions have laid down provisions on granting unemployment allowance to contract staff.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112 – Conditions for payments for pension rights, unemployment, invalidity, life and sickness insurances in the country of last coverage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noProof/>
          <w:sz w:val="20"/>
          <w:szCs w:val="20"/>
        </w:rPr>
        <w:t>No institution has laid down conditions for payments for pension rights, unemployment, invalidity, life and sickness insurances in the country of last coverage.</w:t>
      </w:r>
    </w:p>
    <w:p>
      <w:pPr>
        <w:pBdr>
          <w:top w:val="dashSmallGap" w:sz="4" w:space="1" w:color="auto"/>
          <w:left w:val="dashSmallGap" w:sz="4" w:space="4" w:color="auto"/>
          <w:bottom w:val="dashSmallGap" w:sz="4" w:space="1" w:color="auto"/>
          <w:right w:val="dashSmallGap"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Some institutions have also adopted implementing rules on the following matters that concern Title IV of the CEOS: rules applicable to staff engaged under national law ineligible to become contract agent, appraisal and reclassification of contract staff, maximum duration of recourse to non-permanent staff, auxiliary conference interpreters, working conditions of interpreters, and mobility of contract staff in delegations.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subject matters added in the period 2020-2023 concerned </w:t>
      </w:r>
      <w:bookmarkStart w:id="12" w:name="_Hlk187305522"/>
      <w:r>
        <w:rPr>
          <w:rFonts w:ascii="Times New Roman" w:hAnsi="Times New Roman" w:cs="Times New Roman"/>
          <w:noProof/>
          <w:sz w:val="24"/>
          <w:szCs w:val="24"/>
        </w:rPr>
        <w:t>reclassification of contract staff.</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p>
    <w:bookmarkEnd w:id="12"/>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V – Local staff</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and the EEAS have adopted implementing rules on conditions of employment, salary method, social security for local agents in delegations, and Joint Committees regarding Local Staff. The Commission has also adopted implementing rules on joint committees regarding Local Staff. </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VI – Special advisers</w:t>
      </w:r>
    </w:p>
    <w:p>
      <w:pPr>
        <w:jc w:val="both"/>
        <w:rPr>
          <w:rFonts w:ascii="Times New Roman" w:hAnsi="Times New Roman" w:cs="Times New Roman"/>
          <w:noProof/>
          <w:sz w:val="24"/>
          <w:szCs w:val="24"/>
        </w:rPr>
      </w:pPr>
      <w:r>
        <w:rPr>
          <w:rFonts w:ascii="Times New Roman" w:hAnsi="Times New Roman" w:cs="Times New Roman"/>
          <w:noProof/>
          <w:sz w:val="24"/>
          <w:szCs w:val="24"/>
        </w:rPr>
        <w:t>One institution has adopted implementing rules on special advisers.</w:t>
      </w:r>
    </w:p>
    <w:p>
      <w:pPr>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Title VII – Parliamentary assistants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0"/>
          <w:szCs w:val="20"/>
        </w:rPr>
      </w:pPr>
      <w:r>
        <w:rPr>
          <w:rFonts w:ascii="Times New Roman" w:hAnsi="Times New Roman" w:cs="Times New Roman"/>
          <w:i/>
          <w:noProof/>
          <w:sz w:val="20"/>
          <w:szCs w:val="20"/>
        </w:rPr>
        <w:t>Article 125 - Parliamentary assistants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0"/>
          <w:szCs w:val="20"/>
        </w:rPr>
      </w:pPr>
      <w:r>
        <w:rPr>
          <w:rFonts w:ascii="Times New Roman" w:hAnsi="Times New Roman" w:cs="Times New Roman"/>
          <w:noProof/>
          <w:sz w:val="20"/>
          <w:szCs w:val="20"/>
        </w:rPr>
        <w:t xml:space="preserve">The European Parliament has adopted implementing measures by internal decision for the purposes of the application of the provisions on parliamentary assistants. </w:t>
      </w:r>
    </w:p>
    <w:p>
      <w:pPr>
        <w:jc w:val="center"/>
        <w:rPr>
          <w:rFonts w:ascii="Times New Roman" w:hAnsi="Times New Roman" w:cs="Times New Roman"/>
          <w:noProof/>
          <w:sz w:val="24"/>
          <w:szCs w:val="24"/>
        </w:rPr>
      </w:pP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the convergence on the subject matters of implementing rules, it appears from the foregoing that there was further convergence between the institutions during the reporting period. Such convergence was greater in the subject matters where the majority of institutions had already adopted rules in the previous reporting period or before, with other institutions following suit. This concerned, notably the following subject matters: types of post and post titles, committees, anti-harassment, training, leave on personal grounds, working time, part time work, telework, household allowance by special decision, mission and duty travel expenses.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Some, more limited, convergence occurred also on the subject matters of health and safety, transfer, ethics and integrity, recruitment of senior officials, annual medical visit, loans and advances, and disciplinary proceedings. </w:t>
      </w:r>
    </w:p>
    <w:p>
      <w:pPr>
        <w:jc w:val="both"/>
        <w:rPr>
          <w:rFonts w:ascii="Times New Roman" w:hAnsi="Times New Roman" w:cs="Times New Roman"/>
          <w:noProof/>
          <w:sz w:val="24"/>
          <w:szCs w:val="24"/>
        </w:rPr>
      </w:pPr>
      <w:bookmarkStart w:id="13" w:name="_Hlk187305177"/>
      <w:r>
        <w:rPr>
          <w:rFonts w:ascii="Times New Roman" w:hAnsi="Times New Roman" w:cs="Times New Roman"/>
          <w:noProof/>
          <w:sz w:val="24"/>
          <w:szCs w:val="24"/>
        </w:rPr>
        <w:t>Subject matters introduced by one or more institutions</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during the reporting period included granting of </w:t>
      </w:r>
      <w:r>
        <w:rPr>
          <w:rFonts w:ascii="Times New Roman" w:hAnsi="Times New Roman" w:cs="Times New Roman"/>
          <w:i/>
          <w:iCs/>
          <w:noProof/>
          <w:sz w:val="24"/>
          <w:szCs w:val="24"/>
        </w:rPr>
        <w:t>supplementary aid for persons with a disability</w:t>
      </w:r>
      <w:r>
        <w:rPr>
          <w:rFonts w:ascii="Times New Roman" w:hAnsi="Times New Roman" w:cs="Times New Roman"/>
          <w:noProof/>
          <w:sz w:val="24"/>
          <w:szCs w:val="24"/>
        </w:rPr>
        <w:t xml:space="preserve">, telework, </w:t>
      </w:r>
      <w:r>
        <w:rPr>
          <w:rFonts w:ascii="Times New Roman" w:hAnsi="Times New Roman" w:cs="Times New Roman"/>
          <w:i/>
          <w:iCs/>
          <w:noProof/>
          <w:sz w:val="24"/>
          <w:szCs w:val="24"/>
        </w:rPr>
        <w:t>compensatory allowance for certain staff categories serving in Luxemburg</w:t>
      </w:r>
      <w:r>
        <w:rPr>
          <w:rFonts w:ascii="Times New Roman" w:hAnsi="Times New Roman" w:cs="Times New Roman"/>
          <w:noProof/>
          <w:sz w:val="24"/>
          <w:szCs w:val="24"/>
        </w:rPr>
        <w:t xml:space="preserve">, </w:t>
      </w:r>
      <w:r>
        <w:rPr>
          <w:rFonts w:ascii="Times New Roman" w:hAnsi="Times New Roman" w:cs="Times New Roman"/>
          <w:i/>
          <w:iCs/>
          <w:noProof/>
          <w:sz w:val="24"/>
          <w:szCs w:val="24"/>
        </w:rPr>
        <w:t>harassment complaints concerning the Members of the European Parliament</w:t>
      </w:r>
      <w:r>
        <w:rPr>
          <w:rFonts w:ascii="Times New Roman" w:hAnsi="Times New Roman" w:cs="Times New Roman"/>
          <w:noProof/>
          <w:sz w:val="24"/>
          <w:szCs w:val="24"/>
        </w:rPr>
        <w:t xml:space="preserve">, training at own initiative, </w:t>
      </w:r>
      <w:r>
        <w:rPr>
          <w:rFonts w:ascii="Times New Roman" w:hAnsi="Times New Roman" w:cs="Times New Roman"/>
          <w:i/>
          <w:iCs/>
          <w:noProof/>
          <w:sz w:val="24"/>
          <w:szCs w:val="24"/>
        </w:rPr>
        <w:t>trade unions</w:t>
      </w:r>
      <w:r>
        <w:rPr>
          <w:rFonts w:ascii="Times New Roman" w:hAnsi="Times New Roman" w:cs="Times New Roman"/>
          <w:noProof/>
          <w:sz w:val="24"/>
          <w:szCs w:val="24"/>
        </w:rPr>
        <w:t xml:space="preserve">, family leave, leave in the interest of the service, professional incompetence, </w:t>
      </w:r>
      <w:r>
        <w:rPr>
          <w:rFonts w:ascii="Times New Roman" w:hAnsi="Times New Roman" w:cs="Times New Roman"/>
          <w:i/>
          <w:iCs/>
          <w:noProof/>
          <w:sz w:val="24"/>
          <w:szCs w:val="24"/>
        </w:rPr>
        <w:t>geographical balance</w:t>
      </w:r>
      <w:r>
        <w:rPr>
          <w:rFonts w:ascii="Times New Roman" w:hAnsi="Times New Roman" w:cs="Times New Roman"/>
          <w:noProof/>
          <w:sz w:val="24"/>
          <w:szCs w:val="24"/>
        </w:rPr>
        <w:t xml:space="preserve">, maternity leave, sick leave, absence, annual leave, mission and duty travel expenses, </w:t>
      </w:r>
      <w:r>
        <w:rPr>
          <w:rFonts w:ascii="Times New Roman" w:hAnsi="Times New Roman" w:cs="Times New Roman"/>
          <w:i/>
          <w:iCs/>
          <w:noProof/>
          <w:sz w:val="24"/>
          <w:szCs w:val="24"/>
        </w:rPr>
        <w:t>contribution for public transportation</w:t>
      </w:r>
      <w:r>
        <w:rPr>
          <w:rFonts w:ascii="Times New Roman" w:hAnsi="Times New Roman" w:cs="Times New Roman"/>
          <w:noProof/>
          <w:sz w:val="24"/>
          <w:szCs w:val="24"/>
        </w:rPr>
        <w:t xml:space="preserve">, </w:t>
      </w:r>
      <w:r>
        <w:rPr>
          <w:rFonts w:ascii="Times New Roman" w:hAnsi="Times New Roman" w:cs="Times New Roman"/>
          <w:i/>
          <w:iCs/>
          <w:noProof/>
          <w:sz w:val="24"/>
          <w:szCs w:val="24"/>
        </w:rPr>
        <w:t>standby duty under Article 56b of the Staff Regulations</w:t>
      </w:r>
      <w:r>
        <w:rPr>
          <w:rFonts w:ascii="Times New Roman" w:hAnsi="Times New Roman" w:cs="Times New Roman"/>
          <w:noProof/>
          <w:sz w:val="24"/>
          <w:szCs w:val="24"/>
        </w:rPr>
        <w:t xml:space="preserve">, </w:t>
      </w:r>
      <w:r>
        <w:rPr>
          <w:rFonts w:ascii="Times New Roman" w:hAnsi="Times New Roman" w:cs="Times New Roman"/>
          <w:i/>
          <w:iCs/>
          <w:noProof/>
          <w:sz w:val="24"/>
          <w:szCs w:val="24"/>
        </w:rPr>
        <w:t>special provisions concerning staff serving in Commission’s Office in Greenland</w:t>
      </w:r>
      <w:r>
        <w:rPr>
          <w:rFonts w:ascii="Times New Roman" w:hAnsi="Times New Roman" w:cs="Times New Roman"/>
          <w:noProof/>
          <w:sz w:val="24"/>
          <w:szCs w:val="24"/>
        </w:rPr>
        <w:t xml:space="preserve">, </w:t>
      </w:r>
      <w:r>
        <w:rPr>
          <w:rFonts w:ascii="Times New Roman" w:hAnsi="Times New Roman" w:cs="Times New Roman"/>
          <w:i/>
          <w:iCs/>
          <w:noProof/>
          <w:sz w:val="24"/>
          <w:szCs w:val="24"/>
        </w:rPr>
        <w:t>education allowance during temporary assignment to Headquarters</w:t>
      </w:r>
      <w:r>
        <w:rPr>
          <w:rFonts w:ascii="Times New Roman" w:hAnsi="Times New Roman" w:cs="Times New Roman"/>
          <w:noProof/>
          <w:sz w:val="24"/>
          <w:szCs w:val="24"/>
        </w:rPr>
        <w:t xml:space="preserve">, </w:t>
      </w:r>
      <w:r>
        <w:rPr>
          <w:rFonts w:ascii="Times New Roman" w:hAnsi="Times New Roman" w:cs="Times New Roman"/>
          <w:i/>
          <w:iCs/>
          <w:noProof/>
          <w:sz w:val="24"/>
          <w:szCs w:val="24"/>
        </w:rPr>
        <w:t>Junior Professionals Programme in the Commission</w:t>
      </w:r>
      <w:r>
        <w:rPr>
          <w:rFonts w:ascii="Times New Roman" w:hAnsi="Times New Roman" w:cs="Times New Roman"/>
          <w:noProof/>
          <w:sz w:val="24"/>
          <w:szCs w:val="24"/>
        </w:rPr>
        <w:t>, policy for the engagement of temporary staff and classification in step of temporary staff, and reclassification of contract staff.</w:t>
      </w:r>
    </w:p>
    <w:p>
      <w:pPr>
        <w:pStyle w:val="Heading2"/>
        <w:spacing w:before="240" w:after="360"/>
        <w:rPr>
          <w:rFonts w:ascii="Times New Roman" w:hAnsi="Times New Roman" w:cs="Times New Roman"/>
          <w:noProof/>
        </w:rPr>
      </w:pPr>
      <w:bookmarkStart w:id="14" w:name="_Toc232689751"/>
      <w:bookmarkEnd w:id="13"/>
      <w:r>
        <w:rPr>
          <w:rFonts w:ascii="Times New Roman" w:hAnsi="Times New Roman" w:cs="Times New Roman"/>
          <w:noProof/>
        </w:rPr>
        <w:lastRenderedPageBreak/>
        <w:t>b)</w:t>
      </w:r>
      <w:r>
        <w:rPr>
          <w:rFonts w:ascii="Times New Roman" w:hAnsi="Times New Roman" w:cs="Times New Roman"/>
          <w:noProof/>
        </w:rPr>
        <w:tab/>
        <w:t>The register administered by the Court of Justice</w:t>
      </w:r>
      <w:bookmarkEnd w:id="14"/>
    </w:p>
    <w:p>
      <w:pPr>
        <w:jc w:val="both"/>
        <w:rPr>
          <w:rFonts w:ascii="Times New Roman" w:hAnsi="Times New Roman" w:cs="Times New Roman"/>
          <w:noProof/>
          <w:sz w:val="24"/>
          <w:szCs w:val="24"/>
        </w:rPr>
      </w:pPr>
      <w:r>
        <w:rPr>
          <w:rFonts w:ascii="Times New Roman" w:hAnsi="Times New Roman" w:cs="Times New Roman"/>
          <w:noProof/>
          <w:sz w:val="24"/>
          <w:szCs w:val="24"/>
        </w:rPr>
        <w:t>Since February 2014, the register of the rules adopted by the appointing authority and authority authorised to conclude contracts of employment of each institution and agency is publicly available via the internet application "Communication and Information Resource Centre for Administrations, Businesses and Citizens (Circabc)" that can be accessed through a dedicated European Commission Authentication Service (ECAS) account.</w:t>
      </w:r>
    </w:p>
    <w:p>
      <w:pPr>
        <w:jc w:val="both"/>
        <w:rPr>
          <w:rFonts w:ascii="Times New Roman" w:hAnsi="Times New Roman" w:cs="Times New Roman"/>
          <w:noProof/>
          <w:sz w:val="24"/>
          <w:szCs w:val="24"/>
        </w:rPr>
      </w:pPr>
      <w:r>
        <w:rPr>
          <w:rFonts w:ascii="Times New Roman" w:hAnsi="Times New Roman" w:cs="Times New Roman"/>
          <w:noProof/>
          <w:sz w:val="24"/>
          <w:szCs w:val="24"/>
        </w:rPr>
        <w:t>The register has set up the following document structure:</w:t>
      </w:r>
    </w:p>
    <w:tbl>
      <w:tblPr>
        <w:tblStyle w:val="TableGrid"/>
        <w:tblW w:w="0" w:type="auto"/>
        <w:tblLook w:val="04A0" w:firstRow="1" w:lastRow="0" w:firstColumn="1" w:lastColumn="0" w:noHBand="0" w:noVBand="1"/>
      </w:tblPr>
      <w:tblGrid>
        <w:gridCol w:w="2660"/>
        <w:gridCol w:w="6628"/>
      </w:tblGrid>
      <w:tr>
        <w:tc>
          <w:tcPr>
            <w:tcW w:w="2660" w:type="dxa"/>
          </w:tcPr>
          <w:p>
            <w:pPr>
              <w:jc w:val="center"/>
              <w:rPr>
                <w:rFonts w:ascii="Times New Roman" w:hAnsi="Times New Roman" w:cs="Times New Roman"/>
                <w:b/>
                <w:noProof/>
                <w:sz w:val="24"/>
                <w:szCs w:val="24"/>
              </w:rPr>
            </w:pPr>
            <w:r>
              <w:rPr>
                <w:rFonts w:ascii="Times New Roman" w:hAnsi="Times New Roman" w:cs="Times New Roman"/>
                <w:b/>
                <w:noProof/>
                <w:sz w:val="24"/>
                <w:szCs w:val="24"/>
              </w:rPr>
              <w:t>Title</w:t>
            </w:r>
          </w:p>
        </w:tc>
        <w:tc>
          <w:tcPr>
            <w:tcW w:w="6628" w:type="dxa"/>
          </w:tcPr>
          <w:p>
            <w:pPr>
              <w:jc w:val="center"/>
              <w:rPr>
                <w:rFonts w:ascii="Times New Roman" w:hAnsi="Times New Roman" w:cs="Times New Roman"/>
                <w:b/>
                <w:noProof/>
                <w:sz w:val="24"/>
                <w:szCs w:val="24"/>
              </w:rPr>
            </w:pPr>
            <w:r>
              <w:rPr>
                <w:rFonts w:ascii="Times New Roman" w:hAnsi="Times New Roman" w:cs="Times New Roman"/>
                <w:b/>
                <w:noProof/>
                <w:sz w:val="24"/>
                <w:szCs w:val="24"/>
              </w:rPr>
              <w:t>Description</w:t>
            </w:r>
          </w:p>
        </w:tc>
      </w:tr>
      <w:tr>
        <w:tc>
          <w:tcPr>
            <w:tcW w:w="2660" w:type="dxa"/>
          </w:tcPr>
          <w:p>
            <w:pPr>
              <w:rPr>
                <w:rFonts w:ascii="Times New Roman" w:hAnsi="Times New Roman" w:cs="Times New Roman"/>
                <w:b/>
                <w:noProof/>
                <w:sz w:val="20"/>
                <w:szCs w:val="20"/>
              </w:rPr>
            </w:pPr>
            <w:r>
              <w:rPr>
                <w:rFonts w:ascii="Times New Roman" w:hAnsi="Times New Roman" w:cs="Times New Roman"/>
                <w:b/>
                <w:noProof/>
                <w:sz w:val="20"/>
                <w:szCs w:val="20"/>
              </w:rPr>
              <w:t>1. Staff Regulations and the CEOS</w:t>
            </w:r>
          </w:p>
        </w:tc>
        <w:tc>
          <w:tcPr>
            <w:tcW w:w="6628" w:type="dxa"/>
          </w:tcPr>
          <w:p>
            <w:pPr>
              <w:jc w:val="both"/>
              <w:rPr>
                <w:rFonts w:ascii="Times New Roman" w:hAnsi="Times New Roman" w:cs="Times New Roman"/>
                <w:i/>
                <w:noProof/>
                <w:sz w:val="20"/>
                <w:szCs w:val="20"/>
              </w:rPr>
            </w:pPr>
            <w:r>
              <w:rPr>
                <w:rFonts w:ascii="Times New Roman" w:hAnsi="Times New Roman" w:cs="Times New Roman"/>
                <w:i/>
                <w:noProof/>
                <w:sz w:val="20"/>
                <w:szCs w:val="20"/>
              </w:rPr>
              <w:t>"These are the Regulations applicable to officials of the European Union and the Conditions of employment applicable to other servants of the Union."</w:t>
            </w:r>
          </w:p>
        </w:tc>
      </w:tr>
      <w:tr>
        <w:tc>
          <w:tcPr>
            <w:tcW w:w="2660" w:type="dxa"/>
          </w:tcPr>
          <w:p>
            <w:pPr>
              <w:rPr>
                <w:rFonts w:ascii="Times New Roman" w:hAnsi="Times New Roman" w:cs="Times New Roman"/>
                <w:b/>
                <w:noProof/>
                <w:sz w:val="20"/>
                <w:szCs w:val="20"/>
              </w:rPr>
            </w:pPr>
            <w:r>
              <w:rPr>
                <w:rFonts w:ascii="Times New Roman" w:hAnsi="Times New Roman" w:cs="Times New Roman"/>
                <w:b/>
                <w:noProof/>
                <w:sz w:val="20"/>
                <w:szCs w:val="20"/>
              </w:rPr>
              <w:t xml:space="preserve">2. Rules of a general nature </w:t>
            </w:r>
          </w:p>
        </w:tc>
        <w:tc>
          <w:tcPr>
            <w:tcW w:w="6628" w:type="dxa"/>
          </w:tcPr>
          <w:p>
            <w:pPr>
              <w:jc w:val="both"/>
              <w:rPr>
                <w:rFonts w:ascii="Times New Roman" w:hAnsi="Times New Roman" w:cs="Times New Roman"/>
                <w:i/>
                <w:noProof/>
                <w:sz w:val="20"/>
                <w:szCs w:val="20"/>
              </w:rPr>
            </w:pPr>
            <w:r>
              <w:rPr>
                <w:rFonts w:ascii="Times New Roman" w:hAnsi="Times New Roman" w:cs="Times New Roman"/>
                <w:i/>
                <w:noProof/>
                <w:sz w:val="20"/>
                <w:szCs w:val="20"/>
              </w:rPr>
              <w:t>"These are rules adopted by the Council of the European Union or delegated acts adopted by the European Commission for the application of the Staff Regulations and applicable to the staff of the institutions and agencies of the Union."</w:t>
            </w:r>
          </w:p>
        </w:tc>
      </w:tr>
      <w:tr>
        <w:tc>
          <w:tcPr>
            <w:tcW w:w="2660" w:type="dxa"/>
          </w:tcPr>
          <w:p>
            <w:pPr>
              <w:rPr>
                <w:rFonts w:ascii="Times New Roman" w:hAnsi="Times New Roman" w:cs="Times New Roman"/>
                <w:b/>
                <w:noProof/>
                <w:sz w:val="20"/>
                <w:szCs w:val="20"/>
              </w:rPr>
            </w:pPr>
            <w:r>
              <w:rPr>
                <w:rFonts w:ascii="Times New Roman" w:hAnsi="Times New Roman" w:cs="Times New Roman"/>
                <w:b/>
                <w:noProof/>
                <w:sz w:val="20"/>
                <w:szCs w:val="20"/>
              </w:rPr>
              <w:t>3. Rules fixed by common accord</w:t>
            </w:r>
          </w:p>
          <w:p>
            <w:pPr>
              <w:rPr>
                <w:rFonts w:ascii="Times New Roman" w:hAnsi="Times New Roman" w:cs="Times New Roman"/>
                <w:b/>
                <w:noProof/>
                <w:sz w:val="20"/>
                <w:szCs w:val="20"/>
              </w:rPr>
            </w:pPr>
          </w:p>
        </w:tc>
        <w:tc>
          <w:tcPr>
            <w:tcW w:w="6628" w:type="dxa"/>
          </w:tcPr>
          <w:p>
            <w:pPr>
              <w:jc w:val="both"/>
              <w:rPr>
                <w:rFonts w:ascii="Times New Roman" w:hAnsi="Times New Roman" w:cs="Times New Roman"/>
                <w:i/>
                <w:noProof/>
                <w:sz w:val="20"/>
                <w:szCs w:val="20"/>
              </w:rPr>
            </w:pPr>
            <w:r>
              <w:rPr>
                <w:rFonts w:ascii="Times New Roman" w:hAnsi="Times New Roman" w:cs="Times New Roman"/>
                <w:i/>
                <w:noProof/>
                <w:sz w:val="20"/>
                <w:szCs w:val="20"/>
              </w:rPr>
              <w:t>"Certain articles of the Staff Regulations refer expressly, for their application, to rules fixed by common accord between the institutions. Those rules are adopted in exactly the same manner by each institution, and the President of the Court of Justice ultimately establishes the common accord of the institutions."</w:t>
            </w:r>
          </w:p>
        </w:tc>
      </w:tr>
      <w:tr>
        <w:tc>
          <w:tcPr>
            <w:tcW w:w="2660" w:type="dxa"/>
          </w:tcPr>
          <w:p>
            <w:pPr>
              <w:rPr>
                <w:rFonts w:ascii="Times New Roman" w:hAnsi="Times New Roman" w:cs="Times New Roman"/>
                <w:b/>
                <w:noProof/>
                <w:sz w:val="20"/>
                <w:szCs w:val="20"/>
              </w:rPr>
            </w:pPr>
            <w:r>
              <w:rPr>
                <w:rFonts w:ascii="Times New Roman" w:hAnsi="Times New Roman" w:cs="Times New Roman"/>
                <w:b/>
                <w:noProof/>
                <w:sz w:val="20"/>
                <w:szCs w:val="20"/>
              </w:rPr>
              <w:t>4. General implementing provisions (GIP)</w:t>
            </w:r>
          </w:p>
          <w:p>
            <w:pPr>
              <w:rPr>
                <w:rFonts w:ascii="Times New Roman" w:hAnsi="Times New Roman" w:cs="Times New Roman"/>
                <w:b/>
                <w:noProof/>
                <w:sz w:val="20"/>
                <w:szCs w:val="20"/>
              </w:rPr>
            </w:pPr>
          </w:p>
        </w:tc>
        <w:tc>
          <w:tcPr>
            <w:tcW w:w="6628" w:type="dxa"/>
          </w:tcPr>
          <w:p>
            <w:pPr>
              <w:jc w:val="both"/>
              <w:rPr>
                <w:rFonts w:ascii="Times New Roman" w:hAnsi="Times New Roman" w:cs="Times New Roman"/>
                <w:i/>
                <w:noProof/>
                <w:sz w:val="20"/>
                <w:szCs w:val="20"/>
              </w:rPr>
            </w:pPr>
            <w:r>
              <w:rPr>
                <w:rFonts w:ascii="Times New Roman" w:hAnsi="Times New Roman" w:cs="Times New Roman"/>
                <w:i/>
                <w:noProof/>
                <w:sz w:val="20"/>
                <w:szCs w:val="20"/>
              </w:rPr>
              <w:t>"Where the Staff Regulations expressly provide, each institution adopts its own general provisions for the implementation of the articles of the Staff Regulations, after consulting the Staff Committee and obtaining the opinion of the Staff Regulations Committee. Certain texts are also adopted by the institutions in the form of 'general implementing provisions' either where the articles of the Staff Regulations provide for 'implementing provisions' or where the statutory provisions are not sufficiently explicit to be applied directly."</w:t>
            </w:r>
          </w:p>
        </w:tc>
      </w:tr>
      <w:tr>
        <w:tc>
          <w:tcPr>
            <w:tcW w:w="2660" w:type="dxa"/>
          </w:tcPr>
          <w:p>
            <w:pPr>
              <w:rPr>
                <w:rFonts w:ascii="Times New Roman" w:hAnsi="Times New Roman" w:cs="Times New Roman"/>
                <w:b/>
                <w:noProof/>
                <w:sz w:val="20"/>
                <w:szCs w:val="20"/>
              </w:rPr>
            </w:pPr>
            <w:r>
              <w:rPr>
                <w:rFonts w:ascii="Times New Roman" w:hAnsi="Times New Roman" w:cs="Times New Roman"/>
                <w:b/>
                <w:noProof/>
                <w:sz w:val="20"/>
                <w:szCs w:val="20"/>
              </w:rPr>
              <w:t>5. Other implementing rules (IR)</w:t>
            </w:r>
          </w:p>
        </w:tc>
        <w:tc>
          <w:tcPr>
            <w:tcW w:w="6628" w:type="dxa"/>
          </w:tcPr>
          <w:p>
            <w:pPr>
              <w:jc w:val="both"/>
              <w:rPr>
                <w:rFonts w:ascii="Times New Roman" w:hAnsi="Times New Roman" w:cs="Times New Roman"/>
                <w:i/>
                <w:noProof/>
                <w:sz w:val="20"/>
                <w:szCs w:val="20"/>
              </w:rPr>
            </w:pPr>
            <w:r>
              <w:rPr>
                <w:rFonts w:ascii="Times New Roman" w:hAnsi="Times New Roman" w:cs="Times New Roman"/>
                <w:i/>
                <w:noProof/>
                <w:sz w:val="20"/>
                <w:szCs w:val="20"/>
              </w:rPr>
              <w:t>"These are texts adopted by each institution to implement the Staff Regulations and are neither rules fixed by common accord nor general implementing provisions."</w:t>
            </w:r>
          </w:p>
        </w:tc>
      </w:tr>
    </w:tbl>
    <w:p>
      <w:pPr>
        <w:spacing w:before="240"/>
        <w:jc w:val="both"/>
        <w:rPr>
          <w:rFonts w:ascii="Times New Roman" w:hAnsi="Times New Roman" w:cs="Times New Roman"/>
          <w:noProof/>
          <w:sz w:val="24"/>
          <w:szCs w:val="24"/>
        </w:rPr>
      </w:pPr>
      <w:r>
        <w:rPr>
          <w:rFonts w:ascii="Times New Roman" w:hAnsi="Times New Roman" w:cs="Times New Roman"/>
          <w:noProof/>
          <w:sz w:val="24"/>
          <w:szCs w:val="24"/>
        </w:rPr>
        <w:t xml:space="preserve">The rules under each title are organised by institution with a joint folder for the European Union agencies. Some of the institutions have further organised their implementing rules in sub-folders by subject matter.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the agencies, their implementing rules are presented in the register under the titles “General implementing provisions (GIP)” and “Other implementing rules (IR)” in the joint folder “European Union agencies”.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folder contains sub-folders for:  </w:t>
      </w:r>
    </w:p>
    <w:p>
      <w:pPr>
        <w:pStyle w:val="ListParagraph"/>
        <w:numPr>
          <w:ilvl w:val="0"/>
          <w:numId w:val="45"/>
        </w:numPr>
        <w:jc w:val="both"/>
        <w:rPr>
          <w:rFonts w:ascii="Times New Roman" w:hAnsi="Times New Roman" w:cs="Times New Roman"/>
          <w:noProof/>
          <w:sz w:val="24"/>
          <w:szCs w:val="24"/>
        </w:rPr>
      </w:pPr>
      <w:r>
        <w:rPr>
          <w:rFonts w:ascii="Times New Roman" w:hAnsi="Times New Roman" w:cs="Times New Roman"/>
          <w:noProof/>
          <w:sz w:val="24"/>
          <w:szCs w:val="24"/>
        </w:rPr>
        <w:t>“Commission’s agreements ex ante on GIP derogated” and “Commission’s agreements ex ante on IR derogated”, respectively, described as “</w:t>
      </w:r>
      <w:r>
        <w:rPr>
          <w:rFonts w:ascii="Times New Roman" w:hAnsi="Times New Roman" w:cs="Times New Roman"/>
          <w:i/>
          <w:noProof/>
          <w:sz w:val="24"/>
          <w:szCs w:val="24"/>
        </w:rPr>
        <w:t>Agreements applicable to all agencies. Agreements applicable to executive agencies. Agreements applicable to decentralised agencies and joint undertakings.</w:t>
      </w:r>
      <w:r>
        <w:rPr>
          <w:rFonts w:ascii="Times New Roman" w:hAnsi="Times New Roman" w:cs="Times New Roman"/>
          <w:noProof/>
          <w:sz w:val="24"/>
          <w:szCs w:val="24"/>
        </w:rPr>
        <w:t>” These sub-folders are further sub-divided to folders by subject matter.</w:t>
      </w:r>
    </w:p>
    <w:p>
      <w:pPr>
        <w:pStyle w:val="ListParagraph"/>
        <w:numPr>
          <w:ilvl w:val="0"/>
          <w:numId w:val="45"/>
        </w:numPr>
        <w:jc w:val="both"/>
        <w:rPr>
          <w:rFonts w:ascii="Times New Roman" w:hAnsi="Times New Roman" w:cs="Times New Roman"/>
          <w:noProof/>
          <w:sz w:val="24"/>
          <w:szCs w:val="24"/>
        </w:rPr>
      </w:pPr>
      <w:r>
        <w:rPr>
          <w:rFonts w:ascii="Times New Roman" w:hAnsi="Times New Roman" w:cs="Times New Roman"/>
          <w:noProof/>
          <w:sz w:val="24"/>
          <w:szCs w:val="24"/>
        </w:rPr>
        <w:t>“Joint undertakings”</w:t>
      </w:r>
    </w:p>
    <w:p>
      <w:pPr>
        <w:pStyle w:val="ListParagraph"/>
        <w:numPr>
          <w:ilvl w:val="0"/>
          <w:numId w:val="45"/>
        </w:numPr>
        <w:jc w:val="both"/>
        <w:rPr>
          <w:rFonts w:ascii="Times New Roman" w:hAnsi="Times New Roman" w:cs="Times New Roman"/>
          <w:noProof/>
          <w:sz w:val="24"/>
          <w:szCs w:val="24"/>
        </w:rPr>
      </w:pPr>
      <w:r>
        <w:rPr>
          <w:rFonts w:ascii="Times New Roman" w:hAnsi="Times New Roman" w:cs="Times New Roman"/>
          <w:noProof/>
          <w:sz w:val="24"/>
          <w:szCs w:val="24"/>
        </w:rPr>
        <w:t>“Decentralised agencies”</w:t>
      </w:r>
    </w:p>
    <w:p>
      <w:pPr>
        <w:pStyle w:val="ListParagraph"/>
        <w:numPr>
          <w:ilvl w:val="0"/>
          <w:numId w:val="45"/>
        </w:numPr>
        <w:jc w:val="both"/>
        <w:rPr>
          <w:rFonts w:ascii="Times New Roman" w:hAnsi="Times New Roman" w:cs="Times New Roman"/>
          <w:noProof/>
          <w:sz w:val="24"/>
          <w:szCs w:val="24"/>
        </w:rPr>
      </w:pPr>
      <w:r>
        <w:rPr>
          <w:rFonts w:ascii="Times New Roman" w:hAnsi="Times New Roman" w:cs="Times New Roman"/>
          <w:noProof/>
          <w:sz w:val="24"/>
          <w:szCs w:val="24"/>
        </w:rPr>
        <w:t>“Executive agencies”</w:t>
      </w:r>
    </w:p>
    <w:p>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The present report concerns the rules as listed under titles 3-5 in the register. </w:t>
      </w:r>
    </w:p>
    <w:p>
      <w:pPr>
        <w:jc w:val="both"/>
        <w:rPr>
          <w:rFonts w:ascii="Times New Roman" w:hAnsi="Times New Roman" w:cs="Times New Roman"/>
          <w:noProof/>
          <w:sz w:val="24"/>
          <w:szCs w:val="24"/>
        </w:rPr>
      </w:pPr>
      <w:r>
        <w:rPr>
          <w:rFonts w:ascii="Times New Roman" w:hAnsi="Times New Roman" w:cs="Times New Roman"/>
          <w:noProof/>
          <w:sz w:val="24"/>
          <w:szCs w:val="24"/>
        </w:rPr>
        <w:t>Regarding these rules, a consultation of the register shows that all of the institutions and agencies more generally are aware of the existence of the register and of the requirement to submit their implementing rules to it. The level of compliance with this requirement is, however, very different across the institutions and varies significantly between the type of rules.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records in the register are complete when it comes to the rules fixed by common accord.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Insofar as general implementing provisions are concerned, the level of compliance appears to be high, as all institutions have submitted rules. That said, for some institutions the register contains most of their general implementing provisions, while for others it remains incomplete.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By contrast, when it comes to other implementing rules, the majority of agencies </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 and 5 out of 10 institutions have submitted their rules to the register. For some institutions, the records are more up to date, whereas for others, a significant number of implementing rules are yet to be submitted. Two institutions have not submitted any implementing rules.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light of the above, it should be noted that the content of the register is not identical with the content of the present report, except when it comes to the rules fixed by common accord. </w:t>
      </w:r>
    </w:p>
    <w:p>
      <w:pPr>
        <w:jc w:val="both"/>
        <w:rPr>
          <w:rFonts w:ascii="Times New Roman" w:hAnsi="Times New Roman" w:cs="Times New Roman"/>
          <w:noProof/>
          <w:sz w:val="24"/>
          <w:szCs w:val="24"/>
        </w:rPr>
      </w:pPr>
      <w:r>
        <w:rPr>
          <w:rFonts w:ascii="Times New Roman" w:hAnsi="Times New Roman" w:cs="Times New Roman"/>
          <w:noProof/>
          <w:sz w:val="24"/>
          <w:szCs w:val="24"/>
        </w:rPr>
        <w:t>In addition to the differences that arise due to the varying level of completeness of the information submitted to the register, some divergence results from the specificities of the methodology used for the present report. Notably, the present report only contains implementing rules that were in force during the period 2020-2023, whereas the register also contains implementing rules that were no longer applicable during this period. Some institutions provide the rules in one language version, while others upload more or all the available language versions. Furthermore, some institutions have submitted rules amending a pre-existing rule to the register separately, whereas the present report does not identify amending rules as separate rules. In this context, it should be noted that the College of Heads of Administration of all institutions proposed that the implementing rules which are no longer in force should be removed from the register, that the rules should be submitted in all available language versions, and that the register should be updated by each institution at least on an annual basis.</w:t>
      </w:r>
      <w:r>
        <w:rPr>
          <w:rStyle w:val="FootnoteReference"/>
          <w:rFonts w:ascii="Times New Roman" w:hAnsi="Times New Roman" w:cs="Times New Roman"/>
          <w:noProof/>
          <w:sz w:val="24"/>
          <w:szCs w:val="24"/>
        </w:rPr>
        <w:footnoteReference w:id="33"/>
      </w:r>
    </w:p>
    <w:p>
      <w:pPr>
        <w:pBdr>
          <w:top w:val="double" w:sz="4" w:space="1" w:color="auto"/>
          <w:left w:val="double" w:sz="4" w:space="4" w:color="auto"/>
          <w:bottom w:val="double" w:sz="4" w:space="1" w:color="auto"/>
          <w:right w:val="double" w:sz="4" w:space="4" w:color="auto"/>
        </w:pBdr>
        <w:jc w:val="center"/>
        <w:rPr>
          <w:rFonts w:ascii="Times New Roman" w:hAnsi="Times New Roman" w:cs="Times New Roman"/>
          <w:b/>
          <w:i/>
          <w:noProof/>
          <w:sz w:val="24"/>
          <w:szCs w:val="24"/>
        </w:rPr>
      </w:pPr>
      <w:r>
        <w:rPr>
          <w:rFonts w:ascii="Times New Roman" w:hAnsi="Times New Roman" w:cs="Times New Roman"/>
          <w:b/>
          <w:i/>
          <w:noProof/>
          <w:sz w:val="24"/>
          <w:szCs w:val="24"/>
        </w:rPr>
        <w:t>COMPLIANCE</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The institutions and agencies have largely complied with the framework of the Staff Regulations and the CEOS.</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 The present report does not indicate any systemic or otherwise alarming issues.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noProof/>
          <w:sz w:val="24"/>
          <w:szCs w:val="24"/>
        </w:rPr>
      </w:pPr>
      <w:r>
        <w:rPr>
          <w:rFonts w:ascii="Times New Roman" w:hAnsi="Times New Roman" w:cs="Times New Roman"/>
          <w:b/>
          <w:i/>
          <w:noProof/>
          <w:sz w:val="24"/>
          <w:szCs w:val="24"/>
        </w:rPr>
        <w:lastRenderedPageBreak/>
        <w:t xml:space="preserve">→ The report allows to identify those - altogether limited - areas where the institutions still lag behind the statutory framework.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 There was further convergence on subject matters of implementing rules between the institutions during the reporting period. Such convergence was greater in the subject matters where the majority of institutions had already adopted rules in the previous reporting period or before, with other institutions following suit. Some, more limited convergence occurred also on other subject matters. A few new subject matters were also introduced. </w:t>
      </w:r>
    </w:p>
    <w:p>
      <w:pPr>
        <w:pBdr>
          <w:top w:val="double" w:sz="4" w:space="1" w:color="auto"/>
          <w:left w:val="double" w:sz="4" w:space="4" w:color="auto"/>
          <w:bottom w:val="double" w:sz="4" w:space="1" w:color="auto"/>
          <w:right w:val="double" w:sz="4" w:space="4" w:color="auto"/>
        </w:pBdr>
        <w:jc w:val="both"/>
        <w:rPr>
          <w:rFonts w:ascii="Times New Roman" w:hAnsi="Times New Roman" w:cs="Times New Roman"/>
          <w:b/>
          <w:i/>
          <w:noProof/>
          <w:sz w:val="24"/>
          <w:szCs w:val="24"/>
        </w:rPr>
      </w:pPr>
      <w:r>
        <w:rPr>
          <w:rFonts w:ascii="Times New Roman" w:hAnsi="Times New Roman" w:cs="Times New Roman"/>
          <w:b/>
          <w:i/>
          <w:noProof/>
          <w:sz w:val="24"/>
          <w:szCs w:val="24"/>
        </w:rPr>
        <w:t>→ The register held by the Court of Justice is functional, but its content is not synchronised with the present report. The exact scope of the requirement to submit implementing rules to the register needs to be clarified and agreed on among the institutions.</w:t>
      </w:r>
    </w:p>
    <w:p>
      <w:pPr>
        <w:jc w:val="bot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cs="Times New Roman"/>
          <w:noProof/>
          <w:sz w:val="24"/>
          <w:szCs w:val="24"/>
        </w:rPr>
        <w:br w:type="page"/>
      </w:r>
    </w:p>
    <w:p>
      <w:pPr>
        <w:pStyle w:val="Heading1"/>
        <w:spacing w:before="240" w:after="360"/>
        <w:rPr>
          <w:noProof/>
        </w:rPr>
      </w:pPr>
      <w:bookmarkStart w:id="15" w:name="_Toc232689752"/>
      <w:r>
        <w:rPr>
          <w:rFonts w:ascii="Times New Roman" w:hAnsi="Times New Roman" w:cs="Times New Roman"/>
          <w:noProof/>
        </w:rPr>
        <w:lastRenderedPageBreak/>
        <w:t>TITLE 4.</w:t>
      </w:r>
      <w:r>
        <w:rPr>
          <w:rFonts w:ascii="Times New Roman" w:hAnsi="Times New Roman" w:cs="Times New Roman"/>
          <w:noProof/>
        </w:rPr>
        <w:tab/>
        <w:t>SUMMARY</w:t>
      </w:r>
      <w:bookmarkEnd w:id="15"/>
    </w:p>
    <w:p>
      <w:pPr>
        <w:jc w:val="both"/>
        <w:rPr>
          <w:rFonts w:ascii="Times New Roman" w:hAnsi="Times New Roman" w:cs="Times New Roman"/>
          <w:noProof/>
          <w:sz w:val="24"/>
          <w:szCs w:val="24"/>
        </w:rPr>
      </w:pPr>
      <w:r>
        <w:rPr>
          <w:rFonts w:ascii="Times New Roman" w:hAnsi="Times New Roman" w:cs="Times New Roman"/>
          <w:noProof/>
          <w:sz w:val="24"/>
          <w:szCs w:val="24"/>
        </w:rPr>
        <w:t>The present report provides an overview of the rules adopted by the institutions and agencies to give effect to the Staff Regulations and the CEOS, which were in force during the period between 1</w:t>
      </w:r>
      <w:r>
        <w:rPr>
          <w:rFonts w:ascii="Times New Roman" w:hAnsi="Times New Roman" w:cs="Times New Roman"/>
          <w:noProof/>
          <w:sz w:val="24"/>
          <w:szCs w:val="24"/>
          <w:lang w:val="en-IE"/>
        </w:rPr>
        <w:t> </w:t>
      </w:r>
      <w:r>
        <w:rPr>
          <w:rFonts w:ascii="Times New Roman" w:hAnsi="Times New Roman" w:cs="Times New Roman"/>
          <w:noProof/>
          <w:sz w:val="24"/>
          <w:szCs w:val="24"/>
        </w:rPr>
        <w:t>January 2020 and 31 December 2023.</w:t>
      </w:r>
    </w:p>
    <w:p>
      <w:pPr>
        <w:jc w:val="both"/>
        <w:rPr>
          <w:rFonts w:ascii="Times New Roman" w:hAnsi="Times New Roman" w:cs="Times New Roman"/>
          <w:noProof/>
          <w:sz w:val="24"/>
          <w:szCs w:val="24"/>
        </w:rPr>
      </w:pPr>
      <w:r>
        <w:rPr>
          <w:rFonts w:ascii="Times New Roman" w:hAnsi="Times New Roman" w:cs="Times New Roman"/>
          <w:noProof/>
          <w:sz w:val="24"/>
          <w:szCs w:val="24"/>
        </w:rPr>
        <w:t>The report demonstrates that the institutions enjoy autonomy as regards the application of the Staff Regulations and the CEOS to their staff. This autonomy is exercised within the legal framework as provided for by the Staff Regulations. Furthermore, the Staff Regulations provide for specific mechanisms to achieve a common inter-institutional approach, whenever the subject matter calls for such harmonisation.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report shows that the institutions have widely used their power to adopt rules to give effect to the Staff Regulations and the CEOS, even though the appointing authorities and authorities authorised to conclude contracts of employment of the individual institutions and agencies have exercised this power to varying degrees. This variety can be seen as a reflection of different administrative realities and the principle of autonomy of each institution as an employer as recognised by the Union law.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It should be noted that the present report covers the period that included the COVID-19 pandemic and which required certain institutions to adopt </w:t>
      </w:r>
      <w:r>
        <w:rPr>
          <w:rFonts w:ascii="Times New Roman" w:hAnsi="Times New Roman" w:cs="Times New Roman"/>
          <w:i/>
          <w:iCs/>
          <w:noProof/>
          <w:sz w:val="24"/>
          <w:szCs w:val="24"/>
        </w:rPr>
        <w:t>ad hoc</w:t>
      </w:r>
      <w:r>
        <w:rPr>
          <w:rFonts w:ascii="Times New Roman" w:hAnsi="Times New Roman" w:cs="Times New Roman"/>
          <w:noProof/>
          <w:sz w:val="24"/>
          <w:szCs w:val="24"/>
        </w:rPr>
        <w:t xml:space="preserve"> measures to respond to the needs of the service at the time or indeed implementing rules. Some of the implementing rules adopted in this context were designed as a transitory measure. These rules were thus adopted and repealed during the reporting period and do not directly impact the overall number of implementing rules in force at the end of the reporting period. Moreover, all institutions adopted new rules on working time and hybrid work, which are likely building on the experiences with flexible ways of work drawn from the COVID-19 pandemic.</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report indicates some further convergence among the institutions on a significant number of subject matters of implementing rules during the reporting period such as combatting harassment and ethical conduct. </w:t>
      </w:r>
    </w:p>
    <w:p>
      <w:pPr>
        <w:jc w:val="both"/>
        <w:rPr>
          <w:rFonts w:ascii="Times New Roman" w:hAnsi="Times New Roman" w:cs="Times New Roman"/>
          <w:noProof/>
          <w:sz w:val="24"/>
          <w:szCs w:val="24"/>
        </w:rPr>
      </w:pPr>
      <w:r>
        <w:rPr>
          <w:rFonts w:ascii="Times New Roman" w:hAnsi="Times New Roman" w:cs="Times New Roman"/>
          <w:noProof/>
          <w:sz w:val="24"/>
          <w:szCs w:val="24"/>
        </w:rPr>
        <w:t>The report provides an exhaustive inventory of the implementing rules adopted across the institutions. It presents all implementing rules by using a common methodology. This allows for a comparative approach across the institutions, thereby enhancing transparency. Regarding the agencies, the report provides an aggregated overview and analyses the effects of the harmonisation mechanisms introduced in 2014.</w:t>
      </w:r>
    </w:p>
    <w:p>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compliance, the report allows to conclude that the appointing authorities and authorities authorised to conclude contracts of employment of the institutions and the agencies have, when adopting implementing rules, largely respected the legal framework provided for by the Staff Regulations and the CEOS. The report does not indicate any systemic or otherwise alarming issues. It allows to identify those - altogether limited - areas where the institutions still lag behind the statutory framework. </w:t>
      </w:r>
    </w:p>
    <w:p>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The Court of Justice of the European Union has set up the register of implementing rules, as provided for in Article 110(6) of the Staff Regulations as from February 2014. This register is publicly available and should be updated on a continuous basis. The report concludes that the register is functional, but its content is not fully synchronised with the present report.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By way of outlook, the Commission services will transmit the present report to the Heads of Administration of all institutions, allowing the institutions to assess their individual compliance with the statutory framework described in this report and take the actions deemed necessary. </w:t>
      </w:r>
    </w:p>
    <w:p>
      <w:pPr>
        <w:jc w:val="both"/>
        <w:rPr>
          <w:rFonts w:ascii="Times New Roman" w:hAnsi="Times New Roman" w:cs="Times New Roman"/>
          <w:noProof/>
          <w:sz w:val="24"/>
          <w:szCs w:val="24"/>
        </w:rPr>
      </w:pPr>
      <w:r>
        <w:rPr>
          <w:rFonts w:ascii="Times New Roman" w:hAnsi="Times New Roman" w:cs="Times New Roman"/>
          <w:noProof/>
          <w:sz w:val="24"/>
          <w:szCs w:val="24"/>
        </w:rPr>
        <w:t>The next report on the basis of Article 110(6) of the Staff Regulations will cover implementing rules in principle in force in the period 1 January 2024 to 31 December 2026.</w:t>
      </w:r>
    </w:p>
    <w:p>
      <w:pPr>
        <w:pBdr>
          <w:bottom w:val="single" w:sz="12" w:space="1" w:color="auto"/>
        </w:pBd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center"/>
        <w:rPr>
          <w:rFonts w:ascii="Times New Roman" w:hAnsi="Times New Roman" w:cs="Times New Roman"/>
          <w:b/>
          <w:noProof/>
          <w:sz w:val="24"/>
          <w:szCs w:val="24"/>
          <w:u w:val="single"/>
        </w:rPr>
      </w:pPr>
      <w:r>
        <w:rPr>
          <w:rFonts w:ascii="Times New Roman" w:hAnsi="Times New Roman" w:cs="Times New Roman"/>
          <w:b/>
          <w:noProof/>
          <w:sz w:val="24"/>
          <w:szCs w:val="24"/>
          <w:u w:val="single"/>
        </w:rPr>
        <w:t>ANNEXES</w:t>
      </w: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b/>
          <w:noProof/>
          <w:sz w:val="24"/>
          <w:szCs w:val="24"/>
        </w:rPr>
      </w:pPr>
      <w:r>
        <w:rPr>
          <w:rFonts w:ascii="Times New Roman" w:hAnsi="Times New Roman" w:cs="Times New Roman"/>
          <w:b/>
          <w:noProof/>
          <w:sz w:val="24"/>
          <w:szCs w:val="24"/>
        </w:rPr>
        <w:t>Annex I</w:t>
      </w:r>
      <w:r>
        <w:rPr>
          <w:rFonts w:ascii="Times New Roman" w:hAnsi="Times New Roman" w:cs="Times New Roman"/>
          <w:b/>
          <w:noProof/>
          <w:sz w:val="24"/>
          <w:szCs w:val="24"/>
        </w:rPr>
        <w:tab/>
      </w:r>
      <w:r>
        <w:rPr>
          <w:rFonts w:ascii="Times New Roman" w:hAnsi="Times New Roman" w:cs="Times New Roman"/>
          <w:b/>
          <w:noProof/>
          <w:sz w:val="24"/>
          <w:szCs w:val="24"/>
        </w:rPr>
        <w:tab/>
      </w:r>
      <w:r>
        <w:rPr>
          <w:rFonts w:ascii="Times New Roman" w:hAnsi="Times New Roman" w:cs="Times New Roman"/>
          <w:b/>
          <w:noProof/>
          <w:sz w:val="24"/>
          <w:szCs w:val="24"/>
        </w:rPr>
        <w:tab/>
        <w:t>Rules adopted by agreement between the institutions</w:t>
      </w:r>
    </w:p>
    <w:p>
      <w:pPr>
        <w:spacing w:before="120" w:after="120"/>
        <w:jc w:val="both"/>
        <w:rPr>
          <w:rFonts w:ascii="Times New Roman" w:hAnsi="Times New Roman" w:cs="Times New Roman"/>
          <w:b/>
          <w:noProof/>
          <w:sz w:val="24"/>
          <w:szCs w:val="24"/>
        </w:rPr>
      </w:pPr>
      <w:r>
        <w:rPr>
          <w:rFonts w:ascii="Times New Roman" w:hAnsi="Times New Roman" w:cs="Times New Roman"/>
          <w:b/>
          <w:noProof/>
          <w:sz w:val="24"/>
          <w:szCs w:val="24"/>
        </w:rPr>
        <w:t>Annex II</w:t>
      </w:r>
      <w:r>
        <w:rPr>
          <w:rFonts w:ascii="Times New Roman" w:hAnsi="Times New Roman" w:cs="Times New Roman"/>
          <w:b/>
          <w:noProof/>
          <w:sz w:val="24"/>
          <w:szCs w:val="24"/>
        </w:rPr>
        <w:tab/>
      </w:r>
      <w:r>
        <w:rPr>
          <w:rFonts w:ascii="Times New Roman" w:hAnsi="Times New Roman" w:cs="Times New Roman"/>
          <w:b/>
          <w:noProof/>
          <w:sz w:val="24"/>
          <w:szCs w:val="24"/>
        </w:rPr>
        <w:tab/>
      </w:r>
      <w:r>
        <w:rPr>
          <w:rFonts w:ascii="Times New Roman" w:hAnsi="Times New Roman" w:cs="Times New Roman"/>
          <w:b/>
          <w:noProof/>
          <w:sz w:val="24"/>
          <w:szCs w:val="24"/>
        </w:rPr>
        <w:tab/>
        <w:t>Implementing rules in the institutions</w:t>
      </w:r>
    </w:p>
    <w:p>
      <w:pPr>
        <w:spacing w:before="120" w:after="120"/>
        <w:jc w:val="both"/>
        <w:rPr>
          <w:rFonts w:ascii="Times New Roman" w:hAnsi="Times New Roman" w:cs="Times New Roman"/>
          <w:b/>
          <w:noProof/>
          <w:sz w:val="24"/>
          <w:szCs w:val="24"/>
        </w:rPr>
      </w:pPr>
      <w:r>
        <w:rPr>
          <w:rFonts w:ascii="Times New Roman" w:hAnsi="Times New Roman" w:cs="Times New Roman"/>
          <w:b/>
          <w:noProof/>
          <w:sz w:val="24"/>
          <w:szCs w:val="24"/>
        </w:rPr>
        <w:t>Annex III</w:t>
      </w:r>
      <w:r>
        <w:rPr>
          <w:rFonts w:ascii="Times New Roman" w:hAnsi="Times New Roman" w:cs="Times New Roman"/>
          <w:b/>
          <w:noProof/>
          <w:sz w:val="24"/>
          <w:szCs w:val="24"/>
        </w:rPr>
        <w:tab/>
      </w:r>
      <w:r>
        <w:rPr>
          <w:rFonts w:ascii="Times New Roman" w:hAnsi="Times New Roman" w:cs="Times New Roman"/>
          <w:b/>
          <w:noProof/>
          <w:sz w:val="24"/>
          <w:szCs w:val="24"/>
        </w:rPr>
        <w:tab/>
      </w:r>
      <w:r>
        <w:rPr>
          <w:rFonts w:ascii="Times New Roman" w:hAnsi="Times New Roman" w:cs="Times New Roman"/>
          <w:b/>
          <w:noProof/>
          <w:sz w:val="24"/>
          <w:szCs w:val="24"/>
        </w:rPr>
        <w:tab/>
        <w:t>Consolidated table for the institutions</w:t>
      </w:r>
    </w:p>
    <w:p>
      <w:pPr>
        <w:spacing w:before="120" w:after="120"/>
        <w:jc w:val="both"/>
        <w:rPr>
          <w:rFonts w:ascii="Times New Roman" w:hAnsi="Times New Roman" w:cs="Times New Roman"/>
          <w:b/>
          <w:noProof/>
          <w:sz w:val="24"/>
          <w:szCs w:val="24"/>
        </w:rPr>
      </w:pPr>
      <w:r>
        <w:rPr>
          <w:rFonts w:ascii="Times New Roman" w:hAnsi="Times New Roman" w:cs="Times New Roman"/>
          <w:b/>
          <w:noProof/>
          <w:sz w:val="24"/>
          <w:szCs w:val="24"/>
        </w:rPr>
        <w:t>Annex IV</w:t>
      </w:r>
      <w:r>
        <w:rPr>
          <w:rFonts w:ascii="Times New Roman" w:hAnsi="Times New Roman" w:cs="Times New Roman"/>
          <w:b/>
          <w:noProof/>
          <w:sz w:val="24"/>
          <w:szCs w:val="24"/>
        </w:rPr>
        <w:tab/>
      </w:r>
      <w:r>
        <w:rPr>
          <w:rFonts w:ascii="Times New Roman" w:hAnsi="Times New Roman" w:cs="Times New Roman"/>
          <w:b/>
          <w:noProof/>
          <w:sz w:val="24"/>
          <w:szCs w:val="24"/>
        </w:rPr>
        <w:tab/>
      </w:r>
      <w:r>
        <w:rPr>
          <w:rFonts w:ascii="Times New Roman" w:hAnsi="Times New Roman" w:cs="Times New Roman"/>
          <w:b/>
          <w:noProof/>
          <w:sz w:val="24"/>
          <w:szCs w:val="24"/>
        </w:rPr>
        <w:tab/>
        <w:t>Implementing rules in the agencies</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21932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OJ L 56, 4.3.1968, p.1.</w:t>
      </w:r>
    </w:p>
  </w:footnote>
  <w:footnote w:id="2">
    <w:p>
      <w:pPr>
        <w:pStyle w:val="FootnoteText"/>
        <w:rPr>
          <w:rFonts w:asciiTheme="majorBidi" w:hAnsiTheme="majorBidi" w:cstheme="majorBidi"/>
          <w:lang w:val="en-IE"/>
        </w:rPr>
      </w:pPr>
      <w:r>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lang w:val="en-IE"/>
        </w:rPr>
        <w:t xml:space="preserve">Detailed definition and list of institutions for the purposes of this Report is provided on page 10. </w:t>
      </w:r>
    </w:p>
  </w:footnote>
  <w:footnote w:id="3">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For details see page 13 and in Annex IV.</w:t>
      </w:r>
    </w:p>
  </w:footnote>
  <w:footnote w:id="4">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Regulation (EU, Euratom) No 1023/2013 of the European Parliament and of the Council of 22 October 2013 amending the Staff Regulations of Officials of the European Union and the Conditions of Employment of Other Servants of the European Union, OJ L 287, 29.10.2013, p. 15–62.</w:t>
      </w:r>
    </w:p>
  </w:footnote>
  <w:footnote w:id="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It covered the period from 1 January 2014 to 31 December 2016. </w:t>
      </w:r>
      <w:r>
        <w:rPr>
          <w:rFonts w:asciiTheme="majorBidi" w:hAnsiTheme="majorBidi" w:cstheme="majorBidi"/>
          <w:lang w:val="en-IE"/>
        </w:rPr>
        <w:t>Report from the Commission to the European Parliament and the Council on the rules adopted by the appointing authority of each institution to give effect to the Staff Regulations (COM(2017) 632 final) (hereinafter referred to as the ‘</w:t>
      </w:r>
      <w:r>
        <w:rPr>
          <w:rFonts w:asciiTheme="majorBidi" w:hAnsiTheme="majorBidi" w:cstheme="majorBidi"/>
          <w:b/>
          <w:lang w:val="en-IE"/>
        </w:rPr>
        <w:t>2014-2016 report</w:t>
      </w:r>
      <w:r>
        <w:rPr>
          <w:rFonts w:asciiTheme="majorBidi" w:hAnsiTheme="majorBidi" w:cstheme="majorBidi"/>
          <w:bCs/>
          <w:lang w:val="en-IE"/>
        </w:rPr>
        <w:t>’</w:t>
      </w:r>
      <w:r>
        <w:rPr>
          <w:rFonts w:asciiTheme="majorBidi" w:hAnsiTheme="majorBidi" w:cstheme="majorBidi"/>
          <w:lang w:val="en-IE"/>
        </w:rPr>
        <w:t>).</w:t>
      </w:r>
    </w:p>
  </w:footnote>
  <w:footnote w:id="6">
    <w:p>
      <w:pPr>
        <w:pStyle w:val="FootnoteText"/>
        <w:rPr>
          <w:rFonts w:asciiTheme="majorBidi" w:hAnsiTheme="majorBidi" w:cstheme="majorBidi"/>
          <w:lang w:val="en-IE"/>
        </w:rPr>
      </w:pPr>
      <w:r>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lang w:val="en-IE"/>
        </w:rPr>
        <w:t>Report from the Commission to the European Parliament and the Council on the rules adopted by the appointing authority of each institution to give effect to the Staff Regulations (COM(2021) 258) (hereinafter referred to as the ‘</w:t>
      </w:r>
      <w:r>
        <w:rPr>
          <w:rFonts w:asciiTheme="majorBidi" w:hAnsiTheme="majorBidi" w:cstheme="majorBidi"/>
          <w:b/>
          <w:bCs/>
          <w:lang w:val="en-IE"/>
        </w:rPr>
        <w:t>2017-2019 report</w:t>
      </w:r>
      <w:r>
        <w:rPr>
          <w:rFonts w:asciiTheme="majorBidi" w:hAnsiTheme="majorBidi" w:cstheme="majorBidi"/>
          <w:lang w:val="en-IE"/>
        </w:rPr>
        <w:t>’).</w:t>
      </w:r>
    </w:p>
  </w:footnote>
  <w:footnote w:id="7">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Available on the publicly accessible internet application ‘Communication and Information Resource Centre for Administrations, Businesses and Citizens’ (</w:t>
      </w:r>
      <w:r>
        <w:rPr>
          <w:rFonts w:asciiTheme="majorBidi" w:hAnsiTheme="majorBidi" w:cstheme="majorBidi"/>
          <w:lang w:val="en-IE"/>
        </w:rPr>
        <w:t>hereinafter referred to as ‘</w:t>
      </w:r>
      <w:r>
        <w:rPr>
          <w:rFonts w:asciiTheme="majorBidi" w:hAnsiTheme="majorBidi" w:cstheme="majorBidi"/>
          <w:b/>
          <w:bCs/>
        </w:rPr>
        <w:t>CIRCABC</w:t>
      </w:r>
      <w:r>
        <w:rPr>
          <w:rFonts w:asciiTheme="majorBidi" w:hAnsiTheme="majorBidi" w:cstheme="majorBidi"/>
        </w:rPr>
        <w:t>)’.</w:t>
      </w:r>
    </w:p>
  </w:footnote>
  <w:footnote w:id="8">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See recital 32 of Regulation N° 1023/2013 of 22 October 2013.</w:t>
      </w:r>
    </w:p>
  </w:footnote>
  <w:footnote w:id="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The report does not include delegated acts adopted on the basis of Articles 111 and 112 of the Staff Regulations. These acts result from the exercise by the Commission (or, before the 2014 reform of the Staff Regulations, by the Council) of its specific power to enact rules having a general effect on all EU staff members. Implementing rules within the meaning of Article 110 of the Staff Regulations, on the other hand, are adopted by an institution on the basis of its appointing authority power and are limited to the staff members of the institution itself. </w:t>
      </w:r>
    </w:p>
  </w:footnote>
  <w:footnote w:id="10">
    <w:p>
      <w:pPr>
        <w:pStyle w:val="FootnoteText"/>
        <w:jc w:val="both"/>
        <w:rPr>
          <w:rFonts w:asciiTheme="majorBidi" w:hAnsiTheme="majorBidi" w:cstheme="majorBidi"/>
          <w:lang w:val="en-IE"/>
        </w:rPr>
      </w:pPr>
      <w:r>
        <w:rPr>
          <w:rStyle w:val="FootnoteReference"/>
          <w:rFonts w:asciiTheme="majorBidi" w:hAnsiTheme="majorBidi" w:cstheme="majorBidi"/>
        </w:rPr>
        <w:footnoteRef/>
      </w:r>
      <w:r>
        <w:rPr>
          <w:rFonts w:asciiTheme="majorBidi" w:hAnsiTheme="majorBidi" w:cstheme="majorBidi"/>
        </w:rPr>
        <w:t xml:space="preserve"> The Staff Regulations and the CEOS use different degrees of obligation and different wording when referring to implementing rules to be adopted by an appointing authority or authority authorised to conclude contracts of employment (e.g. ‘shall adopt’, ‘shall, if it sees fit, adopt’, ‘may lay down detailed rules’). For the purposes of the lists under this title, all the rules referred to by the Staff Regulations or the CEOS, regardless of the wording, are mentioned. </w:t>
      </w:r>
    </w:p>
  </w:footnote>
  <w:footnote w:id="11">
    <w:p>
      <w:pPr>
        <w:pStyle w:val="Default"/>
        <w:jc w:val="both"/>
        <w:rPr>
          <w:rFonts w:asciiTheme="majorBidi" w:hAnsiTheme="majorBidi" w:cstheme="majorBidi"/>
          <w:lang w:val="en-IE"/>
        </w:rPr>
      </w:pPr>
      <w:r>
        <w:rPr>
          <w:rStyle w:val="FootnoteReference"/>
          <w:rFonts w:asciiTheme="majorBidi" w:hAnsiTheme="majorBidi" w:cstheme="majorBidi"/>
          <w:sz w:val="20"/>
          <w:szCs w:val="20"/>
        </w:rPr>
        <w:footnoteRef/>
      </w:r>
      <w:r>
        <w:rPr>
          <w:rFonts w:asciiTheme="majorBidi" w:hAnsiTheme="majorBidi" w:cstheme="majorBidi"/>
          <w:sz w:val="20"/>
          <w:szCs w:val="20"/>
          <w:lang w:val="en-IE"/>
        </w:rPr>
        <w:t xml:space="preserve"> The Staff Regulations do not define the process for the adoption of a rule by agreement between the institutions of the Union. The process that has been developed by inter-institutional practice is described in detail in the 2014-2016 report.</w:t>
      </w:r>
    </w:p>
  </w:footnote>
  <w:footnote w:id="12">
    <w:p>
      <w:pPr>
        <w:pStyle w:val="Default"/>
        <w:jc w:val="both"/>
        <w:rPr>
          <w:rFonts w:asciiTheme="majorBidi" w:hAnsiTheme="majorBidi" w:cstheme="majorBidi"/>
          <w:lang w:val="en-IE"/>
        </w:rPr>
      </w:pPr>
      <w:r>
        <w:rPr>
          <w:rStyle w:val="FootnoteReference"/>
          <w:rFonts w:asciiTheme="majorBidi" w:hAnsiTheme="majorBidi" w:cstheme="majorBidi"/>
        </w:rPr>
        <w:footnoteRef/>
      </w:r>
      <w:r>
        <w:rPr>
          <w:rFonts w:asciiTheme="majorBidi" w:hAnsiTheme="majorBidi" w:cstheme="majorBidi"/>
          <w:lang w:val="en-IE"/>
        </w:rPr>
        <w:t xml:space="preserve"> </w:t>
      </w:r>
      <w:r>
        <w:rPr>
          <w:rFonts w:asciiTheme="majorBidi" w:hAnsiTheme="majorBidi" w:cstheme="majorBidi"/>
          <w:sz w:val="20"/>
          <w:szCs w:val="20"/>
          <w:lang w:val="en-IE"/>
        </w:rPr>
        <w:t>The process for adopting the general implementing provisions is described in detail in the 2014-2016 report.</w:t>
      </w:r>
    </w:p>
  </w:footnote>
  <w:footnote w:id="13">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Note that in its judgment of 26 February 2020 in case </w:t>
      </w:r>
      <w:r>
        <w:rPr>
          <w:rFonts w:asciiTheme="majorBidi" w:hAnsiTheme="majorBidi" w:cstheme="majorBidi"/>
          <w:color w:val="000000"/>
        </w:rPr>
        <w:t>C</w:t>
      </w:r>
      <w:r>
        <w:rPr>
          <w:rFonts w:asciiTheme="majorBidi" w:hAnsiTheme="majorBidi" w:cstheme="majorBidi"/>
          <w:color w:val="000000"/>
        </w:rPr>
        <w:noBreakHyphen/>
        <w:t xml:space="preserve">427/18 P, </w:t>
      </w:r>
      <w:r>
        <w:rPr>
          <w:rFonts w:asciiTheme="majorBidi" w:hAnsiTheme="majorBidi" w:cstheme="majorBidi"/>
          <w:i/>
          <w:lang w:val="en-IE"/>
        </w:rPr>
        <w:t>EEAS / Alba Aguilera et al.</w:t>
      </w:r>
      <w:r>
        <w:rPr>
          <w:rFonts w:asciiTheme="majorBidi" w:hAnsiTheme="majorBidi" w:cstheme="majorBidi"/>
          <w:lang w:val="en-IE"/>
        </w:rPr>
        <w:t xml:space="preserve">, the Court of Justice </w:t>
      </w:r>
      <w:r>
        <w:rPr>
          <w:rFonts w:asciiTheme="majorBidi" w:hAnsiTheme="majorBidi" w:cstheme="majorBidi"/>
        </w:rPr>
        <w:t>found that</w:t>
      </w:r>
      <w:r>
        <w:rPr>
          <w:rFonts w:asciiTheme="majorBidi" w:hAnsiTheme="majorBidi" w:cstheme="majorBidi"/>
          <w:lang w:val="en-IE"/>
        </w:rPr>
        <w:t xml:space="preserve"> Article 1(3) of Annex X to the Staff Regulations does not contain an obligation for the appointing authority to adopt general implementing provisions for the entire Annex X. Instead, the Court found that the provision merely prescribes the procedure to be followed should the appointing authority decide to adopt general implementing provisions for Annex X (see points 77 and 83 of the judgment). As a result, Article 1(3) of Annex X is no longer listed hereby.</w:t>
      </w:r>
    </w:p>
  </w:footnote>
  <w:footnote w:id="14">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However, in the field of reimbursement of medical expenses in the framework of the Joint Sickness Insurance Scheme, the Commission has adopted, on the basis of the Joint Rules on sickness insurance for officials of the European Union, general implementing provisions with effect to staff members in all institutions and agencies.</w:t>
      </w:r>
    </w:p>
  </w:footnote>
  <w:footnote w:id="1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This principle of autonomy of each institution as an employer has been confirmed by the jurisprudence, see judgments of 5 July 2011, </w:t>
      </w:r>
      <w:r>
        <w:rPr>
          <w:rFonts w:asciiTheme="majorBidi" w:hAnsiTheme="majorBidi" w:cstheme="majorBidi"/>
          <w:i/>
        </w:rPr>
        <w:t>V/ European Parliament</w:t>
      </w:r>
      <w:r>
        <w:rPr>
          <w:rFonts w:asciiTheme="majorBidi" w:hAnsiTheme="majorBidi" w:cstheme="majorBidi"/>
        </w:rPr>
        <w:t xml:space="preserve">, F-46/09, point 135 and of 28 April 2017, </w:t>
      </w:r>
      <w:r>
        <w:rPr>
          <w:rFonts w:asciiTheme="majorBidi" w:hAnsiTheme="majorBidi" w:cstheme="majorBidi"/>
          <w:i/>
        </w:rPr>
        <w:t>Azoulay et.al. / European Parliament</w:t>
      </w:r>
      <w:r>
        <w:rPr>
          <w:rFonts w:asciiTheme="majorBidi" w:hAnsiTheme="majorBidi" w:cstheme="majorBidi"/>
        </w:rPr>
        <w:t>, T-580/16, point 57 and the jurisprudence cited.</w:t>
      </w:r>
    </w:p>
  </w:footnote>
  <w:footnote w:id="16">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Detailed overview of the process for the adoption of general implementing provisions is provided in the 2014-2016 report.</w:t>
      </w:r>
    </w:p>
  </w:footnote>
  <w:footnote w:id="17">
    <w:p>
      <w:pPr>
        <w:pStyle w:val="FootnoteText"/>
        <w:jc w:val="both"/>
        <w:rPr>
          <w:rFonts w:asciiTheme="majorBidi" w:hAnsiTheme="majorBidi" w:cstheme="majorBidi"/>
          <w:lang w:val="en-IE"/>
        </w:rPr>
      </w:pPr>
      <w:r>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lang w:val="en-IE"/>
        </w:rPr>
        <w:t xml:space="preserve">See judgment of the Court of Justice of 26 February 2020 in case </w:t>
      </w:r>
      <w:r>
        <w:rPr>
          <w:rFonts w:asciiTheme="majorBidi" w:hAnsiTheme="majorBidi" w:cstheme="majorBidi"/>
          <w:color w:val="000000"/>
        </w:rPr>
        <w:t>C</w:t>
      </w:r>
      <w:r>
        <w:rPr>
          <w:rFonts w:asciiTheme="majorBidi" w:hAnsiTheme="majorBidi" w:cstheme="majorBidi"/>
          <w:color w:val="000000"/>
        </w:rPr>
        <w:noBreakHyphen/>
        <w:t xml:space="preserve">427/18 P, </w:t>
      </w:r>
      <w:r>
        <w:rPr>
          <w:rFonts w:asciiTheme="majorBidi" w:hAnsiTheme="majorBidi" w:cstheme="majorBidi"/>
          <w:i/>
          <w:lang w:val="en-IE"/>
        </w:rPr>
        <w:t>EEAS / Alba Aguilera et al.</w:t>
      </w:r>
      <w:r>
        <w:rPr>
          <w:rFonts w:asciiTheme="majorBidi" w:hAnsiTheme="majorBidi" w:cstheme="majorBidi"/>
          <w:lang w:val="en-IE"/>
        </w:rPr>
        <w:t xml:space="preserve">, point 57 and the jurisprudence cited. </w:t>
      </w:r>
    </w:p>
  </w:footnote>
  <w:footnote w:id="18">
    <w:p>
      <w:pPr>
        <w:spacing w:line="240" w:lineRule="auto"/>
        <w:jc w:val="both"/>
        <w:rPr>
          <w:rFonts w:asciiTheme="majorBidi" w:hAnsiTheme="majorBidi" w:cstheme="majorBidi"/>
          <w:sz w:val="20"/>
          <w:szCs w:val="20"/>
        </w:rPr>
      </w:pPr>
      <w:r>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sz w:val="20"/>
          <w:szCs w:val="20"/>
        </w:rPr>
        <w:t>On one occasion (with regard to Commission officials working in a Union delegation and EEAS officials who have to carry out tasks for the Commission as part of their duties), Article 96 of the Staff Regulations provides for a joint empowerment to the Commission and the EEAS.</w:t>
      </w:r>
    </w:p>
    <w:p>
      <w:pPr>
        <w:pStyle w:val="FootnoteText"/>
        <w:rPr>
          <w:rFonts w:asciiTheme="majorBidi" w:hAnsiTheme="majorBidi" w:cstheme="majorBidi"/>
          <w:lang w:val="en-IE"/>
        </w:rPr>
      </w:pPr>
    </w:p>
  </w:footnote>
  <w:footnote w:id="1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According to Article 36.1 of the Protocol (No 4) on the Statute of the European System of Central Banks and of the European Central Bank, staff members of the European Central Bank are subject to the conditions of employment of the staff of the ECB. </w:t>
      </w:r>
    </w:p>
  </w:footnote>
  <w:footnote w:id="20">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Note that in instances where the date of entry into force was not easily identifiable, the date of adoption of the rule is presented instead.</w:t>
      </w:r>
    </w:p>
  </w:footnote>
  <w:footnote w:id="21">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An exception was made in the case of "omnibus decisions" adopted by the EEAS, i.e. general decisions that adopt, </w:t>
      </w:r>
      <w:r>
        <w:rPr>
          <w:rFonts w:asciiTheme="majorBidi" w:hAnsiTheme="majorBidi" w:cstheme="majorBidi"/>
          <w:i/>
        </w:rPr>
        <w:t>en bloc</w:t>
      </w:r>
      <w:r>
        <w:rPr>
          <w:rFonts w:asciiTheme="majorBidi" w:hAnsiTheme="majorBidi" w:cstheme="majorBidi"/>
        </w:rPr>
        <w:t xml:space="preserve"> and by way of analogy, several special decisions of other institutions. In such a case, the respective number of special decisions was counted. </w:t>
      </w:r>
    </w:p>
  </w:footnote>
  <w:footnote w:id="22">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However, when a general implementing rule was replaced by a different type of implementing rule (or vice versa), two implementing rules were counted (one for each category of rules).</w:t>
      </w:r>
    </w:p>
  </w:footnote>
  <w:footnote w:id="23">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This notably concerns joint decisions of the EEAS and the Commission concerning staff serving in Union Delegations.</w:t>
      </w:r>
    </w:p>
  </w:footnote>
  <w:footnote w:id="24">
    <w:p>
      <w:pPr>
        <w:spacing w:line="240" w:lineRule="auto"/>
        <w:jc w:val="both"/>
        <w:rPr>
          <w:rFonts w:asciiTheme="majorBidi" w:hAnsiTheme="majorBidi" w:cstheme="majorBidi"/>
        </w:rPr>
      </w:pPr>
      <w:r>
        <w:rPr>
          <w:rStyle w:val="FootnoteReference"/>
          <w:rFonts w:asciiTheme="majorBidi" w:hAnsiTheme="majorBidi" w:cstheme="majorBidi"/>
          <w:sz w:val="20"/>
          <w:szCs w:val="20"/>
        </w:rPr>
        <w:footnoteRef/>
      </w:r>
      <w:r>
        <w:rPr>
          <w:rFonts w:asciiTheme="majorBidi" w:hAnsiTheme="majorBidi" w:cstheme="majorBidi"/>
          <w:sz w:val="20"/>
          <w:szCs w:val="20"/>
        </w:rPr>
        <w:t xml:space="preserve"> This table is derived from the table of the 2014-2016 report. The numbers of the first report have been slightly corrected. This is due to the fact that most institutions identified a number of rules that had been inadvertently excluded from the 2014-2016 report and that were in force in the current reporting period. The current table has been updated to also reflect those corrections.  </w:t>
      </w:r>
    </w:p>
  </w:footnote>
  <w:footnote w:id="25">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This includes the European Public Prosecutor’s Office established in October 2017.</w:t>
      </w:r>
    </w:p>
  </w:footnote>
  <w:footnote w:id="26">
    <w:p>
      <w:pPr>
        <w:pStyle w:val="FootnoteText"/>
        <w:rPr>
          <w:rFonts w:asciiTheme="majorBidi" w:hAnsiTheme="majorBidi" w:cstheme="majorBidi"/>
          <w:sz w:val="22"/>
          <w:szCs w:val="22"/>
          <w:lang w:val="en-IE"/>
        </w:rPr>
      </w:pPr>
      <w:r>
        <w:rPr>
          <w:rStyle w:val="FootnoteReference"/>
          <w:rFonts w:asciiTheme="majorBidi" w:hAnsiTheme="majorBidi" w:cstheme="majorBidi"/>
          <w:sz w:val="22"/>
          <w:szCs w:val="22"/>
        </w:rPr>
        <w:footnoteRef/>
      </w:r>
      <w:r>
        <w:rPr>
          <w:rFonts w:asciiTheme="majorBidi" w:hAnsiTheme="majorBidi" w:cstheme="majorBidi"/>
          <w:sz w:val="22"/>
          <w:szCs w:val="22"/>
        </w:rPr>
        <w:t xml:space="preserve"> </w:t>
      </w:r>
      <w:r>
        <w:rPr>
          <w:rFonts w:asciiTheme="majorBidi" w:hAnsiTheme="majorBidi" w:cstheme="majorBidi"/>
        </w:rPr>
        <w:t xml:space="preserve">This includes the </w:t>
      </w:r>
      <w:r>
        <w:rPr>
          <w:rFonts w:asciiTheme="majorBidi" w:hAnsiTheme="majorBidi" w:cstheme="majorBidi"/>
          <w:i/>
          <w:iCs/>
        </w:rPr>
        <w:t>ex ante</w:t>
      </w:r>
      <w:r>
        <w:rPr>
          <w:rFonts w:asciiTheme="majorBidi" w:hAnsiTheme="majorBidi" w:cstheme="majorBidi"/>
        </w:rPr>
        <w:t xml:space="preserve"> agreements on telework and working time, which are no longer in force.</w:t>
      </w:r>
    </w:p>
  </w:footnote>
  <w:footnote w:id="27">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Commission Decision C(2013)9028 of 16 December 2013 amending Commission Decision of 28 April 2004 on the maximum duration for the recourse to non-permanent staff in the Commission services, Commission Decision C(2019) 2548 of 5 April 2019 amending Commission Decision of 28 April 2004 on the maximum duration for the recourse to non-permanent staff.</w:t>
      </w:r>
    </w:p>
  </w:footnote>
  <w:footnote w:id="28">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Commission Decision C(2016)3214 of 7 June 2016 concerning the function of adviser.</w:t>
      </w:r>
    </w:p>
  </w:footnote>
  <w:footnote w:id="29">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Title IV also contains specific empowerments to the Commission (before the 2014 Staff Reform of the Staff Regulations: to the Council) to determine by means of delegated acts categories of officials entitled to specific allowances (shift work, standby duty, particularly arduous working conditions). These delegated acts are not the subject of the present report, see footnote 5.</w:t>
      </w:r>
    </w:p>
  </w:footnote>
  <w:footnote w:id="30">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See judgment of the Court of Justice of the European Union in case C-427/18 P, </w:t>
      </w:r>
      <w:r>
        <w:rPr>
          <w:rFonts w:asciiTheme="majorBidi" w:hAnsiTheme="majorBidi" w:cstheme="majorBidi"/>
          <w:i/>
        </w:rPr>
        <w:t>EEAS / Alba Aguilera et al.</w:t>
      </w:r>
      <w:r>
        <w:rPr>
          <w:rFonts w:asciiTheme="majorBidi" w:hAnsiTheme="majorBidi" w:cstheme="majorBidi"/>
        </w:rPr>
        <w:t>, point 77.</w:t>
      </w:r>
    </w:p>
  </w:footnote>
  <w:footnote w:id="31">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Entirely new subject matters introduced during the reporting period are marked in </w:t>
      </w:r>
      <w:r>
        <w:rPr>
          <w:rFonts w:asciiTheme="majorBidi" w:hAnsiTheme="majorBidi" w:cstheme="majorBidi"/>
          <w:i/>
          <w:iCs/>
        </w:rPr>
        <w:t>italics</w:t>
      </w:r>
      <w:r>
        <w:rPr>
          <w:rFonts w:asciiTheme="majorBidi" w:hAnsiTheme="majorBidi" w:cstheme="majorBidi"/>
        </w:rPr>
        <w:t xml:space="preserve">. </w:t>
      </w:r>
    </w:p>
  </w:footnote>
  <w:footnote w:id="32">
    <w:p>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The Commission was not in a position to assess whether all of the relevant rules of all the agencies had been submitted.</w:t>
      </w:r>
    </w:p>
  </w:footnote>
  <w:footnote w:id="33">
    <w:p>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CA-D 3654/22.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03A"/>
    <w:multiLevelType w:val="hybridMultilevel"/>
    <w:tmpl w:val="C4241D94"/>
    <w:lvl w:ilvl="0" w:tplc="080C0001">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abstractNum w:abstractNumId="1" w15:restartNumberingAfterBreak="0">
    <w:nsid w:val="04962710"/>
    <w:multiLevelType w:val="hybridMultilevel"/>
    <w:tmpl w:val="7AA81386"/>
    <w:lvl w:ilvl="0" w:tplc="08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5B177B7"/>
    <w:multiLevelType w:val="hybridMultilevel"/>
    <w:tmpl w:val="D974C0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0F3CD6"/>
    <w:multiLevelType w:val="hybridMultilevel"/>
    <w:tmpl w:val="1E5035E0"/>
    <w:lvl w:ilvl="0" w:tplc="18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09428E6"/>
    <w:multiLevelType w:val="hybridMultilevel"/>
    <w:tmpl w:val="02F607EA"/>
    <w:lvl w:ilvl="0" w:tplc="0096F656">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6D530F9"/>
    <w:multiLevelType w:val="hybridMultilevel"/>
    <w:tmpl w:val="1B8662D4"/>
    <w:lvl w:ilvl="0" w:tplc="0809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83729E5"/>
    <w:multiLevelType w:val="hybridMultilevel"/>
    <w:tmpl w:val="F7401DDC"/>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1CA239A7"/>
    <w:multiLevelType w:val="hybridMultilevel"/>
    <w:tmpl w:val="D2E8874E"/>
    <w:lvl w:ilvl="0" w:tplc="1D189D98">
      <w:start w:val="1"/>
      <w:numFmt w:val="bullet"/>
      <w:lvlText w:val=""/>
      <w:lvlJc w:val="left"/>
      <w:pPr>
        <w:ind w:left="779" w:hanging="360"/>
      </w:pPr>
      <w:rPr>
        <w:rFonts w:ascii="Symbol" w:hAnsi="Symbol" w:hint="default"/>
      </w:rPr>
    </w:lvl>
    <w:lvl w:ilvl="1" w:tplc="040C0003" w:tentative="1">
      <w:start w:val="1"/>
      <w:numFmt w:val="bullet"/>
      <w:lvlText w:val="o"/>
      <w:lvlJc w:val="left"/>
      <w:pPr>
        <w:ind w:left="1499" w:hanging="360"/>
      </w:pPr>
      <w:rPr>
        <w:rFonts w:ascii="Courier New" w:hAnsi="Courier New" w:cs="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cs="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cs="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8" w15:restartNumberingAfterBreak="0">
    <w:nsid w:val="1E1004F7"/>
    <w:multiLevelType w:val="hybridMultilevel"/>
    <w:tmpl w:val="3EA24F80"/>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E735911"/>
    <w:multiLevelType w:val="hybridMultilevel"/>
    <w:tmpl w:val="434AED90"/>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0504F3"/>
    <w:multiLevelType w:val="hybridMultilevel"/>
    <w:tmpl w:val="1954237A"/>
    <w:lvl w:ilvl="0" w:tplc="1D189D98">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21712FA"/>
    <w:multiLevelType w:val="hybridMultilevel"/>
    <w:tmpl w:val="469676FA"/>
    <w:lvl w:ilvl="0" w:tplc="1809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4811224"/>
    <w:multiLevelType w:val="hybridMultilevel"/>
    <w:tmpl w:val="F7401DDC"/>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260D032E"/>
    <w:multiLevelType w:val="hybridMultilevel"/>
    <w:tmpl w:val="9FC60AA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820AC8"/>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313442F4"/>
    <w:multiLevelType w:val="hybridMultilevel"/>
    <w:tmpl w:val="9D123840"/>
    <w:lvl w:ilvl="0" w:tplc="04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7" w15:restartNumberingAfterBreak="0">
    <w:nsid w:val="3A714FD4"/>
    <w:multiLevelType w:val="hybridMultilevel"/>
    <w:tmpl w:val="9B244966"/>
    <w:lvl w:ilvl="0" w:tplc="1809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312B7C"/>
    <w:multiLevelType w:val="hybridMultilevel"/>
    <w:tmpl w:val="FA1A4926"/>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350E3C"/>
    <w:multiLevelType w:val="hybridMultilevel"/>
    <w:tmpl w:val="ABA41CBA"/>
    <w:lvl w:ilvl="0" w:tplc="08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5A76CF6"/>
    <w:multiLevelType w:val="hybridMultilevel"/>
    <w:tmpl w:val="F05EC6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5D243D6"/>
    <w:multiLevelType w:val="hybridMultilevel"/>
    <w:tmpl w:val="4D7858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49905F22"/>
    <w:multiLevelType w:val="hybridMultilevel"/>
    <w:tmpl w:val="405A3E00"/>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4A5A2B2D"/>
    <w:multiLevelType w:val="hybridMultilevel"/>
    <w:tmpl w:val="3EA24F80"/>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51FE3A3C"/>
    <w:multiLevelType w:val="hybridMultilevel"/>
    <w:tmpl w:val="DCC654B2"/>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5290124C"/>
    <w:multiLevelType w:val="hybridMultilevel"/>
    <w:tmpl w:val="4AAAB2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33C77D7"/>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592B1127"/>
    <w:multiLevelType w:val="hybridMultilevel"/>
    <w:tmpl w:val="876A4F14"/>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15:restartNumberingAfterBreak="0">
    <w:nsid w:val="5AE677BE"/>
    <w:multiLevelType w:val="hybridMultilevel"/>
    <w:tmpl w:val="4D3C85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B006B5F"/>
    <w:multiLevelType w:val="hybridMultilevel"/>
    <w:tmpl w:val="D9FAFA64"/>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C917455"/>
    <w:multiLevelType w:val="hybridMultilevel"/>
    <w:tmpl w:val="83B2C27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D6419D2"/>
    <w:multiLevelType w:val="hybridMultilevel"/>
    <w:tmpl w:val="8206A064"/>
    <w:lvl w:ilvl="0" w:tplc="040C000F">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5F39481B"/>
    <w:multiLevelType w:val="hybridMultilevel"/>
    <w:tmpl w:val="FC40B928"/>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7D008A"/>
    <w:multiLevelType w:val="hybridMultilevel"/>
    <w:tmpl w:val="DD3E1B3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5CA3386"/>
    <w:multiLevelType w:val="hybridMultilevel"/>
    <w:tmpl w:val="960AA2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6AE52A71"/>
    <w:multiLevelType w:val="hybridMultilevel"/>
    <w:tmpl w:val="F6C6B6AC"/>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C21798C"/>
    <w:multiLevelType w:val="hybridMultilevel"/>
    <w:tmpl w:val="C9021080"/>
    <w:lvl w:ilvl="0" w:tplc="0D361566">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7" w15:restartNumberingAfterBreak="0">
    <w:nsid w:val="6F707D72"/>
    <w:multiLevelType w:val="hybridMultilevel"/>
    <w:tmpl w:val="8D2674B4"/>
    <w:lvl w:ilvl="0" w:tplc="18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6FED2699"/>
    <w:multiLevelType w:val="hybridMultilevel"/>
    <w:tmpl w:val="D7903004"/>
    <w:lvl w:ilvl="0" w:tplc="1D189D98">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71842DB4"/>
    <w:multiLevelType w:val="hybridMultilevel"/>
    <w:tmpl w:val="38E2C49C"/>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3A01E8F"/>
    <w:multiLevelType w:val="hybridMultilevel"/>
    <w:tmpl w:val="283A82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5AC2A03"/>
    <w:multiLevelType w:val="hybridMultilevel"/>
    <w:tmpl w:val="D24C2E9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15:restartNumberingAfterBreak="0">
    <w:nsid w:val="784C5A47"/>
    <w:multiLevelType w:val="hybridMultilevel"/>
    <w:tmpl w:val="0D8898BE"/>
    <w:lvl w:ilvl="0" w:tplc="1D8834A6">
      <w:start w:val="1"/>
      <w:numFmt w:val="lowerRoman"/>
      <w:lvlText w:val="(%1)"/>
      <w:lvlJc w:val="left"/>
      <w:pPr>
        <w:ind w:left="1080" w:hanging="72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44" w15:restartNumberingAfterBreak="0">
    <w:nsid w:val="78AA5448"/>
    <w:multiLevelType w:val="hybridMultilevel"/>
    <w:tmpl w:val="12DE1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B860D03"/>
    <w:multiLevelType w:val="hybridMultilevel"/>
    <w:tmpl w:val="E488B6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ED74131"/>
    <w:multiLevelType w:val="hybridMultilevel"/>
    <w:tmpl w:val="A6488C0E"/>
    <w:lvl w:ilvl="0" w:tplc="0809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32"/>
  </w:num>
  <w:num w:numId="2">
    <w:abstractNumId w:val="45"/>
  </w:num>
  <w:num w:numId="3">
    <w:abstractNumId w:val="2"/>
  </w:num>
  <w:num w:numId="4">
    <w:abstractNumId w:val="28"/>
  </w:num>
  <w:num w:numId="5">
    <w:abstractNumId w:val="4"/>
  </w:num>
  <w:num w:numId="6">
    <w:abstractNumId w:val="6"/>
  </w:num>
  <w:num w:numId="7">
    <w:abstractNumId w:val="23"/>
  </w:num>
  <w:num w:numId="8">
    <w:abstractNumId w:val="13"/>
  </w:num>
  <w:num w:numId="9">
    <w:abstractNumId w:val="27"/>
  </w:num>
  <w:num w:numId="10">
    <w:abstractNumId w:val="31"/>
  </w:num>
  <w:num w:numId="11">
    <w:abstractNumId w:val="29"/>
  </w:num>
  <w:num w:numId="12">
    <w:abstractNumId w:val="34"/>
  </w:num>
  <w:num w:numId="13">
    <w:abstractNumId w:val="21"/>
  </w:num>
  <w:num w:numId="14">
    <w:abstractNumId w:val="30"/>
  </w:num>
  <w:num w:numId="15">
    <w:abstractNumId w:val="14"/>
  </w:num>
  <w:num w:numId="16">
    <w:abstractNumId w:val="42"/>
  </w:num>
  <w:num w:numId="17">
    <w:abstractNumId w:val="22"/>
  </w:num>
  <w:num w:numId="18">
    <w:abstractNumId w:val="33"/>
  </w:num>
  <w:num w:numId="19">
    <w:abstractNumId w:val="24"/>
  </w:num>
  <w:num w:numId="20">
    <w:abstractNumId w:val="8"/>
  </w:num>
  <w:num w:numId="21">
    <w:abstractNumId w:val="25"/>
  </w:num>
  <w:num w:numId="22">
    <w:abstractNumId w:val="44"/>
  </w:num>
  <w:num w:numId="23">
    <w:abstractNumId w:val="11"/>
  </w:num>
  <w:num w:numId="24">
    <w:abstractNumId w:val="15"/>
  </w:num>
  <w:num w:numId="25">
    <w:abstractNumId w:val="26"/>
  </w:num>
  <w:num w:numId="26">
    <w:abstractNumId w:val="41"/>
  </w:num>
  <w:num w:numId="27">
    <w:abstractNumId w:val="46"/>
  </w:num>
  <w:num w:numId="28">
    <w:abstractNumId w:val="9"/>
  </w:num>
  <w:num w:numId="29">
    <w:abstractNumId w:val="38"/>
  </w:num>
  <w:num w:numId="30">
    <w:abstractNumId w:val="1"/>
  </w:num>
  <w:num w:numId="31">
    <w:abstractNumId w:val="7"/>
  </w:num>
  <w:num w:numId="32">
    <w:abstractNumId w:val="39"/>
  </w:num>
  <w:num w:numId="33">
    <w:abstractNumId w:val="18"/>
  </w:num>
  <w:num w:numId="34">
    <w:abstractNumId w:val="19"/>
  </w:num>
  <w:num w:numId="35">
    <w:abstractNumId w:val="10"/>
  </w:num>
  <w:num w:numId="36">
    <w:abstractNumId w:val="35"/>
  </w:num>
  <w:num w:numId="37">
    <w:abstractNumId w:val="40"/>
  </w:num>
  <w:num w:numId="38">
    <w:abstractNumId w:val="20"/>
  </w:num>
  <w:num w:numId="39">
    <w:abstractNumId w:val="36"/>
  </w:num>
  <w:num w:numId="40">
    <w:abstractNumId w:val="0"/>
  </w:num>
  <w:num w:numId="41">
    <w:abstractNumId w:val="5"/>
  </w:num>
  <w:num w:numId="42">
    <w:abstractNumId w:val="37"/>
  </w:num>
  <w:num w:numId="43">
    <w:abstractNumId w:val="12"/>
  </w:num>
  <w:num w:numId="44">
    <w:abstractNumId w:val="3"/>
  </w:num>
  <w:num w:numId="45">
    <w:abstractNumId w:val="17"/>
  </w:num>
  <w:num w:numId="46">
    <w:abstractNumId w:val="16"/>
  </w:num>
  <w:num w:numId="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905C1B62-B8EF-4948-8839-2678E478112E"/>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ules adopted by the appointing authority of each institution to give effect to the Staff Regulations_x000b_"/>
    <w:docVar w:name="LW_TYPE.DOC.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C3215E-C02A-4950-889A-C892C219D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nhideWhenUsed/>
    <w:pPr>
      <w:spacing w:after="0" w:line="240" w:lineRule="auto"/>
    </w:pPr>
    <w:rPr>
      <w:kern w:val="0"/>
      <w:sz w:val="20"/>
      <w:szCs w:val="20"/>
      <w14:ligatures w14:val="none"/>
    </w:rPr>
  </w:style>
  <w:style w:type="character" w:customStyle="1" w:styleId="FootnoteTextChar">
    <w:name w:val="Footnote Text Char"/>
    <w:basedOn w:val="DefaultParagraphFont"/>
    <w:link w:val="FootnoteText"/>
    <w:rPr>
      <w:kern w:val="0"/>
      <w:sz w:val="20"/>
      <w:szCs w:val="20"/>
      <w14:ligatures w14:val="none"/>
    </w:rPr>
  </w:style>
  <w:style w:type="character" w:styleId="FootnoteReference">
    <w:name w:val="footnote reference"/>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Pr>
      <w:rFonts w:ascii="Tahoma" w:hAnsi="Tahoma" w:cs="Tahoma"/>
      <w:kern w:val="0"/>
      <w:sz w:val="16"/>
      <w:szCs w:val="16"/>
      <w14:ligatures w14:val="none"/>
    </w:rPr>
  </w:style>
  <w:style w:type="table" w:styleId="TableGrid">
    <w:name w:val="Table Grid"/>
    <w:basedOn w:val="TableNormal"/>
    <w:uiPriority w:val="5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headersubtitle">
    <w:name w:val="contentheadersubtitle"/>
    <w:basedOn w:val="DefaultParagraphFont"/>
    <w:rPr>
      <w:sz w:val="19"/>
      <w:szCs w:val="19"/>
    </w:rPr>
  </w:style>
  <w:style w:type="paragraph" w:styleId="TOCHeading">
    <w:name w:val="TOC Heading"/>
    <w:basedOn w:val="Heading1"/>
    <w:next w:val="Normal"/>
    <w:uiPriority w:val="39"/>
    <w:unhideWhenUsed/>
    <w:qFormat/>
    <w:pPr>
      <w:spacing w:before="480" w:after="0"/>
      <w:outlineLvl w:val="9"/>
    </w:pPr>
    <w:rPr>
      <w:b/>
      <w:bCs/>
      <w:kern w:val="0"/>
      <w:sz w:val="28"/>
      <w:szCs w:val="28"/>
      <w:lang w:val="en-US" w:eastAsia="ja-JP"/>
      <w14:ligatures w14:val="none"/>
    </w:rPr>
  </w:style>
  <w:style w:type="paragraph" w:styleId="TOC1">
    <w:name w:val="toc 1"/>
    <w:basedOn w:val="Normal"/>
    <w:next w:val="Normal"/>
    <w:autoRedefine/>
    <w:uiPriority w:val="39"/>
    <w:unhideWhenUsed/>
    <w:pPr>
      <w:tabs>
        <w:tab w:val="left" w:pos="1100"/>
        <w:tab w:val="right" w:leader="dot" w:pos="9062"/>
      </w:tabs>
      <w:spacing w:after="100"/>
    </w:pPr>
    <w:rPr>
      <w:b/>
      <w:noProof/>
      <w:kern w:val="0"/>
      <w14:ligatures w14:val="none"/>
    </w:rPr>
  </w:style>
  <w:style w:type="paragraph" w:styleId="TOC2">
    <w:name w:val="toc 2"/>
    <w:basedOn w:val="Normal"/>
    <w:next w:val="Normal"/>
    <w:autoRedefine/>
    <w:uiPriority w:val="39"/>
    <w:unhideWhenUsed/>
    <w:pPr>
      <w:tabs>
        <w:tab w:val="left" w:pos="660"/>
        <w:tab w:val="right" w:leader="dot" w:pos="9062"/>
      </w:tabs>
      <w:spacing w:after="100"/>
      <w:ind w:left="220"/>
    </w:pPr>
    <w:rPr>
      <w:kern w:val="0"/>
      <w14:ligatures w14:val="none"/>
    </w:rPr>
  </w:style>
  <w:style w:type="paragraph" w:styleId="TOC3">
    <w:name w:val="toc 3"/>
    <w:basedOn w:val="Normal"/>
    <w:next w:val="Normal"/>
    <w:autoRedefine/>
    <w:uiPriority w:val="39"/>
    <w:unhideWhenUsed/>
    <w:pPr>
      <w:spacing w:after="100"/>
      <w:ind w:left="440"/>
    </w:pPr>
    <w:rPr>
      <w:kern w:val="0"/>
      <w14:ligatures w14:val="none"/>
    </w:rPr>
  </w:style>
  <w:style w:type="character" w:styleId="Hyperlink">
    <w:name w:val="Hyperlink"/>
    <w:basedOn w:val="DefaultParagraphFont"/>
    <w:uiPriority w:val="99"/>
    <w:unhideWhenUsed/>
    <w:rPr>
      <w:color w:val="0000FF" w:themeColor="hyperlink"/>
      <w:u w:val="singl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kern w:val="0"/>
      <w:sz w:val="24"/>
      <w14:ligatures w14:val="none"/>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kern w:val="0"/>
      <w:sz w:val="24"/>
      <w14:ligatures w14:val="none"/>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kern w:val="0"/>
      <w:sz w:val="24"/>
      <w14:ligatures w14:val="non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ind w:left="5103"/>
    </w:pPr>
    <w:rPr>
      <w:rFonts w:ascii="Times New Roman" w:hAnsi="Times New Roman" w:cs="Times New Roman"/>
      <w:kern w:val="0"/>
      <w:sz w:val="28"/>
      <w14:ligatures w14:val="none"/>
    </w:rPr>
  </w:style>
  <w:style w:type="paragraph" w:customStyle="1" w:styleId="DateMarking">
    <w:name w:val="DateMarking"/>
    <w:basedOn w:val="Normal"/>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ind w:left="5103"/>
    </w:pPr>
    <w:rPr>
      <w:rFonts w:ascii="Times New Roman" w:hAnsi="Times New Roman" w:cs="Times New Roman"/>
      <w:i/>
      <w:kern w:val="0"/>
      <w:sz w:val="28"/>
      <w14:ligatures w14:val="non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kern w:val="0"/>
      <w:sz w:val="24"/>
      <w:szCs w:val="24"/>
      <w:lang w:val="fr-BE"/>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Pr>
      <w:kern w:val="0"/>
      <w:sz w:val="20"/>
      <w:szCs w:val="20"/>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0"/>
      <w:sz w:val="20"/>
      <w:szCs w:val="20"/>
      <w14:ligatures w14:val="none"/>
    </w:rPr>
  </w:style>
  <w:style w:type="paragraph" w:styleId="Revision">
    <w:name w:val="Revision"/>
    <w:hidden/>
    <w:uiPriority w:val="99"/>
    <w:semiHidden/>
    <w:pPr>
      <w:spacing w:after="0" w:line="240" w:lineRule="auto"/>
    </w:pPr>
    <w:rPr>
      <w:kern w:val="0"/>
      <w14:ligatures w14:val="non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yintracomm.ec.europa.eu/DG/HR/Documents/19%2010%2014%20Agencies%20webpage_final.pdf"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C7036-66F7-4E73-9C2D-9F19D1BA9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9305</Words>
  <Characters>53044</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cp:lastPrinted>2026-05-13T09:08:00Z</cp:lastPrinted>
  <dcterms:created xsi:type="dcterms:W3CDTF">2026-08-19T14:34:00Z</dcterms:created>
  <dcterms:modified xsi:type="dcterms:W3CDTF">2026-09-10T12:51:00Z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2026-02-23T08:31:17Z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cc53cf62-87be-43f9-ab77-a7ea3c11c86e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