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Pagedecouverture"/>
        <w:rPr>
          <w:noProof/>
        </w:rPr>
      </w:pPr>
      <w:bookmarkStart w:id="0" w:name="LW_BM_COVERPAGE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47733871-8C16-40C7-82F4-DC7A300C58BD" style="width:455.25pt;height:402.75pt">
            <v:imagedata r:id="rId6" o:title=""/>
          </v:shape>
        </w:pict>
      </w:r>
    </w:p>
    <w:bookmarkEnd w:id="0"/>
    <w:p>
      <w:pPr>
        <w:rPr>
          <w:noProof/>
          <w:lang w:eastAsia="en-GB"/>
        </w:rPr>
        <w:sectPr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tbl>
      <w:tblPr>
        <w:tblpPr w:leftFromText="180" w:rightFromText="180" w:horzAnchor="margin" w:tblpXSpec="center" w:tblpY="-547"/>
        <w:tblW w:w="11131" w:type="dxa"/>
        <w:tblLayout w:type="fixed"/>
        <w:tblLook w:val="04A0" w:firstRow="1" w:lastRow="0" w:firstColumn="1" w:lastColumn="0" w:noHBand="0" w:noVBand="1"/>
      </w:tblPr>
      <w:tblGrid>
        <w:gridCol w:w="1747"/>
        <w:gridCol w:w="3214"/>
        <w:gridCol w:w="3652"/>
        <w:gridCol w:w="2518"/>
      </w:tblGrid>
      <w:tr>
        <w:trPr>
          <w:trHeight w:val="765"/>
        </w:trPr>
        <w:tc>
          <w:tcPr>
            <w:tcW w:w="1113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i/>
                <w:iCs/>
                <w:noProof/>
                <w:sz w:val="20"/>
                <w:szCs w:val="20"/>
                <w:lang w:eastAsia="en-GB"/>
              </w:rPr>
            </w:pPr>
          </w:p>
        </w:tc>
      </w:tr>
      <w:tr>
        <w:trPr>
          <w:trHeight w:val="918"/>
        </w:trPr>
        <w:tc>
          <w:tcPr>
            <w:tcW w:w="111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4D79B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36"/>
                <w:szCs w:val="3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noProof/>
                <w:sz w:val="36"/>
                <w:szCs w:val="36"/>
                <w:lang w:eastAsia="en-GB"/>
              </w:rPr>
              <w:t>Staff Regulations</w:t>
            </w:r>
            <w:r>
              <w:rPr>
                <w:rFonts w:ascii="Times New Roman" w:eastAsia="Times New Roman" w:hAnsi="Times New Roman" w:cs="Times New Roman"/>
                <w:noProof/>
                <w:sz w:val="36"/>
                <w:szCs w:val="36"/>
                <w:lang w:eastAsia="en-GB"/>
              </w:rPr>
              <w:br/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t>(applicable by analogy to other servants whenever the CEOS expressly provide for it)</w:t>
            </w:r>
          </w:p>
        </w:tc>
      </w:tr>
      <w:tr>
        <w:trPr>
          <w:trHeight w:val="705"/>
        </w:trPr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  <w:t xml:space="preserve">Article </w:t>
            </w:r>
          </w:p>
        </w:tc>
        <w:tc>
          <w:tcPr>
            <w:tcW w:w="3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  <w:t>Subject Matter</w:t>
            </w:r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  <w:t>Title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  <w:t>Entry into force</w:t>
            </w:r>
          </w:p>
        </w:tc>
      </w:tr>
      <w:tr>
        <w:trPr>
          <w:trHeight w:val="399"/>
        </w:trPr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36"/>
                <w:szCs w:val="36"/>
                <w:lang w:eastAsia="en-GB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48"/>
                <w:szCs w:val="48"/>
                <w:lang w:eastAsia="en-GB"/>
              </w:rPr>
            </w:pPr>
          </w:p>
        </w:tc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36"/>
                <w:szCs w:val="36"/>
                <w:lang w:eastAsia="en-GB"/>
              </w:rPr>
            </w:pP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36"/>
                <w:szCs w:val="36"/>
                <w:lang w:eastAsia="en-GB"/>
              </w:rPr>
            </w:pPr>
          </w:p>
        </w:tc>
      </w:tr>
      <w:tr>
        <w:trPr>
          <w:trHeight w:val="551"/>
        </w:trPr>
        <w:tc>
          <w:tcPr>
            <w:tcW w:w="111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C4D79B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en-GB"/>
              </w:rPr>
              <w:t>Title I - General Provisions</w:t>
            </w:r>
          </w:p>
        </w:tc>
      </w:tr>
      <w:tr>
        <w:trPr>
          <w:trHeight w:val="1365"/>
        </w:trPr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</w:tcPr>
          <w:p>
            <w:pPr>
              <w:autoSpaceDE w:val="0"/>
              <w:autoSpaceDN w:val="0"/>
              <w:spacing w:before="40" w:after="40" w:line="240" w:lineRule="auto"/>
              <w:jc w:val="center"/>
              <w:rPr>
                <w:noProof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  <w:br/>
            </w: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Annex II</w:t>
            </w:r>
          </w:p>
        </w:tc>
        <w:tc>
          <w:tcPr>
            <w:tcW w:w="3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</w:tcPr>
          <w:p>
            <w:pPr>
              <w:autoSpaceDE w:val="0"/>
              <w:autoSpaceDN w:val="0"/>
              <w:spacing w:before="40" w:after="40" w:line="240" w:lineRule="auto"/>
              <w:rPr>
                <w:noProof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br/>
              <w:t>Joint Committee (COPARCO)</w:t>
            </w:r>
            <w:r>
              <w:rPr>
                <w:rFonts w:ascii="Segoe UI" w:hAnsi="Segoe UI" w:cs="Segoe UI"/>
                <w:noProof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  <w:t>Common Joint Committee of the institions (COPARCO)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  <w:t>01.01.1993</w:t>
            </w:r>
          </w:p>
        </w:tc>
      </w:tr>
      <w:tr>
        <w:trPr>
          <w:trHeight w:val="1365"/>
        </w:trPr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  <w:t>10</w:t>
            </w:r>
          </w:p>
        </w:tc>
        <w:tc>
          <w:tcPr>
            <w:tcW w:w="3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  <w:t xml:space="preserve">Staff Regulations Committee </w:t>
            </w:r>
          </w:p>
        </w:tc>
        <w:tc>
          <w:tcPr>
            <w:tcW w:w="3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  <w:t>Common agreement between the appointing authorities of the institutions of the European Union on the composition of the Staff Regulations Committee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en-GB"/>
              </w:rPr>
              <w:t>01.01.2016</w:t>
            </w:r>
          </w:p>
        </w:tc>
      </w:tr>
      <w:tr>
        <w:trPr>
          <w:trHeight w:val="555"/>
        </w:trPr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36"/>
                <w:szCs w:val="36"/>
                <w:lang w:eastAsia="en-GB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48"/>
                <w:szCs w:val="48"/>
                <w:lang w:eastAsia="en-GB"/>
              </w:rPr>
            </w:pPr>
          </w:p>
        </w:tc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36"/>
                <w:szCs w:val="36"/>
                <w:lang w:eastAsia="en-GB"/>
              </w:rPr>
            </w:pP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36"/>
                <w:szCs w:val="36"/>
                <w:lang w:eastAsia="en-GB"/>
              </w:rPr>
            </w:pPr>
          </w:p>
        </w:tc>
      </w:tr>
      <w:tr>
        <w:trPr>
          <w:trHeight w:val="421"/>
        </w:trPr>
        <w:tc>
          <w:tcPr>
            <w:tcW w:w="111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C4D79B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en-GB"/>
              </w:rPr>
              <w:t xml:space="preserve">Title III - Career of officials </w:t>
            </w:r>
          </w:p>
        </w:tc>
      </w:tr>
      <w:tr>
        <w:trPr>
          <w:trHeight w:val="660"/>
        </w:trPr>
        <w:tc>
          <w:tcPr>
            <w:tcW w:w="111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C4D79B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44"/>
                <w:szCs w:val="4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en-GB"/>
              </w:rPr>
              <w:t>Chapter 2 -  Administrative Status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44"/>
                <w:szCs w:val="44"/>
                <w:lang w:eastAsia="en-GB"/>
              </w:rPr>
              <w:t xml:space="preserve"> </w:t>
            </w:r>
          </w:p>
        </w:tc>
      </w:tr>
      <w:tr>
        <w:trPr>
          <w:trHeight w:val="1515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  <w:t>37(1)(b)</w:t>
            </w:r>
          </w:p>
        </w:tc>
        <w:tc>
          <w:tcPr>
            <w:tcW w:w="3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  <w:t xml:space="preserve">List of bodies pursuing the interest of the European Union  </w:t>
            </w:r>
          </w:p>
        </w:tc>
        <w:tc>
          <w:tcPr>
            <w:tcW w:w="3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  <w:t>Common rules modifying the rules establishing a list of organizations devoted to furthering the Community's interest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  <w:t>01.07.2002</w:t>
            </w:r>
          </w:p>
        </w:tc>
      </w:tr>
      <w:tr>
        <w:trPr>
          <w:trHeight w:val="313"/>
        </w:trPr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n-GB"/>
              </w:rPr>
            </w:pPr>
          </w:p>
        </w:tc>
      </w:tr>
      <w:tr>
        <w:trPr>
          <w:trHeight w:val="617"/>
        </w:trPr>
        <w:tc>
          <w:tcPr>
            <w:tcW w:w="111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C4D79B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44"/>
                <w:szCs w:val="4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en-GB"/>
              </w:rPr>
              <w:t>Chapter 3 - Reports, advancement to a higher step and promotion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44"/>
                <w:szCs w:val="44"/>
                <w:lang w:eastAsia="en-GB"/>
              </w:rPr>
              <w:t xml:space="preserve"> </w:t>
            </w:r>
          </w:p>
        </w:tc>
      </w:tr>
      <w:tr>
        <w:trPr>
          <w:trHeight w:val="1329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  <w:t>45(2)</w:t>
            </w:r>
          </w:p>
        </w:tc>
        <w:tc>
          <w:tcPr>
            <w:tcW w:w="3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  <w:t xml:space="preserve">Ability of officials to work in a third language </w:t>
            </w:r>
          </w:p>
        </w:tc>
        <w:tc>
          <w:tcPr>
            <w:tcW w:w="3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  <w:t xml:space="preserve">Rules by agreement between institutions on the application of Article 45(2) of the Staff Regulations 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  <w:t>01.06.2016</w:t>
            </w:r>
          </w:p>
        </w:tc>
      </w:tr>
      <w:tr>
        <w:trPr>
          <w:trHeight w:val="136"/>
        </w:trPr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36"/>
                <w:szCs w:val="36"/>
                <w:lang w:eastAsia="en-GB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48"/>
                <w:szCs w:val="48"/>
                <w:lang w:eastAsia="en-GB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48"/>
                <w:szCs w:val="48"/>
                <w:lang w:eastAsia="en-GB"/>
              </w:rPr>
            </w:pPr>
          </w:p>
        </w:tc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36"/>
                <w:szCs w:val="36"/>
                <w:lang w:eastAsia="en-GB"/>
              </w:rPr>
            </w:pP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36"/>
                <w:szCs w:val="36"/>
                <w:lang w:eastAsia="en-GB"/>
              </w:rPr>
            </w:pPr>
          </w:p>
        </w:tc>
      </w:tr>
      <w:tr>
        <w:trPr>
          <w:trHeight w:val="552"/>
        </w:trPr>
        <w:tc>
          <w:tcPr>
            <w:tcW w:w="111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C4D79B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en-GB"/>
              </w:rPr>
              <w:t xml:space="preserve">Title IV - Working conditions </w:t>
            </w:r>
          </w:p>
        </w:tc>
      </w:tr>
      <w:tr>
        <w:trPr>
          <w:trHeight w:val="404"/>
        </w:trPr>
        <w:tc>
          <w:tcPr>
            <w:tcW w:w="111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C4D79B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en-GB"/>
              </w:rPr>
              <w:lastRenderedPageBreak/>
              <w:t xml:space="preserve">Chapter 3 - Public Holidays </w:t>
            </w:r>
          </w:p>
        </w:tc>
      </w:tr>
      <w:tr>
        <w:trPr>
          <w:trHeight w:val="1470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  <w:t>61</w:t>
            </w:r>
          </w:p>
        </w:tc>
        <w:tc>
          <w:tcPr>
            <w:tcW w:w="3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  <w:t xml:space="preserve">List of Public holidays </w:t>
            </w:r>
          </w:p>
        </w:tc>
        <w:tc>
          <w:tcPr>
            <w:tcW w:w="3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  <w:t>Joint rules establishing the list of public holidays of officials of the European Communities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  <w:t>01.10.1966</w:t>
            </w:r>
          </w:p>
        </w:tc>
      </w:tr>
      <w:tr>
        <w:trPr>
          <w:trHeight w:val="459"/>
        </w:trPr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36"/>
                <w:szCs w:val="36"/>
                <w:lang w:eastAsia="en-GB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48"/>
                <w:szCs w:val="48"/>
                <w:lang w:eastAsia="en-GB"/>
              </w:rPr>
            </w:pPr>
          </w:p>
        </w:tc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36"/>
                <w:szCs w:val="36"/>
                <w:lang w:eastAsia="en-GB"/>
              </w:rPr>
            </w:pP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36"/>
                <w:szCs w:val="36"/>
                <w:lang w:eastAsia="en-GB"/>
              </w:rPr>
            </w:pPr>
          </w:p>
        </w:tc>
      </w:tr>
      <w:tr>
        <w:trPr>
          <w:trHeight w:val="541"/>
        </w:trPr>
        <w:tc>
          <w:tcPr>
            <w:tcW w:w="111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C4D79B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en-GB"/>
              </w:rPr>
              <w:t xml:space="preserve">Title V + Annex VII - Emoluments and social security for officials  </w:t>
            </w:r>
          </w:p>
        </w:tc>
      </w:tr>
      <w:tr>
        <w:trPr>
          <w:trHeight w:val="439"/>
        </w:trPr>
        <w:tc>
          <w:tcPr>
            <w:tcW w:w="111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C4D79B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en-GB"/>
              </w:rPr>
              <w:t xml:space="preserve">Chapter 1 - Remuneration and expenses </w:t>
            </w:r>
          </w:p>
        </w:tc>
      </w:tr>
      <w:tr>
        <w:trPr>
          <w:trHeight w:val="2085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  <w:t xml:space="preserve">Annex VII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  <w:br/>
              <w:t>|( Art 17)</w:t>
            </w:r>
          </w:p>
        </w:tc>
        <w:tc>
          <w:tcPr>
            <w:tcW w:w="3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  <w:t xml:space="preserve">Transfer of emoluments </w:t>
            </w:r>
          </w:p>
        </w:tc>
        <w:tc>
          <w:tcPr>
            <w:tcW w:w="3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  <w:t>Joint rules on detailed arrangements for the transfer of part of the emoluments of officials of the European Communities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  <w:t>01.01.2005</w:t>
            </w:r>
            <w:r>
              <w:rPr>
                <w:rStyle w:val="FootnoteReference"/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  <w:footnoteReference w:id="1"/>
            </w:r>
          </w:p>
        </w:tc>
      </w:tr>
      <w:tr>
        <w:trPr>
          <w:trHeight w:val="283"/>
        </w:trPr>
        <w:tc>
          <w:tcPr>
            <w:tcW w:w="111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C4D79B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44"/>
                <w:szCs w:val="4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en-GB"/>
              </w:rPr>
              <w:t>Chapter 2 - Social Security benefits</w:t>
            </w:r>
          </w:p>
        </w:tc>
      </w:tr>
      <w:tr>
        <w:trPr>
          <w:trHeight w:val="1245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  <w:t>72</w:t>
            </w:r>
          </w:p>
        </w:tc>
        <w:tc>
          <w:tcPr>
            <w:tcW w:w="3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  <w:t xml:space="preserve">Sickness insurance </w:t>
            </w:r>
          </w:p>
        </w:tc>
        <w:tc>
          <w:tcPr>
            <w:tcW w:w="3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  <w:t xml:space="preserve">Joint Rules on sickness insurance for officials of the European Union 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  <w:t>01.12.2005</w:t>
            </w:r>
          </w:p>
        </w:tc>
      </w:tr>
      <w:tr>
        <w:trPr>
          <w:trHeight w:val="1920"/>
        </w:trPr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  <w:t>73</w:t>
            </w:r>
          </w:p>
        </w:tc>
        <w:tc>
          <w:tcPr>
            <w:tcW w:w="3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  <w:t xml:space="preserve">Insurance scheme against the risk of occupational disease or accidents </w:t>
            </w:r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  <w:t xml:space="preserve">Common rules on the insurance scheme against the risk of occupational disease or accidents 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  <w:t>01.01.2006</w:t>
            </w:r>
          </w:p>
        </w:tc>
      </w:tr>
      <w:tr>
        <w:trPr>
          <w:trHeight w:val="2038"/>
        </w:trPr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  <w:t>76 a</w:t>
            </w:r>
          </w:p>
        </w:tc>
        <w:tc>
          <w:tcPr>
            <w:tcW w:w="3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  <w:t>Financial aid increasing the pension of a surviving spouse with a serious or protracted illness or who is disabled</w:t>
            </w:r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  <w:t xml:space="preserve">Common rules laying down the procedure for granting financial aid increasing the pension of a surviving spouse suffering from a serious or protracted illness or who is disabled 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  <w:t>01.07.2008</w:t>
            </w:r>
            <w:r>
              <w:rPr>
                <w:rStyle w:val="FootnoteReference"/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  <w:footnoteReference w:id="2"/>
            </w:r>
          </w:p>
        </w:tc>
      </w:tr>
    </w:tbl>
    <w:p>
      <w:pPr>
        <w:rPr>
          <w:noProof/>
        </w:rPr>
      </w:pPr>
    </w:p>
    <w:tbl>
      <w:tblPr>
        <w:tblW w:w="11131" w:type="dxa"/>
        <w:jc w:val="center"/>
        <w:tblLayout w:type="fixed"/>
        <w:tblLook w:val="04A0" w:firstRow="1" w:lastRow="0" w:firstColumn="1" w:lastColumn="0" w:noHBand="0" w:noVBand="1"/>
      </w:tblPr>
      <w:tblGrid>
        <w:gridCol w:w="1747"/>
        <w:gridCol w:w="3214"/>
        <w:gridCol w:w="3652"/>
        <w:gridCol w:w="2518"/>
      </w:tblGrid>
      <w:tr>
        <w:trPr>
          <w:trHeight w:val="918"/>
          <w:jc w:val="center"/>
        </w:trPr>
        <w:tc>
          <w:tcPr>
            <w:tcW w:w="111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4D79B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36"/>
                <w:szCs w:val="3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36"/>
                <w:szCs w:val="36"/>
                <w:lang w:eastAsia="en-GB"/>
              </w:rPr>
              <w:lastRenderedPageBreak/>
              <w:t>Conditions of Employment of Other Servants</w:t>
            </w:r>
            <w:r>
              <w:rPr>
                <w:rFonts w:ascii="Times New Roman" w:eastAsia="Times New Roman" w:hAnsi="Times New Roman" w:cs="Times New Roman"/>
                <w:noProof/>
                <w:sz w:val="36"/>
                <w:szCs w:val="36"/>
                <w:lang w:eastAsia="en-GB"/>
              </w:rPr>
              <w:t xml:space="preserve"> </w:t>
            </w:r>
          </w:p>
        </w:tc>
      </w:tr>
      <w:tr>
        <w:trPr>
          <w:trHeight w:val="705"/>
          <w:jc w:val="center"/>
        </w:trPr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  <w:t xml:space="preserve">Article </w:t>
            </w:r>
          </w:p>
        </w:tc>
        <w:tc>
          <w:tcPr>
            <w:tcW w:w="3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  <w:t>Subject Matter</w:t>
            </w:r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  <w:t>Title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  <w:t>Entry into force</w:t>
            </w:r>
          </w:p>
        </w:tc>
      </w:tr>
      <w:tr>
        <w:trPr>
          <w:trHeight w:val="705"/>
          <w:jc w:val="center"/>
        </w:trPr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  <w:t>28a (10)</w:t>
            </w:r>
          </w:p>
        </w:tc>
        <w:tc>
          <w:tcPr>
            <w:tcW w:w="3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  <w:t>Unemployement allowance</w:t>
            </w:r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</w:pPr>
            <w:hyperlink r:id="rId13" w:history="1">
              <w:r>
                <w:rPr>
                  <w:rFonts w:ascii="Times New Roman" w:eastAsia="Times New Roman" w:hAnsi="Times New Roman" w:cs="Times New Roman"/>
                  <w:b/>
                  <w:bCs/>
                  <w:noProof/>
                  <w:sz w:val="24"/>
                  <w:szCs w:val="24"/>
                  <w:lang w:eastAsia="en-GB"/>
                </w:rPr>
                <w:t>Detailed arrangements for applying the provisions governing unemployment allowance for temporary staff</w:t>
              </w:r>
            </w:hyperlink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  <w:t>01.05.2004</w:t>
            </w:r>
          </w:p>
        </w:tc>
      </w:tr>
    </w:tbl>
    <w:p>
      <w:pPr>
        <w:rPr>
          <w:noProof/>
        </w:rPr>
      </w:pPr>
    </w:p>
    <w:sectPr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CoverPage"/>
      <w:framePr w:wrap="around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EN</w:t>
    </w:r>
    <w:r>
      <w:rPr>
        <w:rFonts w:ascii="Arial" w:hAnsi="Arial" w:cs="Arial"/>
        <w:b/>
        <w:sz w:val="48"/>
      </w:rPr>
      <w:tab/>
    </w:r>
    <w:r>
      <w:rPr>
        <w:rFonts w:ascii="Arial" w:hAnsi="Arial" w:cs="Arial"/>
        <w:b/>
        <w:sz w:val="48"/>
      </w:rPr>
      <w:tab/>
    </w:r>
    <w:r>
      <w:tab/>
    </w:r>
    <w:r>
      <w:rPr>
        <w:rFonts w:ascii="Arial" w:hAnsi="Arial" w:cs="Arial"/>
        <w:b/>
        <w:sz w:val="48"/>
      </w:rPr>
      <w:t>EN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CoverPage"/>
      <w:framePr w:wrap="around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EN</w:t>
    </w:r>
    <w:r>
      <w:rPr>
        <w:rFonts w:ascii="Arial" w:hAnsi="Arial" w:cs="Arial"/>
        <w:b/>
        <w:sz w:val="48"/>
      </w:rPr>
      <w:tab/>
    </w:r>
    <w:r>
      <w:rPr>
        <w:rFonts w:ascii="Arial" w:hAnsi="Arial" w:cs="Arial"/>
        <w:b/>
        <w:sz w:val="48"/>
      </w:rPr>
      <w:tab/>
    </w:r>
    <w:r>
      <w:tab/>
    </w:r>
    <w:r>
      <w:rPr>
        <w:rFonts w:ascii="Arial" w:hAnsi="Arial" w:cs="Arial"/>
        <w:b/>
        <w:sz w:val="48"/>
      </w:rPr>
      <w:t>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CoverPage"/>
      <w:framePr w:wrap="around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  <w:footnote w:id="1">
    <w:p>
      <w:pPr>
        <w:pStyle w:val="FootnoteText"/>
        <w:rPr>
          <w:lang w:val="en-IE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IE"/>
        </w:rPr>
        <w:t xml:space="preserve">The rules were applicable as of 1 May 2004. </w:t>
      </w:r>
    </w:p>
  </w:footnote>
  <w:footnote w:id="2">
    <w:p>
      <w:pPr>
        <w:pStyle w:val="FootnoteText"/>
        <w:rPr>
          <w:lang w:val="en-IE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IE"/>
        </w:rPr>
        <w:t>The rules were applicable as of 1 May 2004.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CoverPage"/>
      <w:framePr w:wrap="aroun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CoverPage"/>
      <w:framePr w:wrap="aroun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CoverPage"/>
      <w:framePr w:wrap="around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oNotDisplayPageBoundaries/>
  <w:hideSpellingErrors/>
  <w:hideGrammaticalErrors/>
  <w:revisionView w:markup="0"/>
  <w:defaultTabStop w:val="720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ocStatus" w:val="Green"/>
    <w:docVar w:name="LW_ACCOMPAGNANT.CP" w:val="to the "/>
    <w:docVar w:name="LW_ANNEX_NBR_FIRST" w:val="1"/>
    <w:docVar w:name="LW_ANNEX_NBR_LAST" w:val="1"/>
    <w:docVar w:name="LW_ANNEX_UNIQUE" w:val="0"/>
    <w:docVar w:name="LW_CORRIGENDUM" w:val="&lt;UNUSED&gt;"/>
    <w:docVar w:name="LW_COVERPAGE_EXISTS" w:val="True"/>
    <w:docVar w:name="LW_COVERPAGE_GUID" w:val="47733871-8C16-40C7-82F4-DC7A300C58BD"/>
    <w:docVar w:name="LW_COVERPAGE_TYPE" w:val="1"/>
    <w:docVar w:name="LW_CROSSREFERENCE" w:val="&lt;UNUSED&gt;"/>
    <w:docVar w:name="LW_DocType" w:val="NORMAL"/>
    <w:docVar w:name="LW_EMISSION" w:val="17.9.2026"/>
    <w:docVar w:name="LW_EMISSION_ISODATE" w:val="2026-09-17"/>
    <w:docVar w:name="LW_EMISSION_LOCATION" w:val="BRX"/>
    <w:docVar w:name="LW_EMISSION_PREFIX" w:val="Brussels, "/>
    <w:docVar w:name="LW_EMISSION_SUFFIX" w:val=" "/>
    <w:docVar w:name="LW_ID_DOCTYPE_NONLW" w:val="CP-039"/>
    <w:docVar w:name="LW_LANGUE" w:val="EN"/>
    <w:docVar w:name="LW_LEVEL_OF_SENSITIVITY" w:val="Standard treatment"/>
    <w:docVar w:name="LW_NOM.INST" w:val="EUROPEAN COMMISSION"/>
    <w:docVar w:name="LW_NOM.INST_JOINTDOC" w:val="&lt;EMPTY&gt;"/>
    <w:docVar w:name="LW_OBJETACTEPRINCIPAL.CP" w:val="&lt;FMT:Font=Calibri&gt;on the rules adopted by the appointing authority of each institution to give effect to the Staff Regulations&lt;/FMT&gt;_x000d__x000b_"/>
    <w:docVar w:name="LW_PART_NBR" w:val="1"/>
    <w:docVar w:name="LW_PART_NBR_TOTAL" w:val="1"/>
    <w:docVar w:name="LW_REF.INST.NEW" w:val="COM"/>
    <w:docVar w:name="LW_REF.INST.NEW_ADOPTED" w:val="final"/>
    <w:docVar w:name="LW_REF.INST.NEW_TEXT" w:val="(2026) 474"/>
    <w:docVar w:name="LW_REF.INTERNE" w:val="&lt;UNUSED&gt;"/>
    <w:docVar w:name="LW_SENSITIVITY" w:val="&lt;?xml version=&quot;1.0&quot; encoding=&quot;utf-8&quot;?&gt;_x000d__x000a_&lt;SensitivityLevel xmlns:xsd=&quot;http://www.w3.org/2001/XMLSchema&quot; xmlns:xsi=&quot;http://www.w3.org/2001/XMLSchema-instance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YPE.DOC.CP" w:val="ANNEX_x000b_"/>
    <w:docVar w:name="LW_TYPEACTEPRINCIPAL.CP" w:val="REPORT FROM THE COMMISSION TO THE EUROPEAN PARLIAMENT AND THE COUNCIL _x000b_"/>
    <w:docVar w:name="LwApiVersions" w:val="LW4CoDe 1.25.1.0; LW 9.2, Build 2026070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5:chartTrackingRefBased/>
  <w15:docId w15:val="{E5F7CF48-5B3A-428C-88A9-D97459CCD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kern w:val="0"/>
      <w:lang w:val="en-GB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kern w:val="0"/>
      <w:sz w:val="20"/>
      <w:szCs w:val="20"/>
      <w:lang w:val="en-GB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kern w:val="0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kern w:val="0"/>
      <w:lang w:val="en-GB"/>
      <w14:ligatures w14:val="none"/>
    </w:rPr>
  </w:style>
  <w:style w:type="paragraph" w:customStyle="1" w:styleId="Pagedecouverture">
    <w:name w:val="Page de couverture"/>
    <w:basedOn w:val="Normal"/>
    <w:next w:val="Normal"/>
    <w:pPr>
      <w:spacing w:after="0" w:line="240" w:lineRule="auto"/>
      <w:jc w:val="both"/>
    </w:pPr>
    <w:rPr>
      <w:rFonts w:ascii="Times New Roman" w:hAnsi="Times New Roman" w:cs="Times New Roman"/>
      <w:sz w:val="24"/>
    </w:rPr>
  </w:style>
  <w:style w:type="paragraph" w:customStyle="1" w:styleId="FooterCoverPage">
    <w:name w:val="Footer Cover Page"/>
    <w:basedOn w:val="Normal"/>
    <w:link w:val="FooterCoverPageChar"/>
    <w:pPr>
      <w:framePr w:hSpace="180" w:wrap="around" w:hAnchor="margin" w:xAlign="center" w:y="-547"/>
      <w:tabs>
        <w:tab w:val="center" w:pos="4535"/>
        <w:tab w:val="right" w:pos="9071"/>
        <w:tab w:val="right" w:pos="9921"/>
      </w:tabs>
      <w:spacing w:before="360" w:after="0" w:line="240" w:lineRule="auto"/>
      <w:ind w:left="-850" w:right="-850"/>
      <w:outlineLvl w:val="2"/>
    </w:pPr>
    <w:rPr>
      <w:rFonts w:ascii="Times New Roman" w:hAnsi="Times New Roman" w:cs="Times New Roman"/>
      <w:sz w:val="24"/>
    </w:rPr>
  </w:style>
  <w:style w:type="character" w:customStyle="1" w:styleId="FooterCoverPageChar">
    <w:name w:val="Footer Cover Page Char"/>
    <w:basedOn w:val="DefaultParagraphFont"/>
    <w:link w:val="FooterCoverPage"/>
    <w:rPr>
      <w:rFonts w:ascii="Times New Roman" w:hAnsi="Times New Roman" w:cs="Times New Roman"/>
      <w:kern w:val="0"/>
      <w:sz w:val="24"/>
      <w:lang w:val="en-GB"/>
      <w14:ligatures w14:val="none"/>
    </w:rPr>
  </w:style>
  <w:style w:type="paragraph" w:customStyle="1" w:styleId="FooterSensitivity">
    <w:name w:val="Footer Sensitivity"/>
    <w:basedOn w:val="Normal"/>
    <w:link w:val="FooterSensitivityChar"/>
    <w:pPr>
      <w:framePr w:hSpace="180" w:wrap="around" w:hAnchor="margin" w:xAlign="center" w:y="-547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 w:line="240" w:lineRule="auto"/>
      <w:ind w:left="113" w:right="113"/>
      <w:jc w:val="center"/>
      <w:outlineLvl w:val="2"/>
    </w:pPr>
    <w:rPr>
      <w:rFonts w:ascii="Times New Roman" w:hAnsi="Times New Roman" w:cs="Times New Roman"/>
      <w:b/>
      <w:sz w:val="32"/>
    </w:rPr>
  </w:style>
  <w:style w:type="character" w:customStyle="1" w:styleId="FooterSensitivityChar">
    <w:name w:val="Footer Sensitivity Char"/>
    <w:basedOn w:val="DefaultParagraphFont"/>
    <w:link w:val="FooterSensitivity"/>
    <w:rPr>
      <w:rFonts w:ascii="Times New Roman" w:hAnsi="Times New Roman" w:cs="Times New Roman"/>
      <w:b/>
      <w:kern w:val="0"/>
      <w:sz w:val="32"/>
      <w:lang w:val="en-GB"/>
      <w14:ligatures w14:val="none"/>
    </w:rPr>
  </w:style>
  <w:style w:type="paragraph" w:customStyle="1" w:styleId="HeaderCoverPage">
    <w:name w:val="Header Cover Page"/>
    <w:basedOn w:val="Normal"/>
    <w:link w:val="HeaderCoverPageChar"/>
    <w:pPr>
      <w:framePr w:hSpace="180" w:wrap="around" w:hAnchor="margin" w:xAlign="center" w:y="-547"/>
      <w:tabs>
        <w:tab w:val="center" w:pos="4535"/>
        <w:tab w:val="right" w:pos="9071"/>
      </w:tabs>
      <w:spacing w:after="120" w:line="240" w:lineRule="auto"/>
      <w:jc w:val="both"/>
      <w:outlineLvl w:val="2"/>
    </w:pPr>
    <w:rPr>
      <w:rFonts w:ascii="Times New Roman" w:hAnsi="Times New Roman" w:cs="Times New Roman"/>
      <w:sz w:val="24"/>
    </w:rPr>
  </w:style>
  <w:style w:type="character" w:customStyle="1" w:styleId="HeaderCoverPageChar">
    <w:name w:val="Header Cover Page Char"/>
    <w:basedOn w:val="DefaultParagraphFont"/>
    <w:link w:val="HeaderCoverPage"/>
    <w:rPr>
      <w:rFonts w:ascii="Times New Roman" w:hAnsi="Times New Roman" w:cs="Times New Roman"/>
      <w:kern w:val="0"/>
      <w:sz w:val="24"/>
      <w:lang w:val="en-GB"/>
      <w14:ligatures w14:val="none"/>
    </w:rPr>
  </w:style>
  <w:style w:type="paragraph" w:customStyle="1" w:styleId="HeaderSensitivity">
    <w:name w:val="Header Sensitivity"/>
    <w:basedOn w:val="Normal"/>
    <w:link w:val="HeaderSensitivityChar"/>
    <w:pPr>
      <w:framePr w:hSpace="180" w:wrap="around" w:hAnchor="margin" w:xAlign="center" w:y="-547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240" w:lineRule="auto"/>
      <w:ind w:left="113" w:right="113"/>
      <w:jc w:val="center"/>
      <w:outlineLvl w:val="2"/>
    </w:pPr>
    <w:rPr>
      <w:rFonts w:ascii="Times New Roman" w:hAnsi="Times New Roman" w:cs="Times New Roman"/>
      <w:b/>
      <w:sz w:val="32"/>
    </w:rPr>
  </w:style>
  <w:style w:type="character" w:customStyle="1" w:styleId="HeaderSensitivityChar">
    <w:name w:val="Header Sensitivity Char"/>
    <w:basedOn w:val="DefaultParagraphFont"/>
    <w:link w:val="HeaderSensitivity"/>
    <w:rPr>
      <w:rFonts w:ascii="Times New Roman" w:hAnsi="Times New Roman" w:cs="Times New Roman"/>
      <w:b/>
      <w:kern w:val="0"/>
      <w:sz w:val="32"/>
      <w:lang w:val="en-GB"/>
      <w14:ligatures w14:val="none"/>
    </w:rPr>
  </w:style>
  <w:style w:type="paragraph" w:customStyle="1" w:styleId="HeaderSensitivityRight">
    <w:name w:val="Header Sensitivity Right"/>
    <w:basedOn w:val="Normal"/>
    <w:link w:val="HeaderSensitivityRightChar"/>
    <w:pPr>
      <w:framePr w:hSpace="180" w:wrap="around" w:hAnchor="margin" w:xAlign="center" w:y="-547"/>
      <w:spacing w:after="120" w:line="240" w:lineRule="auto"/>
      <w:jc w:val="right"/>
      <w:outlineLvl w:val="2"/>
    </w:pPr>
    <w:rPr>
      <w:rFonts w:ascii="Times New Roman" w:hAnsi="Times New Roman" w:cs="Times New Roman"/>
      <w:sz w:val="28"/>
    </w:rPr>
  </w:style>
  <w:style w:type="character" w:customStyle="1" w:styleId="HeaderSensitivityRightChar">
    <w:name w:val="Header Sensitivity Right Char"/>
    <w:basedOn w:val="DefaultParagraphFont"/>
    <w:link w:val="HeaderSensitivityRight"/>
    <w:rPr>
      <w:rFonts w:ascii="Times New Roman" w:hAnsi="Times New Roman" w:cs="Times New Roman"/>
      <w:kern w:val="0"/>
      <w:sz w:val="28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s://circabc.europa.eu/ui/group/47001db4-d61c-4677-af45-0b5ce0d388fc/library/cfd53fd4-91f2-4bbd-906b-97047629a88b?p=1&amp;n=10&amp;sort=modified_DESC" TargetMode="External"/><Relationship Id="rId18" Type="http://schemas.openxmlformats.org/officeDocument/2006/relationships/header" Target="header6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oter" Target="footer5.xml"/><Relationship Id="rId2" Type="http://schemas.openxmlformats.org/officeDocument/2006/relationships/settings" Target="settings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header" Target="header5.xml"/><Relationship Id="rId10" Type="http://schemas.openxmlformats.org/officeDocument/2006/relationships/footer" Target="footer2.xml"/><Relationship Id="rId19" Type="http://schemas.openxmlformats.org/officeDocument/2006/relationships/footer" Target="footer6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SVC-T1-CODE-PRD</cp:lastModifiedBy>
  <cp:revision>5</cp:revision>
  <dcterms:created xsi:type="dcterms:W3CDTF">2026-08-25T07:57:00Z</dcterms:created>
  <dcterms:modified xsi:type="dcterms:W3CDTF">2026-09-10T12:54:00Z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2024-09-23T08:10:37Z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4a09786c-5e71-4c85-83a6-6bac52e3270f</vt:lpwstr>
  </property>
  <property fmtid="{D5CDD505-2E9C-101B-9397-08002B2CF9AE}" pid="8" name="MSIP_Label_6bd9ddd1-4d20-43f6-abfa-fc3c07406f94_ContentBits">
    <vt:lpwstr>0</vt:lpwstr>
  </property>
  <property fmtid="{D5CDD505-2E9C-101B-9397-08002B2CF9AE}" pid="9" name="Level of sensitivity">
    <vt:lpwstr>Standard treatment</vt:lpwstr>
  </property>
  <property fmtid="{D5CDD505-2E9C-101B-9397-08002B2CF9AE}" pid="10" name="First annex">
    <vt:lpwstr>1</vt:lpwstr>
  </property>
  <property fmtid="{D5CDD505-2E9C-101B-9397-08002B2CF9AE}" pid="11" name="Last annex">
    <vt:lpwstr>1</vt:lpwstr>
  </property>
  <property fmtid="{D5CDD505-2E9C-101B-9397-08002B2CF9AE}" pid="12" name="Unique annex">
    <vt:lpwstr>0</vt:lpwstr>
  </property>
  <property fmtid="{D5CDD505-2E9C-101B-9397-08002B2CF9AE}" pid="13" name="Part">
    <vt:lpwstr>1</vt:lpwstr>
  </property>
  <property fmtid="{D5CDD505-2E9C-101B-9397-08002B2CF9AE}" pid="14" name="Total parts">
    <vt:lpwstr>1</vt:lpwstr>
  </property>
  <property fmtid="{D5CDD505-2E9C-101B-9397-08002B2CF9AE}" pid="15" name="DocStatus">
    <vt:lpwstr>Green</vt:lpwstr>
  </property>
  <property fmtid="{D5CDD505-2E9C-101B-9397-08002B2CF9AE}" pid="16" name="CPTemplateID">
    <vt:lpwstr>CP-039</vt:lpwstr>
  </property>
  <property fmtid="{D5CDD505-2E9C-101B-9397-08002B2CF9AE}" pid="17" name="Last edited using">
    <vt:lpwstr>LW 9.2, Build 20250828</vt:lpwstr>
  </property>
  <property fmtid="{D5CDD505-2E9C-101B-9397-08002B2CF9AE}" pid="18" name="Created using">
    <vt:lpwstr>LW 9.2, Build 20250828</vt:lpwstr>
  </property>
</Properties>
</file>