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5A265CBD-3ACD-4037-B0C8-B6EA6F54DA5C" style="width:455.25pt;height:387pt">
            <v:imagedata r:id="rId6" o:title=""/>
          </v:shape>
        </w:pict>
      </w:r>
    </w:p>
    <w:bookmarkEnd w:id="0"/>
    <w:p>
      <w:pPr>
        <w:rPr>
          <w:noProof/>
          <w:lang w:eastAsia="en-GB"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pPr w:leftFromText="180" w:rightFromText="180" w:horzAnchor="margin" w:tblpXSpec="center" w:tblpY="-547"/>
        <w:tblW w:w="11131" w:type="dxa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765"/>
        </w:trPr>
        <w:tc>
          <w:tcPr>
            <w:tcW w:w="111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918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</w:rPr>
            </w:pPr>
            <w:r>
              <w:rPr>
                <w:rFonts w:ascii="Times New Roman" w:hAnsi="Times New Roman"/>
                <w:noProof/>
                <w:sz w:val="36"/>
              </w:rPr>
              <w:t>Statut des fonctionnaires</w:t>
            </w:r>
            <w:r>
              <w:rPr>
                <w:rFonts w:ascii="Times New Roman" w:hAnsi="Times New Roman"/>
                <w:noProof/>
                <w:sz w:val="36"/>
              </w:rPr>
              <w:br/>
            </w:r>
            <w:r>
              <w:rPr>
                <w:rFonts w:ascii="Times New Roman" w:hAnsi="Times New Roman"/>
                <w:noProof/>
                <w:sz w:val="24"/>
              </w:rPr>
              <w:t>(applicable par analogie aux autres agents lorsque le RAA le prévoit expressément)</w:t>
            </w:r>
          </w:p>
        </w:tc>
      </w:tr>
      <w:tr>
        <w:trPr>
          <w:trHeight w:val="70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Article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Sujet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Intitulé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Entrée en vigueur</w:t>
            </w:r>
          </w:p>
        </w:tc>
      </w:tr>
      <w:tr>
        <w:trPr>
          <w:trHeight w:val="39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>Titre I – Dispositions générales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9</w:t>
            </w:r>
            <w:r>
              <w:rPr>
                <w:rFonts w:ascii="Times New Roman" w:hAnsi="Times New Roman"/>
                <w:b/>
                <w:noProof/>
                <w:sz w:val="24"/>
              </w:rPr>
              <w:br/>
              <w:t xml:space="preserve"> Annexe II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autoSpaceDE w:val="0"/>
              <w:autoSpaceDN w:val="0"/>
              <w:spacing w:before="40" w:after="40" w:line="240" w:lineRule="auto"/>
              <w:rPr>
                <w:noProof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br/>
              <w:t>Commission paritaire (COPARCO)</w:t>
            </w:r>
            <w:r>
              <w:rPr>
                <w:rFonts w:ascii="Segoe UI" w:hAnsi="Segoe UI"/>
                <w:noProof/>
                <w:color w:val="000000"/>
                <w:sz w:val="20"/>
              </w:rPr>
              <w:t xml:space="preserve">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Commission paritaire commune des institutions (COPARCO)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1.1.1993</w:t>
            </w:r>
          </w:p>
        </w:tc>
      </w:tr>
      <w:tr>
        <w:trPr>
          <w:trHeight w:val="1365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10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Comité du statut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Réglementation prise d'un commun accord par les autorités investies du pouvoir de nomination des institutions de l'Union européenne sur la composition du comité du statut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1.1.2016</w:t>
            </w:r>
          </w:p>
        </w:tc>
      </w:tr>
      <w:tr>
        <w:trPr>
          <w:trHeight w:val="555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42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Titre III – De la carrière du fonctionnaire </w:t>
            </w:r>
          </w:p>
        </w:tc>
      </w:tr>
      <w:tr>
        <w:trPr>
          <w:trHeight w:val="660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Chapitre 2 – Positions</w:t>
            </w:r>
            <w:r>
              <w:rPr>
                <w:rFonts w:ascii="Times New Roman" w:hAnsi="Times New Roman"/>
                <w:b/>
                <w:noProof/>
                <w:sz w:val="44"/>
              </w:rPr>
              <w:t xml:space="preserve"> </w:t>
            </w:r>
          </w:p>
        </w:tc>
      </w:tr>
      <w:tr>
        <w:trPr>
          <w:trHeight w:val="151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37, par. 1, point b)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Liste des organismes consacrés à la poursuite des intérêts de l'Union 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Réglementation commune modifiant la réglementation portant fixation de la liste des organismes à vocation communautaire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1.7.2002</w:t>
            </w:r>
          </w:p>
        </w:tc>
      </w:tr>
      <w:tr>
        <w:trPr>
          <w:trHeight w:val="313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en-GB"/>
              </w:rPr>
            </w:pPr>
          </w:p>
        </w:tc>
      </w:tr>
      <w:tr>
        <w:trPr>
          <w:trHeight w:val="617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Chapitre 3 – Notation, avancement d’échelon et promotion</w:t>
            </w:r>
            <w:r>
              <w:rPr>
                <w:rFonts w:ascii="Times New Roman" w:hAnsi="Times New Roman"/>
                <w:b/>
                <w:noProof/>
                <w:sz w:val="44"/>
              </w:rPr>
              <w:t xml:space="preserve"> </w:t>
            </w:r>
          </w:p>
        </w:tc>
      </w:tr>
      <w:tr>
        <w:trPr>
          <w:trHeight w:val="1329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45, paragraphe 2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Capacité des fonctionnaires à travailler dans une troisième langue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Règles arrêtées d'un commun accord entre les institutions concernant l'application de l'article 45, paragraphe 2, du statut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1.6.2016</w:t>
            </w:r>
          </w:p>
        </w:tc>
      </w:tr>
      <w:tr>
        <w:trPr>
          <w:trHeight w:val="136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52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lastRenderedPageBreak/>
              <w:t xml:space="preserve">Titre IV – Des conditions de travail du fonctionnaire </w:t>
            </w:r>
          </w:p>
        </w:tc>
      </w:tr>
      <w:tr>
        <w:trPr>
          <w:trHeight w:val="404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Chapitre 3 – Jours fériés </w:t>
            </w:r>
          </w:p>
        </w:tc>
      </w:tr>
      <w:tr>
        <w:trPr>
          <w:trHeight w:val="147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61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Liste des jours fériés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Réglementation commune fixant la liste des jours fériés des fonctionnaires des Communautés européennes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1.10.1966</w:t>
            </w:r>
          </w:p>
        </w:tc>
      </w:tr>
      <w:tr>
        <w:trPr>
          <w:trHeight w:val="459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8"/>
                <w:szCs w:val="48"/>
                <w:lang w:eastAsia="en-GB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36"/>
                <w:szCs w:val="36"/>
                <w:lang w:eastAsia="en-GB"/>
              </w:rPr>
            </w:pPr>
          </w:p>
        </w:tc>
      </w:tr>
      <w:tr>
        <w:trPr>
          <w:trHeight w:val="541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Titre V + annexe VII – Du régime pécuniaire et des avantages sociaux du fonctionnaire  </w:t>
            </w:r>
          </w:p>
        </w:tc>
      </w:tr>
      <w:tr>
        <w:trPr>
          <w:trHeight w:val="439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t xml:space="preserve">Chapitre 1 – Rémunération et remboursement de frais </w:t>
            </w:r>
          </w:p>
        </w:tc>
      </w:tr>
      <w:tr>
        <w:trPr>
          <w:trHeight w:val="208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Annexe VII </w:t>
            </w:r>
            <w:r>
              <w:rPr>
                <w:rFonts w:ascii="Times New Roman" w:hAnsi="Times New Roman"/>
                <w:b/>
                <w:noProof/>
                <w:sz w:val="24"/>
              </w:rPr>
              <w:br/>
              <w:t>(art. 17)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Transfert d'émoluments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Réglementation commune relative aux transferts d'une partie des émoluments des fonctionnaires des Communautés européennes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1.1.2005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1"/>
            </w:r>
          </w:p>
        </w:tc>
      </w:tr>
      <w:tr>
        <w:trPr>
          <w:trHeight w:val="283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44"/>
                <w:szCs w:val="44"/>
              </w:rPr>
            </w:pPr>
            <w:r>
              <w:rPr>
                <w:rFonts w:ascii="Times New Roman" w:hAnsi="Times New Roman"/>
                <w:noProof/>
                <w:sz w:val="28"/>
              </w:rPr>
              <w:t>Chapitre 2 – Sécurité sociale</w:t>
            </w:r>
          </w:p>
        </w:tc>
      </w:tr>
      <w:tr>
        <w:trPr>
          <w:trHeight w:val="124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72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Assurance maladie 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Réglementation commune relative à la couverture des risques de maladie des fonctionnaires de l'Union européenne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1.12.2005</w:t>
            </w:r>
          </w:p>
        </w:tc>
      </w:tr>
      <w:tr>
        <w:trPr>
          <w:trHeight w:val="192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73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Assurance contre les risques de maladie professionnelle et les risques d'accident 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Réglementation commune relative à la couverture des risques d'accident et de maladie professionnelle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1.1.2006</w:t>
            </w:r>
          </w:p>
        </w:tc>
      </w:tr>
      <w:tr>
        <w:trPr>
          <w:trHeight w:val="2038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76 </w:t>
            </w:r>
            <w:r>
              <w:rPr>
                <w:rFonts w:ascii="Times New Roman" w:hAnsi="Times New Roman"/>
                <w:b/>
                <w:i/>
                <w:iCs/>
                <w:noProof/>
                <w:sz w:val="24"/>
              </w:rPr>
              <w:t>bis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Aide financière complétant la pension d'un conjoint survivant affecté d'une maladie grave ou prolongée ou souffrant d'un handicap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Réglementation commune fixant les modalités d'octroi d'une aide financière complétant la pension d'un conjoint survivant affecté d'une maladie grave ou prolongée ou souffrant d'un handicap 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1.7.2008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GB"/>
              </w:rPr>
              <w:footnoteReference w:id="2"/>
            </w:r>
          </w:p>
        </w:tc>
      </w:tr>
    </w:tbl>
    <w:p>
      <w:pPr>
        <w:rPr>
          <w:noProof/>
        </w:rPr>
      </w:pPr>
    </w:p>
    <w:tbl>
      <w:tblPr>
        <w:tblW w:w="11131" w:type="dxa"/>
        <w:jc w:val="center"/>
        <w:tblLayout w:type="fixed"/>
        <w:tblLook w:val="04A0" w:firstRow="1" w:lastRow="0" w:firstColumn="1" w:lastColumn="0" w:noHBand="0" w:noVBand="1"/>
      </w:tblPr>
      <w:tblGrid>
        <w:gridCol w:w="1747"/>
        <w:gridCol w:w="3214"/>
        <w:gridCol w:w="3652"/>
        <w:gridCol w:w="2518"/>
      </w:tblGrid>
      <w:tr>
        <w:trPr>
          <w:trHeight w:val="918"/>
          <w:jc w:val="center"/>
        </w:trPr>
        <w:tc>
          <w:tcPr>
            <w:tcW w:w="111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noProof/>
                <w:sz w:val="36"/>
              </w:rPr>
              <w:t>Régime applicable aux autres agents</w:t>
            </w:r>
            <w:r>
              <w:rPr>
                <w:rFonts w:ascii="Times New Roman" w:hAnsi="Times New Roman"/>
                <w:noProof/>
                <w:sz w:val="36"/>
              </w:rPr>
              <w:t xml:space="preserve"> 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Article 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Sujet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Intitulé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Entrée en vigueur</w:t>
            </w:r>
          </w:p>
        </w:tc>
      </w:tr>
      <w:tr>
        <w:trPr>
          <w:trHeight w:val="705"/>
          <w:jc w:val="center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 xml:space="preserve">28 </w:t>
            </w:r>
            <w:r>
              <w:rPr>
                <w:rFonts w:ascii="Times New Roman" w:hAnsi="Times New Roman"/>
                <w:b/>
                <w:i/>
                <w:iCs/>
                <w:noProof/>
                <w:sz w:val="24"/>
              </w:rPr>
              <w:t>bis</w:t>
            </w:r>
            <w:r>
              <w:rPr>
                <w:rFonts w:ascii="Times New Roman" w:hAnsi="Times New Roman"/>
                <w:b/>
                <w:noProof/>
                <w:sz w:val="24"/>
              </w:rPr>
              <w:t>, par. 10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Allocation de chômage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hyperlink r:id="rId13" w:history="1">
              <w:r>
                <w:rPr>
                  <w:rFonts w:ascii="Times New Roman" w:hAnsi="Times New Roman"/>
                  <w:b/>
                  <w:noProof/>
                  <w:sz w:val="24"/>
                </w:rPr>
                <w:t>Réglementation commune fixant les modalités d'application des dispositions relatives à l'octroi de l'allocation de chômage aux agents temporaires</w:t>
              </w:r>
            </w:hyperlink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t>1.5.2004</w:t>
            </w:r>
          </w:p>
        </w:tc>
      </w:tr>
    </w:tbl>
    <w:p>
      <w:pPr>
        <w:rPr>
          <w:noProof/>
        </w:rPr>
      </w:pPr>
    </w:p>
    <w:sectPr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FR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framePr w:wrap="aroun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Les règles étaient applicables à compter du 1</w:t>
      </w:r>
      <w:r>
        <w:rPr>
          <w:vertAlign w:val="superscript"/>
        </w:rPr>
        <w:t>er</w:t>
      </w:r>
      <w:r>
        <w:t xml:space="preserve"> mai 2004. 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Les règles étaient applicables à compter du 1</w:t>
      </w:r>
      <w:r>
        <w:rPr>
          <w:vertAlign w:val="superscript"/>
        </w:rPr>
        <w:t>er</w:t>
      </w:r>
      <w:r>
        <w:t xml:space="preserve"> mai 2004.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  <w:framePr w:wrap="aroun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du"/>
    <w:docVar w:name="LW_ANNEX_NBR_FIRST" w:val="1"/>
    <w:docVar w:name="LW_ANNEX_NBR_LAST" w:val="1"/>
    <w:docVar w:name="LW_ANNEX_UNIQUE" w:val="0"/>
    <w:docVar w:name="LW_CORRIGENDUM" w:val="&lt;UNUSED&gt;"/>
    <w:docVar w:name="LW_COVERPAGE_EXISTS" w:val="True"/>
    <w:docVar w:name="LW_COVERPAGE_GUID" w:val="5A265CBD-3ACD-4037-B0C8-B6EA6F54DA5C"/>
    <w:docVar w:name="LW_COVERPAGE_TYPE" w:val="1"/>
    <w:docVar w:name="LW_CROSSREFERENCE" w:val="&lt;UNUSED&gt;"/>
    <w:docVar w:name="LW_DocType" w:val="NORMAL"/>
    <w:docVar w:name="LW_EMISSION" w:val="17.9.2026"/>
    <w:docVar w:name="LW_EMISSION_ISODATE" w:val="2026-09-17"/>
    <w:docVar w:name="LW_EMISSION_LOCATION" w:val="BRX"/>
    <w:docVar w:name="LW_EMISSION_PREFIX" w:val="Bruxelles, le "/>
    <w:docVar w:name="LW_EMISSION_SUFFIX" w:val=" "/>
    <w:docVar w:name="LW_ID_DOCTYPE_NONLW" w:val="CP-039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.CP" w:val="sur les règles d\u8217?exécution du statut des fonctionnaires adoptées par l\u8217?autorité investie du pouvoir de nomination de chaque institution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474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_x000b_"/>
    <w:docVar w:name="LW_TYPEACTEPRINCIPAL.CP" w:val="RAPPORT DE LA COMMISSION AU PARLEMENT EUROPÉEN ET AU CONSEIL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E5F7CF48-5B3A-428C-88A9-D97459CC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0"/>
      <w:sz w:val="20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kern w:val="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0"/>
      <w:lang w:val="fr-FR"/>
      <w14:ligatures w14:val="none"/>
    </w:rPr>
  </w:style>
  <w:style w:type="paragraph" w:customStyle="1" w:styleId="Pagedecouverture">
    <w:name w:val="Page de couverture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pPr>
      <w:framePr w:hSpace="180" w:wrap="around" w:hAnchor="margin" w:xAlign="center" w:y="-547"/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  <w:outlineLvl w:val="2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Sensitivity">
    <w:name w:val="Footer Sensitivity"/>
    <w:basedOn w:val="Normal"/>
    <w:link w:val="Foot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rFonts w:ascii="Times New Roman" w:hAnsi="Times New Roman" w:cs="Times New Roman"/>
      <w:b/>
      <w:kern w:val="0"/>
      <w:sz w:val="32"/>
      <w14:ligatures w14:val="none"/>
    </w:rPr>
  </w:style>
  <w:style w:type="paragraph" w:customStyle="1" w:styleId="HeaderCoverPage">
    <w:name w:val="Header Cover Page"/>
    <w:basedOn w:val="Normal"/>
    <w:link w:val="HeaderCoverPageChar"/>
    <w:pPr>
      <w:framePr w:hSpace="180" w:wrap="around" w:hAnchor="margin" w:xAlign="center" w:y="-547"/>
      <w:tabs>
        <w:tab w:val="center" w:pos="4535"/>
        <w:tab w:val="right" w:pos="9071"/>
      </w:tabs>
      <w:spacing w:after="120" w:line="240" w:lineRule="auto"/>
      <w:jc w:val="both"/>
      <w:outlineLvl w:val="2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HeaderSensitivity">
    <w:name w:val="Header Sensitivity"/>
    <w:basedOn w:val="Normal"/>
    <w:link w:val="HeaderSensitivityChar"/>
    <w:pPr>
      <w:framePr w:hSpace="180" w:wrap="around" w:hAnchor="margin" w:xAlign="center" w:y="-54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  <w:outlineLvl w:val="2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rFonts w:ascii="Times New Roman" w:hAnsi="Times New Roman" w:cs="Times New Roman"/>
      <w:b/>
      <w:kern w:val="0"/>
      <w:sz w:val="32"/>
      <w14:ligatures w14:val="none"/>
    </w:rPr>
  </w:style>
  <w:style w:type="paragraph" w:customStyle="1" w:styleId="HeaderSensitivityRight">
    <w:name w:val="Header Sensitivity Right"/>
    <w:basedOn w:val="Normal"/>
    <w:link w:val="HeaderSensitivityRightChar"/>
    <w:pPr>
      <w:framePr w:hSpace="180" w:wrap="around" w:hAnchor="margin" w:xAlign="center" w:y="-547"/>
      <w:spacing w:after="120" w:line="240" w:lineRule="auto"/>
      <w:jc w:val="right"/>
      <w:outlineLvl w:val="2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rFonts w:ascii="Times New Roman" w:hAnsi="Times New Roman" w:cs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circabc.europa.eu/ui/group/47001db4-d61c-4677-af45-0b5ce0d388fc/library/cfd53fd4-91f2-4bbd-906b-97047629a88b?p=1&amp;n=10&amp;sort=modified_DESC" TargetMode="External"/><Relationship Id="rId18" Type="http://schemas.openxmlformats.org/officeDocument/2006/relationships/header" Target="header6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6</cp:revision>
  <dcterms:created xsi:type="dcterms:W3CDTF">2026-08-25T07:57:00Z</dcterms:created>
  <dcterms:modified xsi:type="dcterms:W3CDTF">2026-09-10T12:57:00Z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2024-09-23T08:10:37Z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4a09786c-5e71-4c85-83a6-6bac52e3270f</vt:lpwstr>
  </property>
  <property fmtid="{D5CDD505-2E9C-101B-9397-08002B2CF9AE}" pid="8" name="MSIP_Label_6bd9ddd1-4d20-43f6-abfa-fc3c07406f94_ContentBits">
    <vt:lpwstr>0</vt:lpwstr>
  </property>
  <property fmtid="{D5CDD505-2E9C-101B-9397-08002B2CF9AE}" pid="9" name="Level of sensitivity">
    <vt:lpwstr>Standard treatment</vt:lpwstr>
  </property>
  <property fmtid="{D5CDD505-2E9C-101B-9397-08002B2CF9AE}" pid="10" name="First annex">
    <vt:lpwstr>1</vt:lpwstr>
  </property>
  <property fmtid="{D5CDD505-2E9C-101B-9397-08002B2CF9AE}" pid="11" name="Last annex">
    <vt:lpwstr>1</vt:lpwstr>
  </property>
  <property fmtid="{D5CDD505-2E9C-101B-9397-08002B2CF9AE}" pid="12" name="Unique annex">
    <vt:lpwstr>0</vt:lpwstr>
  </property>
  <property fmtid="{D5CDD505-2E9C-101B-9397-08002B2CF9AE}" pid="13" name="Part">
    <vt:lpwstr>1</vt:lpwstr>
  </property>
  <property fmtid="{D5CDD505-2E9C-101B-9397-08002B2CF9AE}" pid="14" name="Total parts">
    <vt:lpwstr>1</vt:lpwstr>
  </property>
  <property fmtid="{D5CDD505-2E9C-101B-9397-08002B2CF9AE}" pid="15" name="DocStatus">
    <vt:lpwstr>Green</vt:lpwstr>
  </property>
  <property fmtid="{D5CDD505-2E9C-101B-9397-08002B2CF9AE}" pid="16" name="CPTemplateID">
    <vt:lpwstr>CP-039</vt:lpwstr>
  </property>
  <property fmtid="{D5CDD505-2E9C-101B-9397-08002B2CF9AE}" pid="17" name="Last edited using">
    <vt:lpwstr>LW 9.2, Build 20250828</vt:lpwstr>
  </property>
  <property fmtid="{D5CDD505-2E9C-101B-9397-08002B2CF9AE}" pid="18" name="Created using">
    <vt:lpwstr>LW 9.2, Build 20250828</vt:lpwstr>
  </property>
</Properties>
</file>