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974BE2F9-C9B0-4D69-B688-E7FC53CD1C31" style="width:455.25pt;height:300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jc w:val="center"/>
        <w:rPr>
          <w:rFonts w:ascii="Times New Roman Bold" w:hAnsi="Times New Roman Bold" w:cs="Times New Roman"/>
          <w:b/>
          <w:smallCaps/>
          <w:noProof/>
          <w:sz w:val="26"/>
          <w:szCs w:val="26"/>
          <w:u w:val="single"/>
        </w:rPr>
      </w:pPr>
      <w:r>
        <w:rPr>
          <w:rFonts w:ascii="Times New Roman Bold" w:hAnsi="Times New Roman Bold"/>
          <w:b/>
          <w:smallCaps/>
          <w:noProof/>
          <w:sz w:val="26"/>
          <w:u w:val="single"/>
        </w:rPr>
        <w:lastRenderedPageBreak/>
        <w:t>EXPUNERE DE MOTIVE</w:t>
      </w:r>
    </w:p>
    <w:p>
      <w:pPr>
        <w:spacing w:before="360"/>
        <w:rPr>
          <w:rFonts w:ascii="Times New Roman" w:hAnsi="Times New Roman" w:cs="Times New Roman"/>
          <w:b/>
          <w:noProof/>
          <w:sz w:val="24"/>
          <w:szCs w:val="24"/>
        </w:rPr>
      </w:pPr>
      <w:r>
        <w:rPr>
          <w:rFonts w:ascii="Times New Roman" w:hAnsi="Times New Roman"/>
          <w:b/>
          <w:noProof/>
          <w:sz w:val="24"/>
        </w:rPr>
        <w:t>1.</w:t>
      </w:r>
      <w:r>
        <w:rPr>
          <w:noProof/>
        </w:rPr>
        <w:tab/>
      </w:r>
      <w:r>
        <w:rPr>
          <w:rFonts w:ascii="Times New Roman" w:hAnsi="Times New Roman"/>
          <w:b/>
          <w:noProof/>
          <w:sz w:val="24"/>
        </w:rPr>
        <w:t>TEMEIUL JURIDIC ȘI OBIECTIVELE RAPORTULUI</w:t>
      </w:r>
    </w:p>
    <w:p>
      <w:pPr>
        <w:jc w:val="both"/>
        <w:rPr>
          <w:rFonts w:ascii="Times New Roman" w:hAnsi="Times New Roman" w:cs="Times New Roman"/>
          <w:noProof/>
          <w:sz w:val="24"/>
          <w:szCs w:val="24"/>
        </w:rPr>
      </w:pPr>
      <w:r>
        <w:rPr>
          <w:rFonts w:ascii="Times New Roman" w:hAnsi="Times New Roman"/>
          <w:noProof/>
          <w:sz w:val="24"/>
        </w:rPr>
        <w:t>Parlamentul European și Consiliul au stabilit, prin intermediul unui regulament, Statutul funcționarilor Uniunii Europene</w:t>
      </w:r>
      <w:r>
        <w:rPr>
          <w:rStyle w:val="FootnoteReference"/>
          <w:rFonts w:ascii="Times New Roman" w:hAnsi="Times New Roman" w:cs="Times New Roman"/>
          <w:noProof/>
          <w:sz w:val="24"/>
          <w:szCs w:val="24"/>
        </w:rPr>
        <w:footnoteReference w:id="1"/>
      </w:r>
      <w:r>
        <w:rPr>
          <w:rFonts w:ascii="Times New Roman" w:hAnsi="Times New Roman"/>
          <w:noProof/>
          <w:sz w:val="24"/>
        </w:rPr>
        <w:t xml:space="preserve"> (denumit în continuare „</w:t>
      </w:r>
      <w:r>
        <w:rPr>
          <w:rFonts w:ascii="Times New Roman" w:hAnsi="Times New Roman"/>
          <w:b/>
          <w:noProof/>
          <w:sz w:val="24"/>
        </w:rPr>
        <w:t>Statutul funcționarilor</w:t>
      </w:r>
      <w:r>
        <w:rPr>
          <w:rFonts w:ascii="Times New Roman" w:hAnsi="Times New Roman"/>
          <w:noProof/>
          <w:sz w:val="24"/>
        </w:rPr>
        <w:t>”) și Regimul aplicabil celorlalți agenți ai Uniunii Europene (denumit în continuare „</w:t>
      </w:r>
      <w:r>
        <w:rPr>
          <w:rFonts w:ascii="Times New Roman" w:hAnsi="Times New Roman"/>
          <w:b/>
          <w:noProof/>
          <w:sz w:val="24"/>
        </w:rPr>
        <w:t>RAA</w:t>
      </w:r>
      <w:r>
        <w:rPr>
          <w:rFonts w:ascii="Times New Roman" w:hAnsi="Times New Roman"/>
          <w:noProof/>
          <w:sz w:val="24"/>
        </w:rPr>
        <w:t>”), astfel cum se prevede la articolul 336 din Tratatul privind funcționarea Uniunii Europene.</w:t>
      </w:r>
    </w:p>
    <w:p>
      <w:pPr>
        <w:jc w:val="both"/>
        <w:rPr>
          <w:rFonts w:ascii="Times New Roman" w:hAnsi="Times New Roman" w:cs="Times New Roman"/>
          <w:noProof/>
          <w:sz w:val="24"/>
          <w:szCs w:val="24"/>
        </w:rPr>
      </w:pPr>
      <w:r>
        <w:rPr>
          <w:rFonts w:ascii="Times New Roman" w:hAnsi="Times New Roman"/>
          <w:noProof/>
          <w:sz w:val="24"/>
        </w:rPr>
        <w:t>Deși reglementează în detaliu relațiile juridice dintre instituțiile UE</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(și agențiile UE</w:t>
      </w:r>
      <w:r>
        <w:rPr>
          <w:rStyle w:val="FootnoteReference"/>
          <w:rFonts w:ascii="Times New Roman" w:hAnsi="Times New Roman" w:cs="Times New Roman"/>
          <w:noProof/>
          <w:sz w:val="24"/>
          <w:szCs w:val="24"/>
        </w:rPr>
        <w:footnoteReference w:id="3"/>
      </w:r>
      <w:r>
        <w:rPr>
          <w:rFonts w:ascii="Times New Roman" w:hAnsi="Times New Roman"/>
          <w:noProof/>
          <w:sz w:val="24"/>
        </w:rPr>
        <w:t>) și personalul lor, aceste acte legislative nu sunt exhaustive, împuternicind în mod expres instituțiile și agențiile UE să adopte norme de punere în aplicare suplimentare cu privire la o serie de aspecte.</w:t>
      </w:r>
    </w:p>
    <w:p>
      <w:pPr>
        <w:jc w:val="both"/>
        <w:rPr>
          <w:rFonts w:ascii="Times New Roman" w:hAnsi="Times New Roman" w:cs="Times New Roman"/>
          <w:noProof/>
          <w:sz w:val="24"/>
          <w:szCs w:val="24"/>
        </w:rPr>
      </w:pPr>
      <w:r>
        <w:rPr>
          <w:rFonts w:ascii="Times New Roman" w:hAnsi="Times New Roman"/>
          <w:noProof/>
          <w:sz w:val="24"/>
        </w:rPr>
        <w:t xml:space="preserve">Ca parte a </w:t>
      </w:r>
      <w:r>
        <w:rPr>
          <w:rFonts w:ascii="Times New Roman" w:hAnsi="Times New Roman"/>
          <w:b/>
          <w:noProof/>
          <w:sz w:val="24"/>
        </w:rPr>
        <w:t>reformei din 2014 a Statutului funcționarilor</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colegiuitorii au introdus mecanisme de sporire a gradului de respectare a cadrului legislativ și de consolidare a </w:t>
      </w:r>
      <w:r>
        <w:rPr>
          <w:rFonts w:ascii="Times New Roman" w:hAnsi="Times New Roman"/>
          <w:b/>
          <w:noProof/>
          <w:sz w:val="24"/>
        </w:rPr>
        <w:t>guvernanței</w:t>
      </w:r>
      <w:r>
        <w:rPr>
          <w:rFonts w:ascii="Times New Roman" w:hAnsi="Times New Roman"/>
          <w:noProof/>
          <w:sz w:val="24"/>
        </w:rPr>
        <w:t xml:space="preserve"> efective, permițându-le, în același timp, instituțiilor și agențiilor să se bucure de autonomie în ceea ce privește aplicarea Statutului funcționarilor și a RAA personalului lor.</w:t>
      </w:r>
    </w:p>
    <w:p>
      <w:pPr>
        <w:jc w:val="both"/>
        <w:rPr>
          <w:rFonts w:ascii="Times New Roman" w:hAnsi="Times New Roman" w:cs="Times New Roman"/>
          <w:noProof/>
          <w:sz w:val="24"/>
          <w:szCs w:val="24"/>
        </w:rPr>
      </w:pPr>
      <w:r>
        <w:rPr>
          <w:rFonts w:ascii="Times New Roman" w:hAnsi="Times New Roman"/>
          <w:noProof/>
          <w:sz w:val="24"/>
        </w:rPr>
        <w:t xml:space="preserve">De la reforma respectivă, </w:t>
      </w:r>
      <w:r>
        <w:rPr>
          <w:rFonts w:ascii="Times New Roman" w:hAnsi="Times New Roman"/>
          <w:b/>
          <w:noProof/>
          <w:sz w:val="24"/>
        </w:rPr>
        <w:t>articolul 110 alineatul (6) din Statutul funcționarilor</w:t>
      </w:r>
      <w:r>
        <w:rPr>
          <w:rFonts w:ascii="Times New Roman" w:hAnsi="Times New Roman"/>
          <w:noProof/>
          <w:sz w:val="24"/>
        </w:rPr>
        <w:t xml:space="preserve"> îi impune Comisiei obligația de a prezenta, la fiecare trei ani, un raport privind normele adoptate de autoritatea împuternicită să facă numiri a fiecărei instituții pentru aplicarea Statutului funcționarilor și de autoritatea abilitată să încheie contracte de muncă în vederea aplicării RAA. Având în vedere că articolul 110 alineatul (6) din Statutul funcționarilor nu specifică faptul că fiecare raport ar trebui să acopere o perioadă de trei ani, este posibil să se acopere o perioadă mai lungă dacă acest lucru este oportun, în special în scopul prezentării unui raport mai complet și mai cuprinzător.</w:t>
      </w:r>
    </w:p>
    <w:p>
      <w:pPr>
        <w:jc w:val="both"/>
        <w:rPr>
          <w:rFonts w:ascii="Times New Roman" w:hAnsi="Times New Roman" w:cs="Times New Roman"/>
          <w:noProof/>
          <w:sz w:val="24"/>
          <w:szCs w:val="24"/>
        </w:rPr>
      </w:pPr>
      <w:r>
        <w:rPr>
          <w:rFonts w:ascii="Times New Roman" w:hAnsi="Times New Roman"/>
          <w:noProof/>
          <w:sz w:val="24"/>
        </w:rPr>
        <w:t>Primul raport întocmit în temeiul articolului 110 alineatul (6) din Statutul funcționarilor a fost publicat în 2017</w:t>
      </w:r>
      <w:r>
        <w:rPr>
          <w:rStyle w:val="FootnoteReference"/>
          <w:rFonts w:ascii="Times New Roman" w:hAnsi="Times New Roman" w:cs="Times New Roman"/>
          <w:noProof/>
          <w:sz w:val="24"/>
          <w:szCs w:val="24"/>
        </w:rPr>
        <w:footnoteReference w:id="5"/>
      </w:r>
      <w:r>
        <w:rPr>
          <w:rFonts w:ascii="Times New Roman" w:hAnsi="Times New Roman"/>
          <w:noProof/>
          <w:sz w:val="24"/>
        </w:rPr>
        <w:t>, iar al doilea raport a fost publicat în 2021</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Ținând seama de faptul că ultimul raport a vizat perioada cuprinsă între 1 ianuarie 2017 și 31 decembrie 2019, este oportun ca al treilea raport să vizeze o perioadă de patru ani pentru a prezenta date mai actualizate. Prin urmare, prezentul raport se referă la perioada cuprinsă între </w:t>
      </w:r>
      <w:r>
        <w:rPr>
          <w:rFonts w:ascii="Times New Roman" w:hAnsi="Times New Roman"/>
          <w:b/>
          <w:noProof/>
          <w:sz w:val="24"/>
        </w:rPr>
        <w:t>1 ianuarie 2020</w:t>
      </w:r>
      <w:r>
        <w:rPr>
          <w:rFonts w:ascii="Times New Roman" w:hAnsi="Times New Roman"/>
          <w:noProof/>
          <w:sz w:val="24"/>
        </w:rPr>
        <w:t xml:space="preserve"> și </w:t>
      </w:r>
      <w:r>
        <w:rPr>
          <w:rFonts w:ascii="Times New Roman" w:hAnsi="Times New Roman"/>
          <w:b/>
          <w:noProof/>
          <w:sz w:val="24"/>
        </w:rPr>
        <w:t>31 decembrie 2023</w:t>
      </w:r>
      <w:r>
        <w:rPr>
          <w:rFonts w:ascii="Times New Roman" w:hAnsi="Times New Roman"/>
          <w:noProof/>
          <w:sz w:val="24"/>
        </w:rPr>
        <w:t>.</w:t>
      </w:r>
    </w:p>
    <w:p>
      <w:pPr>
        <w:jc w:val="both"/>
        <w:rPr>
          <w:rFonts w:ascii="Times New Roman" w:hAnsi="Times New Roman" w:cs="Times New Roman"/>
          <w:b/>
          <w:noProof/>
          <w:sz w:val="24"/>
          <w:szCs w:val="24"/>
        </w:rPr>
      </w:pPr>
      <w:r>
        <w:rPr>
          <w:rFonts w:ascii="Times New Roman" w:hAnsi="Times New Roman"/>
          <w:noProof/>
          <w:sz w:val="24"/>
        </w:rPr>
        <w:lastRenderedPageBreak/>
        <w:t>Împreună cu registrul privind normele de punere în aplicare administrat de Curtea de Justiție a Uniunii Europene</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acest raport este un instrument care permite </w:t>
      </w:r>
      <w:r>
        <w:rPr>
          <w:rFonts w:ascii="Times New Roman" w:hAnsi="Times New Roman"/>
          <w:b/>
          <w:noProof/>
          <w:sz w:val="24"/>
        </w:rPr>
        <w:t>transparența</w:t>
      </w:r>
      <w:r>
        <w:rPr>
          <w:rFonts w:ascii="Times New Roman" w:hAnsi="Times New Roman"/>
          <w:noProof/>
          <w:sz w:val="24"/>
        </w:rPr>
        <w:t xml:space="preserve"> și care promovează o </w:t>
      </w:r>
      <w:r>
        <w:rPr>
          <w:rFonts w:ascii="Times New Roman" w:hAnsi="Times New Roman"/>
          <w:b/>
          <w:noProof/>
          <w:sz w:val="24"/>
        </w:rPr>
        <w:t>punere în aplicare coerentă a Statutului funcționarilor și a RAA</w:t>
      </w:r>
      <w:r>
        <w:rPr>
          <w:rStyle w:val="FootnoteReference"/>
          <w:rFonts w:ascii="Times New Roman" w:hAnsi="Times New Roman" w:cs="Times New Roman"/>
          <w:bCs/>
          <w:noProof/>
          <w:sz w:val="24"/>
          <w:szCs w:val="24"/>
        </w:rPr>
        <w:footnoteReference w:id="8"/>
      </w:r>
      <w:r>
        <w:rPr>
          <w:rFonts w:ascii="Times New Roman" w:hAnsi="Times New Roman"/>
          <w:noProof/>
          <w:sz w:val="24"/>
        </w:rPr>
        <w:t xml:space="preserve">, asigurând, în același timp, faptul că normele sunt </w:t>
      </w:r>
      <w:r>
        <w:rPr>
          <w:rFonts w:ascii="Times New Roman" w:hAnsi="Times New Roman"/>
          <w:b/>
          <w:noProof/>
          <w:sz w:val="24"/>
        </w:rPr>
        <w:t>accesibile cetățenilor</w:t>
      </w:r>
      <w:r>
        <w:rPr>
          <w:rFonts w:ascii="Times New Roman" w:hAnsi="Times New Roman"/>
          <w:noProof/>
          <w:sz w:val="24"/>
        </w:rPr>
        <w:t xml:space="preserve"> Uniunii Europene. </w:t>
      </w:r>
    </w:p>
    <w:p>
      <w:pPr>
        <w:jc w:val="both"/>
        <w:rPr>
          <w:rFonts w:ascii="Times New Roman" w:hAnsi="Times New Roman" w:cs="Times New Roman"/>
          <w:b/>
          <w:noProof/>
          <w:sz w:val="24"/>
          <w:szCs w:val="24"/>
        </w:rPr>
      </w:pPr>
      <w:r>
        <w:rPr>
          <w:rFonts w:ascii="Times New Roman" w:hAnsi="Times New Roman"/>
          <w:b/>
          <w:noProof/>
          <w:sz w:val="24"/>
        </w:rPr>
        <w:t>2.</w:t>
      </w:r>
      <w:r>
        <w:rPr>
          <w:noProof/>
        </w:rPr>
        <w:tab/>
      </w:r>
      <w:r>
        <w:rPr>
          <w:rFonts w:ascii="Times New Roman" w:hAnsi="Times New Roman"/>
          <w:b/>
          <w:noProof/>
          <w:sz w:val="24"/>
        </w:rPr>
        <w:t>COLECTAREA DE INFORMAȚII PENTRU RAPORT</w:t>
      </w:r>
    </w:p>
    <w:p>
      <w:pPr>
        <w:jc w:val="both"/>
        <w:rPr>
          <w:rFonts w:ascii="Times New Roman" w:hAnsi="Times New Roman" w:cs="Times New Roman"/>
          <w:noProof/>
          <w:sz w:val="24"/>
          <w:szCs w:val="24"/>
        </w:rPr>
      </w:pPr>
      <w:r>
        <w:rPr>
          <w:rFonts w:ascii="Times New Roman" w:hAnsi="Times New Roman"/>
          <w:noProof/>
          <w:sz w:val="24"/>
        </w:rPr>
        <w:t xml:space="preserve">Pentru a pregăti raportul, Comisia a solicitat tuturor instituțiilor să actualizeze lista normelor de punere în aplicare stabilită pentru elaborarea raportului pe perioada 2017-2019. În primul rând, instituțiile au fost invitate să actualizeze lista inclusă în raportul pe perioada 2017-2019 astfel încât aceasta să includă toate deciziile de punere în aplicare a Statutului funcționarilor și a RAA care erau în vigoare în perioada 1 ianuarie 2020-31 decembrie 2023. </w:t>
      </w:r>
    </w:p>
    <w:p>
      <w:pPr>
        <w:jc w:val="both"/>
        <w:rPr>
          <w:rFonts w:ascii="Times New Roman" w:hAnsi="Times New Roman" w:cs="Times New Roman"/>
          <w:noProof/>
          <w:sz w:val="24"/>
          <w:szCs w:val="24"/>
        </w:rPr>
      </w:pPr>
      <w:r>
        <w:rPr>
          <w:rFonts w:ascii="Times New Roman" w:hAnsi="Times New Roman"/>
          <w:noProof/>
          <w:sz w:val="24"/>
        </w:rPr>
        <w:t xml:space="preserve">Apoi, Comisia a comparat informațiile furnizate cu normele înregistrate în registrul administrat de Curtea de Justiție a Uniunii Europene. </w:t>
      </w:r>
    </w:p>
    <w:p>
      <w:pPr>
        <w:jc w:val="both"/>
        <w:rPr>
          <w:rFonts w:ascii="Times New Roman" w:hAnsi="Times New Roman" w:cs="Times New Roman"/>
          <w:noProof/>
          <w:sz w:val="24"/>
          <w:szCs w:val="24"/>
        </w:rPr>
      </w:pPr>
      <w:r>
        <w:rPr>
          <w:rFonts w:ascii="Times New Roman" w:hAnsi="Times New Roman"/>
          <w:noProof/>
          <w:sz w:val="24"/>
        </w:rPr>
        <w:t xml:space="preserve">Au fost colectate informații privind normele de punere în aplicare aplicabile în cadrul agențiilor, în mod similar cu metodologia urmată pentru cele două rapoarte anterioare, pe baza evidențelor cuprinzătoare ale serviciilor Comisiei responsabile cu coordonarea relațiilor cu </w:t>
      </w:r>
      <w:hyperlink r:id="rId15" w:tgtFrame="_blank" w:history="1">
        <w:r>
          <w:rPr>
            <w:rFonts w:ascii="Times New Roman" w:hAnsi="Times New Roman"/>
            <w:noProof/>
            <w:sz w:val="24"/>
          </w:rPr>
          <w:t>agențiile executive, cu agențiile descentralizate</w:t>
        </w:r>
      </w:hyperlink>
      <w:r>
        <w:rPr>
          <w:rFonts w:ascii="Times New Roman" w:hAnsi="Times New Roman"/>
          <w:noProof/>
          <w:sz w:val="24"/>
        </w:rPr>
        <w:t xml:space="preserve"> și cu întreprinderile comune pe teme legate de resursele umane.</w:t>
      </w:r>
    </w:p>
    <w:p>
      <w:pPr>
        <w:jc w:val="both"/>
        <w:rPr>
          <w:rFonts w:ascii="Times New Roman" w:hAnsi="Times New Roman" w:cs="Times New Roman"/>
          <w:noProof/>
          <w:sz w:val="24"/>
          <w:szCs w:val="24"/>
        </w:rPr>
      </w:pPr>
      <w:r>
        <w:rPr>
          <w:rFonts w:ascii="Times New Roman" w:hAnsi="Times New Roman"/>
          <w:noProof/>
          <w:sz w:val="24"/>
        </w:rPr>
        <w:t xml:space="preserve">Acest exercițiu de colectare a fost finalizat la 20 iunie 2024. Verificarea finală a tuturor datelor efectuată de către fiecare instituție a fost finalizată la 22 noiembrie 2024. Datele privind agențiile au fost colectate și verificate la nivel intern în mai 2024. </w:t>
      </w:r>
    </w:p>
    <w:p>
      <w:pPr>
        <w:rPr>
          <w:rFonts w:ascii="Times New Roman" w:hAnsi="Times New Roman" w:cs="Times New Roman"/>
          <w:b/>
          <w:noProof/>
          <w:sz w:val="24"/>
          <w:szCs w:val="24"/>
        </w:rPr>
      </w:pPr>
      <w:r>
        <w:rPr>
          <w:rFonts w:ascii="Times New Roman" w:hAnsi="Times New Roman"/>
          <w:b/>
          <w:noProof/>
          <w:sz w:val="24"/>
        </w:rPr>
        <w:t>3.</w:t>
      </w:r>
      <w:r>
        <w:rPr>
          <w:noProof/>
        </w:rPr>
        <w:tab/>
      </w:r>
      <w:r>
        <w:rPr>
          <w:rFonts w:ascii="Times New Roman" w:hAnsi="Times New Roman"/>
          <w:b/>
          <w:noProof/>
          <w:sz w:val="24"/>
        </w:rPr>
        <w:t>PRINCIPALELE ELEMENTE ALE RAPORTULUI</w:t>
      </w:r>
    </w:p>
    <w:p>
      <w:pPr>
        <w:jc w:val="both"/>
        <w:rPr>
          <w:rFonts w:ascii="Times New Roman" w:hAnsi="Times New Roman" w:cs="Times New Roman"/>
          <w:b/>
          <w:i/>
          <w:noProof/>
          <w:sz w:val="24"/>
          <w:szCs w:val="24"/>
        </w:rPr>
      </w:pPr>
      <w:r>
        <w:rPr>
          <w:rFonts w:ascii="Times New Roman" w:hAnsi="Times New Roman"/>
          <w:b/>
          <w:i/>
          <w:noProof/>
          <w:sz w:val="24"/>
        </w:rPr>
        <w:t>Prezentarea normelor de punere în aplicare</w:t>
      </w:r>
    </w:p>
    <w:p>
      <w:pPr>
        <w:jc w:val="both"/>
        <w:rPr>
          <w:rFonts w:ascii="Times New Roman" w:hAnsi="Times New Roman" w:cs="Times New Roman"/>
          <w:noProof/>
          <w:sz w:val="24"/>
          <w:szCs w:val="24"/>
        </w:rPr>
      </w:pPr>
      <w:r>
        <w:rPr>
          <w:rFonts w:ascii="Times New Roman" w:hAnsi="Times New Roman"/>
          <w:noProof/>
          <w:sz w:val="24"/>
        </w:rPr>
        <w:t xml:space="preserve">Titlul 1 descrie mecanismele de asigurare a aplicării coerente a Statutului funcționarilor, oferind o imagine de ansamblu a diferitelor tipuri de norme care pot fi adoptate fie de o autoritate împuternicită să facă numiri pentru aplicarea Statutului funcționarilor, fie de o autoritate abilitată să încheie contracte de muncă în vederea aplicării RAA. </w:t>
      </w:r>
    </w:p>
    <w:p>
      <w:pPr>
        <w:jc w:val="both"/>
        <w:rPr>
          <w:rFonts w:ascii="Times New Roman" w:hAnsi="Times New Roman" w:cs="Times New Roman"/>
          <w:b/>
          <w:i/>
          <w:noProof/>
          <w:sz w:val="24"/>
          <w:szCs w:val="24"/>
        </w:rPr>
      </w:pPr>
      <w:r>
        <w:rPr>
          <w:rFonts w:ascii="Times New Roman" w:hAnsi="Times New Roman"/>
          <w:b/>
          <w:i/>
          <w:noProof/>
          <w:sz w:val="24"/>
        </w:rPr>
        <w:t>Evaluare cantitativă/Transparență</w:t>
      </w:r>
    </w:p>
    <w:p>
      <w:pPr>
        <w:jc w:val="both"/>
        <w:rPr>
          <w:rFonts w:ascii="Times New Roman" w:hAnsi="Times New Roman" w:cs="Times New Roman"/>
          <w:noProof/>
          <w:sz w:val="24"/>
          <w:szCs w:val="24"/>
        </w:rPr>
      </w:pPr>
      <w:r>
        <w:rPr>
          <w:rFonts w:ascii="Times New Roman" w:hAnsi="Times New Roman"/>
          <w:noProof/>
          <w:sz w:val="24"/>
        </w:rPr>
        <w:t>Titlul 2 oferă un inventar complet al tuturor normelor de punere în aplicare adoptate de autoritatea împuternicită să facă numiri sau de autoritatea abilitată să încheie contracte de muncă a diferitelor instituții și agenții, prezentând astfel în mod clar și transparent situația actuală de la nivelul tuturor instituțiilor și agențiilor.</w:t>
      </w:r>
    </w:p>
    <w:p>
      <w:pPr>
        <w:jc w:val="both"/>
        <w:rPr>
          <w:rFonts w:ascii="Times New Roman" w:hAnsi="Times New Roman" w:cs="Times New Roman"/>
          <w:noProof/>
          <w:sz w:val="24"/>
          <w:szCs w:val="24"/>
        </w:rPr>
      </w:pPr>
      <w:r>
        <w:rPr>
          <w:rFonts w:ascii="Times New Roman" w:hAnsi="Times New Roman"/>
          <w:noProof/>
          <w:sz w:val="24"/>
        </w:rPr>
        <w:t xml:space="preserve">În special, în acord cu instituțiile în cauză, Comisia a întocmit tabele care descriu în detaliu situația existentă în fiecare dintre cele zece instituții în perioada 1 ianuarie 2020­31 decembrie </w:t>
      </w:r>
      <w:r>
        <w:rPr>
          <w:rFonts w:ascii="Times New Roman" w:hAnsi="Times New Roman"/>
          <w:noProof/>
          <w:sz w:val="24"/>
        </w:rPr>
        <w:lastRenderedPageBreak/>
        <w:t>2023. Pe baza acestor tabele, Comisia a stabilit un tabel general care oferă o imagine de ansamblu asupra situației la nivelul instituțiilor. în cursul perioadei de referință.</w:t>
      </w:r>
    </w:p>
    <w:p>
      <w:pPr>
        <w:jc w:val="both"/>
        <w:rPr>
          <w:rFonts w:ascii="Times New Roman" w:hAnsi="Times New Roman" w:cs="Times New Roman"/>
          <w:noProof/>
          <w:sz w:val="24"/>
          <w:szCs w:val="24"/>
        </w:rPr>
      </w:pPr>
      <w:r>
        <w:rPr>
          <w:rFonts w:ascii="Times New Roman" w:hAnsi="Times New Roman"/>
          <w:noProof/>
          <w:sz w:val="24"/>
        </w:rPr>
        <w:t>Un alt tabel general oferă o viziune de ansamblu agregată asupra normelor aplicabile în cadrul agențiilor la 31 decembrie 2023.</w:t>
      </w:r>
    </w:p>
    <w:p>
      <w:pPr>
        <w:jc w:val="both"/>
        <w:rPr>
          <w:rFonts w:ascii="Times New Roman" w:hAnsi="Times New Roman" w:cs="Times New Roman"/>
          <w:noProof/>
          <w:sz w:val="24"/>
          <w:szCs w:val="24"/>
        </w:rPr>
      </w:pPr>
      <w:r>
        <w:rPr>
          <w:rFonts w:ascii="Times New Roman" w:hAnsi="Times New Roman"/>
          <w:noProof/>
          <w:sz w:val="24"/>
        </w:rPr>
        <w:t>Tabelele identifică subiectele în legătură cu care autoritățile împuternicite să facă numiri sau autoritățile abilitate să încheie contracte de angajare au adoptat norme și măsura în care fiecare autoritate a făcut uz de puterea ei de reglementare.</w:t>
      </w:r>
    </w:p>
    <w:p>
      <w:pPr>
        <w:jc w:val="both"/>
        <w:rPr>
          <w:rFonts w:ascii="Times New Roman" w:hAnsi="Times New Roman" w:cs="Times New Roman"/>
          <w:noProof/>
          <w:sz w:val="24"/>
          <w:szCs w:val="24"/>
        </w:rPr>
      </w:pPr>
      <w:r>
        <w:rPr>
          <w:rFonts w:ascii="Times New Roman" w:hAnsi="Times New Roman"/>
          <w:noProof/>
          <w:sz w:val="24"/>
        </w:rPr>
        <w:t>Sunt prevăzute observații cu privire la principalele modificări survenite de la încheierea ultimei perioade de raportare în ceea ce privește numărul și tipul normelor adoptate în cadrul instituțiilor și al agențiilor.</w:t>
      </w:r>
    </w:p>
    <w:p>
      <w:pPr>
        <w:jc w:val="both"/>
        <w:rPr>
          <w:rFonts w:ascii="Times New Roman" w:hAnsi="Times New Roman" w:cs="Times New Roman"/>
          <w:b/>
          <w:i/>
          <w:noProof/>
          <w:sz w:val="24"/>
          <w:szCs w:val="24"/>
        </w:rPr>
      </w:pPr>
      <w:r>
        <w:rPr>
          <w:rFonts w:ascii="Times New Roman" w:hAnsi="Times New Roman"/>
          <w:b/>
          <w:i/>
          <w:noProof/>
          <w:sz w:val="24"/>
        </w:rPr>
        <w:t>Evaluarea calitativă/Conformitatea</w:t>
      </w:r>
    </w:p>
    <w:p>
      <w:pPr>
        <w:jc w:val="both"/>
        <w:rPr>
          <w:rFonts w:ascii="Times New Roman" w:hAnsi="Times New Roman" w:cs="Times New Roman"/>
          <w:noProof/>
          <w:sz w:val="24"/>
          <w:szCs w:val="24"/>
        </w:rPr>
      </w:pPr>
      <w:r>
        <w:rPr>
          <w:rFonts w:ascii="Times New Roman" w:hAnsi="Times New Roman"/>
          <w:noProof/>
          <w:sz w:val="24"/>
        </w:rPr>
        <w:t xml:space="preserve">Raportul prezintă modul în care autoritățile împuternicite să facă numiri sau autoritățile abilitate să încheie contracte de muncă au respectat cadrul stabilit în Statutul funcționarilor și în RAA, acordând o atenție deosebită subiectelor cu privire la care autoritățile nu au făcut (încă) uz de competența lor de a adopta norme. </w:t>
      </w:r>
    </w:p>
    <w:p>
      <w:pPr>
        <w:jc w:val="both"/>
        <w:rPr>
          <w:rFonts w:ascii="Times New Roman" w:hAnsi="Times New Roman" w:cs="Times New Roman"/>
          <w:noProof/>
          <w:sz w:val="24"/>
          <w:szCs w:val="24"/>
        </w:rPr>
      </w:pPr>
      <w:r>
        <w:rPr>
          <w:rFonts w:ascii="Times New Roman" w:hAnsi="Times New Roman"/>
          <w:noProof/>
          <w:sz w:val="24"/>
        </w:rPr>
        <w:t xml:space="preserve">Raportul identifică, de asemenea, eventualele neconcordanțe cu Statutul funcționarilor și cu RAA în ceea ce privește respectarea obligației de a adopta norme de punere în aplicare, atunci când este necesar, și respectarea procedurii impuse pentru adoptarea normei de punere în aplicare în cauză. </w:t>
      </w:r>
    </w:p>
    <w:p>
      <w:pPr>
        <w:jc w:val="both"/>
        <w:rPr>
          <w:rFonts w:ascii="Times New Roman" w:hAnsi="Times New Roman" w:cs="Times New Roman"/>
          <w:noProof/>
          <w:sz w:val="24"/>
          <w:szCs w:val="24"/>
        </w:rPr>
      </w:pPr>
      <w:r>
        <w:rPr>
          <w:rFonts w:ascii="Times New Roman" w:hAnsi="Times New Roman"/>
          <w:noProof/>
          <w:sz w:val="24"/>
        </w:rPr>
        <w:t xml:space="preserve">În plus, raportul analizează principalele schimbări care au avut loc în comparație cu perioada de raportare anterioară, în special în ceea ce privește noile subiecte reglementate de normele adoptate și gradul de convergență între instituții în ceea ce privește subiectele reglementate de aceste norme. </w:t>
      </w:r>
    </w:p>
    <w:p>
      <w:pPr>
        <w:jc w:val="both"/>
        <w:rPr>
          <w:rFonts w:ascii="Times New Roman" w:hAnsi="Times New Roman" w:cs="Times New Roman"/>
          <w:noProof/>
          <w:sz w:val="24"/>
          <w:szCs w:val="24"/>
        </w:rPr>
      </w:pPr>
      <w:r>
        <w:rPr>
          <w:rFonts w:ascii="Times New Roman" w:hAnsi="Times New Roman"/>
          <w:noProof/>
          <w:sz w:val="24"/>
        </w:rPr>
        <w:t>În fine, raportul oferă o imagine de ansamblu asupra prezentării normelor de punere în aplicare în registrul administrat de Curtea de Justiție a Uniunii Europene.</w:t>
      </w:r>
    </w:p>
    <w:p>
      <w:pPr>
        <w:rPr>
          <w:rFonts w:ascii="Times New Roman" w:hAnsi="Times New Roman" w:cs="Times New Roman"/>
          <w:b/>
          <w:noProof/>
          <w:sz w:val="24"/>
          <w:szCs w:val="24"/>
        </w:rPr>
      </w:pPr>
      <w:r>
        <w:rPr>
          <w:rFonts w:ascii="Times New Roman" w:hAnsi="Times New Roman"/>
          <w:b/>
          <w:noProof/>
          <w:sz w:val="24"/>
        </w:rPr>
        <w:t>4.</w:t>
      </w:r>
      <w:r>
        <w:rPr>
          <w:noProof/>
        </w:rPr>
        <w:tab/>
      </w:r>
      <w:r>
        <w:rPr>
          <w:rFonts w:ascii="Times New Roman" w:hAnsi="Times New Roman"/>
          <w:b/>
          <w:noProof/>
          <w:sz w:val="24"/>
        </w:rPr>
        <w:t>PERSPECTIVE</w:t>
      </w:r>
    </w:p>
    <w:p>
      <w:pPr>
        <w:jc w:val="both"/>
        <w:rPr>
          <w:rFonts w:ascii="Times New Roman" w:hAnsi="Times New Roman" w:cs="Times New Roman"/>
          <w:noProof/>
          <w:sz w:val="24"/>
          <w:szCs w:val="24"/>
        </w:rPr>
      </w:pPr>
      <w:r>
        <w:rPr>
          <w:rFonts w:ascii="Times New Roman" w:hAnsi="Times New Roman"/>
          <w:noProof/>
          <w:sz w:val="24"/>
        </w:rPr>
        <w:t>Comisia va trebui să prezinte următorul raport în temeiul articolului 110 alineatul (6) din Statutul funcționarilor pentru a viza, în principiu, normele de punere în aplicare în vigoare în perioada cuprinsă între 1 ianuarie 2024 și 31 decembrie 2026.</w:t>
      </w:r>
    </w:p>
    <w:p>
      <w:pPr>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noProof/>
        </w:rPr>
        <w:t>Comisia a întocmit prezentul raport pe baza datelor puse la dispoziție de instituții și agenții. Responsabilitatea pentru exhaustivitatea și acuratețea acestor date revine instituțiilor sau agențiilor respective.</w:t>
      </w:r>
    </w:p>
    <w:p>
      <w:pPr>
        <w:rPr>
          <w:rFonts w:ascii="Times New Roman" w:hAnsi="Times New Roman" w:cs="Times New Roman"/>
          <w:noProof/>
        </w:rPr>
      </w:pPr>
      <w:r>
        <w:rPr>
          <w:noProof/>
        </w:rPr>
        <w:br w:type="page"/>
      </w:r>
    </w:p>
    <w:sdt>
      <w:sdtPr>
        <w:rPr>
          <w:rFonts w:ascii="Times New Roman" w:eastAsiaTheme="minorHAnsi" w:hAnsi="Times New Roman" w:cs="Times New Roman"/>
          <w:b w:val="0"/>
          <w:bCs w:val="0"/>
          <w:noProof/>
          <w:color w:val="auto"/>
          <w:kern w:val="2"/>
          <w:sz w:val="22"/>
          <w:szCs w:val="22"/>
          <w:lang w:eastAsia="en-US"/>
          <w14:ligatures w14:val="standardContextual"/>
        </w:rPr>
        <w:id w:val="461463876"/>
        <w:docPartObj>
          <w:docPartGallery w:val="Table of Contents"/>
          <w:docPartUnique/>
        </w:docPartObj>
      </w:sdtPr>
      <w:sdtContent>
        <w:p>
          <w:pPr>
            <w:pStyle w:val="TOCHeading"/>
            <w:jc w:val="center"/>
            <w:rPr>
              <w:rFonts w:ascii="Times New Roman" w:hAnsi="Times New Roman" w:cs="Times New Roman"/>
              <w:noProof/>
            </w:rPr>
          </w:pPr>
          <w:r>
            <w:rPr>
              <w:rFonts w:ascii="Times New Roman" w:hAnsi="Times New Roman"/>
              <w:noProof/>
            </w:rPr>
            <w:t>Cuprins</w:t>
          </w:r>
        </w:p>
        <w:p>
          <w:pPr>
            <w:rPr>
              <w:rFonts w:ascii="Times New Roman" w:hAnsi="Times New Roman" w:cs="Times New Roman"/>
              <w:noProof/>
              <w:lang w:val="en-US" w:eastAsia="ja-JP"/>
            </w:rPr>
          </w:pPr>
        </w:p>
        <w:p>
          <w:pPr>
            <w:pStyle w:val="TOC1"/>
            <w:rPr>
              <w:rFonts w:eastAsiaTheme="minorEastAsia"/>
              <w:b w:val="0"/>
              <w:kern w:val="2"/>
              <w:sz w:val="24"/>
              <w:szCs w:val="24"/>
              <w:lang w:val="en-IE" w:eastAsia="en-IE"/>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238715620" w:history="1">
            <w:r>
              <w:rPr>
                <w:rStyle w:val="Hyperlink"/>
                <w:rFonts w:ascii="Times New Roman" w:hAnsi="Times New Roman"/>
              </w:rPr>
              <w:t>TITLUL 1.</w:t>
            </w:r>
            <w:r>
              <w:rPr>
                <w:rFonts w:eastAsiaTheme="minorEastAsia"/>
                <w:b w:val="0"/>
                <w:kern w:val="2"/>
                <w:sz w:val="24"/>
                <w:szCs w:val="24"/>
                <w:lang w:val="en-IE" w:eastAsia="en-IE"/>
                <w14:ligatures w14:val="standardContextual"/>
              </w:rPr>
              <w:tab/>
            </w:r>
            <w:r>
              <w:rPr>
                <w:rStyle w:val="Hyperlink"/>
                <w:rFonts w:ascii="Times New Roman" w:hAnsi="Times New Roman"/>
              </w:rPr>
              <w:t>PREZENTAREA NORMELOR DE PUNERE ÎN APLICARE</w:t>
            </w:r>
            <w:r>
              <w:rPr>
                <w:webHidden/>
              </w:rPr>
              <w:tab/>
            </w:r>
            <w:r>
              <w:rPr>
                <w:webHidden/>
              </w:rPr>
              <w:fldChar w:fldCharType="begin"/>
            </w:r>
            <w:r>
              <w:rPr>
                <w:webHidden/>
              </w:rPr>
              <w:instrText xml:space="preserve"> PAGEREF _Toc238715620 \h </w:instrText>
            </w:r>
            <w:r>
              <w:rPr>
                <w:webHidden/>
              </w:rPr>
            </w:r>
            <w:r>
              <w:rPr>
                <w:webHidden/>
              </w:rPr>
              <w:fldChar w:fldCharType="separate"/>
            </w:r>
            <w:r>
              <w:rPr>
                <w:webHidden/>
              </w:rPr>
              <w:t>5</w:t>
            </w:r>
            <w:r>
              <w:rPr>
                <w:webHidden/>
              </w:rPr>
              <w:fldChar w:fldCharType="end"/>
            </w:r>
          </w:hyperlink>
        </w:p>
        <w:p>
          <w:pPr>
            <w:pStyle w:val="TOC2"/>
            <w:rPr>
              <w:rFonts w:eastAsiaTheme="minorEastAsia"/>
              <w:noProof/>
              <w:kern w:val="2"/>
              <w:sz w:val="24"/>
              <w:szCs w:val="24"/>
              <w:lang w:val="en-IE" w:eastAsia="en-IE"/>
              <w14:ligatures w14:val="standardContextual"/>
            </w:rPr>
          </w:pPr>
          <w:hyperlink w:anchor="_Toc238715621" w:history="1">
            <w:r>
              <w:rPr>
                <w:rStyle w:val="Hyperlink"/>
                <w:rFonts w:ascii="Times New Roman" w:hAnsi="Times New Roman"/>
                <w:noProof/>
              </w:rPr>
              <w:t>a)</w:t>
            </w:r>
            <w:r>
              <w:rPr>
                <w:rFonts w:eastAsiaTheme="minorEastAsia"/>
                <w:noProof/>
                <w:kern w:val="2"/>
                <w:sz w:val="24"/>
                <w:szCs w:val="24"/>
                <w:lang w:val="en-IE" w:eastAsia="en-IE"/>
                <w14:ligatures w14:val="standardContextual"/>
              </w:rPr>
              <w:tab/>
            </w:r>
            <w:r>
              <w:rPr>
                <w:rStyle w:val="Hyperlink"/>
                <w:rFonts w:ascii="Times New Roman" w:hAnsi="Times New Roman"/>
                <w:noProof/>
                <w:spacing w:val="-4"/>
              </w:rPr>
              <w:t>Norme adoptate de comun acord între instituțiile Uniunii („Règles arrêtées d’un comun acord”)</w:t>
            </w:r>
            <w:r>
              <w:rPr>
                <w:noProof/>
                <w:webHidden/>
                <w:spacing w:val="-4"/>
              </w:rPr>
              <w:tab/>
            </w:r>
            <w:r>
              <w:rPr>
                <w:noProof/>
                <w:webHidden/>
                <w:spacing w:val="-4"/>
              </w:rPr>
              <w:fldChar w:fldCharType="begin"/>
            </w:r>
            <w:r>
              <w:rPr>
                <w:noProof/>
                <w:webHidden/>
                <w:spacing w:val="-4"/>
              </w:rPr>
              <w:instrText xml:space="preserve"> PAGEREF _Toc238715621 \h </w:instrText>
            </w:r>
            <w:r>
              <w:rPr>
                <w:noProof/>
                <w:webHidden/>
                <w:spacing w:val="-4"/>
              </w:rPr>
            </w:r>
            <w:r>
              <w:rPr>
                <w:noProof/>
                <w:webHidden/>
                <w:spacing w:val="-4"/>
              </w:rPr>
              <w:fldChar w:fldCharType="separate"/>
            </w:r>
            <w:r>
              <w:rPr>
                <w:noProof/>
                <w:webHidden/>
                <w:spacing w:val="-4"/>
              </w:rPr>
              <w:t>5</w:t>
            </w:r>
            <w:r>
              <w:rPr>
                <w:noProof/>
                <w:webHidden/>
                <w:spacing w:val="-4"/>
              </w:rPr>
              <w:fldChar w:fldCharType="end"/>
            </w:r>
          </w:hyperlink>
        </w:p>
        <w:p>
          <w:pPr>
            <w:pStyle w:val="TOC2"/>
            <w:rPr>
              <w:rFonts w:eastAsiaTheme="minorEastAsia"/>
              <w:noProof/>
              <w:kern w:val="2"/>
              <w:sz w:val="24"/>
              <w:szCs w:val="24"/>
              <w:lang w:val="en-IE" w:eastAsia="en-IE"/>
              <w14:ligatures w14:val="standardContextual"/>
            </w:rPr>
          </w:pPr>
          <w:hyperlink w:anchor="_Toc238715622" w:history="1">
            <w:r>
              <w:rPr>
                <w:rStyle w:val="Hyperlink"/>
                <w:rFonts w:ascii="Times New Roman" w:hAnsi="Times New Roman"/>
                <w:noProof/>
              </w:rPr>
              <w:t>b)</w:t>
            </w:r>
            <w:r>
              <w:rPr>
                <w:rFonts w:eastAsiaTheme="minorEastAsia"/>
                <w:noProof/>
                <w:kern w:val="2"/>
                <w:sz w:val="24"/>
                <w:szCs w:val="24"/>
                <w:lang w:val="en-IE" w:eastAsia="en-IE"/>
                <w14:ligatures w14:val="standardContextual"/>
              </w:rPr>
              <w:tab/>
            </w:r>
            <w:r>
              <w:rPr>
                <w:rStyle w:val="Hyperlink"/>
                <w:rFonts w:ascii="Times New Roman" w:hAnsi="Times New Roman"/>
                <w:noProof/>
              </w:rPr>
              <w:t>Dispoziții generale de punere în aplicare („Dispositions générales d'exécution”)</w:t>
            </w:r>
            <w:r>
              <w:rPr>
                <w:noProof/>
                <w:webHidden/>
              </w:rPr>
              <w:tab/>
            </w:r>
            <w:r>
              <w:rPr>
                <w:noProof/>
                <w:webHidden/>
              </w:rPr>
              <w:fldChar w:fldCharType="begin"/>
            </w:r>
            <w:r>
              <w:rPr>
                <w:noProof/>
                <w:webHidden/>
              </w:rPr>
              <w:instrText xml:space="preserve"> PAGEREF _Toc238715622 \h </w:instrText>
            </w:r>
            <w:r>
              <w:rPr>
                <w:noProof/>
                <w:webHidden/>
              </w:rPr>
            </w:r>
            <w:r>
              <w:rPr>
                <w:noProof/>
                <w:webHidden/>
              </w:rPr>
              <w:fldChar w:fldCharType="separate"/>
            </w:r>
            <w:r>
              <w:rPr>
                <w:noProof/>
                <w:webHidden/>
              </w:rPr>
              <w:t>6</w:t>
            </w:r>
            <w:r>
              <w:rPr>
                <w:noProof/>
                <w:webHidden/>
              </w:rPr>
              <w:fldChar w:fldCharType="end"/>
            </w:r>
          </w:hyperlink>
        </w:p>
        <w:p>
          <w:pPr>
            <w:pStyle w:val="TOC2"/>
            <w:rPr>
              <w:rFonts w:eastAsiaTheme="minorEastAsia"/>
              <w:noProof/>
              <w:kern w:val="2"/>
              <w:sz w:val="24"/>
              <w:szCs w:val="24"/>
              <w:lang w:val="en-IE" w:eastAsia="en-IE"/>
              <w14:ligatures w14:val="standardContextual"/>
            </w:rPr>
          </w:pPr>
          <w:hyperlink w:anchor="_Toc238715623" w:history="1">
            <w:r>
              <w:rPr>
                <w:rStyle w:val="Hyperlink"/>
                <w:rFonts w:ascii="Times New Roman" w:hAnsi="Times New Roman"/>
                <w:noProof/>
              </w:rPr>
              <w:t>c)</w:t>
            </w:r>
            <w:r>
              <w:rPr>
                <w:rFonts w:eastAsiaTheme="minorEastAsia"/>
                <w:noProof/>
                <w:kern w:val="2"/>
                <w:sz w:val="24"/>
                <w:szCs w:val="24"/>
                <w:lang w:val="en-IE" w:eastAsia="en-IE"/>
                <w14:ligatures w14:val="standardContextual"/>
              </w:rPr>
              <w:tab/>
            </w:r>
            <w:r>
              <w:rPr>
                <w:rStyle w:val="Hyperlink"/>
                <w:rFonts w:ascii="Times New Roman" w:hAnsi="Times New Roman"/>
                <w:noProof/>
              </w:rPr>
              <w:t>Alte norme de punere în aplicare</w:t>
            </w:r>
            <w:r>
              <w:rPr>
                <w:noProof/>
                <w:webHidden/>
              </w:rPr>
              <w:tab/>
            </w:r>
            <w:r>
              <w:rPr>
                <w:noProof/>
                <w:webHidden/>
              </w:rPr>
              <w:fldChar w:fldCharType="begin"/>
            </w:r>
            <w:r>
              <w:rPr>
                <w:noProof/>
                <w:webHidden/>
              </w:rPr>
              <w:instrText xml:space="preserve"> PAGEREF _Toc238715623 \h </w:instrText>
            </w:r>
            <w:r>
              <w:rPr>
                <w:noProof/>
                <w:webHidden/>
              </w:rPr>
            </w:r>
            <w:r>
              <w:rPr>
                <w:noProof/>
                <w:webHidden/>
              </w:rPr>
              <w:fldChar w:fldCharType="separate"/>
            </w:r>
            <w:r>
              <w:rPr>
                <w:noProof/>
                <w:webHidden/>
              </w:rPr>
              <w:t>8</w:t>
            </w:r>
            <w:r>
              <w:rPr>
                <w:noProof/>
                <w:webHidden/>
              </w:rPr>
              <w:fldChar w:fldCharType="end"/>
            </w:r>
          </w:hyperlink>
        </w:p>
        <w:p>
          <w:pPr>
            <w:pStyle w:val="TOC1"/>
            <w:rPr>
              <w:rFonts w:eastAsiaTheme="minorEastAsia"/>
              <w:b w:val="0"/>
              <w:kern w:val="2"/>
              <w:sz w:val="24"/>
              <w:szCs w:val="24"/>
              <w:lang w:val="en-IE" w:eastAsia="en-IE"/>
              <w14:ligatures w14:val="standardContextual"/>
            </w:rPr>
          </w:pPr>
          <w:hyperlink w:anchor="_Toc238715624" w:history="1">
            <w:r>
              <w:rPr>
                <w:rStyle w:val="Hyperlink"/>
                <w:rFonts w:ascii="Times New Roman" w:hAnsi="Times New Roman"/>
              </w:rPr>
              <w:t>TITLUL 2.</w:t>
            </w:r>
            <w:r>
              <w:rPr>
                <w:rFonts w:eastAsiaTheme="minorEastAsia"/>
                <w:b w:val="0"/>
                <w:kern w:val="2"/>
                <w:sz w:val="24"/>
                <w:szCs w:val="24"/>
                <w:lang w:val="en-IE" w:eastAsia="en-IE"/>
                <w14:ligatures w14:val="standardContextual"/>
              </w:rPr>
              <w:tab/>
            </w:r>
            <w:r>
              <w:rPr>
                <w:rStyle w:val="Hyperlink"/>
                <w:rFonts w:ascii="Times New Roman" w:hAnsi="Times New Roman"/>
              </w:rPr>
              <w:t>EVALUARE CANTITATIVĂ/TRANSPARENȚĂ</w:t>
            </w:r>
            <w:r>
              <w:rPr>
                <w:webHidden/>
              </w:rPr>
              <w:tab/>
            </w:r>
            <w:r>
              <w:rPr>
                <w:webHidden/>
              </w:rPr>
              <w:fldChar w:fldCharType="begin"/>
            </w:r>
            <w:r>
              <w:rPr>
                <w:webHidden/>
              </w:rPr>
              <w:instrText xml:space="preserve"> PAGEREF _Toc238715624 \h </w:instrText>
            </w:r>
            <w:r>
              <w:rPr>
                <w:webHidden/>
              </w:rPr>
            </w:r>
            <w:r>
              <w:rPr>
                <w:webHidden/>
              </w:rPr>
              <w:fldChar w:fldCharType="separate"/>
            </w:r>
            <w:r>
              <w:rPr>
                <w:webHidden/>
              </w:rPr>
              <w:t>11</w:t>
            </w:r>
            <w:r>
              <w:rPr>
                <w:webHidden/>
              </w:rPr>
              <w:fldChar w:fldCharType="end"/>
            </w:r>
          </w:hyperlink>
        </w:p>
        <w:p>
          <w:pPr>
            <w:pStyle w:val="TOC2"/>
            <w:rPr>
              <w:rFonts w:eastAsiaTheme="minorEastAsia"/>
              <w:noProof/>
              <w:kern w:val="2"/>
              <w:sz w:val="24"/>
              <w:szCs w:val="24"/>
              <w:lang w:val="en-IE" w:eastAsia="en-IE"/>
              <w14:ligatures w14:val="standardContextual"/>
            </w:rPr>
          </w:pPr>
          <w:hyperlink w:anchor="_Toc238715625" w:history="1">
            <w:r>
              <w:rPr>
                <w:rStyle w:val="Hyperlink"/>
                <w:rFonts w:ascii="Times New Roman" w:hAnsi="Times New Roman"/>
                <w:noProof/>
              </w:rPr>
              <w:t>a)</w:t>
            </w:r>
            <w:r>
              <w:rPr>
                <w:rFonts w:eastAsiaTheme="minorEastAsia"/>
                <w:noProof/>
                <w:kern w:val="2"/>
                <w:sz w:val="24"/>
                <w:szCs w:val="24"/>
                <w:lang w:val="en-IE" w:eastAsia="en-IE"/>
                <w14:ligatures w14:val="standardContextual"/>
              </w:rPr>
              <w:tab/>
            </w:r>
            <w:r>
              <w:rPr>
                <w:rStyle w:val="Hyperlink"/>
                <w:rFonts w:ascii="Times New Roman" w:hAnsi="Times New Roman"/>
                <w:noProof/>
              </w:rPr>
              <w:t>Norme de punere în aplicare în instituții</w:t>
            </w:r>
            <w:r>
              <w:rPr>
                <w:noProof/>
                <w:webHidden/>
              </w:rPr>
              <w:tab/>
            </w:r>
            <w:r>
              <w:rPr>
                <w:noProof/>
                <w:webHidden/>
              </w:rPr>
              <w:fldChar w:fldCharType="begin"/>
            </w:r>
            <w:r>
              <w:rPr>
                <w:noProof/>
                <w:webHidden/>
              </w:rPr>
              <w:instrText xml:space="preserve"> PAGEREF _Toc238715625 \h </w:instrText>
            </w:r>
            <w:r>
              <w:rPr>
                <w:noProof/>
                <w:webHidden/>
              </w:rPr>
            </w:r>
            <w:r>
              <w:rPr>
                <w:noProof/>
                <w:webHidden/>
              </w:rPr>
              <w:fldChar w:fldCharType="separate"/>
            </w:r>
            <w:r>
              <w:rPr>
                <w:noProof/>
                <w:webHidden/>
              </w:rPr>
              <w:t>11</w:t>
            </w:r>
            <w:r>
              <w:rPr>
                <w:noProof/>
                <w:webHidden/>
              </w:rPr>
              <w:fldChar w:fldCharType="end"/>
            </w:r>
          </w:hyperlink>
        </w:p>
        <w:p>
          <w:pPr>
            <w:pStyle w:val="TOC2"/>
            <w:rPr>
              <w:rFonts w:eastAsiaTheme="minorEastAsia"/>
              <w:noProof/>
              <w:kern w:val="2"/>
              <w:sz w:val="24"/>
              <w:szCs w:val="24"/>
              <w:lang w:val="en-IE" w:eastAsia="en-IE"/>
              <w14:ligatures w14:val="standardContextual"/>
            </w:rPr>
          </w:pPr>
          <w:hyperlink w:anchor="_Toc238715626" w:history="1">
            <w:r>
              <w:rPr>
                <w:rStyle w:val="Hyperlink"/>
                <w:rFonts w:ascii="Times New Roman" w:hAnsi="Times New Roman"/>
                <w:noProof/>
              </w:rPr>
              <w:t>b)</w:t>
            </w:r>
            <w:r>
              <w:rPr>
                <w:rFonts w:eastAsiaTheme="minorEastAsia"/>
                <w:noProof/>
                <w:kern w:val="2"/>
                <w:sz w:val="24"/>
                <w:szCs w:val="24"/>
                <w:lang w:val="en-IE" w:eastAsia="en-IE"/>
                <w14:ligatures w14:val="standardContextual"/>
              </w:rPr>
              <w:tab/>
            </w:r>
            <w:r>
              <w:rPr>
                <w:rStyle w:val="Hyperlink"/>
                <w:rFonts w:ascii="Times New Roman" w:hAnsi="Times New Roman"/>
                <w:noProof/>
              </w:rPr>
              <w:t>Norme de punere în aplicare în cadrul agențiilor executive, al agențiilor descentralizate și al întreprinderilor comune</w:t>
            </w:r>
            <w:r>
              <w:rPr>
                <w:noProof/>
                <w:webHidden/>
              </w:rPr>
              <w:tab/>
            </w:r>
            <w:r>
              <w:rPr>
                <w:noProof/>
                <w:webHidden/>
              </w:rPr>
              <w:fldChar w:fldCharType="begin"/>
            </w:r>
            <w:r>
              <w:rPr>
                <w:noProof/>
                <w:webHidden/>
              </w:rPr>
              <w:instrText xml:space="preserve"> PAGEREF _Toc238715626 \h </w:instrText>
            </w:r>
            <w:r>
              <w:rPr>
                <w:noProof/>
                <w:webHidden/>
              </w:rPr>
            </w:r>
            <w:r>
              <w:rPr>
                <w:noProof/>
                <w:webHidden/>
              </w:rPr>
              <w:fldChar w:fldCharType="separate"/>
            </w:r>
            <w:r>
              <w:rPr>
                <w:noProof/>
                <w:webHidden/>
              </w:rPr>
              <w:t>14</w:t>
            </w:r>
            <w:r>
              <w:rPr>
                <w:noProof/>
                <w:webHidden/>
              </w:rPr>
              <w:fldChar w:fldCharType="end"/>
            </w:r>
          </w:hyperlink>
        </w:p>
        <w:p>
          <w:pPr>
            <w:pStyle w:val="TOC1"/>
            <w:rPr>
              <w:rFonts w:eastAsiaTheme="minorEastAsia"/>
              <w:b w:val="0"/>
              <w:kern w:val="2"/>
              <w:sz w:val="24"/>
              <w:szCs w:val="24"/>
              <w:lang w:val="en-IE" w:eastAsia="en-IE"/>
              <w14:ligatures w14:val="standardContextual"/>
            </w:rPr>
          </w:pPr>
          <w:hyperlink w:anchor="_Toc238715627" w:history="1">
            <w:r>
              <w:rPr>
                <w:rStyle w:val="Hyperlink"/>
                <w:rFonts w:ascii="Times New Roman" w:hAnsi="Times New Roman"/>
              </w:rPr>
              <w:t>TITLUL 3.</w:t>
            </w:r>
            <w:r>
              <w:rPr>
                <w:rFonts w:eastAsiaTheme="minorEastAsia"/>
                <w:b w:val="0"/>
                <w:kern w:val="2"/>
                <w:sz w:val="24"/>
                <w:szCs w:val="24"/>
                <w:lang w:val="en-IE" w:eastAsia="en-IE"/>
                <w14:ligatures w14:val="standardContextual"/>
              </w:rPr>
              <w:tab/>
            </w:r>
            <w:r>
              <w:rPr>
                <w:rStyle w:val="Hyperlink"/>
                <w:rFonts w:ascii="Times New Roman" w:hAnsi="Times New Roman"/>
              </w:rPr>
              <w:t>EVALUAREA CALITATIVĂ/CONFORMITATEA</w:t>
            </w:r>
            <w:r>
              <w:rPr>
                <w:webHidden/>
              </w:rPr>
              <w:tab/>
            </w:r>
            <w:r>
              <w:rPr>
                <w:webHidden/>
              </w:rPr>
              <w:fldChar w:fldCharType="begin"/>
            </w:r>
            <w:r>
              <w:rPr>
                <w:webHidden/>
              </w:rPr>
              <w:instrText xml:space="preserve"> PAGEREF _Toc238715627 \h </w:instrText>
            </w:r>
            <w:r>
              <w:rPr>
                <w:webHidden/>
              </w:rPr>
            </w:r>
            <w:r>
              <w:rPr>
                <w:webHidden/>
              </w:rPr>
              <w:fldChar w:fldCharType="separate"/>
            </w:r>
            <w:r>
              <w:rPr>
                <w:webHidden/>
              </w:rPr>
              <w:t>16</w:t>
            </w:r>
            <w:r>
              <w:rPr>
                <w:webHidden/>
              </w:rPr>
              <w:fldChar w:fldCharType="end"/>
            </w:r>
          </w:hyperlink>
        </w:p>
        <w:p>
          <w:pPr>
            <w:pStyle w:val="TOC2"/>
            <w:rPr>
              <w:rFonts w:eastAsiaTheme="minorEastAsia"/>
              <w:noProof/>
              <w:kern w:val="2"/>
              <w:sz w:val="24"/>
              <w:szCs w:val="24"/>
              <w:lang w:val="en-IE" w:eastAsia="en-IE"/>
              <w14:ligatures w14:val="standardContextual"/>
            </w:rPr>
          </w:pPr>
          <w:hyperlink w:anchor="_Toc238715628" w:history="1">
            <w:r>
              <w:rPr>
                <w:rStyle w:val="Hyperlink"/>
                <w:rFonts w:ascii="Times New Roman" w:hAnsi="Times New Roman"/>
                <w:noProof/>
              </w:rPr>
              <w:t>a)</w:t>
            </w:r>
            <w:r>
              <w:rPr>
                <w:rFonts w:eastAsiaTheme="minorEastAsia"/>
                <w:noProof/>
                <w:kern w:val="2"/>
                <w:sz w:val="24"/>
                <w:szCs w:val="24"/>
                <w:lang w:val="en-IE" w:eastAsia="en-IE"/>
                <w14:ligatures w14:val="standardContextual"/>
              </w:rPr>
              <w:tab/>
            </w:r>
            <w:r>
              <w:rPr>
                <w:rStyle w:val="Hyperlink"/>
                <w:rFonts w:ascii="Times New Roman" w:hAnsi="Times New Roman"/>
                <w:noProof/>
              </w:rPr>
              <w:t>Conformitatea cu Statutul funcționarilor și Regimul aplicabil celorlalți agenți ai Uniunii Europene</w:t>
            </w:r>
            <w:r>
              <w:rPr>
                <w:noProof/>
                <w:webHidden/>
              </w:rPr>
              <w:tab/>
            </w:r>
            <w:r>
              <w:rPr>
                <w:noProof/>
                <w:webHidden/>
              </w:rPr>
              <w:fldChar w:fldCharType="begin"/>
            </w:r>
            <w:r>
              <w:rPr>
                <w:noProof/>
                <w:webHidden/>
              </w:rPr>
              <w:instrText xml:space="preserve"> PAGEREF _Toc238715628 \h </w:instrText>
            </w:r>
            <w:r>
              <w:rPr>
                <w:noProof/>
                <w:webHidden/>
              </w:rPr>
            </w:r>
            <w:r>
              <w:rPr>
                <w:noProof/>
                <w:webHidden/>
              </w:rPr>
              <w:fldChar w:fldCharType="separate"/>
            </w:r>
            <w:r>
              <w:rPr>
                <w:noProof/>
                <w:webHidden/>
              </w:rPr>
              <w:t>17</w:t>
            </w:r>
            <w:r>
              <w:rPr>
                <w:noProof/>
                <w:webHidden/>
              </w:rPr>
              <w:fldChar w:fldCharType="end"/>
            </w:r>
          </w:hyperlink>
        </w:p>
        <w:p>
          <w:pPr>
            <w:pStyle w:val="TOC2"/>
            <w:rPr>
              <w:rFonts w:eastAsiaTheme="minorEastAsia"/>
              <w:noProof/>
              <w:kern w:val="2"/>
              <w:sz w:val="24"/>
              <w:szCs w:val="24"/>
              <w:lang w:val="en-IE" w:eastAsia="en-IE"/>
              <w14:ligatures w14:val="standardContextual"/>
            </w:rPr>
          </w:pPr>
          <w:hyperlink w:anchor="_Toc238715629" w:history="1">
            <w:r>
              <w:rPr>
                <w:rStyle w:val="Hyperlink"/>
                <w:rFonts w:ascii="Times New Roman" w:hAnsi="Times New Roman"/>
                <w:noProof/>
              </w:rPr>
              <w:t>b)</w:t>
            </w:r>
            <w:r>
              <w:rPr>
                <w:rFonts w:eastAsiaTheme="minorEastAsia"/>
                <w:noProof/>
                <w:kern w:val="2"/>
                <w:sz w:val="24"/>
                <w:szCs w:val="24"/>
                <w:lang w:val="en-IE" w:eastAsia="en-IE"/>
                <w14:ligatures w14:val="standardContextual"/>
              </w:rPr>
              <w:tab/>
            </w:r>
            <w:r>
              <w:rPr>
                <w:rStyle w:val="Hyperlink"/>
                <w:rFonts w:ascii="Times New Roman" w:hAnsi="Times New Roman"/>
                <w:noProof/>
              </w:rPr>
              <w:t>Registrul administrat de Curtea de Justiție</w:t>
            </w:r>
            <w:r>
              <w:rPr>
                <w:noProof/>
                <w:webHidden/>
              </w:rPr>
              <w:tab/>
            </w:r>
            <w:r>
              <w:rPr>
                <w:noProof/>
                <w:webHidden/>
              </w:rPr>
              <w:fldChar w:fldCharType="begin"/>
            </w:r>
            <w:r>
              <w:rPr>
                <w:noProof/>
                <w:webHidden/>
              </w:rPr>
              <w:instrText xml:space="preserve"> PAGEREF _Toc238715629 \h </w:instrText>
            </w:r>
            <w:r>
              <w:rPr>
                <w:noProof/>
                <w:webHidden/>
              </w:rPr>
            </w:r>
            <w:r>
              <w:rPr>
                <w:noProof/>
                <w:webHidden/>
              </w:rPr>
              <w:fldChar w:fldCharType="separate"/>
            </w:r>
            <w:r>
              <w:rPr>
                <w:noProof/>
                <w:webHidden/>
              </w:rPr>
              <w:t>27</w:t>
            </w:r>
            <w:r>
              <w:rPr>
                <w:noProof/>
                <w:webHidden/>
              </w:rPr>
              <w:fldChar w:fldCharType="end"/>
            </w:r>
          </w:hyperlink>
        </w:p>
        <w:p>
          <w:pPr>
            <w:pStyle w:val="TOC1"/>
            <w:rPr>
              <w:rFonts w:eastAsiaTheme="minorEastAsia"/>
              <w:b w:val="0"/>
              <w:kern w:val="2"/>
              <w:sz w:val="24"/>
              <w:szCs w:val="24"/>
              <w:lang w:val="en-IE" w:eastAsia="en-IE"/>
              <w14:ligatures w14:val="standardContextual"/>
            </w:rPr>
          </w:pPr>
          <w:hyperlink w:anchor="_Toc238715630" w:history="1">
            <w:r>
              <w:rPr>
                <w:rStyle w:val="Hyperlink"/>
                <w:rFonts w:ascii="Times New Roman" w:hAnsi="Times New Roman"/>
              </w:rPr>
              <w:t>TITLUL 4.</w:t>
            </w:r>
            <w:r>
              <w:rPr>
                <w:rFonts w:eastAsiaTheme="minorEastAsia"/>
                <w:b w:val="0"/>
                <w:kern w:val="2"/>
                <w:sz w:val="24"/>
                <w:szCs w:val="24"/>
                <w:lang w:val="en-IE" w:eastAsia="en-IE"/>
                <w14:ligatures w14:val="standardContextual"/>
              </w:rPr>
              <w:tab/>
            </w:r>
            <w:r>
              <w:rPr>
                <w:rStyle w:val="Hyperlink"/>
                <w:rFonts w:ascii="Times New Roman" w:hAnsi="Times New Roman"/>
              </w:rPr>
              <w:t>REZUMAT</w:t>
            </w:r>
            <w:r>
              <w:rPr>
                <w:webHidden/>
              </w:rPr>
              <w:tab/>
            </w:r>
            <w:r>
              <w:rPr>
                <w:webHidden/>
              </w:rPr>
              <w:fldChar w:fldCharType="begin"/>
            </w:r>
            <w:r>
              <w:rPr>
                <w:webHidden/>
              </w:rPr>
              <w:instrText xml:space="preserve"> PAGEREF _Toc238715630 \h </w:instrText>
            </w:r>
            <w:r>
              <w:rPr>
                <w:webHidden/>
              </w:rPr>
            </w:r>
            <w:r>
              <w:rPr>
                <w:webHidden/>
              </w:rPr>
              <w:fldChar w:fldCharType="separate"/>
            </w:r>
            <w:r>
              <w:rPr>
                <w:webHidden/>
              </w:rPr>
              <w:t>30</w:t>
            </w:r>
            <w:r>
              <w:rPr>
                <w:webHidden/>
              </w:rPr>
              <w:fldChar w:fldCharType="end"/>
            </w:r>
          </w:hyperlink>
        </w:p>
        <w:p>
          <w:pPr>
            <w:rPr>
              <w:rFonts w:ascii="Times New Roman" w:hAnsi="Times New Roman" w:cs="Times New Roman"/>
              <w:noProof/>
            </w:rPr>
          </w:pPr>
          <w:r>
            <w:rPr>
              <w:rFonts w:ascii="Times New Roman" w:hAnsi="Times New Roman" w:cs="Times New Roman"/>
              <w:b/>
              <w:noProof/>
            </w:rPr>
            <w:fldChar w:fldCharType="end"/>
          </w:r>
        </w:p>
      </w:sdtContent>
    </w:sdt>
    <w:p>
      <w:pPr>
        <w:rPr>
          <w:rFonts w:ascii="Times New Roman" w:hAnsi="Times New Roman" w:cs="Times New Roman"/>
          <w:b/>
          <w:noProof/>
          <w:sz w:val="24"/>
          <w:szCs w:val="24"/>
        </w:rPr>
      </w:pPr>
      <w:r>
        <w:rPr>
          <w:noProof/>
        </w:rPr>
        <w:br w:type="page"/>
      </w:r>
    </w:p>
    <w:p>
      <w:pPr>
        <w:pStyle w:val="Heading1"/>
        <w:rPr>
          <w:rFonts w:ascii="Times New Roman" w:hAnsi="Times New Roman" w:cs="Times New Roman"/>
          <w:noProof/>
        </w:rPr>
      </w:pPr>
      <w:bookmarkStart w:id="1" w:name="_Toc238715620"/>
      <w:r>
        <w:rPr>
          <w:rFonts w:ascii="Times New Roman" w:hAnsi="Times New Roman"/>
          <w:noProof/>
        </w:rPr>
        <w:lastRenderedPageBreak/>
        <w:t>TITLUL 1.</w:t>
      </w:r>
      <w:r>
        <w:rPr>
          <w:noProof/>
        </w:rPr>
        <w:tab/>
      </w:r>
      <w:r>
        <w:rPr>
          <w:rFonts w:ascii="Times New Roman" w:hAnsi="Times New Roman"/>
          <w:noProof/>
        </w:rPr>
        <w:t>PREZENTAREA NORMELOR DE PUNERE ÎN APLICARE</w:t>
      </w:r>
      <w:bookmarkEnd w:id="1"/>
    </w:p>
    <w:p>
      <w:pPr>
        <w:rPr>
          <w:rFonts w:ascii="Times New Roman" w:hAnsi="Times New Roman" w:cs="Times New Roman"/>
          <w:b/>
          <w:noProof/>
          <w:sz w:val="24"/>
          <w:szCs w:val="24"/>
        </w:rPr>
      </w:pPr>
    </w:p>
    <w:p>
      <w:pPr>
        <w:pBdr>
          <w:top w:val="double" w:sz="4" w:space="1" w:color="auto"/>
          <w:left w:val="double" w:sz="4" w:space="4" w:color="auto"/>
          <w:bottom w:val="double" w:sz="4" w:space="7" w:color="auto"/>
          <w:right w:val="double" w:sz="4" w:space="4" w:color="auto"/>
        </w:pBdr>
        <w:jc w:val="center"/>
        <w:rPr>
          <w:rFonts w:ascii="Times New Roman" w:hAnsi="Times New Roman" w:cs="Times New Roman"/>
          <w:b/>
          <w:i/>
          <w:noProof/>
          <w:sz w:val="24"/>
          <w:szCs w:val="24"/>
        </w:rPr>
      </w:pPr>
      <w:r>
        <w:rPr>
          <w:rFonts w:ascii="Times New Roman" w:hAnsi="Times New Roman"/>
          <w:b/>
          <w:i/>
          <w:noProof/>
          <w:sz w:val="24"/>
        </w:rPr>
        <w:t>MECANISME DE ASIGURARE A APLICĂRII COERENTE A STATUTULUI FUNCȚIONARILOR</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Ce sistem prevede Statutul funcționarilor pentru punerea sa în aplicare?</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În ce mod asigură Statutul funcționarilor o punere în aplicare consecventă a dispozițiilor acestuia?</w:t>
      </w:r>
    </w:p>
    <w:p>
      <w:pPr>
        <w:jc w:val="both"/>
        <w:rPr>
          <w:rFonts w:ascii="Times New Roman" w:hAnsi="Times New Roman" w:cs="Times New Roman"/>
          <w:noProof/>
          <w:sz w:val="24"/>
          <w:szCs w:val="24"/>
        </w:rPr>
      </w:pPr>
      <w:r>
        <w:rPr>
          <w:rFonts w:ascii="Times New Roman" w:hAnsi="Times New Roman"/>
          <w:noProof/>
          <w:sz w:val="24"/>
        </w:rPr>
        <w:t>Acest titlu prezintă diferitele tipuri de norme de punere în aplicare a Statutului funcționarilor și a RAA în sensul articolului 110 alineatul (6) din Statutul funcționarilor.</w:t>
      </w:r>
    </w:p>
    <w:p>
      <w:pPr>
        <w:jc w:val="both"/>
        <w:rPr>
          <w:rFonts w:ascii="Times New Roman" w:hAnsi="Times New Roman" w:cs="Times New Roman"/>
          <w:noProof/>
          <w:sz w:val="24"/>
          <w:szCs w:val="24"/>
        </w:rPr>
      </w:pPr>
      <w:r>
        <w:rPr>
          <w:rFonts w:ascii="Times New Roman" w:hAnsi="Times New Roman"/>
          <w:noProof/>
          <w:sz w:val="24"/>
        </w:rPr>
        <w:t xml:space="preserve">O caracteristică generală a tuturor acestor norme este aceea că nu privesc publicul larg. În consecință, acestea nu fac obiectul publicării în </w:t>
      </w:r>
      <w:r>
        <w:rPr>
          <w:rFonts w:ascii="Times New Roman" w:hAnsi="Times New Roman"/>
          <w:i/>
          <w:iCs/>
          <w:noProof/>
          <w:sz w:val="24"/>
        </w:rPr>
        <w:t>Jurnalul Oficial al Uniunii Europene</w:t>
      </w:r>
      <w:r>
        <w:rPr>
          <w:rFonts w:ascii="Times New Roman" w:hAnsi="Times New Roman"/>
          <w:noProof/>
          <w:sz w:val="24"/>
        </w:rPr>
        <w:t>. Cu toate acestea, pentru a fi opozabile personalului în cauză, normele trebuie să fie aduse la cunoștința personalului în conformitate cu articolul 110 alineatul (4) din Statutul funcționarilor.</w:t>
      </w:r>
    </w:p>
    <w:p>
      <w:pPr>
        <w:jc w:val="both"/>
        <w:rPr>
          <w:rFonts w:ascii="Times New Roman" w:hAnsi="Times New Roman" w:cs="Times New Roman"/>
          <w:noProof/>
          <w:sz w:val="24"/>
          <w:szCs w:val="24"/>
        </w:rPr>
      </w:pPr>
      <w:r>
        <w:rPr>
          <w:rFonts w:ascii="Times New Roman" w:hAnsi="Times New Roman"/>
          <w:noProof/>
          <w:sz w:val="24"/>
        </w:rPr>
        <w:t xml:space="preserve">Ar trebui remarcat încă de la bun început că, din 2014, cadrul legislativ a rămas neschimbat. Întrucât colegiuitorii nu au introdus noi tipuri de norme de punere în aplicare, prezentul raport va urma aceeași structură de prezentare ca și cele două rapoarte anterioare. </w:t>
      </w:r>
    </w:p>
    <w:p>
      <w:pPr>
        <w:jc w:val="both"/>
        <w:rPr>
          <w:rFonts w:ascii="Times New Roman" w:hAnsi="Times New Roman" w:cs="Times New Roman"/>
          <w:noProof/>
          <w:sz w:val="24"/>
          <w:szCs w:val="24"/>
        </w:rPr>
      </w:pPr>
      <w:r>
        <w:rPr>
          <w:rFonts w:ascii="Times New Roman" w:hAnsi="Times New Roman"/>
          <w:noProof/>
          <w:sz w:val="24"/>
        </w:rPr>
        <w:t>Următoarele norme se încadrează în domeniul de punere în aplicare a raportului</w:t>
      </w:r>
      <w:r>
        <w:rPr>
          <w:rStyle w:val="FootnoteReference"/>
          <w:rFonts w:ascii="Times New Roman" w:hAnsi="Times New Roman" w:cs="Times New Roman"/>
          <w:noProof/>
          <w:sz w:val="24"/>
          <w:szCs w:val="24"/>
        </w:rPr>
        <w:footnoteReference w:id="9"/>
      </w:r>
      <w:r>
        <w:rPr>
          <w:rStyle w:val="FootnoteReference"/>
          <w:rFonts w:ascii="Times New Roman" w:hAnsi="Times New Roman" w:cs="Times New Roman"/>
          <w:noProof/>
          <w:sz w:val="24"/>
          <w:szCs w:val="24"/>
        </w:rPr>
        <w:footnoteReference w:id="10"/>
      </w:r>
      <w:r>
        <w:rPr>
          <w:noProof/>
        </w:rPr>
        <w:t>:</w:t>
      </w:r>
    </w:p>
    <w:p>
      <w:pPr>
        <w:pStyle w:val="Heading2"/>
        <w:spacing w:before="360" w:after="240"/>
        <w:rPr>
          <w:rFonts w:ascii="Times New Roman" w:hAnsi="Times New Roman" w:cs="Times New Roman"/>
          <w:noProof/>
        </w:rPr>
      </w:pPr>
      <w:bookmarkStart w:id="2" w:name="_Toc238715621"/>
      <w:r>
        <w:rPr>
          <w:rFonts w:ascii="Times New Roman" w:hAnsi="Times New Roman"/>
          <w:noProof/>
        </w:rPr>
        <w:t>a)</w:t>
      </w:r>
      <w:r>
        <w:rPr>
          <w:noProof/>
        </w:rPr>
        <w:tab/>
      </w:r>
      <w:r>
        <w:rPr>
          <w:rFonts w:ascii="Times New Roman" w:hAnsi="Times New Roman"/>
          <w:noProof/>
        </w:rPr>
        <w:t>Norme adoptate de comun acord între instituțiile Uniunii („Règles arrêtées d’un comun acord”)</w:t>
      </w:r>
      <w:bookmarkEnd w:id="2"/>
    </w:p>
    <w:p>
      <w:pPr>
        <w:jc w:val="both"/>
        <w:rPr>
          <w:rFonts w:ascii="Times New Roman" w:hAnsi="Times New Roman" w:cs="Times New Roman"/>
          <w:noProof/>
          <w:sz w:val="24"/>
          <w:szCs w:val="24"/>
        </w:rPr>
      </w:pPr>
      <w:r>
        <w:rPr>
          <w:rFonts w:ascii="Times New Roman" w:hAnsi="Times New Roman"/>
          <w:noProof/>
          <w:sz w:val="24"/>
        </w:rPr>
        <w:t>Statutul funcționarilor și RAA prevăd că, pentru aplicarea anumitor dispoziții, normele trebuie adoptate de comun acord între instituțiile Uniunii</w:t>
      </w:r>
      <w:r>
        <w:rPr>
          <w:rStyle w:val="FootnoteReference"/>
          <w:rFonts w:ascii="Times New Roman" w:hAnsi="Times New Roman" w:cs="Times New Roman"/>
          <w:noProof/>
          <w:sz w:val="24"/>
          <w:szCs w:val="24"/>
        </w:rPr>
        <w:footnoteReference w:id="11"/>
      </w:r>
      <w:r>
        <w:rPr>
          <w:rFonts w:ascii="Times New Roman" w:hAnsi="Times New Roman"/>
          <w:noProof/>
          <w:sz w:val="24"/>
        </w:rPr>
        <w:t>. Acestea se referă la următoarele aspecte:</w:t>
      </w:r>
    </w:p>
    <w:p>
      <w:pPr>
        <w:pBdr>
          <w:top w:val="single" w:sz="4" w:space="1" w:color="auto"/>
          <w:left w:val="single" w:sz="4" w:space="4" w:color="auto"/>
          <w:bottom w:val="single" w:sz="4" w:space="8" w:color="auto"/>
          <w:right w:val="single" w:sz="4" w:space="4" w:color="auto"/>
        </w:pBdr>
        <w:jc w:val="center"/>
        <w:rPr>
          <w:rFonts w:ascii="Times New Roman" w:hAnsi="Times New Roman" w:cs="Times New Roman"/>
          <w:b/>
          <w:i/>
          <w:noProof/>
          <w:sz w:val="24"/>
          <w:szCs w:val="24"/>
        </w:rPr>
      </w:pPr>
      <w:r>
        <w:rPr>
          <w:rFonts w:ascii="Times New Roman" w:hAnsi="Times New Roman"/>
          <w:b/>
          <w:i/>
          <w:noProof/>
          <w:sz w:val="24"/>
        </w:rPr>
        <w:lastRenderedPageBreak/>
        <w:t>Statutul funcționarilor</w:t>
      </w:r>
    </w:p>
    <w:p>
      <w:pPr>
        <w:pBdr>
          <w:top w:val="single" w:sz="4" w:space="1" w:color="auto"/>
          <w:left w:val="single" w:sz="4" w:space="4" w:color="auto"/>
          <w:bottom w:val="single" w:sz="4" w:space="8"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Articolul 9 + anexa II, articolul 2</w:t>
      </w:r>
      <w:r>
        <w:rPr>
          <w:noProof/>
        </w:rPr>
        <w:tab/>
      </w:r>
      <w:r>
        <w:rPr>
          <w:rFonts w:ascii="Times New Roman" w:hAnsi="Times New Roman"/>
          <w:noProof/>
          <w:sz w:val="20"/>
        </w:rPr>
        <w:t>Procedura de constituire a comisiei paritare comune (COPARCO)</w:t>
      </w:r>
    </w:p>
    <w:p>
      <w:pPr>
        <w:pBdr>
          <w:top w:val="single" w:sz="4" w:space="1" w:color="auto"/>
          <w:left w:val="single" w:sz="4" w:space="4" w:color="auto"/>
          <w:bottom w:val="single" w:sz="4" w:space="8"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Articolul 10 alineatul (1)</w:t>
      </w:r>
      <w:r>
        <w:rPr>
          <w:noProof/>
        </w:rPr>
        <w:tab/>
      </w:r>
      <w:r>
        <w:rPr>
          <w:noProof/>
        </w:rPr>
        <w:tab/>
      </w:r>
      <w:r>
        <w:rPr>
          <w:rFonts w:ascii="Times New Roman" w:hAnsi="Times New Roman"/>
          <w:noProof/>
          <w:sz w:val="20"/>
        </w:rPr>
        <w:t>Modalitățile de stabilire a componenței Comitetului pentru statutul funcționarilor</w:t>
      </w:r>
    </w:p>
    <w:p>
      <w:pPr>
        <w:pBdr>
          <w:top w:val="single" w:sz="4" w:space="1" w:color="auto"/>
          <w:left w:val="single" w:sz="4" w:space="4" w:color="auto"/>
          <w:bottom w:val="single" w:sz="4" w:space="8"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noProof/>
          <w:sz w:val="20"/>
        </w:rPr>
        <w:t>Articolul 37 litera (b)</w:t>
      </w:r>
      <w:r>
        <w:rPr>
          <w:noProof/>
        </w:rPr>
        <w:tab/>
      </w:r>
      <w:r>
        <w:rPr>
          <w:rFonts w:ascii="Times New Roman" w:hAnsi="Times New Roman"/>
          <w:noProof/>
          <w:sz w:val="20"/>
        </w:rPr>
        <w:t>Norme comune privind stabilirea unei liste a organizațiilor dedicate promovării intereselor Uniunii</w:t>
      </w:r>
    </w:p>
    <w:p>
      <w:pPr>
        <w:pBdr>
          <w:top w:val="single" w:sz="4" w:space="1" w:color="auto"/>
          <w:left w:val="single" w:sz="4" w:space="4" w:color="auto"/>
          <w:bottom w:val="single" w:sz="4" w:space="8"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Articolul 45 alineatul (2)</w:t>
      </w:r>
      <w:r>
        <w:rPr>
          <w:noProof/>
        </w:rPr>
        <w:tab/>
      </w:r>
      <w:r>
        <w:rPr>
          <w:noProof/>
        </w:rPr>
        <w:tab/>
      </w:r>
      <w:r>
        <w:rPr>
          <w:rFonts w:ascii="Times New Roman" w:hAnsi="Times New Roman"/>
          <w:noProof/>
          <w:sz w:val="20"/>
        </w:rPr>
        <w:t>Capacitatea de a lucra într-o a treia limbă înaintea primei promovări</w:t>
      </w:r>
    </w:p>
    <w:p>
      <w:pPr>
        <w:pBdr>
          <w:top w:val="single" w:sz="4" w:space="1" w:color="auto"/>
          <w:left w:val="single" w:sz="4" w:space="4" w:color="auto"/>
          <w:bottom w:val="single" w:sz="4" w:space="8"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Articolul 57</w:t>
      </w:r>
      <w:r>
        <w:rPr>
          <w:noProof/>
        </w:rPr>
        <w:tab/>
      </w:r>
      <w:r>
        <w:rPr>
          <w:noProof/>
        </w:rPr>
        <w:tab/>
      </w:r>
      <w:r>
        <w:rPr>
          <w:noProof/>
        </w:rPr>
        <w:tab/>
      </w:r>
      <w:r>
        <w:rPr>
          <w:rFonts w:ascii="Times New Roman" w:hAnsi="Times New Roman"/>
          <w:noProof/>
          <w:sz w:val="20"/>
        </w:rPr>
        <w:t>Concediul anual</w:t>
      </w:r>
    </w:p>
    <w:p>
      <w:pPr>
        <w:pBdr>
          <w:top w:val="single" w:sz="4" w:space="1" w:color="auto"/>
          <w:left w:val="single" w:sz="4" w:space="4" w:color="auto"/>
          <w:bottom w:val="single" w:sz="4" w:space="8"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Articolul 61</w:t>
      </w:r>
      <w:r>
        <w:rPr>
          <w:noProof/>
        </w:rPr>
        <w:tab/>
      </w:r>
      <w:r>
        <w:rPr>
          <w:noProof/>
        </w:rPr>
        <w:tab/>
      </w:r>
      <w:r>
        <w:rPr>
          <w:noProof/>
        </w:rPr>
        <w:tab/>
      </w:r>
      <w:r>
        <w:rPr>
          <w:rFonts w:ascii="Times New Roman" w:hAnsi="Times New Roman"/>
          <w:noProof/>
          <w:sz w:val="20"/>
        </w:rPr>
        <w:t>Lista sărbătorilor legale</w:t>
      </w:r>
    </w:p>
    <w:p>
      <w:pPr>
        <w:pBdr>
          <w:top w:val="single" w:sz="4" w:space="1" w:color="auto"/>
          <w:left w:val="single" w:sz="4" w:space="4" w:color="auto"/>
          <w:bottom w:val="single" w:sz="4" w:space="8"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Articolul 72 alineatul (1)</w:t>
      </w:r>
      <w:r>
        <w:rPr>
          <w:noProof/>
        </w:rPr>
        <w:tab/>
      </w:r>
      <w:r>
        <w:rPr>
          <w:noProof/>
        </w:rPr>
        <w:tab/>
      </w:r>
      <w:r>
        <w:rPr>
          <w:rFonts w:ascii="Times New Roman" w:hAnsi="Times New Roman"/>
          <w:noProof/>
          <w:sz w:val="20"/>
        </w:rPr>
        <w:t>Asigurarea de sănătate</w:t>
      </w:r>
    </w:p>
    <w:p>
      <w:pPr>
        <w:pBdr>
          <w:top w:val="single" w:sz="4" w:space="1" w:color="auto"/>
          <w:left w:val="single" w:sz="4" w:space="4" w:color="auto"/>
          <w:bottom w:val="single" w:sz="4" w:space="8"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Articolul 73 alineatul (1)</w:t>
      </w:r>
      <w:r>
        <w:rPr>
          <w:noProof/>
        </w:rPr>
        <w:tab/>
      </w:r>
      <w:r>
        <w:rPr>
          <w:noProof/>
        </w:rPr>
        <w:tab/>
      </w:r>
      <w:r>
        <w:rPr>
          <w:rFonts w:ascii="Times New Roman" w:hAnsi="Times New Roman"/>
          <w:noProof/>
          <w:sz w:val="20"/>
        </w:rPr>
        <w:t>Asigurarea împotriva riscurilor de boală profesională sau de accident</w:t>
      </w:r>
    </w:p>
    <w:p>
      <w:pPr>
        <w:pBdr>
          <w:top w:val="single" w:sz="4" w:space="1" w:color="auto"/>
          <w:left w:val="single" w:sz="4" w:space="4" w:color="auto"/>
          <w:bottom w:val="single" w:sz="4" w:space="8"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noProof/>
          <w:sz w:val="20"/>
        </w:rPr>
        <w:t>Articolul 76a</w:t>
      </w:r>
      <w:r>
        <w:rPr>
          <w:noProof/>
        </w:rPr>
        <w:tab/>
      </w:r>
      <w:r>
        <w:rPr>
          <w:rFonts w:ascii="Times New Roman" w:hAnsi="Times New Roman"/>
          <w:noProof/>
          <w:sz w:val="20"/>
        </w:rPr>
        <w:t>Ajutoare financiare pentru majorarea pensiei unui soț supraviețuitor care suferă de o boală gravă sau de durată sau care are un handicap</w:t>
      </w:r>
    </w:p>
    <w:p>
      <w:pPr>
        <w:pBdr>
          <w:top w:val="single" w:sz="4" w:space="1" w:color="auto"/>
          <w:left w:val="single" w:sz="4" w:space="4" w:color="auto"/>
          <w:bottom w:val="single" w:sz="4" w:space="8"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Anexa VII, articolul 17 alineatul (2)</w:t>
      </w:r>
      <w:r>
        <w:rPr>
          <w:noProof/>
        </w:rPr>
        <w:tab/>
      </w:r>
      <w:r>
        <w:rPr>
          <w:rFonts w:ascii="Times New Roman" w:hAnsi="Times New Roman"/>
          <w:noProof/>
          <w:sz w:val="20"/>
        </w:rPr>
        <w:t>Transferul regulat special al unei părți a remunerației</w:t>
      </w:r>
    </w:p>
    <w:p>
      <w:pPr>
        <w:pBdr>
          <w:top w:val="single" w:sz="4" w:space="1" w:color="auto"/>
          <w:left w:val="single" w:sz="4" w:space="4" w:color="auto"/>
          <w:bottom w:val="single" w:sz="4" w:space="8" w:color="auto"/>
          <w:right w:val="single" w:sz="4" w:space="4" w:color="auto"/>
        </w:pBdr>
        <w:ind w:left="1440" w:hanging="1440"/>
        <w:jc w:val="center"/>
        <w:rPr>
          <w:rFonts w:ascii="Times New Roman" w:hAnsi="Times New Roman" w:cs="Times New Roman"/>
          <w:b/>
          <w:i/>
          <w:noProof/>
          <w:sz w:val="24"/>
          <w:szCs w:val="24"/>
        </w:rPr>
      </w:pPr>
      <w:r>
        <w:rPr>
          <w:rFonts w:ascii="Times New Roman" w:hAnsi="Times New Roman"/>
          <w:b/>
          <w:i/>
          <w:noProof/>
          <w:sz w:val="24"/>
        </w:rPr>
        <w:t>Regimul aplicabil celorlalți agenți</w:t>
      </w:r>
    </w:p>
    <w:p>
      <w:pPr>
        <w:pBdr>
          <w:top w:val="single" w:sz="4" w:space="1" w:color="auto"/>
          <w:left w:val="single" w:sz="4" w:space="4" w:color="auto"/>
          <w:bottom w:val="single" w:sz="4" w:space="8" w:color="auto"/>
          <w:right w:val="single" w:sz="4" w:space="4" w:color="auto"/>
        </w:pBdr>
        <w:ind w:left="2880" w:hanging="2880"/>
        <w:jc w:val="both"/>
        <w:rPr>
          <w:rFonts w:ascii="Times New Roman" w:hAnsi="Times New Roman" w:cs="Times New Roman"/>
          <w:noProof/>
          <w:sz w:val="24"/>
          <w:szCs w:val="24"/>
        </w:rPr>
      </w:pPr>
      <w:r>
        <w:rPr>
          <w:rFonts w:ascii="Times New Roman" w:hAnsi="Times New Roman"/>
          <w:noProof/>
          <w:sz w:val="20"/>
        </w:rPr>
        <w:t>Articolul 28a alineatul (10)</w:t>
      </w:r>
      <w:r>
        <w:rPr>
          <w:noProof/>
        </w:rPr>
        <w:tab/>
      </w:r>
      <w:r>
        <w:rPr>
          <w:rFonts w:ascii="Times New Roman" w:hAnsi="Times New Roman"/>
          <w:noProof/>
          <w:sz w:val="20"/>
        </w:rPr>
        <w:t>Modalitățile practice detaliate de punere în aplicare a dispozițiilor privind acordarea unei indemnizații de șomaj agenților temporari</w:t>
      </w:r>
    </w:p>
    <w:p>
      <w:pPr>
        <w:pStyle w:val="Heading2"/>
        <w:spacing w:before="360" w:after="240"/>
        <w:rPr>
          <w:rFonts w:ascii="Times New Roman" w:hAnsi="Times New Roman" w:cs="Times New Roman"/>
          <w:noProof/>
        </w:rPr>
      </w:pPr>
      <w:bookmarkStart w:id="3" w:name="_Toc238715622"/>
      <w:r>
        <w:rPr>
          <w:rFonts w:ascii="Times New Roman" w:hAnsi="Times New Roman"/>
          <w:noProof/>
        </w:rPr>
        <w:t>b)</w:t>
      </w:r>
      <w:r>
        <w:rPr>
          <w:noProof/>
        </w:rPr>
        <w:tab/>
      </w:r>
      <w:r>
        <w:rPr>
          <w:rFonts w:ascii="Times New Roman" w:hAnsi="Times New Roman"/>
          <w:noProof/>
        </w:rPr>
        <w:t>Dispoziții generale de punere în aplicare („Dispositions générales d'exécution”)</w:t>
      </w:r>
      <w:bookmarkEnd w:id="3"/>
    </w:p>
    <w:p>
      <w:pPr>
        <w:jc w:val="both"/>
        <w:rPr>
          <w:rFonts w:ascii="Times New Roman" w:hAnsi="Times New Roman" w:cs="Times New Roman"/>
          <w:noProof/>
          <w:sz w:val="24"/>
          <w:szCs w:val="24"/>
        </w:rPr>
      </w:pPr>
      <w:r>
        <w:rPr>
          <w:rFonts w:ascii="Times New Roman" w:hAnsi="Times New Roman"/>
          <w:noProof/>
          <w:sz w:val="24"/>
        </w:rPr>
        <w:t>Statutul funcționarilor și RAA acordă autorității împuternicite să facă numiri, respectiv autorității abilitate să încheie contracte de muncă, competențe specifice de a adopta dispoziții generale de punere în aplicare</w:t>
      </w:r>
      <w:r>
        <w:rPr>
          <w:rStyle w:val="FootnoteReference"/>
          <w:rFonts w:ascii="Times New Roman" w:hAnsi="Times New Roman" w:cs="Times New Roman"/>
          <w:noProof/>
          <w:sz w:val="24"/>
          <w:szCs w:val="24"/>
        </w:rPr>
        <w:footnoteReference w:id="12"/>
      </w:r>
      <w:r>
        <w:rPr>
          <w:rFonts w:ascii="Times New Roman" w:hAnsi="Times New Roman"/>
          <w:noProof/>
          <w:sz w:val="24"/>
        </w:rPr>
        <w:t>. Acestea se referă la următoarele aspecte:</w:t>
      </w:r>
    </w:p>
    <w:p>
      <w:pPr>
        <w:keepNext/>
        <w:pBdr>
          <w:top w:val="single" w:sz="4" w:space="1" w:color="auto"/>
          <w:left w:val="single" w:sz="4" w:space="4" w:color="auto"/>
          <w:bottom w:val="single" w:sz="4" w:space="1" w:color="auto"/>
          <w:right w:val="single" w:sz="4" w:space="4" w:color="auto"/>
        </w:pBdr>
        <w:jc w:val="center"/>
        <w:rPr>
          <w:rFonts w:ascii="Times New Roman" w:hAnsi="Times New Roman" w:cs="Times New Roman"/>
          <w:b/>
          <w:i/>
          <w:noProof/>
          <w:sz w:val="24"/>
          <w:szCs w:val="24"/>
        </w:rPr>
      </w:pPr>
      <w:r>
        <w:rPr>
          <w:rFonts w:ascii="Times New Roman" w:hAnsi="Times New Roman"/>
          <w:b/>
          <w:i/>
          <w:noProof/>
          <w:sz w:val="24"/>
        </w:rPr>
        <w:t>Statutul funcționarilor</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noProof/>
          <w:sz w:val="20"/>
          <w:szCs w:val="20"/>
        </w:rPr>
      </w:pPr>
      <w:r>
        <w:rPr>
          <w:rFonts w:ascii="Times New Roman" w:hAnsi="Times New Roman"/>
          <w:noProof/>
          <w:sz w:val="20"/>
        </w:rPr>
        <w:t>Articolul 27 alineatul (2)</w:t>
      </w:r>
      <w:r>
        <w:rPr>
          <w:noProof/>
        </w:rPr>
        <w:tab/>
      </w:r>
      <w:r>
        <w:rPr>
          <w:rFonts w:ascii="Times New Roman" w:hAnsi="Times New Roman"/>
          <w:noProof/>
          <w:sz w:val="20"/>
        </w:rPr>
        <w:t>Măsuri corespunzătoare în urma constatării unui dezechilibru semnificativ între naționalități în rândul funcționarilor</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Articolul 32 alineatul (2)</w:t>
      </w:r>
      <w:r>
        <w:rPr>
          <w:noProof/>
        </w:rPr>
        <w:tab/>
      </w:r>
      <w:r>
        <w:rPr>
          <w:rFonts w:ascii="Times New Roman" w:hAnsi="Times New Roman"/>
          <w:noProof/>
          <w:sz w:val="20"/>
        </w:rPr>
        <w:t>Încadrarea în treaptă la recrutare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Articolul 42a</w:t>
      </w:r>
      <w:r>
        <w:rPr>
          <w:noProof/>
        </w:rPr>
        <w:tab/>
      </w:r>
      <w:r>
        <w:rPr>
          <w:noProof/>
        </w:rPr>
        <w:tab/>
      </w:r>
      <w:r>
        <w:rPr>
          <w:rFonts w:ascii="Times New Roman" w:hAnsi="Times New Roman"/>
          <w:noProof/>
          <w:sz w:val="20"/>
        </w:rPr>
        <w:t>Concediul pentru creșterea copilului, familii monoparentale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Articolul 43</w:t>
      </w:r>
      <w:r>
        <w:rPr>
          <w:noProof/>
        </w:rPr>
        <w:tab/>
      </w:r>
      <w:r>
        <w:rPr>
          <w:noProof/>
        </w:rPr>
        <w:tab/>
      </w:r>
      <w:r>
        <w:rPr>
          <w:rFonts w:ascii="Times New Roman" w:hAnsi="Times New Roman"/>
          <w:noProof/>
          <w:sz w:val="20"/>
        </w:rPr>
        <w:t>Raportul anual privind competența, eficiența și conduita în serviciu</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noProof/>
          <w:sz w:val="20"/>
          <w:szCs w:val="20"/>
        </w:rPr>
      </w:pPr>
      <w:r>
        <w:rPr>
          <w:rFonts w:ascii="Times New Roman" w:hAnsi="Times New Roman"/>
          <w:noProof/>
          <w:sz w:val="20"/>
        </w:rPr>
        <w:t>Articolul 45a alineatul (5)</w:t>
      </w:r>
      <w:r>
        <w:rPr>
          <w:noProof/>
        </w:rPr>
        <w:tab/>
      </w:r>
      <w:r>
        <w:rPr>
          <w:rFonts w:ascii="Times New Roman" w:hAnsi="Times New Roman"/>
          <w:noProof/>
          <w:sz w:val="20"/>
        </w:rPr>
        <w:t>Numirea unui funcționar încadrat în grupa de funcții AST într-un post din grupa de funcții AD („certificare”)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lastRenderedPageBreak/>
        <w:t>Articolul 72 alineatul (1)</w:t>
      </w:r>
      <w:r>
        <w:rPr>
          <w:noProof/>
        </w:rPr>
        <w:tab/>
      </w:r>
      <w:r>
        <w:rPr>
          <w:noProof/>
        </w:rPr>
        <w:tab/>
      </w:r>
      <w:r>
        <w:rPr>
          <w:rFonts w:ascii="Times New Roman" w:hAnsi="Times New Roman"/>
          <w:noProof/>
          <w:sz w:val="20"/>
        </w:rPr>
        <w:t>Rambursarea cheltuielilor medicale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Anexa VII, articolul 3 alineatul (1)</w:t>
      </w:r>
      <w:r>
        <w:rPr>
          <w:noProof/>
        </w:rPr>
        <w:tab/>
      </w:r>
      <w:r>
        <w:rPr>
          <w:rFonts w:ascii="Times New Roman" w:hAnsi="Times New Roman"/>
          <w:noProof/>
          <w:sz w:val="20"/>
        </w:rPr>
        <w:t>Alocația școlară</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Anexa VII, articolul 9 alineatul (1)</w:t>
      </w:r>
      <w:r>
        <w:rPr>
          <w:noProof/>
        </w:rPr>
        <w:tab/>
      </w:r>
      <w:r>
        <w:rPr>
          <w:rFonts w:ascii="Times New Roman" w:hAnsi="Times New Roman"/>
          <w:noProof/>
          <w:sz w:val="20"/>
        </w:rPr>
        <w:t>Cheltuieli de mutare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Anexa VII, articolul 13a</w:t>
      </w:r>
      <w:r>
        <w:rPr>
          <w:noProof/>
        </w:rPr>
        <w:tab/>
      </w:r>
      <w:r>
        <w:rPr>
          <w:noProof/>
        </w:rPr>
        <w:tab/>
      </w:r>
      <w:r>
        <w:rPr>
          <w:rFonts w:ascii="Times New Roman" w:hAnsi="Times New Roman"/>
          <w:noProof/>
          <w:sz w:val="20"/>
        </w:rPr>
        <w:t>Delegațiile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Anexa VII, articolul 13 alineatul (2) litera (b)</w:t>
      </w:r>
      <w:r>
        <w:rPr>
          <w:rFonts w:ascii="Times New Roman" w:hAnsi="Times New Roman"/>
          <w:noProof/>
          <w:sz w:val="20"/>
        </w:rPr>
        <w:tab/>
        <w:t>Baremul aplicabil delegațiilor efectuate în țări terțe</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noProof/>
          <w:sz w:val="20"/>
        </w:rPr>
        <w:t>Anexa VIII, articolul 11 alineatul (2)</w:t>
      </w:r>
      <w:r>
        <w:rPr>
          <w:rFonts w:ascii="Times New Roman" w:hAnsi="Times New Roman"/>
          <w:noProof/>
          <w:sz w:val="20"/>
        </w:rPr>
        <w:tab/>
        <w:t xml:space="preserve">Transferul drepturilor de pensie către sistemul european de pensii (transfer „IN”)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Anexa IX, articolul 2 alineatul (3)</w:t>
      </w:r>
      <w:r>
        <w:rPr>
          <w:noProof/>
        </w:rPr>
        <w:tab/>
      </w:r>
      <w:r>
        <w:rPr>
          <w:rFonts w:ascii="Times New Roman" w:hAnsi="Times New Roman"/>
          <w:noProof/>
          <w:sz w:val="20"/>
        </w:rPr>
        <w:t>Anchete administrative</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noProof/>
          <w:sz w:val="20"/>
        </w:rPr>
        <w:t>Anexa X, articolul 3</w:t>
      </w:r>
      <w:r>
        <w:rPr>
          <w:rStyle w:val="FootnoteReference"/>
          <w:rFonts w:ascii="Times New Roman" w:hAnsi="Times New Roman" w:cs="Times New Roman"/>
          <w:noProof/>
          <w:sz w:val="20"/>
          <w:szCs w:val="20"/>
        </w:rPr>
        <w:footnoteReference w:id="13"/>
      </w:r>
      <w:r>
        <w:rPr>
          <w:noProof/>
        </w:rPr>
        <w:tab/>
      </w:r>
      <w:r>
        <w:rPr>
          <w:rFonts w:ascii="Times New Roman" w:hAnsi="Times New Roman"/>
          <w:noProof/>
          <w:sz w:val="20"/>
        </w:rPr>
        <w:t>Punerea în aplicare, cu titlu derogatoriu, a anexei X la agenții repartizați temporar la sediu</w:t>
      </w:r>
    </w:p>
    <w:p>
      <w:pPr>
        <w:pBdr>
          <w:top w:val="single" w:sz="4" w:space="1" w:color="auto"/>
          <w:left w:val="single" w:sz="4" w:space="4" w:color="auto"/>
          <w:bottom w:val="single" w:sz="4" w:space="1" w:color="auto"/>
          <w:right w:val="single" w:sz="4" w:space="4" w:color="auto"/>
        </w:pBdr>
        <w:ind w:left="1440" w:hanging="1440"/>
        <w:jc w:val="center"/>
        <w:rPr>
          <w:rFonts w:ascii="Times New Roman" w:hAnsi="Times New Roman" w:cs="Times New Roman"/>
          <w:b/>
          <w:i/>
          <w:noProof/>
          <w:sz w:val="24"/>
          <w:szCs w:val="24"/>
        </w:rPr>
      </w:pPr>
      <w:r>
        <w:rPr>
          <w:rFonts w:ascii="Times New Roman" w:hAnsi="Times New Roman"/>
          <w:b/>
          <w:i/>
          <w:noProof/>
          <w:sz w:val="24"/>
        </w:rPr>
        <w:t>Regimul aplicabil celorlalți agenți</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noProof/>
          <w:sz w:val="20"/>
          <w:szCs w:val="20"/>
        </w:rPr>
      </w:pPr>
      <w:r>
        <w:rPr>
          <w:rFonts w:ascii="Times New Roman" w:hAnsi="Times New Roman"/>
          <w:noProof/>
          <w:sz w:val="20"/>
        </w:rPr>
        <w:t>Articolul 12 alineatul (1)</w:t>
      </w:r>
      <w:r>
        <w:rPr>
          <w:noProof/>
        </w:rPr>
        <w:tab/>
      </w:r>
      <w:r>
        <w:rPr>
          <w:rFonts w:ascii="Times New Roman" w:hAnsi="Times New Roman"/>
          <w:noProof/>
          <w:sz w:val="20"/>
        </w:rPr>
        <w:t>Măsuri corespunzătoare în urma constatării unui dezechilibru semnificativ între naționalitățile agenților temporari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Articolul 12 alineatul (5)</w:t>
      </w:r>
      <w:r>
        <w:rPr>
          <w:noProof/>
        </w:rPr>
        <w:tab/>
      </w:r>
      <w:r>
        <w:rPr>
          <w:rFonts w:ascii="Times New Roman" w:hAnsi="Times New Roman"/>
          <w:noProof/>
          <w:sz w:val="20"/>
        </w:rPr>
        <w:t>Procedurile de recrutare a agenților temporari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Articolul 54</w:t>
      </w:r>
      <w:r>
        <w:rPr>
          <w:noProof/>
        </w:rPr>
        <w:tab/>
      </w:r>
      <w:r>
        <w:rPr>
          <w:noProof/>
        </w:rPr>
        <w:tab/>
      </w:r>
      <w:r>
        <w:rPr>
          <w:rFonts w:ascii="Times New Roman" w:hAnsi="Times New Roman"/>
          <w:noProof/>
          <w:sz w:val="20"/>
        </w:rPr>
        <w:t>Reclasificarea agenților temporari menționați la articolul 2 litera (f)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Articolul 56</w:t>
      </w:r>
      <w:r>
        <w:rPr>
          <w:noProof/>
        </w:rPr>
        <w:tab/>
      </w:r>
      <w:r>
        <w:rPr>
          <w:noProof/>
        </w:rPr>
        <w:tab/>
      </w:r>
      <w:r>
        <w:rPr>
          <w:rFonts w:ascii="Times New Roman" w:hAnsi="Times New Roman"/>
          <w:noProof/>
          <w:sz w:val="20"/>
        </w:rPr>
        <w:t>Angajarea și utilizarea agenților temporari menționați la articolul 2 litera (f)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Articolul 79</w:t>
      </w:r>
      <w:r>
        <w:rPr>
          <w:noProof/>
        </w:rPr>
        <w:tab/>
      </w:r>
      <w:r>
        <w:rPr>
          <w:noProof/>
        </w:rPr>
        <w:tab/>
      </w:r>
      <w:r>
        <w:rPr>
          <w:rFonts w:ascii="Times New Roman" w:hAnsi="Times New Roman"/>
          <w:noProof/>
          <w:sz w:val="20"/>
        </w:rPr>
        <w:t>Utilizarea agenților contractuali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Articolul 82 alineatul (6)</w:t>
      </w:r>
      <w:r>
        <w:rPr>
          <w:noProof/>
        </w:rPr>
        <w:tab/>
      </w:r>
      <w:r>
        <w:rPr>
          <w:rFonts w:ascii="Times New Roman" w:hAnsi="Times New Roman"/>
          <w:noProof/>
          <w:sz w:val="20"/>
        </w:rPr>
        <w:t>Angajarea agenților contractuali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Articolul 86 alineatul (1)</w:t>
      </w:r>
      <w:r>
        <w:rPr>
          <w:noProof/>
        </w:rPr>
        <w:tab/>
      </w:r>
      <w:r>
        <w:rPr>
          <w:rFonts w:ascii="Times New Roman" w:hAnsi="Times New Roman"/>
          <w:noProof/>
          <w:sz w:val="20"/>
        </w:rPr>
        <w:t>Încadrarea în grupă a agenților contractuali</w:t>
      </w:r>
    </w:p>
    <w:p>
      <w:pPr>
        <w:jc w:val="both"/>
        <w:rPr>
          <w:rFonts w:ascii="Times New Roman" w:hAnsi="Times New Roman" w:cs="Times New Roman"/>
          <w:noProof/>
          <w:sz w:val="24"/>
          <w:szCs w:val="24"/>
        </w:rPr>
      </w:pPr>
      <w:r>
        <w:rPr>
          <w:rFonts w:ascii="Times New Roman" w:hAnsi="Times New Roman"/>
          <w:noProof/>
          <w:sz w:val="24"/>
        </w:rPr>
        <w:t>Spre deosebire de normele adoptate prin acord între instituții, conținutul dispozițiilor generale de punere în aplicare este stabilit de fiecare instituție</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în conformitate cu principiul autonomiei fiecărei instituții în calitate de angajator, astfel cum este recunoscut la articolul 13 alineatul (2) din Tratatul privind Uniunea Europeană și la articolul 298 din Tratatul privind funcționarea Uniunii Europene</w:t>
      </w:r>
      <w:r>
        <w:rPr>
          <w:rStyle w:val="FootnoteReference"/>
          <w:rFonts w:ascii="Times New Roman" w:hAnsi="Times New Roman" w:cs="Times New Roman"/>
          <w:noProof/>
          <w:sz w:val="24"/>
          <w:szCs w:val="24"/>
        </w:rPr>
        <w:footnoteReference w:id="15"/>
      </w:r>
      <w:r>
        <w:rPr>
          <w:noProof/>
        </w:rPr>
        <w:t>.</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lastRenderedPageBreak/>
        <w:t>Dispozițiile generale de punere în aplicare sunt adoptate de autoritatea competentă a fiecărei instituții după consultarea Comitetului pentru personal și a Comitetului pentru Statutul funcționarilor, în temeiul articolului 110 alineatul (1) din Statutul funcționarilor și al articolului 141 primul paragraf din RAA</w:t>
      </w:r>
      <w:r>
        <w:rPr>
          <w:rStyle w:val="FootnoteReference"/>
          <w:rFonts w:ascii="Times New Roman" w:hAnsi="Times New Roman" w:cs="Times New Roman"/>
          <w:noProof/>
          <w:sz w:val="24"/>
          <w:szCs w:val="24"/>
        </w:rPr>
        <w:footnoteReference w:id="16"/>
      </w:r>
      <w:r>
        <w:rPr>
          <w:noProof/>
        </w:rPr>
        <w:t>.</w:t>
      </w:r>
      <w:r>
        <w:rPr>
          <w:rFonts w:ascii="Times New Roman" w:hAnsi="Times New Roman"/>
          <w:noProof/>
          <w:sz w:val="24"/>
        </w:rPr>
        <w:t xml:space="preserve"> Articolul 142 din RAA prevede că dispozițiile generale de punere în aplicare menționate la articolul 110 din Statutul funcționarilor li se aplică agenților vizați de RAA cărora, în temeiul RAA, li se aplică dispozițiile Statutului funcționarilor.</w:t>
      </w:r>
    </w:p>
    <w:p>
      <w:pPr>
        <w:jc w:val="both"/>
        <w:rPr>
          <w:rFonts w:ascii="Times New Roman" w:hAnsi="Times New Roman" w:cs="Times New Roman"/>
          <w:noProof/>
          <w:sz w:val="24"/>
          <w:szCs w:val="24"/>
        </w:rPr>
      </w:pPr>
      <w:r>
        <w:rPr>
          <w:rFonts w:ascii="Times New Roman" w:hAnsi="Times New Roman"/>
          <w:noProof/>
          <w:sz w:val="24"/>
        </w:rPr>
        <w:t xml:space="preserve">În conformitate cu jurisprudența Curții de Justiție a Uniunii Europene, </w:t>
      </w:r>
      <w:r>
        <w:rPr>
          <w:rFonts w:ascii="Times New Roman" w:hAnsi="Times New Roman"/>
          <w:noProof/>
          <w:color w:val="000000"/>
          <w:sz w:val="24"/>
        </w:rPr>
        <w:t xml:space="preserve">expresia „dispoziții generale de punere în aplicare” de la articolul 110 alineatul (1) din Statutul funcționarilor se referă, în primul rând, la dispozițiile generale de punere în aplicare prevăzute în mod expres de anumite dispoziții speciale ale Statutului funcționarilor. Cu toate acestea, în împrejurări excepționale, poate apărea obligația de a adopta norme de punere în aplicare supuse cerințelor procedurale prevăzute la articolul 110 alineatul (1) din Statutul funcționarilor și atunci când statutul nu prevede în mod expres adoptarea de dispoziții generale de punere în aplicare. Potrivit Curții, așa ar putea sta lucrurile </w:t>
      </w:r>
      <w:r>
        <w:rPr>
          <w:rFonts w:ascii="Times New Roman" w:hAnsi="Times New Roman"/>
          <w:i/>
          <w:noProof/>
          <w:color w:val="000000"/>
          <w:sz w:val="24"/>
        </w:rPr>
        <w:t>„atunci când dispozițiile statutului sunt lipsite de claritate și de precizie într-o asemenea măsură încât nu se pretează la o aplicare lipsită de arbitrar”</w:t>
      </w:r>
      <w:r>
        <w:rPr>
          <w:rStyle w:val="FootnoteReference"/>
          <w:rFonts w:ascii="Times New Roman" w:hAnsi="Times New Roman" w:cs="Times New Roman"/>
          <w:noProof/>
          <w:color w:val="000000"/>
          <w:sz w:val="24"/>
          <w:szCs w:val="24"/>
        </w:rPr>
        <w:footnoteReference w:id="17"/>
      </w:r>
      <w:r>
        <w:rPr>
          <w:rFonts w:ascii="Times New Roman" w:hAnsi="Times New Roman"/>
          <w:noProof/>
          <w:color w:val="000000"/>
          <w:sz w:val="24"/>
        </w:rPr>
        <w:t xml:space="preserve">. </w:t>
      </w:r>
    </w:p>
    <w:p>
      <w:pPr>
        <w:pStyle w:val="Heading2"/>
        <w:spacing w:before="360" w:after="240"/>
        <w:rPr>
          <w:rFonts w:ascii="Times New Roman" w:hAnsi="Times New Roman" w:cs="Times New Roman"/>
          <w:noProof/>
        </w:rPr>
      </w:pPr>
      <w:bookmarkStart w:id="4" w:name="_Toc238715623"/>
      <w:r>
        <w:rPr>
          <w:rFonts w:ascii="Times New Roman" w:hAnsi="Times New Roman"/>
          <w:noProof/>
        </w:rPr>
        <w:t>c)</w:t>
      </w:r>
      <w:r>
        <w:rPr>
          <w:noProof/>
        </w:rPr>
        <w:tab/>
      </w:r>
      <w:r>
        <w:rPr>
          <w:rFonts w:ascii="Times New Roman" w:hAnsi="Times New Roman"/>
          <w:noProof/>
        </w:rPr>
        <w:t>Alte norme de punere în aplicare</w:t>
      </w:r>
      <w:bookmarkEnd w:id="4"/>
    </w:p>
    <w:p>
      <w:pPr>
        <w:jc w:val="both"/>
        <w:rPr>
          <w:rFonts w:ascii="Times New Roman" w:hAnsi="Times New Roman" w:cs="Times New Roman"/>
          <w:noProof/>
          <w:sz w:val="24"/>
          <w:szCs w:val="24"/>
        </w:rPr>
      </w:pPr>
      <w:r>
        <w:rPr>
          <w:rFonts w:ascii="Times New Roman" w:hAnsi="Times New Roman"/>
          <w:noProof/>
          <w:sz w:val="24"/>
        </w:rPr>
        <w:t>Statutul funcționarilor și RAA prevăd, de asemenea, în mod expres că autoritatea împuternicită să facă numiri a fiecărei instituții și, respectiv, autoritatea abilitată să încheie contracte de muncă a fiecărei instituții</w:t>
      </w:r>
      <w:r>
        <w:rPr>
          <w:rStyle w:val="FootnoteReference"/>
          <w:rFonts w:ascii="Times New Roman" w:hAnsi="Times New Roman" w:cs="Times New Roman"/>
          <w:noProof/>
          <w:sz w:val="24"/>
          <w:szCs w:val="24"/>
        </w:rPr>
        <w:footnoteReference w:id="18"/>
      </w:r>
      <w:r>
        <w:rPr>
          <w:rFonts w:ascii="Times New Roman" w:hAnsi="Times New Roman"/>
          <w:noProof/>
          <w:sz w:val="24"/>
        </w:rPr>
        <w:t xml:space="preserve"> au competența de a adopta alte norme de punere în aplicare, fără a da însă detalii cu privire la procedura de adoptare a acestora.</w:t>
      </w:r>
    </w:p>
    <w:p>
      <w:pPr>
        <w:jc w:val="both"/>
        <w:rPr>
          <w:rFonts w:ascii="Times New Roman" w:hAnsi="Times New Roman" w:cs="Times New Roman"/>
          <w:noProof/>
          <w:sz w:val="24"/>
          <w:szCs w:val="24"/>
        </w:rPr>
      </w:pPr>
      <w:r>
        <w:rPr>
          <w:rFonts w:ascii="Times New Roman" w:hAnsi="Times New Roman"/>
          <w:noProof/>
          <w:sz w:val="24"/>
        </w:rPr>
        <w:t>Alte norme de punere în aplicare sunt prevăzute în mod expres pentru următoarele subiecte:</w:t>
      </w:r>
    </w:p>
    <w:p>
      <w:pPr>
        <w:pageBreakBefore/>
        <w:pBdr>
          <w:top w:val="single" w:sz="4" w:space="1" w:color="auto"/>
          <w:left w:val="single" w:sz="4" w:space="4" w:color="auto"/>
          <w:bottom w:val="single" w:sz="4" w:space="1" w:color="auto"/>
          <w:right w:val="single" w:sz="4" w:space="4" w:color="auto"/>
        </w:pBdr>
        <w:jc w:val="center"/>
        <w:rPr>
          <w:rFonts w:ascii="Times New Roman" w:hAnsi="Times New Roman" w:cs="Times New Roman"/>
          <w:b/>
          <w:i/>
          <w:noProof/>
          <w:sz w:val="24"/>
          <w:szCs w:val="24"/>
        </w:rPr>
      </w:pPr>
      <w:r>
        <w:rPr>
          <w:rFonts w:ascii="Times New Roman" w:hAnsi="Times New Roman"/>
          <w:b/>
          <w:i/>
          <w:noProof/>
          <w:sz w:val="24"/>
        </w:rPr>
        <w:lastRenderedPageBreak/>
        <w:t>Statutul funcționarilor</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Articolul 2</w:t>
      </w:r>
      <w:r>
        <w:rPr>
          <w:noProof/>
        </w:rPr>
        <w:tab/>
      </w:r>
      <w:r>
        <w:rPr>
          <w:noProof/>
        </w:rPr>
        <w:tab/>
      </w:r>
      <w:r>
        <w:rPr>
          <w:noProof/>
        </w:rPr>
        <w:tab/>
      </w:r>
      <w:r>
        <w:rPr>
          <w:noProof/>
        </w:rPr>
        <w:tab/>
      </w:r>
      <w:r>
        <w:rPr>
          <w:rFonts w:ascii="Times New Roman" w:hAnsi="Times New Roman"/>
          <w:noProof/>
          <w:sz w:val="20"/>
        </w:rPr>
        <w:t>Stabilirea competențelor autorității împuternicite să facă numiri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Articolul 5</w:t>
      </w:r>
      <w:r>
        <w:rPr>
          <w:noProof/>
        </w:rPr>
        <w:tab/>
      </w:r>
      <w:r>
        <w:rPr>
          <w:rFonts w:ascii="Times New Roman" w:hAnsi="Times New Roman"/>
          <w:noProof/>
          <w:sz w:val="20"/>
        </w:rPr>
        <w:t>(4)</w:t>
      </w:r>
      <w:r>
        <w:rPr>
          <w:noProof/>
        </w:rPr>
        <w:tab/>
      </w:r>
      <w:r>
        <w:rPr>
          <w:noProof/>
        </w:rPr>
        <w:tab/>
      </w:r>
      <w:r>
        <w:rPr>
          <w:noProof/>
        </w:rPr>
        <w:tab/>
      </w:r>
      <w:r>
        <w:rPr>
          <w:rFonts w:ascii="Times New Roman" w:hAnsi="Times New Roman"/>
          <w:noProof/>
          <w:sz w:val="20"/>
        </w:rPr>
        <w:t>Definirea tipurilor de posturi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Articolul 9</w:t>
      </w:r>
      <w:r>
        <w:rPr>
          <w:noProof/>
        </w:rPr>
        <w:tab/>
      </w:r>
      <w:r>
        <w:rPr>
          <w:rFonts w:ascii="Times New Roman" w:hAnsi="Times New Roman"/>
          <w:noProof/>
          <w:sz w:val="20"/>
        </w:rPr>
        <w:t>(2)</w:t>
      </w:r>
      <w:r>
        <w:rPr>
          <w:noProof/>
        </w:rPr>
        <w:tab/>
      </w:r>
      <w:r>
        <w:rPr>
          <w:noProof/>
        </w:rPr>
        <w:tab/>
      </w:r>
      <w:r>
        <w:rPr>
          <w:noProof/>
        </w:rPr>
        <w:tab/>
      </w:r>
      <w:r>
        <w:rPr>
          <w:rFonts w:ascii="Times New Roman" w:hAnsi="Times New Roman"/>
          <w:noProof/>
          <w:sz w:val="20"/>
        </w:rPr>
        <w:t>Componența și procedurile organismelor (comitete)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Articolul 22c</w:t>
      </w:r>
      <w:r>
        <w:rPr>
          <w:noProof/>
        </w:rPr>
        <w:tab/>
      </w:r>
      <w:r>
        <w:rPr>
          <w:noProof/>
        </w:rPr>
        <w:tab/>
      </w:r>
      <w:r>
        <w:rPr>
          <w:noProof/>
        </w:rPr>
        <w:tab/>
      </w:r>
      <w:r>
        <w:rPr>
          <w:noProof/>
        </w:rPr>
        <w:tab/>
      </w:r>
      <w:r>
        <w:rPr>
          <w:rFonts w:ascii="Times New Roman" w:hAnsi="Times New Roman"/>
          <w:noProof/>
          <w:sz w:val="20"/>
        </w:rPr>
        <w:t>Denunțarea</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Articolul 51 alineatul (1)</w:t>
      </w:r>
      <w:r>
        <w:rPr>
          <w:noProof/>
        </w:rPr>
        <w:tab/>
      </w:r>
      <w:r>
        <w:rPr>
          <w:noProof/>
        </w:rPr>
        <w:tab/>
      </w:r>
      <w:r>
        <w:rPr>
          <w:noProof/>
        </w:rPr>
        <w:tab/>
      </w:r>
      <w:r>
        <w:rPr>
          <w:rFonts w:ascii="Times New Roman" w:hAnsi="Times New Roman"/>
          <w:noProof/>
          <w:sz w:val="20"/>
        </w:rPr>
        <w:t>Procedurile privind incompetența profesională</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Articolul 55 alineatul (3)</w:t>
      </w:r>
      <w:r>
        <w:rPr>
          <w:noProof/>
        </w:rPr>
        <w:tab/>
      </w:r>
      <w:r>
        <w:rPr>
          <w:noProof/>
        </w:rPr>
        <w:tab/>
      </w:r>
      <w:r>
        <w:rPr>
          <w:noProof/>
        </w:rPr>
        <w:tab/>
      </w:r>
      <w:r>
        <w:rPr>
          <w:rFonts w:ascii="Times New Roman" w:hAnsi="Times New Roman"/>
          <w:noProof/>
          <w:sz w:val="20"/>
        </w:rPr>
        <w:t>Rămânerea la dispoziția instituției</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Articolul 55 alineatul (4)</w:t>
      </w:r>
      <w:r>
        <w:rPr>
          <w:noProof/>
        </w:rPr>
        <w:tab/>
      </w:r>
      <w:r>
        <w:rPr>
          <w:noProof/>
        </w:rPr>
        <w:tab/>
      </w:r>
      <w:r>
        <w:rPr>
          <w:noProof/>
        </w:rPr>
        <w:tab/>
      </w:r>
      <w:r>
        <w:rPr>
          <w:rFonts w:ascii="Times New Roman" w:hAnsi="Times New Roman"/>
          <w:noProof/>
          <w:sz w:val="20"/>
        </w:rPr>
        <w:t>Programe de lucru flexibile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Articolul 55a + anexa IVa, articolul 5</w:t>
      </w:r>
      <w:r>
        <w:rPr>
          <w:noProof/>
        </w:rPr>
        <w:tab/>
      </w:r>
      <w:r>
        <w:rPr>
          <w:rFonts w:ascii="Times New Roman" w:hAnsi="Times New Roman"/>
          <w:noProof/>
          <w:sz w:val="20"/>
        </w:rPr>
        <w:t>Activitatea cu normă redusă</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Articolul 55b</w:t>
      </w:r>
      <w:r>
        <w:rPr>
          <w:noProof/>
        </w:rPr>
        <w:tab/>
      </w:r>
      <w:r>
        <w:rPr>
          <w:noProof/>
        </w:rPr>
        <w:tab/>
      </w:r>
      <w:r>
        <w:rPr>
          <w:noProof/>
        </w:rPr>
        <w:tab/>
      </w:r>
      <w:r>
        <w:rPr>
          <w:noProof/>
        </w:rPr>
        <w:tab/>
      </w:r>
      <w:r>
        <w:rPr>
          <w:rFonts w:ascii="Times New Roman" w:hAnsi="Times New Roman"/>
          <w:noProof/>
          <w:sz w:val="20"/>
        </w:rPr>
        <w:t>Împărțirea activității</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Articolul 56 + anexa VI, articolul 3</w:t>
      </w:r>
      <w:r>
        <w:rPr>
          <w:noProof/>
        </w:rPr>
        <w:tab/>
      </w:r>
      <w:r>
        <w:rPr>
          <w:noProof/>
        </w:rPr>
        <w:tab/>
      </w:r>
      <w:r>
        <w:rPr>
          <w:rFonts w:ascii="Times New Roman" w:hAnsi="Times New Roman"/>
          <w:noProof/>
          <w:sz w:val="20"/>
        </w:rPr>
        <w:t>Ore suplimentare</w:t>
      </w:r>
    </w:p>
    <w:p>
      <w:pPr>
        <w:pBdr>
          <w:top w:val="single" w:sz="4" w:space="1" w:color="auto"/>
          <w:left w:val="single" w:sz="4" w:space="4" w:color="auto"/>
          <w:bottom w:val="single" w:sz="4" w:space="1" w:color="auto"/>
          <w:right w:val="single" w:sz="4" w:space="4" w:color="auto"/>
        </w:pBdr>
        <w:ind w:left="3600" w:hanging="3600"/>
        <w:jc w:val="both"/>
        <w:rPr>
          <w:rFonts w:ascii="Times New Roman" w:hAnsi="Times New Roman" w:cs="Times New Roman"/>
          <w:noProof/>
          <w:sz w:val="20"/>
          <w:szCs w:val="20"/>
        </w:rPr>
      </w:pPr>
      <w:r>
        <w:rPr>
          <w:rFonts w:ascii="Times New Roman" w:hAnsi="Times New Roman"/>
          <w:noProof/>
          <w:sz w:val="20"/>
        </w:rPr>
        <w:t>Articolul 96</w:t>
      </w:r>
      <w:r>
        <w:rPr>
          <w:noProof/>
        </w:rPr>
        <w:tab/>
      </w:r>
      <w:r>
        <w:rPr>
          <w:rFonts w:ascii="Times New Roman" w:hAnsi="Times New Roman"/>
          <w:noProof/>
          <w:sz w:val="20"/>
        </w:rPr>
        <w:t>Funcționarii Comisiei care lucrează într-o delegație a Uniunii și funcționarii SEAE care trebuie să efectueze sarcini pentru Comisie ca parte a îndatoririlor lor</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Anexa VII, articolul 14 alineatul (2)</w:t>
      </w:r>
      <w:r>
        <w:rPr>
          <w:noProof/>
        </w:rPr>
        <w:tab/>
      </w:r>
      <w:r>
        <w:rPr>
          <w:rFonts w:ascii="Times New Roman" w:hAnsi="Times New Roman"/>
          <w:noProof/>
          <w:sz w:val="20"/>
        </w:rPr>
        <w:t>Indemnizație de protocol</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Anexa IX, articolul 30</w:t>
      </w:r>
      <w:r>
        <w:rPr>
          <w:noProof/>
        </w:rPr>
        <w:tab/>
      </w:r>
      <w:r>
        <w:rPr>
          <w:noProof/>
        </w:rPr>
        <w:tab/>
      </w:r>
      <w:r>
        <w:rPr>
          <w:noProof/>
        </w:rPr>
        <w:tab/>
      </w:r>
      <w:r>
        <w:rPr>
          <w:rFonts w:ascii="Times New Roman" w:hAnsi="Times New Roman"/>
          <w:noProof/>
          <w:sz w:val="20"/>
        </w:rPr>
        <w:t>Proceduri disciplinare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Anexa X, articolul 2</w:t>
      </w:r>
      <w:r>
        <w:rPr>
          <w:noProof/>
        </w:rPr>
        <w:tab/>
      </w:r>
      <w:r>
        <w:rPr>
          <w:noProof/>
        </w:rPr>
        <w:tab/>
      </w:r>
      <w:r>
        <w:rPr>
          <w:noProof/>
        </w:rPr>
        <w:tab/>
      </w:r>
      <w:r>
        <w:rPr>
          <w:rFonts w:ascii="Times New Roman" w:hAnsi="Times New Roman"/>
          <w:noProof/>
          <w:sz w:val="20"/>
        </w:rPr>
        <w:t>Transferul funcționarilor repartizați în țări terțe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Anexa X, articolul 5 alineatul (2)</w:t>
      </w:r>
      <w:r>
        <w:rPr>
          <w:noProof/>
        </w:rPr>
        <w:tab/>
      </w:r>
      <w:r>
        <w:rPr>
          <w:noProof/>
        </w:rPr>
        <w:tab/>
      </w:r>
      <w:r>
        <w:rPr>
          <w:rFonts w:ascii="Times New Roman" w:hAnsi="Times New Roman"/>
          <w:noProof/>
          <w:sz w:val="20"/>
        </w:rPr>
        <w:t>Servicii de cazare pentru funcționarii repartizați în țări terțe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noProof/>
          <w:sz w:val="20"/>
        </w:rPr>
        <w:t>Anexa X, articolul 10 alineatul (3)</w:t>
      </w:r>
      <w:r>
        <w:rPr>
          <w:noProof/>
        </w:rPr>
        <w:tab/>
      </w:r>
      <w:r>
        <w:rPr>
          <w:noProof/>
        </w:rPr>
        <w:tab/>
      </w:r>
      <w:r>
        <w:rPr>
          <w:rFonts w:ascii="Times New Roman" w:hAnsi="Times New Roman"/>
          <w:noProof/>
          <w:sz w:val="20"/>
        </w:rPr>
        <w:t>Indemnizația pentru condiții de viață</w:t>
      </w:r>
    </w:p>
    <w:p>
      <w:pPr>
        <w:pBdr>
          <w:top w:val="single" w:sz="4" w:space="1" w:color="auto"/>
          <w:left w:val="single" w:sz="4" w:space="4" w:color="auto"/>
          <w:bottom w:val="single" w:sz="4" w:space="1" w:color="auto"/>
          <w:right w:val="single" w:sz="4" w:space="4" w:color="auto"/>
        </w:pBdr>
        <w:ind w:left="3600" w:hanging="3600"/>
        <w:jc w:val="both"/>
        <w:rPr>
          <w:rFonts w:ascii="Times New Roman" w:hAnsi="Times New Roman" w:cs="Times New Roman"/>
          <w:noProof/>
          <w:sz w:val="20"/>
          <w:szCs w:val="20"/>
        </w:rPr>
      </w:pPr>
      <w:r>
        <w:rPr>
          <w:rFonts w:ascii="Times New Roman" w:hAnsi="Times New Roman"/>
          <w:noProof/>
          <w:sz w:val="20"/>
        </w:rPr>
        <w:t>Anexa X, articolul 23</w:t>
      </w:r>
      <w:r>
        <w:rPr>
          <w:noProof/>
        </w:rPr>
        <w:tab/>
      </w:r>
      <w:r>
        <w:rPr>
          <w:rFonts w:ascii="Times New Roman" w:hAnsi="Times New Roman"/>
          <w:noProof/>
          <w:sz w:val="20"/>
        </w:rPr>
        <w:t>Rambursarea cheltuielilor de chirie pentru funcționarii repartizați în țări terțe</w:t>
      </w:r>
    </w:p>
    <w:p>
      <w:pPr>
        <w:pBdr>
          <w:top w:val="single" w:sz="4" w:space="1" w:color="auto"/>
          <w:left w:val="single" w:sz="4" w:space="4" w:color="auto"/>
          <w:bottom w:val="single" w:sz="4" w:space="1" w:color="auto"/>
          <w:right w:val="single" w:sz="4" w:space="4" w:color="auto"/>
        </w:pBdr>
        <w:ind w:left="3600" w:hanging="3600"/>
        <w:jc w:val="both"/>
        <w:rPr>
          <w:rFonts w:ascii="Times New Roman" w:hAnsi="Times New Roman" w:cs="Times New Roman"/>
          <w:noProof/>
          <w:sz w:val="20"/>
          <w:szCs w:val="20"/>
        </w:rPr>
      </w:pPr>
      <w:r>
        <w:rPr>
          <w:rFonts w:ascii="Times New Roman" w:hAnsi="Times New Roman"/>
          <w:noProof/>
          <w:sz w:val="20"/>
        </w:rPr>
        <w:t>Anexa XIII, articolul 30 alineatul (3)</w:t>
      </w:r>
      <w:r>
        <w:rPr>
          <w:noProof/>
        </w:rPr>
        <w:tab/>
      </w:r>
      <w:r>
        <w:rPr>
          <w:rFonts w:ascii="Times New Roman" w:hAnsi="Times New Roman"/>
          <w:noProof/>
          <w:sz w:val="20"/>
        </w:rPr>
        <w:t>Repartizarea funcționarilor care dețineau responsabilități speciale pentru „șef de unitate sau echivalent” sau „consilier sau echivalent” înainte de 31 decembrie 2015</w:t>
      </w:r>
    </w:p>
    <w:p>
      <w:pPr>
        <w:pBdr>
          <w:top w:val="single" w:sz="4" w:space="1" w:color="auto"/>
          <w:left w:val="single" w:sz="4" w:space="4" w:color="auto"/>
          <w:bottom w:val="single" w:sz="4" w:space="1" w:color="auto"/>
          <w:right w:val="single" w:sz="4" w:space="4" w:color="auto"/>
        </w:pBdr>
        <w:jc w:val="center"/>
        <w:rPr>
          <w:rFonts w:ascii="Times New Roman" w:hAnsi="Times New Roman" w:cs="Times New Roman"/>
          <w:b/>
          <w:i/>
          <w:noProof/>
          <w:sz w:val="24"/>
          <w:szCs w:val="24"/>
        </w:rPr>
      </w:pPr>
      <w:r>
        <w:rPr>
          <w:rFonts w:ascii="Times New Roman" w:hAnsi="Times New Roman"/>
          <w:b/>
          <w:i/>
          <w:noProof/>
          <w:sz w:val="24"/>
        </w:rPr>
        <w:t>Regimul aplicabil celorlalți agenți</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bCs/>
          <w:i/>
          <w:noProof/>
          <w:sz w:val="20"/>
          <w:szCs w:val="20"/>
        </w:rPr>
      </w:pPr>
      <w:r>
        <w:rPr>
          <w:rFonts w:ascii="Times New Roman" w:hAnsi="Times New Roman"/>
          <w:noProof/>
          <w:sz w:val="20"/>
        </w:rPr>
        <w:t>Articolul 28a alineatul (2)</w:t>
      </w:r>
      <w:r>
        <w:rPr>
          <w:noProof/>
        </w:rPr>
        <w:tab/>
      </w:r>
      <w:r>
        <w:rPr>
          <w:noProof/>
        </w:rPr>
        <w:tab/>
      </w:r>
      <w:r>
        <w:rPr>
          <w:rFonts w:ascii="Times New Roman" w:hAnsi="Times New Roman"/>
          <w:noProof/>
          <w:sz w:val="20"/>
        </w:rPr>
        <w:t>Dispoziții privind acordarea indemnizației de șomaj agenților temporari</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bCs/>
          <w:noProof/>
          <w:sz w:val="20"/>
          <w:szCs w:val="20"/>
        </w:rPr>
      </w:pPr>
      <w:r>
        <w:rPr>
          <w:rFonts w:ascii="Times New Roman" w:hAnsi="Times New Roman"/>
          <w:noProof/>
          <w:sz w:val="20"/>
        </w:rPr>
        <w:t>Articolul 42</w:t>
      </w:r>
      <w:r>
        <w:rPr>
          <w:noProof/>
        </w:rPr>
        <w:tab/>
      </w:r>
      <w:r>
        <w:rPr>
          <w:rFonts w:ascii="Times New Roman" w:hAnsi="Times New Roman"/>
          <w:noProof/>
          <w:sz w:val="20"/>
        </w:rPr>
        <w:t>Condițiile pentru ca plățile să constituie sau să mențină drepturi de pensie în țara de origine</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bCs/>
          <w:noProof/>
          <w:sz w:val="20"/>
          <w:szCs w:val="20"/>
        </w:rPr>
      </w:pPr>
      <w:r>
        <w:rPr>
          <w:rFonts w:ascii="Times New Roman" w:hAnsi="Times New Roman"/>
          <w:noProof/>
          <w:sz w:val="20"/>
        </w:rPr>
        <w:t>Articolul 96 alineatul (2)</w:t>
      </w:r>
      <w:r>
        <w:rPr>
          <w:noProof/>
        </w:rPr>
        <w:tab/>
      </w:r>
      <w:r>
        <w:rPr>
          <w:rFonts w:ascii="Times New Roman" w:hAnsi="Times New Roman"/>
          <w:noProof/>
          <w:sz w:val="20"/>
        </w:rPr>
        <w:t>Indemnizația de șomaj pentru agenții contractuali</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bCs/>
          <w:noProof/>
          <w:sz w:val="20"/>
          <w:szCs w:val="20"/>
        </w:rPr>
      </w:pPr>
      <w:r>
        <w:rPr>
          <w:rFonts w:ascii="Times New Roman" w:hAnsi="Times New Roman"/>
          <w:noProof/>
          <w:sz w:val="20"/>
        </w:rPr>
        <w:t>Articolul 112</w:t>
      </w:r>
      <w:r>
        <w:rPr>
          <w:noProof/>
        </w:rPr>
        <w:tab/>
      </w:r>
      <w:r>
        <w:rPr>
          <w:rFonts w:ascii="Times New Roman" w:hAnsi="Times New Roman"/>
          <w:noProof/>
          <w:sz w:val="20"/>
        </w:rPr>
        <w:t>Condițiile aferente plății drepturilor de pensie, indemnizației de șomaj, asigurării de invaliditate, asigurării de viață și asigurării de sănătate în țara în care persoana respectivă a fost asigurată ultima dată în cadrul unor astfel de sisteme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Articolul 125 alineatul (1)</w:t>
      </w:r>
      <w:r>
        <w:rPr>
          <w:noProof/>
        </w:rPr>
        <w:tab/>
      </w:r>
      <w:r>
        <w:rPr>
          <w:noProof/>
        </w:rPr>
        <w:tab/>
      </w:r>
      <w:r>
        <w:rPr>
          <w:rFonts w:ascii="Times New Roman" w:hAnsi="Times New Roman"/>
          <w:noProof/>
          <w:sz w:val="20"/>
        </w:rPr>
        <w:t>Asistenții parlamentari</w:t>
      </w:r>
    </w:p>
    <w:p>
      <w:pPr>
        <w:spacing w:before="240" w:after="360"/>
        <w:jc w:val="both"/>
        <w:rPr>
          <w:rFonts w:asciiTheme="majorBidi" w:hAnsiTheme="majorBidi" w:cstheme="majorBidi"/>
          <w:noProof/>
        </w:rPr>
      </w:pPr>
      <w:r>
        <w:rPr>
          <w:rFonts w:ascii="Times New Roman" w:hAnsi="Times New Roman"/>
          <w:noProof/>
          <w:sz w:val="24"/>
        </w:rPr>
        <w:lastRenderedPageBreak/>
        <w:t xml:space="preserve">În plus, instituțiile au adoptat norme de punere în aplicare și în cazuri care nu sunt prevăzute în mod expres în Statutul funcționarilor și în RAA, atunci când a fost necesară punerea în aplicare a dispozițiilor statuare prin intermediul unor norme mai specifice. Procesul de adoptare a acestor alte norme de punere în aplicare depinde de practica administrativă a instituției în cauză. Din motive de transparență, </w:t>
      </w:r>
      <w:r>
        <w:rPr>
          <w:rFonts w:asciiTheme="majorBidi" w:hAnsiTheme="majorBidi"/>
          <w:noProof/>
          <w:sz w:val="24"/>
        </w:rPr>
        <w:t xml:space="preserve">raportul oferă o listă completă a altor norme de punere în aplicare adoptate de instituții, indiferent de procedura de adoptare urmată, de titlul sau de tipul actului juridic în care au fost incluse normele respective. </w:t>
      </w:r>
    </w:p>
    <w:p>
      <w:pPr>
        <w:pBdr>
          <w:top w:val="double" w:sz="4" w:space="1" w:color="auto"/>
          <w:left w:val="double" w:sz="4" w:space="4" w:color="auto"/>
          <w:bottom w:val="double" w:sz="4" w:space="7" w:color="auto"/>
          <w:right w:val="double" w:sz="4" w:space="4" w:color="auto"/>
        </w:pBdr>
        <w:jc w:val="center"/>
        <w:rPr>
          <w:rFonts w:ascii="Times New Roman" w:hAnsi="Times New Roman" w:cs="Times New Roman"/>
          <w:b/>
          <w:i/>
          <w:noProof/>
          <w:sz w:val="24"/>
          <w:szCs w:val="24"/>
        </w:rPr>
      </w:pPr>
      <w:r>
        <w:rPr>
          <w:rFonts w:ascii="Times New Roman" w:hAnsi="Times New Roman"/>
          <w:b/>
          <w:i/>
          <w:noProof/>
          <w:sz w:val="24"/>
        </w:rPr>
        <w:t>MECANISME DE ASIGURARE A APLICĂRII COERENTE A STATUTULUI FUNCȚIONARILOR</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xml:space="preserve">→ Instituțiile au autonomie în ceea ce privește aplicarea Statutului funcționarilor și a RAA personalului lor. Această autonomie se exercită în limitele cadrului juridic, astfel cum este prevăzut în Statutul funcționarilor. </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noProof/>
        </w:rPr>
      </w:pPr>
      <w:r>
        <w:rPr>
          <w:rFonts w:ascii="Times New Roman" w:hAnsi="Times New Roman"/>
          <w:b/>
          <w:i/>
          <w:noProof/>
          <w:sz w:val="24"/>
        </w:rPr>
        <w:t>→ Statutul funcționarilor prevede mecanisme specifice pentru aplicarea unei abordări interinstituționale comune ori de câte ori un anumit subiect impune o astfel de armonizare.</w:t>
      </w:r>
      <w:r>
        <w:rPr>
          <w:rFonts w:ascii="Times New Roman" w:hAnsi="Times New Roman"/>
          <w:noProof/>
        </w:rPr>
        <w:br w:type="page"/>
      </w:r>
    </w:p>
    <w:p>
      <w:pPr>
        <w:pStyle w:val="Heading1"/>
        <w:rPr>
          <w:rFonts w:ascii="Times New Roman" w:hAnsi="Times New Roman" w:cs="Times New Roman"/>
          <w:noProof/>
        </w:rPr>
      </w:pPr>
      <w:bookmarkStart w:id="5" w:name="_Toc238715624"/>
      <w:r>
        <w:rPr>
          <w:rFonts w:ascii="Times New Roman" w:hAnsi="Times New Roman"/>
          <w:noProof/>
        </w:rPr>
        <w:lastRenderedPageBreak/>
        <w:t>TITLUL 2.</w:t>
      </w:r>
      <w:r>
        <w:rPr>
          <w:noProof/>
        </w:rPr>
        <w:tab/>
      </w:r>
      <w:r>
        <w:rPr>
          <w:rFonts w:ascii="Times New Roman" w:hAnsi="Times New Roman"/>
          <w:noProof/>
        </w:rPr>
        <w:t>EVALUARE CANTITATIVĂ/TRANSPARENȚĂ</w:t>
      </w:r>
      <w:bookmarkEnd w:id="5"/>
    </w:p>
    <w:p>
      <w:pPr>
        <w:rPr>
          <w:rFonts w:ascii="Times New Roman" w:hAnsi="Times New Roman" w:cs="Times New Roman"/>
          <w:noProof/>
        </w:rPr>
      </w:pPr>
    </w:p>
    <w:p>
      <w:pPr>
        <w:pBdr>
          <w:top w:val="double" w:sz="4" w:space="1" w:color="auto"/>
          <w:left w:val="double" w:sz="4" w:space="4" w:color="auto"/>
          <w:bottom w:val="double" w:sz="4" w:space="7" w:color="auto"/>
          <w:right w:val="double" w:sz="4" w:space="4" w:color="auto"/>
        </w:pBdr>
        <w:jc w:val="center"/>
        <w:rPr>
          <w:rFonts w:ascii="Times New Roman" w:hAnsi="Times New Roman" w:cs="Times New Roman"/>
          <w:b/>
          <w:i/>
          <w:noProof/>
          <w:sz w:val="24"/>
          <w:szCs w:val="24"/>
        </w:rPr>
      </w:pPr>
      <w:r>
        <w:rPr>
          <w:rFonts w:ascii="Times New Roman" w:hAnsi="Times New Roman"/>
          <w:b/>
          <w:i/>
          <w:noProof/>
          <w:sz w:val="24"/>
        </w:rPr>
        <w:t>TRANSPARENȚA</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Ce norme erau în vigoare în perioada relevantă și căror subiecte din cadrul instituțiilor și al agențiilor li se aplicau?</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noProof/>
          <w:sz w:val="24"/>
          <w:szCs w:val="24"/>
        </w:rPr>
      </w:pPr>
      <w:r>
        <w:rPr>
          <w:rFonts w:ascii="Times New Roman" w:hAnsi="Times New Roman"/>
          <w:b/>
          <w:i/>
          <w:noProof/>
          <w:sz w:val="24"/>
        </w:rPr>
        <w:t>→ Care au fost principalele modificări față de perioada de raportare anterioară în ceea ce privește numărul și tipul de norme nou-adoptate?</w:t>
      </w:r>
    </w:p>
    <w:p>
      <w:pPr>
        <w:pStyle w:val="Heading2"/>
        <w:spacing w:before="360" w:after="240"/>
        <w:rPr>
          <w:rFonts w:ascii="Times New Roman" w:hAnsi="Times New Roman" w:cs="Times New Roman"/>
          <w:noProof/>
        </w:rPr>
      </w:pPr>
      <w:bookmarkStart w:id="6" w:name="_Toc238715625"/>
      <w:r>
        <w:rPr>
          <w:rFonts w:ascii="Times New Roman" w:hAnsi="Times New Roman"/>
          <w:noProof/>
        </w:rPr>
        <w:t>a)</w:t>
      </w:r>
      <w:r>
        <w:rPr>
          <w:noProof/>
        </w:rPr>
        <w:tab/>
      </w:r>
      <w:r>
        <w:rPr>
          <w:rFonts w:ascii="Times New Roman" w:hAnsi="Times New Roman"/>
          <w:noProof/>
        </w:rPr>
        <w:t>Norme de punere în aplicare în instituții</w:t>
      </w:r>
      <w:bookmarkEnd w:id="6"/>
    </w:p>
    <w:p>
      <w:pPr>
        <w:jc w:val="both"/>
        <w:rPr>
          <w:rFonts w:ascii="Times New Roman" w:hAnsi="Times New Roman" w:cs="Times New Roman"/>
          <w:noProof/>
          <w:sz w:val="24"/>
          <w:szCs w:val="24"/>
        </w:rPr>
      </w:pPr>
      <w:r>
        <w:rPr>
          <w:rFonts w:ascii="Times New Roman" w:hAnsi="Times New Roman"/>
          <w:noProof/>
          <w:sz w:val="24"/>
        </w:rPr>
        <w:t>În conformitate cu articolul 13 din Tratatul privind Uniunea Europeană și cu articolele 1, 1a și 1b din Statutul funcționarilor, următoarele zece instituții sunt vizate de prezentul raport</w:t>
      </w:r>
      <w:r>
        <w:rPr>
          <w:rStyle w:val="FootnoteReference"/>
          <w:rFonts w:ascii="Times New Roman" w:hAnsi="Times New Roman" w:cs="Times New Roman"/>
          <w:noProof/>
          <w:sz w:val="24"/>
          <w:szCs w:val="24"/>
        </w:rPr>
        <w:footnoteReference w:id="19"/>
      </w:r>
      <w:r>
        <w:rPr>
          <w:noProof/>
        </w:rPr>
        <w:t>:</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Parlamentul European (PE),</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Consiliul (C),</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Comisia Europeană (COM),</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Curtea de Justiție a Uniunii Europene (CJUE),</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 xml:space="preserve">Curtea de Conturi Europeană (CCE), </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Serviciul European de Acțiune Externă (SEAE),</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Comitetul Economic și Social European (CESE),</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Comitetul Regiunilor (CoR),</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Ombudsmanul European (OE) și</w:t>
      </w:r>
    </w:p>
    <w:p>
      <w:pPr>
        <w:pStyle w:val="ListParagraph"/>
        <w:numPr>
          <w:ilvl w:val="0"/>
          <w:numId w:val="14"/>
        </w:numPr>
        <w:jc w:val="both"/>
        <w:rPr>
          <w:rFonts w:ascii="Times New Roman" w:hAnsi="Times New Roman" w:cs="Times New Roman"/>
          <w:noProof/>
          <w:sz w:val="24"/>
          <w:szCs w:val="24"/>
        </w:rPr>
      </w:pPr>
      <w:r>
        <w:rPr>
          <w:rFonts w:ascii="Times New Roman" w:hAnsi="Times New Roman"/>
          <w:noProof/>
          <w:sz w:val="24"/>
        </w:rPr>
        <w:t>Autoritatea Europeană pentru Protecția Datelor (AEPD).</w:t>
      </w:r>
    </w:p>
    <w:p>
      <w:pPr>
        <w:jc w:val="both"/>
        <w:rPr>
          <w:rFonts w:ascii="Times New Roman" w:hAnsi="Times New Roman" w:cs="Times New Roman"/>
          <w:noProof/>
          <w:sz w:val="24"/>
          <w:szCs w:val="24"/>
        </w:rPr>
      </w:pPr>
      <w:r>
        <w:rPr>
          <w:rFonts w:ascii="Times New Roman" w:hAnsi="Times New Roman"/>
          <w:noProof/>
          <w:sz w:val="24"/>
        </w:rPr>
        <w:t>În vederea întocmirii prezentului raport, celelalte nouă instituții i-au transmis Comisiei informații privind normele lor de punere în aplicare. În paralel, Comisia a consultat registrul administrat de Curtea de Justiție a Uniunii Europene.</w:t>
      </w:r>
    </w:p>
    <w:p>
      <w:pPr>
        <w:jc w:val="both"/>
        <w:rPr>
          <w:rFonts w:ascii="Times New Roman" w:hAnsi="Times New Roman" w:cs="Times New Roman"/>
          <w:noProof/>
          <w:sz w:val="24"/>
          <w:szCs w:val="24"/>
        </w:rPr>
      </w:pPr>
      <w:r>
        <w:rPr>
          <w:rFonts w:ascii="Times New Roman" w:hAnsi="Times New Roman"/>
          <w:noProof/>
          <w:sz w:val="24"/>
        </w:rPr>
        <w:t>Pe baza acestor informații și de comun acord cu instituțiile în cauză, Comisia a elaborat tabele care prezintă în detaliu normele în vigoare în perioada 1 ianuarie 2020-31 decembrie 2023 în fiecare dintre cele zece instituții, după cum urmează:</w:t>
      </w:r>
    </w:p>
    <w:p>
      <w:pPr>
        <w:pStyle w:val="ListParagraph"/>
        <w:numPr>
          <w:ilvl w:val="0"/>
          <w:numId w:val="31"/>
        </w:numPr>
        <w:jc w:val="both"/>
        <w:rPr>
          <w:rFonts w:ascii="Times New Roman" w:hAnsi="Times New Roman" w:cs="Times New Roman"/>
          <w:noProof/>
          <w:sz w:val="24"/>
          <w:szCs w:val="24"/>
        </w:rPr>
      </w:pPr>
      <w:r>
        <w:rPr>
          <w:rFonts w:ascii="Times New Roman" w:hAnsi="Times New Roman"/>
          <w:noProof/>
          <w:sz w:val="24"/>
        </w:rPr>
        <w:t>O listă a normelor adoptate de comun acord între instituții (</w:t>
      </w:r>
      <w:r>
        <w:rPr>
          <w:rFonts w:ascii="Times New Roman" w:hAnsi="Times New Roman"/>
          <w:b/>
          <w:noProof/>
          <w:sz w:val="24"/>
        </w:rPr>
        <w:t>anexa I</w:t>
      </w:r>
      <w:r>
        <w:rPr>
          <w:rFonts w:ascii="Times New Roman" w:hAnsi="Times New Roman"/>
          <w:noProof/>
          <w:sz w:val="24"/>
        </w:rPr>
        <w:t>);</w:t>
      </w:r>
    </w:p>
    <w:p>
      <w:pPr>
        <w:pStyle w:val="ListParagraph"/>
        <w:numPr>
          <w:ilvl w:val="0"/>
          <w:numId w:val="31"/>
        </w:numPr>
        <w:jc w:val="both"/>
        <w:rPr>
          <w:rFonts w:ascii="Times New Roman" w:hAnsi="Times New Roman" w:cs="Times New Roman"/>
          <w:noProof/>
          <w:sz w:val="24"/>
          <w:szCs w:val="24"/>
        </w:rPr>
      </w:pPr>
      <w:r>
        <w:rPr>
          <w:rFonts w:ascii="Times New Roman" w:hAnsi="Times New Roman"/>
          <w:noProof/>
          <w:sz w:val="24"/>
        </w:rPr>
        <w:t>Tabelele în care sunt enumerate dispozițiile generale de punere în aplicare și alte norme de punere în aplicare adoptate de autoritatea împuternicită să facă numiri sau de autoritatea abilitată să încheie contracte de muncă a fiecărei instituții (</w:t>
      </w:r>
      <w:r>
        <w:rPr>
          <w:rFonts w:ascii="Times New Roman" w:hAnsi="Times New Roman"/>
          <w:b/>
          <w:noProof/>
          <w:sz w:val="24"/>
        </w:rPr>
        <w:t>anexa II</w:t>
      </w:r>
      <w:r>
        <w:rPr>
          <w:rFonts w:ascii="Times New Roman" w:hAnsi="Times New Roman"/>
          <w:noProof/>
          <w:sz w:val="24"/>
        </w:rPr>
        <w:t>);</w:t>
      </w:r>
    </w:p>
    <w:p>
      <w:pPr>
        <w:pStyle w:val="ListParagraph"/>
        <w:numPr>
          <w:ilvl w:val="0"/>
          <w:numId w:val="31"/>
        </w:numPr>
        <w:jc w:val="both"/>
        <w:rPr>
          <w:rFonts w:ascii="Times New Roman" w:hAnsi="Times New Roman" w:cs="Times New Roman"/>
          <w:noProof/>
          <w:sz w:val="24"/>
          <w:szCs w:val="24"/>
        </w:rPr>
      </w:pPr>
      <w:r>
        <w:rPr>
          <w:rFonts w:ascii="Times New Roman" w:hAnsi="Times New Roman"/>
          <w:noProof/>
          <w:sz w:val="24"/>
        </w:rPr>
        <w:lastRenderedPageBreak/>
        <w:t>Un tabel general care prezintă un rezumat comparativ al normelor de punere în aplicare a Statutului funcționarilor și a RAA din toate instituțiile (</w:t>
      </w:r>
      <w:r>
        <w:rPr>
          <w:rFonts w:ascii="Times New Roman" w:hAnsi="Times New Roman"/>
          <w:b/>
          <w:noProof/>
          <w:sz w:val="24"/>
        </w:rPr>
        <w:t>anexa III</w:t>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Tabelele utilizează o metodologie comună:</w:t>
      </w:r>
    </w:p>
    <w:p>
      <w:pPr>
        <w:pStyle w:val="ListParagraph"/>
        <w:numPr>
          <w:ilvl w:val="0"/>
          <w:numId w:val="26"/>
        </w:numPr>
        <w:jc w:val="both"/>
        <w:rPr>
          <w:rFonts w:ascii="Times New Roman" w:hAnsi="Times New Roman" w:cs="Times New Roman"/>
          <w:noProof/>
          <w:sz w:val="24"/>
          <w:szCs w:val="24"/>
        </w:rPr>
      </w:pPr>
      <w:r>
        <w:rPr>
          <w:rFonts w:ascii="Times New Roman" w:hAnsi="Times New Roman"/>
          <w:noProof/>
          <w:sz w:val="24"/>
        </w:rPr>
        <w:t>enumeră normele de punere în aplicare aflate în vigoare, cel puțin parțial, în perioada care face obiectul raportului (1 ianuarie 2020-31 decembrie 2023);</w:t>
      </w:r>
    </w:p>
    <w:p>
      <w:pPr>
        <w:pStyle w:val="ListParagraph"/>
        <w:numPr>
          <w:ilvl w:val="0"/>
          <w:numId w:val="26"/>
        </w:numPr>
        <w:jc w:val="both"/>
        <w:rPr>
          <w:rFonts w:ascii="Times New Roman" w:hAnsi="Times New Roman" w:cs="Times New Roman"/>
          <w:noProof/>
          <w:sz w:val="24"/>
          <w:szCs w:val="24"/>
        </w:rPr>
      </w:pPr>
      <w:r>
        <w:rPr>
          <w:rFonts w:ascii="Times New Roman" w:hAnsi="Times New Roman"/>
          <w:noProof/>
          <w:sz w:val="24"/>
        </w:rPr>
        <w:t>grupează normele de punere în aplicare în funcție de subiectele abordate, ținând seama de structura Statutului funcționarilor și a RAA;</w:t>
      </w:r>
    </w:p>
    <w:p>
      <w:pPr>
        <w:pStyle w:val="ListParagraph"/>
        <w:numPr>
          <w:ilvl w:val="0"/>
          <w:numId w:val="26"/>
        </w:numPr>
        <w:jc w:val="both"/>
        <w:rPr>
          <w:rFonts w:ascii="Times New Roman" w:hAnsi="Times New Roman" w:cs="Times New Roman"/>
          <w:noProof/>
          <w:sz w:val="24"/>
          <w:szCs w:val="24"/>
        </w:rPr>
      </w:pPr>
      <w:r>
        <w:rPr>
          <w:rFonts w:ascii="Times New Roman" w:hAnsi="Times New Roman"/>
          <w:noProof/>
          <w:sz w:val="24"/>
        </w:rPr>
        <w:t>Identifică normele de punere în aplicare după numărul de referință, data intrării în vigoare</w:t>
      </w:r>
      <w:r>
        <w:rPr>
          <w:rStyle w:val="FootnoteReference"/>
          <w:rFonts w:ascii="Times New Roman" w:hAnsi="Times New Roman" w:cs="Times New Roman"/>
          <w:noProof/>
          <w:sz w:val="24"/>
          <w:szCs w:val="24"/>
        </w:rPr>
        <w:footnoteReference w:id="20"/>
      </w:r>
      <w:r>
        <w:rPr>
          <w:rFonts w:ascii="Times New Roman" w:hAnsi="Times New Roman"/>
          <w:noProof/>
          <w:sz w:val="24"/>
        </w:rPr>
        <w:t xml:space="preserve"> și, dacă este cazul, data expirării.</w:t>
      </w:r>
    </w:p>
    <w:p>
      <w:pPr>
        <w:jc w:val="both"/>
        <w:rPr>
          <w:rFonts w:ascii="Times New Roman" w:hAnsi="Times New Roman" w:cs="Times New Roman"/>
          <w:noProof/>
          <w:sz w:val="24"/>
          <w:szCs w:val="24"/>
        </w:rPr>
      </w:pPr>
      <w:r>
        <w:rPr>
          <w:rFonts w:ascii="Times New Roman" w:hAnsi="Times New Roman"/>
          <w:noProof/>
          <w:sz w:val="24"/>
        </w:rPr>
        <w:t>A fost aplicată următoarea metodă de contabilizare:</w:t>
      </w:r>
    </w:p>
    <w:p>
      <w:pPr>
        <w:pStyle w:val="ListParagraph"/>
        <w:numPr>
          <w:ilvl w:val="0"/>
          <w:numId w:val="35"/>
        </w:numPr>
        <w:jc w:val="both"/>
        <w:rPr>
          <w:rFonts w:ascii="Times New Roman" w:hAnsi="Times New Roman" w:cs="Times New Roman"/>
          <w:noProof/>
          <w:sz w:val="24"/>
          <w:szCs w:val="24"/>
        </w:rPr>
      </w:pPr>
      <w:r>
        <w:rPr>
          <w:rFonts w:ascii="Times New Roman" w:hAnsi="Times New Roman"/>
          <w:noProof/>
          <w:sz w:val="24"/>
        </w:rPr>
        <w:t>normele de punere în aplicare au fost inventariate pe baza listelor pentru fiecare instituție;</w:t>
      </w:r>
    </w:p>
    <w:p>
      <w:pPr>
        <w:pStyle w:val="ListParagraph"/>
        <w:numPr>
          <w:ilvl w:val="0"/>
          <w:numId w:val="35"/>
        </w:numPr>
        <w:jc w:val="both"/>
        <w:rPr>
          <w:rFonts w:ascii="Times New Roman" w:hAnsi="Times New Roman" w:cs="Times New Roman"/>
          <w:noProof/>
          <w:sz w:val="24"/>
          <w:szCs w:val="24"/>
        </w:rPr>
      </w:pPr>
      <w:r>
        <w:rPr>
          <w:rFonts w:ascii="Times New Roman" w:hAnsi="Times New Roman"/>
          <w:noProof/>
          <w:sz w:val="24"/>
        </w:rPr>
        <w:t>o normă de punere în aplicare a fost luată în considerare o singură dată, chiar dacă viza mai multe subiecte</w:t>
      </w:r>
      <w:r>
        <w:rPr>
          <w:rStyle w:val="FootnoteReference"/>
          <w:rFonts w:ascii="Times New Roman" w:hAnsi="Times New Roman" w:cs="Times New Roman"/>
          <w:noProof/>
          <w:sz w:val="24"/>
          <w:szCs w:val="24"/>
        </w:rPr>
        <w:footnoteReference w:id="21"/>
      </w:r>
      <w:r>
        <w:rPr>
          <w:noProof/>
        </w:rPr>
        <w:t>;</w:t>
      </w:r>
    </w:p>
    <w:p>
      <w:pPr>
        <w:pStyle w:val="ListParagraph"/>
        <w:numPr>
          <w:ilvl w:val="0"/>
          <w:numId w:val="35"/>
        </w:numPr>
        <w:jc w:val="both"/>
        <w:rPr>
          <w:rFonts w:ascii="Times New Roman" w:hAnsi="Times New Roman" w:cs="Times New Roman"/>
          <w:noProof/>
          <w:sz w:val="24"/>
          <w:szCs w:val="24"/>
        </w:rPr>
      </w:pPr>
      <w:r>
        <w:rPr>
          <w:rFonts w:ascii="Times New Roman" w:hAnsi="Times New Roman"/>
          <w:noProof/>
          <w:sz w:val="24"/>
        </w:rPr>
        <w:t>o normă de modificare a unei norme deja existente nu a fost inventariată separat;</w:t>
      </w:r>
    </w:p>
    <w:p>
      <w:pPr>
        <w:pStyle w:val="ListParagraph"/>
        <w:numPr>
          <w:ilvl w:val="0"/>
          <w:numId w:val="35"/>
        </w:numPr>
        <w:jc w:val="both"/>
        <w:rPr>
          <w:rFonts w:ascii="Times New Roman" w:hAnsi="Times New Roman" w:cs="Times New Roman"/>
          <w:noProof/>
          <w:sz w:val="24"/>
          <w:szCs w:val="24"/>
        </w:rPr>
      </w:pPr>
      <w:r>
        <w:rPr>
          <w:rFonts w:ascii="Times New Roman" w:hAnsi="Times New Roman"/>
          <w:noProof/>
          <w:sz w:val="24"/>
        </w:rPr>
        <w:t>în cazul în care o normă de punere în aplicare a fost înlocuită pe parcursul perioadei care face obiectul raportului, a fost inventariată o singură normă de punere în aplicare</w:t>
      </w:r>
      <w:r>
        <w:rPr>
          <w:rStyle w:val="FootnoteReference"/>
          <w:rFonts w:ascii="Times New Roman" w:hAnsi="Times New Roman" w:cs="Times New Roman"/>
          <w:noProof/>
          <w:sz w:val="24"/>
          <w:szCs w:val="24"/>
        </w:rPr>
        <w:footnoteReference w:id="22"/>
      </w:r>
      <w:r>
        <w:rPr>
          <w:noProof/>
        </w:rPr>
        <w:t>;</w:t>
      </w:r>
    </w:p>
    <w:p>
      <w:pPr>
        <w:pStyle w:val="ListParagraph"/>
        <w:numPr>
          <w:ilvl w:val="0"/>
          <w:numId w:val="35"/>
        </w:numPr>
        <w:jc w:val="both"/>
        <w:rPr>
          <w:rFonts w:ascii="Times New Roman" w:hAnsi="Times New Roman" w:cs="Times New Roman"/>
          <w:noProof/>
          <w:sz w:val="24"/>
          <w:szCs w:val="24"/>
        </w:rPr>
      </w:pPr>
      <w:r>
        <w:rPr>
          <w:rFonts w:ascii="Times New Roman" w:hAnsi="Times New Roman"/>
          <w:noProof/>
          <w:sz w:val="24"/>
        </w:rPr>
        <w:t>Normele adoptate în comun de una sau mai multe instituții au fost inventariate separat în fiecare instituție în cauză</w:t>
      </w:r>
      <w:r>
        <w:rPr>
          <w:rStyle w:val="FootnoteReference"/>
          <w:rFonts w:ascii="Times New Roman" w:hAnsi="Times New Roman" w:cs="Times New Roman"/>
          <w:noProof/>
          <w:sz w:val="24"/>
          <w:szCs w:val="24"/>
        </w:rPr>
        <w:footnoteReference w:id="23"/>
      </w:r>
      <w:r>
        <w:rPr>
          <w:noProof/>
        </w:rPr>
        <w:t>.</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 xml:space="preserve">Următoarele trei tabele oferă o imagine de ansamblu cantitativă a numărului de norme de punere în aplicare adoptate de instituții în cursul primelor trei perioade de raportare (2014-2016, 2017-2019, 2020-2023). </w:t>
      </w:r>
    </w:p>
    <w:p>
      <w:pPr>
        <w:pageBreakBefore/>
        <w:spacing w:before="360"/>
        <w:jc w:val="center"/>
        <w:rPr>
          <w:rFonts w:ascii="Times New Roman" w:hAnsi="Times New Roman" w:cs="Times New Roman"/>
          <w:b/>
          <w:noProof/>
          <w:sz w:val="24"/>
          <w:szCs w:val="24"/>
        </w:rPr>
      </w:pPr>
      <w:r>
        <w:rPr>
          <w:rFonts w:ascii="Times New Roman" w:hAnsi="Times New Roman"/>
          <w:b/>
          <w:noProof/>
          <w:sz w:val="21"/>
          <w:szCs w:val="21"/>
        </w:rPr>
        <w:lastRenderedPageBreak/>
        <w:t>NUMĂRUL DE NORME DE PUNERE ÎN APLICARE ADOPTATE DE INSTITUȚII ÎN VIGOARE</w:t>
      </w:r>
      <w:r>
        <w:rPr>
          <w:rFonts w:ascii="Times New Roman" w:hAnsi="Times New Roman"/>
          <w:b/>
          <w:noProof/>
          <w:sz w:val="24"/>
        </w:rPr>
        <w:t xml:space="preserve"> în cursul primei perioade de raportare – 2014-2016</w:t>
      </w:r>
      <w:r>
        <w:rPr>
          <w:rStyle w:val="FootnoteReference"/>
          <w:rFonts w:ascii="Times New Roman" w:hAnsi="Times New Roman" w:cs="Times New Roman"/>
          <w:b/>
          <w:noProof/>
          <w:sz w:val="24"/>
          <w:szCs w:val="24"/>
        </w:rPr>
        <w:footnoteReference w:id="24"/>
      </w:r>
    </w:p>
    <w:tbl>
      <w:tblPr>
        <w:tblStyle w:val="TableGrid"/>
        <w:tblW w:w="0" w:type="auto"/>
        <w:tblLook w:val="04A0" w:firstRow="1" w:lastRow="0" w:firstColumn="1" w:lastColumn="0" w:noHBand="0" w:noVBand="1"/>
      </w:tblPr>
      <w:tblGrid>
        <w:gridCol w:w="790"/>
        <w:gridCol w:w="2234"/>
        <w:gridCol w:w="2524"/>
        <w:gridCol w:w="2075"/>
        <w:gridCol w:w="1665"/>
      </w:tblGrid>
      <w:tr>
        <w:tc>
          <w:tcPr>
            <w:tcW w:w="790" w:type="dxa"/>
          </w:tcPr>
          <w:p>
            <w:pPr>
              <w:jc w:val="center"/>
              <w:rPr>
                <w:rFonts w:ascii="Times New Roman" w:hAnsi="Times New Roman" w:cs="Times New Roman"/>
                <w:b/>
                <w:noProof/>
                <w:sz w:val="20"/>
                <w:szCs w:val="20"/>
              </w:rPr>
            </w:pPr>
          </w:p>
        </w:tc>
        <w:tc>
          <w:tcPr>
            <w:tcW w:w="2234" w:type="dxa"/>
          </w:tcPr>
          <w:p>
            <w:pPr>
              <w:jc w:val="center"/>
              <w:rPr>
                <w:rFonts w:ascii="Times New Roman" w:hAnsi="Times New Roman" w:cs="Times New Roman"/>
                <w:b/>
                <w:noProof/>
                <w:sz w:val="20"/>
                <w:szCs w:val="20"/>
              </w:rPr>
            </w:pPr>
            <w:r>
              <w:rPr>
                <w:rFonts w:ascii="Times New Roman" w:hAnsi="Times New Roman"/>
                <w:b/>
                <w:noProof/>
                <w:sz w:val="20"/>
              </w:rPr>
              <w:t>Norme adoptate de comun acord</w:t>
            </w:r>
          </w:p>
        </w:tc>
        <w:tc>
          <w:tcPr>
            <w:tcW w:w="2524" w:type="dxa"/>
          </w:tcPr>
          <w:p>
            <w:pPr>
              <w:jc w:val="center"/>
              <w:rPr>
                <w:rFonts w:ascii="Times New Roman" w:hAnsi="Times New Roman" w:cs="Times New Roman"/>
                <w:b/>
                <w:noProof/>
                <w:sz w:val="20"/>
                <w:szCs w:val="20"/>
              </w:rPr>
            </w:pPr>
            <w:r>
              <w:rPr>
                <w:rFonts w:ascii="Times New Roman" w:hAnsi="Times New Roman"/>
                <w:b/>
                <w:noProof/>
                <w:sz w:val="20"/>
              </w:rPr>
              <w:t>Dispoziții generale de punere în aplicare</w:t>
            </w:r>
          </w:p>
        </w:tc>
        <w:tc>
          <w:tcPr>
            <w:tcW w:w="2075" w:type="dxa"/>
          </w:tcPr>
          <w:p>
            <w:pPr>
              <w:jc w:val="center"/>
              <w:rPr>
                <w:rFonts w:ascii="Times New Roman" w:hAnsi="Times New Roman" w:cs="Times New Roman"/>
                <w:b/>
                <w:noProof/>
                <w:sz w:val="20"/>
                <w:szCs w:val="20"/>
              </w:rPr>
            </w:pPr>
            <w:r>
              <w:rPr>
                <w:rFonts w:ascii="Times New Roman" w:hAnsi="Times New Roman"/>
                <w:b/>
                <w:noProof/>
                <w:sz w:val="20"/>
              </w:rPr>
              <w:t>Alte norme de punere în aplicare</w:t>
            </w:r>
          </w:p>
        </w:tc>
        <w:tc>
          <w:tcPr>
            <w:tcW w:w="1665" w:type="dxa"/>
          </w:tcPr>
          <w:p>
            <w:pPr>
              <w:jc w:val="center"/>
              <w:rPr>
                <w:rFonts w:ascii="Times New Roman" w:hAnsi="Times New Roman" w:cs="Times New Roman"/>
                <w:b/>
                <w:noProof/>
                <w:sz w:val="20"/>
                <w:szCs w:val="20"/>
              </w:rPr>
            </w:pPr>
            <w:r>
              <w:rPr>
                <w:rFonts w:ascii="Times New Roman" w:hAnsi="Times New Roman"/>
                <w:b/>
                <w:noProof/>
                <w:sz w:val="20"/>
              </w:rPr>
              <w:t xml:space="preserve">Total </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PE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19</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38</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67</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36</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61</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COM</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24</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61</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95</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CJUE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11</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19</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40</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CCE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10</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38</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58</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SEAE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23</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39</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72</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CESE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12</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37</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59</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CoR</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30</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55</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OE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12</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37</w:t>
            </w:r>
          </w:p>
        </w:tc>
      </w:tr>
      <w:tr>
        <w:tc>
          <w:tcPr>
            <w:tcW w:w="790" w:type="dxa"/>
            <w:tcBorders>
              <w:bottom w:val="single" w:sz="4" w:space="0" w:color="auto"/>
            </w:tcBorders>
          </w:tcPr>
          <w:p>
            <w:pPr>
              <w:jc w:val="center"/>
              <w:rPr>
                <w:rFonts w:ascii="Times New Roman" w:hAnsi="Times New Roman" w:cs="Times New Roman"/>
                <w:b/>
                <w:noProof/>
                <w:sz w:val="20"/>
                <w:szCs w:val="20"/>
              </w:rPr>
            </w:pPr>
            <w:r>
              <w:rPr>
                <w:rFonts w:ascii="Times New Roman" w:hAnsi="Times New Roman"/>
                <w:b/>
                <w:noProof/>
                <w:sz w:val="20"/>
              </w:rPr>
              <w:t>AEPD</w:t>
            </w:r>
          </w:p>
        </w:tc>
        <w:tc>
          <w:tcPr>
            <w:tcW w:w="2234" w:type="dxa"/>
            <w:tcBorders>
              <w:bottom w:val="single" w:sz="4" w:space="0" w:color="auto"/>
            </w:tcBorders>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16</w:t>
            </w:r>
          </w:p>
        </w:tc>
        <w:tc>
          <w:tcPr>
            <w:tcW w:w="2075"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21</w:t>
            </w:r>
          </w:p>
        </w:tc>
        <w:tc>
          <w:tcPr>
            <w:tcW w:w="1665" w:type="dxa"/>
            <w:tcBorders>
              <w:bottom w:val="single" w:sz="4" w:space="0" w:color="auto"/>
            </w:tcBorders>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47</w:t>
            </w:r>
          </w:p>
        </w:tc>
      </w:tr>
      <w:tr>
        <w:tc>
          <w:tcPr>
            <w:tcW w:w="790" w:type="dxa"/>
            <w:tcBorders>
              <w:left w:val="nil"/>
              <w:right w:val="nil"/>
            </w:tcBorders>
          </w:tcPr>
          <w:p>
            <w:pPr>
              <w:jc w:val="center"/>
              <w:rPr>
                <w:rFonts w:ascii="Times New Roman" w:hAnsi="Times New Roman" w:cs="Times New Roman"/>
                <w:b/>
                <w:noProof/>
                <w:sz w:val="20"/>
                <w:szCs w:val="20"/>
              </w:rPr>
            </w:pPr>
          </w:p>
        </w:tc>
        <w:tc>
          <w:tcPr>
            <w:tcW w:w="2234" w:type="dxa"/>
            <w:tcBorders>
              <w:left w:val="nil"/>
              <w:right w:val="nil"/>
            </w:tcBorders>
          </w:tcPr>
          <w:p>
            <w:pPr>
              <w:jc w:val="center"/>
              <w:rPr>
                <w:rFonts w:ascii="Times New Roman" w:hAnsi="Times New Roman" w:cs="Times New Roman"/>
                <w:b/>
                <w:noProof/>
                <w:sz w:val="20"/>
                <w:szCs w:val="20"/>
              </w:rPr>
            </w:pPr>
          </w:p>
        </w:tc>
        <w:tc>
          <w:tcPr>
            <w:tcW w:w="2524" w:type="dxa"/>
            <w:tcBorders>
              <w:left w:val="nil"/>
              <w:right w:val="nil"/>
            </w:tcBorders>
          </w:tcPr>
          <w:p>
            <w:pPr>
              <w:jc w:val="center"/>
              <w:rPr>
                <w:rFonts w:ascii="Times New Roman" w:hAnsi="Times New Roman" w:cs="Times New Roman"/>
                <w:b/>
                <w:noProof/>
                <w:sz w:val="20"/>
                <w:szCs w:val="20"/>
              </w:rPr>
            </w:pPr>
          </w:p>
        </w:tc>
        <w:tc>
          <w:tcPr>
            <w:tcW w:w="2075" w:type="dxa"/>
            <w:tcBorders>
              <w:left w:val="nil"/>
              <w:right w:val="nil"/>
            </w:tcBorders>
          </w:tcPr>
          <w:p>
            <w:pPr>
              <w:jc w:val="center"/>
              <w:rPr>
                <w:rFonts w:ascii="Times New Roman" w:hAnsi="Times New Roman" w:cs="Times New Roman"/>
                <w:b/>
                <w:noProof/>
                <w:sz w:val="20"/>
                <w:szCs w:val="20"/>
              </w:rPr>
            </w:pPr>
          </w:p>
        </w:tc>
        <w:tc>
          <w:tcPr>
            <w:tcW w:w="1665" w:type="dxa"/>
            <w:tcBorders>
              <w:left w:val="nil"/>
              <w:right w:val="nil"/>
            </w:tcBorders>
          </w:tcPr>
          <w:p>
            <w:pPr>
              <w:jc w:val="center"/>
              <w:rPr>
                <w:rFonts w:ascii="Times New Roman" w:hAnsi="Times New Roman" w:cs="Times New Roman"/>
                <w:b/>
                <w:noProof/>
                <w:sz w:val="20"/>
                <w:szCs w:val="20"/>
                <w:highlight w:val="yellow"/>
              </w:rPr>
            </w:pP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Total</w:t>
            </w:r>
          </w:p>
        </w:tc>
        <w:tc>
          <w:tcPr>
            <w:tcW w:w="2234" w:type="dxa"/>
          </w:tcPr>
          <w:p>
            <w:pPr>
              <w:jc w:val="center"/>
              <w:rPr>
                <w:rFonts w:ascii="Times New Roman" w:hAnsi="Times New Roman" w:cs="Times New Roman"/>
                <w:b/>
                <w:noProof/>
                <w:sz w:val="20"/>
                <w:szCs w:val="20"/>
              </w:rPr>
            </w:pPr>
            <w:r>
              <w:rPr>
                <w:rFonts w:ascii="Times New Roman" w:hAnsi="Times New Roman"/>
                <w:b/>
                <w:noProof/>
                <w:sz w:val="20"/>
              </w:rPr>
              <w:t>100</w:t>
            </w:r>
          </w:p>
        </w:tc>
        <w:tc>
          <w:tcPr>
            <w:tcW w:w="2524" w:type="dxa"/>
          </w:tcPr>
          <w:p>
            <w:pPr>
              <w:jc w:val="center"/>
              <w:rPr>
                <w:rFonts w:ascii="Times New Roman" w:hAnsi="Times New Roman" w:cs="Times New Roman"/>
                <w:b/>
                <w:noProof/>
                <w:sz w:val="20"/>
                <w:szCs w:val="20"/>
              </w:rPr>
            </w:pPr>
            <w:r>
              <w:rPr>
                <w:rFonts w:ascii="Times New Roman" w:hAnsi="Times New Roman"/>
                <w:b/>
                <w:noProof/>
                <w:sz w:val="20"/>
              </w:rPr>
              <w:t>160</w:t>
            </w:r>
          </w:p>
        </w:tc>
        <w:tc>
          <w:tcPr>
            <w:tcW w:w="2075" w:type="dxa"/>
          </w:tcPr>
          <w:p>
            <w:pPr>
              <w:jc w:val="center"/>
              <w:rPr>
                <w:rFonts w:ascii="Times New Roman" w:hAnsi="Times New Roman" w:cs="Times New Roman"/>
                <w:b/>
                <w:noProof/>
                <w:sz w:val="20"/>
                <w:szCs w:val="20"/>
              </w:rPr>
            </w:pPr>
            <w:r>
              <w:rPr>
                <w:rFonts w:ascii="Times New Roman" w:hAnsi="Times New Roman"/>
                <w:b/>
                <w:noProof/>
                <w:sz w:val="20"/>
              </w:rPr>
              <w:t>331</w:t>
            </w:r>
          </w:p>
        </w:tc>
        <w:tc>
          <w:tcPr>
            <w:tcW w:w="1665" w:type="dxa"/>
          </w:tcPr>
          <w:p>
            <w:pPr>
              <w:jc w:val="center"/>
              <w:rPr>
                <w:rFonts w:ascii="Times New Roman" w:hAnsi="Times New Roman" w:cs="Times New Roman"/>
                <w:b/>
                <w:noProof/>
                <w:sz w:val="20"/>
                <w:szCs w:val="20"/>
                <w:highlight w:val="yellow"/>
              </w:rPr>
            </w:pPr>
            <w:r>
              <w:rPr>
                <w:rFonts w:ascii="Times New Roman" w:hAnsi="Times New Roman"/>
                <w:b/>
                <w:noProof/>
                <w:sz w:val="20"/>
              </w:rPr>
              <w:t>591</w:t>
            </w:r>
          </w:p>
        </w:tc>
      </w:tr>
    </w:tbl>
    <w:p>
      <w:pPr>
        <w:jc w:val="center"/>
        <w:rPr>
          <w:rFonts w:ascii="Times New Roman" w:hAnsi="Times New Roman" w:cs="Times New Roman"/>
          <w:b/>
          <w:noProof/>
          <w:sz w:val="24"/>
          <w:szCs w:val="24"/>
        </w:rPr>
      </w:pPr>
    </w:p>
    <w:p>
      <w:pPr>
        <w:jc w:val="center"/>
        <w:rPr>
          <w:rFonts w:ascii="Times New Roman" w:hAnsi="Times New Roman" w:cs="Times New Roman"/>
          <w:b/>
          <w:noProof/>
          <w:sz w:val="24"/>
          <w:szCs w:val="24"/>
        </w:rPr>
      </w:pPr>
      <w:r>
        <w:rPr>
          <w:rFonts w:ascii="Times New Roman" w:hAnsi="Times New Roman"/>
          <w:b/>
          <w:noProof/>
          <w:sz w:val="21"/>
          <w:szCs w:val="21"/>
        </w:rPr>
        <w:t>NUMĂRUL DE NORME DE PUNERE ÎN APLICARE ADOPTATE DE INSTITUȚII ÎN VIGOARE</w:t>
      </w:r>
      <w:r>
        <w:rPr>
          <w:rFonts w:ascii="Times New Roman" w:hAnsi="Times New Roman"/>
          <w:b/>
          <w:noProof/>
          <w:sz w:val="24"/>
        </w:rPr>
        <w:t xml:space="preserve"> în cursul celei de a doua perioade de raportare – 2017-2019</w:t>
      </w:r>
    </w:p>
    <w:tbl>
      <w:tblPr>
        <w:tblStyle w:val="TableGrid"/>
        <w:tblW w:w="0" w:type="auto"/>
        <w:tblLook w:val="04A0" w:firstRow="1" w:lastRow="0" w:firstColumn="1" w:lastColumn="0" w:noHBand="0" w:noVBand="1"/>
      </w:tblPr>
      <w:tblGrid>
        <w:gridCol w:w="790"/>
        <w:gridCol w:w="2234"/>
        <w:gridCol w:w="2524"/>
        <w:gridCol w:w="2075"/>
        <w:gridCol w:w="1665"/>
      </w:tblGrid>
      <w:tr>
        <w:tc>
          <w:tcPr>
            <w:tcW w:w="790" w:type="dxa"/>
          </w:tcPr>
          <w:p>
            <w:pPr>
              <w:jc w:val="center"/>
              <w:rPr>
                <w:rFonts w:ascii="Times New Roman" w:hAnsi="Times New Roman" w:cs="Times New Roman"/>
                <w:b/>
                <w:noProof/>
                <w:sz w:val="20"/>
                <w:szCs w:val="20"/>
              </w:rPr>
            </w:pPr>
          </w:p>
        </w:tc>
        <w:tc>
          <w:tcPr>
            <w:tcW w:w="2234" w:type="dxa"/>
          </w:tcPr>
          <w:p>
            <w:pPr>
              <w:jc w:val="center"/>
              <w:rPr>
                <w:rFonts w:ascii="Times New Roman" w:hAnsi="Times New Roman" w:cs="Times New Roman"/>
                <w:b/>
                <w:noProof/>
                <w:sz w:val="20"/>
                <w:szCs w:val="20"/>
              </w:rPr>
            </w:pPr>
            <w:r>
              <w:rPr>
                <w:rFonts w:ascii="Times New Roman" w:hAnsi="Times New Roman"/>
                <w:b/>
                <w:noProof/>
                <w:sz w:val="20"/>
              </w:rPr>
              <w:t>Norme adoptate de comun acord</w:t>
            </w:r>
          </w:p>
        </w:tc>
        <w:tc>
          <w:tcPr>
            <w:tcW w:w="2524" w:type="dxa"/>
          </w:tcPr>
          <w:p>
            <w:pPr>
              <w:jc w:val="center"/>
              <w:rPr>
                <w:rFonts w:ascii="Times New Roman" w:hAnsi="Times New Roman" w:cs="Times New Roman"/>
                <w:b/>
                <w:noProof/>
                <w:sz w:val="20"/>
                <w:szCs w:val="20"/>
              </w:rPr>
            </w:pPr>
            <w:r>
              <w:rPr>
                <w:rFonts w:ascii="Times New Roman" w:hAnsi="Times New Roman"/>
                <w:b/>
                <w:noProof/>
                <w:sz w:val="20"/>
              </w:rPr>
              <w:t>Dispoziții generale de punere în aplicare</w:t>
            </w:r>
          </w:p>
        </w:tc>
        <w:tc>
          <w:tcPr>
            <w:tcW w:w="2075" w:type="dxa"/>
          </w:tcPr>
          <w:p>
            <w:pPr>
              <w:jc w:val="center"/>
              <w:rPr>
                <w:rFonts w:ascii="Times New Roman" w:hAnsi="Times New Roman" w:cs="Times New Roman"/>
                <w:b/>
                <w:noProof/>
                <w:sz w:val="20"/>
                <w:szCs w:val="20"/>
              </w:rPr>
            </w:pPr>
            <w:r>
              <w:rPr>
                <w:rFonts w:ascii="Times New Roman" w:hAnsi="Times New Roman"/>
                <w:b/>
                <w:noProof/>
                <w:sz w:val="20"/>
              </w:rPr>
              <w:t>Alte norme de punere în aplicare</w:t>
            </w:r>
          </w:p>
        </w:tc>
        <w:tc>
          <w:tcPr>
            <w:tcW w:w="1665" w:type="dxa"/>
          </w:tcPr>
          <w:p>
            <w:pPr>
              <w:jc w:val="center"/>
              <w:rPr>
                <w:rFonts w:ascii="Times New Roman" w:hAnsi="Times New Roman" w:cs="Times New Roman"/>
                <w:b/>
                <w:noProof/>
                <w:sz w:val="20"/>
                <w:szCs w:val="20"/>
              </w:rPr>
            </w:pPr>
            <w:r>
              <w:rPr>
                <w:rFonts w:ascii="Times New Roman" w:hAnsi="Times New Roman"/>
                <w:b/>
                <w:noProof/>
                <w:sz w:val="20"/>
              </w:rPr>
              <w:t xml:space="preserve">Total </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PE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17</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45</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72</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37</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62</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COM</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24</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62</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96</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CJUE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11</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39</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60</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CCE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10</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32</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52</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SEAE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24</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46</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80</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CESE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12</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44</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66</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CoR</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16</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34</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60</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OE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17</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14</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41</w:t>
            </w:r>
          </w:p>
        </w:tc>
      </w:tr>
      <w:tr>
        <w:tc>
          <w:tcPr>
            <w:tcW w:w="790" w:type="dxa"/>
            <w:tcBorders>
              <w:bottom w:val="single" w:sz="4" w:space="0" w:color="auto"/>
            </w:tcBorders>
          </w:tcPr>
          <w:p>
            <w:pPr>
              <w:jc w:val="center"/>
              <w:rPr>
                <w:rFonts w:ascii="Times New Roman" w:hAnsi="Times New Roman" w:cs="Times New Roman"/>
                <w:b/>
                <w:noProof/>
                <w:sz w:val="20"/>
                <w:szCs w:val="20"/>
              </w:rPr>
            </w:pPr>
            <w:r>
              <w:rPr>
                <w:rFonts w:ascii="Times New Roman" w:hAnsi="Times New Roman"/>
                <w:b/>
                <w:noProof/>
                <w:sz w:val="20"/>
              </w:rPr>
              <w:t>AEPD</w:t>
            </w:r>
          </w:p>
        </w:tc>
        <w:tc>
          <w:tcPr>
            <w:tcW w:w="2234" w:type="dxa"/>
            <w:tcBorders>
              <w:bottom w:val="single" w:sz="4" w:space="0" w:color="auto"/>
            </w:tcBorders>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16</w:t>
            </w:r>
          </w:p>
        </w:tc>
        <w:tc>
          <w:tcPr>
            <w:tcW w:w="2075"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25</w:t>
            </w:r>
          </w:p>
        </w:tc>
        <w:tc>
          <w:tcPr>
            <w:tcW w:w="1665" w:type="dxa"/>
            <w:tcBorders>
              <w:bottom w:val="single" w:sz="4" w:space="0" w:color="auto"/>
            </w:tcBorders>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51</w:t>
            </w:r>
          </w:p>
        </w:tc>
      </w:tr>
      <w:tr>
        <w:tc>
          <w:tcPr>
            <w:tcW w:w="790" w:type="dxa"/>
            <w:tcBorders>
              <w:left w:val="nil"/>
              <w:right w:val="nil"/>
            </w:tcBorders>
          </w:tcPr>
          <w:p>
            <w:pPr>
              <w:jc w:val="center"/>
              <w:rPr>
                <w:rFonts w:ascii="Times New Roman" w:hAnsi="Times New Roman" w:cs="Times New Roman"/>
                <w:b/>
                <w:noProof/>
                <w:sz w:val="20"/>
                <w:szCs w:val="20"/>
              </w:rPr>
            </w:pPr>
          </w:p>
        </w:tc>
        <w:tc>
          <w:tcPr>
            <w:tcW w:w="2234" w:type="dxa"/>
            <w:tcBorders>
              <w:left w:val="nil"/>
              <w:right w:val="nil"/>
            </w:tcBorders>
          </w:tcPr>
          <w:p>
            <w:pPr>
              <w:jc w:val="center"/>
              <w:rPr>
                <w:rFonts w:ascii="Times New Roman" w:hAnsi="Times New Roman" w:cs="Times New Roman"/>
                <w:b/>
                <w:noProof/>
                <w:sz w:val="20"/>
                <w:szCs w:val="20"/>
              </w:rPr>
            </w:pPr>
          </w:p>
        </w:tc>
        <w:tc>
          <w:tcPr>
            <w:tcW w:w="2524" w:type="dxa"/>
            <w:tcBorders>
              <w:left w:val="nil"/>
              <w:right w:val="nil"/>
            </w:tcBorders>
          </w:tcPr>
          <w:p>
            <w:pPr>
              <w:jc w:val="center"/>
              <w:rPr>
                <w:rFonts w:ascii="Times New Roman" w:hAnsi="Times New Roman" w:cs="Times New Roman"/>
                <w:b/>
                <w:noProof/>
                <w:sz w:val="20"/>
                <w:szCs w:val="20"/>
              </w:rPr>
            </w:pPr>
          </w:p>
        </w:tc>
        <w:tc>
          <w:tcPr>
            <w:tcW w:w="2075" w:type="dxa"/>
            <w:tcBorders>
              <w:left w:val="nil"/>
              <w:right w:val="nil"/>
            </w:tcBorders>
          </w:tcPr>
          <w:p>
            <w:pPr>
              <w:jc w:val="center"/>
              <w:rPr>
                <w:rFonts w:ascii="Times New Roman" w:hAnsi="Times New Roman" w:cs="Times New Roman"/>
                <w:b/>
                <w:noProof/>
                <w:sz w:val="20"/>
                <w:szCs w:val="20"/>
              </w:rPr>
            </w:pPr>
          </w:p>
        </w:tc>
        <w:tc>
          <w:tcPr>
            <w:tcW w:w="1665" w:type="dxa"/>
            <w:tcBorders>
              <w:left w:val="nil"/>
              <w:right w:val="nil"/>
            </w:tcBorders>
          </w:tcPr>
          <w:p>
            <w:pPr>
              <w:jc w:val="center"/>
              <w:rPr>
                <w:rFonts w:ascii="Times New Roman" w:hAnsi="Times New Roman" w:cs="Times New Roman"/>
                <w:b/>
                <w:noProof/>
                <w:sz w:val="20"/>
                <w:szCs w:val="20"/>
              </w:rPr>
            </w:pP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Total</w:t>
            </w:r>
          </w:p>
        </w:tc>
        <w:tc>
          <w:tcPr>
            <w:tcW w:w="2234" w:type="dxa"/>
          </w:tcPr>
          <w:p>
            <w:pPr>
              <w:jc w:val="center"/>
              <w:rPr>
                <w:rFonts w:ascii="Times New Roman" w:hAnsi="Times New Roman" w:cs="Times New Roman"/>
                <w:b/>
                <w:noProof/>
                <w:sz w:val="20"/>
                <w:szCs w:val="20"/>
              </w:rPr>
            </w:pPr>
            <w:r>
              <w:rPr>
                <w:rFonts w:ascii="Times New Roman" w:hAnsi="Times New Roman"/>
                <w:b/>
                <w:noProof/>
                <w:sz w:val="20"/>
              </w:rPr>
              <w:t>100</w:t>
            </w:r>
          </w:p>
        </w:tc>
        <w:tc>
          <w:tcPr>
            <w:tcW w:w="2524" w:type="dxa"/>
          </w:tcPr>
          <w:p>
            <w:pPr>
              <w:jc w:val="center"/>
              <w:rPr>
                <w:rFonts w:ascii="Times New Roman" w:hAnsi="Times New Roman" w:cs="Times New Roman"/>
                <w:b/>
                <w:noProof/>
                <w:sz w:val="20"/>
                <w:szCs w:val="20"/>
              </w:rPr>
            </w:pPr>
            <w:r>
              <w:rPr>
                <w:rFonts w:ascii="Times New Roman" w:hAnsi="Times New Roman"/>
                <w:b/>
                <w:noProof/>
                <w:sz w:val="20"/>
              </w:rPr>
              <w:t>162</w:t>
            </w:r>
          </w:p>
        </w:tc>
        <w:tc>
          <w:tcPr>
            <w:tcW w:w="2075" w:type="dxa"/>
          </w:tcPr>
          <w:p>
            <w:pPr>
              <w:jc w:val="center"/>
              <w:rPr>
                <w:rFonts w:ascii="Times New Roman" w:hAnsi="Times New Roman" w:cs="Times New Roman"/>
                <w:b/>
                <w:noProof/>
                <w:sz w:val="20"/>
                <w:szCs w:val="20"/>
              </w:rPr>
            </w:pPr>
            <w:r>
              <w:rPr>
                <w:rFonts w:ascii="Times New Roman" w:hAnsi="Times New Roman"/>
                <w:b/>
                <w:noProof/>
                <w:sz w:val="20"/>
              </w:rPr>
              <w:t>378</w:t>
            </w:r>
          </w:p>
        </w:tc>
        <w:tc>
          <w:tcPr>
            <w:tcW w:w="1665" w:type="dxa"/>
          </w:tcPr>
          <w:p>
            <w:pPr>
              <w:jc w:val="center"/>
              <w:rPr>
                <w:rFonts w:ascii="Times New Roman" w:hAnsi="Times New Roman" w:cs="Times New Roman"/>
                <w:b/>
                <w:noProof/>
                <w:sz w:val="20"/>
                <w:szCs w:val="20"/>
              </w:rPr>
            </w:pPr>
            <w:r>
              <w:rPr>
                <w:rFonts w:ascii="Times New Roman" w:hAnsi="Times New Roman"/>
                <w:b/>
                <w:noProof/>
                <w:sz w:val="20"/>
              </w:rPr>
              <w:t>640</w:t>
            </w:r>
          </w:p>
        </w:tc>
      </w:tr>
    </w:tbl>
    <w:p>
      <w:pPr>
        <w:jc w:val="both"/>
        <w:rPr>
          <w:rFonts w:ascii="Times New Roman" w:hAnsi="Times New Roman" w:cs="Times New Roman"/>
          <w:noProof/>
          <w:sz w:val="24"/>
          <w:szCs w:val="24"/>
        </w:rPr>
      </w:pPr>
    </w:p>
    <w:p>
      <w:pPr>
        <w:jc w:val="center"/>
        <w:rPr>
          <w:rFonts w:ascii="Times New Roman" w:hAnsi="Times New Roman" w:cs="Times New Roman"/>
          <w:b/>
          <w:noProof/>
          <w:sz w:val="24"/>
          <w:szCs w:val="24"/>
        </w:rPr>
      </w:pPr>
      <w:r>
        <w:rPr>
          <w:rFonts w:ascii="Times New Roman" w:hAnsi="Times New Roman"/>
          <w:b/>
          <w:noProof/>
          <w:sz w:val="21"/>
          <w:szCs w:val="21"/>
        </w:rPr>
        <w:t>NUMĂRUL DE NORME DE PUNERE ÎN APLICARE ADOPTATE DE INSTITUȚII ÎN VIGOARE</w:t>
      </w:r>
      <w:r>
        <w:rPr>
          <w:rFonts w:ascii="Times New Roman" w:hAnsi="Times New Roman"/>
          <w:b/>
          <w:noProof/>
          <w:sz w:val="24"/>
        </w:rPr>
        <w:t xml:space="preserve"> în cursul celei de a treia perioade de raportare – 2020-2023</w:t>
      </w:r>
    </w:p>
    <w:tbl>
      <w:tblPr>
        <w:tblStyle w:val="TableGrid"/>
        <w:tblW w:w="0" w:type="auto"/>
        <w:tblLook w:val="04A0" w:firstRow="1" w:lastRow="0" w:firstColumn="1" w:lastColumn="0" w:noHBand="0" w:noVBand="1"/>
      </w:tblPr>
      <w:tblGrid>
        <w:gridCol w:w="790"/>
        <w:gridCol w:w="2234"/>
        <w:gridCol w:w="2524"/>
        <w:gridCol w:w="2075"/>
        <w:gridCol w:w="1665"/>
      </w:tblGrid>
      <w:tr>
        <w:tc>
          <w:tcPr>
            <w:tcW w:w="790" w:type="dxa"/>
          </w:tcPr>
          <w:p>
            <w:pPr>
              <w:jc w:val="center"/>
              <w:rPr>
                <w:rFonts w:ascii="Times New Roman" w:hAnsi="Times New Roman" w:cs="Times New Roman"/>
                <w:b/>
                <w:noProof/>
                <w:sz w:val="20"/>
                <w:szCs w:val="20"/>
              </w:rPr>
            </w:pPr>
          </w:p>
        </w:tc>
        <w:tc>
          <w:tcPr>
            <w:tcW w:w="2234" w:type="dxa"/>
          </w:tcPr>
          <w:p>
            <w:pPr>
              <w:jc w:val="center"/>
              <w:rPr>
                <w:rFonts w:ascii="Times New Roman" w:hAnsi="Times New Roman" w:cs="Times New Roman"/>
                <w:b/>
                <w:noProof/>
                <w:sz w:val="20"/>
                <w:szCs w:val="20"/>
              </w:rPr>
            </w:pPr>
            <w:r>
              <w:rPr>
                <w:rFonts w:ascii="Times New Roman" w:hAnsi="Times New Roman"/>
                <w:b/>
                <w:noProof/>
                <w:sz w:val="20"/>
              </w:rPr>
              <w:t>Norme adoptate de comun acord</w:t>
            </w:r>
          </w:p>
        </w:tc>
        <w:tc>
          <w:tcPr>
            <w:tcW w:w="2524" w:type="dxa"/>
          </w:tcPr>
          <w:p>
            <w:pPr>
              <w:jc w:val="center"/>
              <w:rPr>
                <w:rFonts w:ascii="Times New Roman" w:hAnsi="Times New Roman" w:cs="Times New Roman"/>
                <w:b/>
                <w:noProof/>
                <w:sz w:val="20"/>
                <w:szCs w:val="20"/>
              </w:rPr>
            </w:pPr>
            <w:r>
              <w:rPr>
                <w:rFonts w:ascii="Times New Roman" w:hAnsi="Times New Roman"/>
                <w:b/>
                <w:noProof/>
                <w:sz w:val="20"/>
              </w:rPr>
              <w:t>Dispoziții generale de punere în aplicare</w:t>
            </w:r>
          </w:p>
        </w:tc>
        <w:tc>
          <w:tcPr>
            <w:tcW w:w="2075" w:type="dxa"/>
          </w:tcPr>
          <w:p>
            <w:pPr>
              <w:jc w:val="center"/>
              <w:rPr>
                <w:rFonts w:ascii="Times New Roman" w:hAnsi="Times New Roman" w:cs="Times New Roman"/>
                <w:b/>
                <w:noProof/>
                <w:sz w:val="20"/>
                <w:szCs w:val="20"/>
              </w:rPr>
            </w:pPr>
            <w:r>
              <w:rPr>
                <w:rFonts w:ascii="Times New Roman" w:hAnsi="Times New Roman"/>
                <w:b/>
                <w:noProof/>
                <w:sz w:val="20"/>
              </w:rPr>
              <w:t>Alte norme de punere în aplicare</w:t>
            </w:r>
          </w:p>
        </w:tc>
        <w:tc>
          <w:tcPr>
            <w:tcW w:w="1665" w:type="dxa"/>
          </w:tcPr>
          <w:p>
            <w:pPr>
              <w:jc w:val="center"/>
              <w:rPr>
                <w:rFonts w:ascii="Times New Roman" w:hAnsi="Times New Roman" w:cs="Times New Roman"/>
                <w:b/>
                <w:noProof/>
                <w:sz w:val="20"/>
                <w:szCs w:val="20"/>
              </w:rPr>
            </w:pPr>
            <w:r>
              <w:rPr>
                <w:rFonts w:ascii="Times New Roman" w:hAnsi="Times New Roman"/>
                <w:b/>
                <w:noProof/>
                <w:sz w:val="20"/>
              </w:rPr>
              <w:t xml:space="preserve">Total </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PE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16</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42</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68</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30</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55</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COM</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26</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71</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107</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CJUE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16</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29</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55</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CCE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11</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29</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50</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SEAE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27</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51</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89</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CESE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12</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40</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62</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lastRenderedPageBreak/>
              <w:t>CoR</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16</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30</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56</w:t>
            </w: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OE</w:t>
            </w:r>
          </w:p>
        </w:tc>
        <w:tc>
          <w:tcPr>
            <w:tcW w:w="2234" w:type="dxa"/>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20</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45</w:t>
            </w:r>
          </w:p>
        </w:tc>
      </w:tr>
      <w:tr>
        <w:tc>
          <w:tcPr>
            <w:tcW w:w="790" w:type="dxa"/>
            <w:tcBorders>
              <w:bottom w:val="single" w:sz="4" w:space="0" w:color="auto"/>
            </w:tcBorders>
          </w:tcPr>
          <w:p>
            <w:pPr>
              <w:jc w:val="center"/>
              <w:rPr>
                <w:rFonts w:ascii="Times New Roman" w:hAnsi="Times New Roman" w:cs="Times New Roman"/>
                <w:b/>
                <w:noProof/>
                <w:sz w:val="20"/>
                <w:szCs w:val="20"/>
              </w:rPr>
            </w:pPr>
            <w:r>
              <w:rPr>
                <w:rFonts w:ascii="Times New Roman" w:hAnsi="Times New Roman"/>
                <w:b/>
                <w:noProof/>
                <w:sz w:val="20"/>
              </w:rPr>
              <w:t>AEPD</w:t>
            </w:r>
          </w:p>
        </w:tc>
        <w:tc>
          <w:tcPr>
            <w:tcW w:w="2234" w:type="dxa"/>
            <w:tcBorders>
              <w:bottom w:val="single" w:sz="4" w:space="0" w:color="auto"/>
            </w:tcBorders>
          </w:tcPr>
          <w:p>
            <w:pPr>
              <w:jc w:val="center"/>
              <w:rPr>
                <w:rFonts w:ascii="Times New Roman" w:hAnsi="Times New Roman" w:cs="Times New Roman"/>
                <w:noProof/>
                <w:sz w:val="20"/>
                <w:szCs w:val="20"/>
              </w:rPr>
            </w:pPr>
            <w:r>
              <w:rPr>
                <w:rFonts w:ascii="Times New Roman" w:hAnsi="Times New Roman"/>
                <w:noProof/>
                <w:sz w:val="20"/>
              </w:rPr>
              <w:t>10</w:t>
            </w:r>
          </w:p>
        </w:tc>
        <w:tc>
          <w:tcPr>
            <w:tcW w:w="2524"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16</w:t>
            </w:r>
          </w:p>
        </w:tc>
        <w:tc>
          <w:tcPr>
            <w:tcW w:w="2075"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noProof/>
                <w:color w:val="000000"/>
                <w:sz w:val="20"/>
              </w:rPr>
              <w:t>22</w:t>
            </w:r>
          </w:p>
        </w:tc>
        <w:tc>
          <w:tcPr>
            <w:tcW w:w="1665" w:type="dxa"/>
            <w:tcBorders>
              <w:bottom w:val="single" w:sz="4" w:space="0" w:color="auto"/>
            </w:tcBorders>
            <w:vAlign w:val="bottom"/>
          </w:tcPr>
          <w:p>
            <w:pPr>
              <w:jc w:val="center"/>
              <w:rPr>
                <w:rFonts w:ascii="Times New Roman" w:hAnsi="Times New Roman" w:cs="Times New Roman"/>
                <w:b/>
                <w:noProof/>
                <w:color w:val="000000"/>
                <w:sz w:val="20"/>
                <w:szCs w:val="20"/>
              </w:rPr>
            </w:pPr>
            <w:r>
              <w:rPr>
                <w:rFonts w:ascii="Times New Roman" w:hAnsi="Times New Roman"/>
                <w:b/>
                <w:noProof/>
                <w:color w:val="000000"/>
                <w:sz w:val="20"/>
              </w:rPr>
              <w:t>48</w:t>
            </w:r>
          </w:p>
        </w:tc>
      </w:tr>
      <w:tr>
        <w:tc>
          <w:tcPr>
            <w:tcW w:w="790" w:type="dxa"/>
            <w:tcBorders>
              <w:left w:val="nil"/>
              <w:right w:val="nil"/>
            </w:tcBorders>
          </w:tcPr>
          <w:p>
            <w:pPr>
              <w:jc w:val="center"/>
              <w:rPr>
                <w:rFonts w:ascii="Times New Roman" w:hAnsi="Times New Roman" w:cs="Times New Roman"/>
                <w:b/>
                <w:noProof/>
                <w:sz w:val="20"/>
                <w:szCs w:val="20"/>
              </w:rPr>
            </w:pPr>
          </w:p>
        </w:tc>
        <w:tc>
          <w:tcPr>
            <w:tcW w:w="2234" w:type="dxa"/>
            <w:tcBorders>
              <w:left w:val="nil"/>
              <w:right w:val="nil"/>
            </w:tcBorders>
          </w:tcPr>
          <w:p>
            <w:pPr>
              <w:jc w:val="center"/>
              <w:rPr>
                <w:rFonts w:ascii="Times New Roman" w:hAnsi="Times New Roman" w:cs="Times New Roman"/>
                <w:b/>
                <w:noProof/>
                <w:sz w:val="20"/>
                <w:szCs w:val="20"/>
              </w:rPr>
            </w:pPr>
          </w:p>
        </w:tc>
        <w:tc>
          <w:tcPr>
            <w:tcW w:w="2524" w:type="dxa"/>
            <w:tcBorders>
              <w:left w:val="nil"/>
              <w:right w:val="nil"/>
            </w:tcBorders>
          </w:tcPr>
          <w:p>
            <w:pPr>
              <w:jc w:val="center"/>
              <w:rPr>
                <w:rFonts w:ascii="Times New Roman" w:hAnsi="Times New Roman" w:cs="Times New Roman"/>
                <w:b/>
                <w:noProof/>
                <w:sz w:val="20"/>
                <w:szCs w:val="20"/>
              </w:rPr>
            </w:pPr>
          </w:p>
        </w:tc>
        <w:tc>
          <w:tcPr>
            <w:tcW w:w="2075" w:type="dxa"/>
            <w:tcBorders>
              <w:left w:val="nil"/>
              <w:right w:val="nil"/>
            </w:tcBorders>
          </w:tcPr>
          <w:p>
            <w:pPr>
              <w:jc w:val="center"/>
              <w:rPr>
                <w:rFonts w:ascii="Times New Roman" w:hAnsi="Times New Roman" w:cs="Times New Roman"/>
                <w:b/>
                <w:noProof/>
                <w:sz w:val="20"/>
                <w:szCs w:val="20"/>
              </w:rPr>
            </w:pPr>
          </w:p>
        </w:tc>
        <w:tc>
          <w:tcPr>
            <w:tcW w:w="1665" w:type="dxa"/>
            <w:tcBorders>
              <w:left w:val="nil"/>
              <w:right w:val="nil"/>
            </w:tcBorders>
          </w:tcPr>
          <w:p>
            <w:pPr>
              <w:jc w:val="center"/>
              <w:rPr>
                <w:rFonts w:ascii="Times New Roman" w:hAnsi="Times New Roman" w:cs="Times New Roman"/>
                <w:b/>
                <w:noProof/>
                <w:sz w:val="20"/>
                <w:szCs w:val="20"/>
              </w:rPr>
            </w:pPr>
          </w:p>
        </w:tc>
      </w:tr>
      <w:tr>
        <w:tc>
          <w:tcPr>
            <w:tcW w:w="790" w:type="dxa"/>
          </w:tcPr>
          <w:p>
            <w:pPr>
              <w:jc w:val="center"/>
              <w:rPr>
                <w:rFonts w:ascii="Times New Roman" w:hAnsi="Times New Roman" w:cs="Times New Roman"/>
                <w:b/>
                <w:noProof/>
                <w:sz w:val="20"/>
                <w:szCs w:val="20"/>
              </w:rPr>
            </w:pPr>
            <w:r>
              <w:rPr>
                <w:rFonts w:ascii="Times New Roman" w:hAnsi="Times New Roman"/>
                <w:b/>
                <w:noProof/>
                <w:sz w:val="20"/>
              </w:rPr>
              <w:t>Total</w:t>
            </w:r>
          </w:p>
        </w:tc>
        <w:tc>
          <w:tcPr>
            <w:tcW w:w="2234" w:type="dxa"/>
          </w:tcPr>
          <w:p>
            <w:pPr>
              <w:jc w:val="center"/>
              <w:rPr>
                <w:rFonts w:ascii="Times New Roman" w:hAnsi="Times New Roman" w:cs="Times New Roman"/>
                <w:b/>
                <w:noProof/>
                <w:sz w:val="20"/>
                <w:szCs w:val="20"/>
              </w:rPr>
            </w:pPr>
            <w:r>
              <w:rPr>
                <w:rFonts w:ascii="Times New Roman" w:hAnsi="Times New Roman"/>
                <w:b/>
                <w:noProof/>
                <w:sz w:val="20"/>
              </w:rPr>
              <w:t>100</w:t>
            </w:r>
          </w:p>
        </w:tc>
        <w:tc>
          <w:tcPr>
            <w:tcW w:w="2524" w:type="dxa"/>
          </w:tcPr>
          <w:p>
            <w:pPr>
              <w:jc w:val="center"/>
              <w:rPr>
                <w:rFonts w:ascii="Times New Roman" w:hAnsi="Times New Roman" w:cs="Times New Roman"/>
                <w:b/>
                <w:noProof/>
                <w:sz w:val="20"/>
                <w:szCs w:val="20"/>
              </w:rPr>
            </w:pPr>
            <w:r>
              <w:rPr>
                <w:rFonts w:ascii="Times New Roman" w:hAnsi="Times New Roman"/>
                <w:b/>
                <w:noProof/>
                <w:sz w:val="20"/>
              </w:rPr>
              <w:t>170</w:t>
            </w:r>
          </w:p>
        </w:tc>
        <w:tc>
          <w:tcPr>
            <w:tcW w:w="2075" w:type="dxa"/>
          </w:tcPr>
          <w:p>
            <w:pPr>
              <w:jc w:val="center"/>
              <w:rPr>
                <w:rFonts w:ascii="Times New Roman" w:hAnsi="Times New Roman" w:cs="Times New Roman"/>
                <w:b/>
                <w:noProof/>
                <w:sz w:val="20"/>
                <w:szCs w:val="20"/>
              </w:rPr>
            </w:pPr>
            <w:r>
              <w:rPr>
                <w:rFonts w:ascii="Times New Roman" w:hAnsi="Times New Roman"/>
                <w:b/>
                <w:noProof/>
                <w:sz w:val="20"/>
              </w:rPr>
              <w:t>364</w:t>
            </w:r>
          </w:p>
        </w:tc>
        <w:tc>
          <w:tcPr>
            <w:tcW w:w="1665" w:type="dxa"/>
          </w:tcPr>
          <w:p>
            <w:pPr>
              <w:jc w:val="center"/>
              <w:rPr>
                <w:rFonts w:ascii="Times New Roman" w:hAnsi="Times New Roman" w:cs="Times New Roman"/>
                <w:b/>
                <w:noProof/>
                <w:sz w:val="20"/>
                <w:szCs w:val="20"/>
              </w:rPr>
            </w:pPr>
            <w:r>
              <w:rPr>
                <w:rFonts w:ascii="Times New Roman" w:hAnsi="Times New Roman"/>
                <w:b/>
                <w:noProof/>
                <w:sz w:val="20"/>
              </w:rPr>
              <w:t>635</w:t>
            </w:r>
          </w:p>
        </w:tc>
      </w:tr>
    </w:tbl>
    <w:p>
      <w:pPr>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rPr>
        <w:t xml:space="preserve">Efectuând o comparație între tabele, se constată că a existat o modificare relativ considerabilă între prima și a doua perioadă, în timp ce numărul de norme a rămas în mare măsură stabil în a treia perioadă de raportare. </w:t>
      </w:r>
    </w:p>
    <w:p>
      <w:pPr>
        <w:pStyle w:val="Heading2"/>
        <w:spacing w:before="240" w:after="360"/>
        <w:rPr>
          <w:rFonts w:ascii="Times New Roman" w:hAnsi="Times New Roman" w:cs="Times New Roman"/>
          <w:noProof/>
        </w:rPr>
      </w:pPr>
      <w:bookmarkStart w:id="7" w:name="_Toc238715626"/>
      <w:r>
        <w:rPr>
          <w:rFonts w:ascii="Times New Roman" w:hAnsi="Times New Roman"/>
          <w:noProof/>
        </w:rPr>
        <w:t>b)</w:t>
      </w:r>
      <w:r>
        <w:rPr>
          <w:noProof/>
        </w:rPr>
        <w:tab/>
      </w:r>
      <w:r>
        <w:rPr>
          <w:rFonts w:ascii="Times New Roman" w:hAnsi="Times New Roman"/>
          <w:noProof/>
        </w:rPr>
        <w:t>Norme de punere în aplicare în cadrul agențiilor executive, al agențiilor descentralizate și al întreprinderilor comune</w:t>
      </w:r>
      <w:bookmarkEnd w:id="7"/>
    </w:p>
    <w:p>
      <w:pPr>
        <w:jc w:val="both"/>
        <w:rPr>
          <w:rFonts w:ascii="Times New Roman" w:hAnsi="Times New Roman" w:cs="Times New Roman"/>
          <w:noProof/>
          <w:sz w:val="24"/>
          <w:szCs w:val="24"/>
        </w:rPr>
      </w:pPr>
      <w:r>
        <w:rPr>
          <w:rFonts w:ascii="Times New Roman" w:hAnsi="Times New Roman"/>
          <w:noProof/>
          <w:sz w:val="24"/>
        </w:rPr>
        <w:t>Prezentul raport oferă, de asemenea, o imagine de ansamblu a normelor de punere în aplicare adoptate de agențiile executive, de agențiile descentralizate și de întreprinderile comune („</w:t>
      </w:r>
      <w:r>
        <w:rPr>
          <w:rFonts w:ascii="Times New Roman" w:hAnsi="Times New Roman"/>
          <w:b/>
          <w:noProof/>
          <w:sz w:val="24"/>
        </w:rPr>
        <w:t>agențiile</w:t>
      </w:r>
      <w:r>
        <w:rPr>
          <w:rFonts w:ascii="Times New Roman" w:hAnsi="Times New Roman"/>
          <w:noProof/>
          <w:sz w:val="24"/>
        </w:rPr>
        <w:t>”), care erau în vigoare la 31 decembrie 2023. Este vorba de următoarele 54 de agenții</w:t>
      </w:r>
      <w:r>
        <w:rPr>
          <w:rStyle w:val="FootnoteReference"/>
          <w:rFonts w:ascii="Times New Roman" w:hAnsi="Times New Roman" w:cs="Times New Roman"/>
          <w:noProof/>
          <w:sz w:val="24"/>
          <w:szCs w:val="24"/>
        </w:rPr>
        <w:footnoteReference w:id="25"/>
      </w:r>
      <w:r>
        <w:rPr>
          <w:rFonts w:ascii="Times New Roman" w:hAnsi="Times New Roman"/>
          <w:noProof/>
          <w:sz w:val="24"/>
        </w:rPr>
        <w:t xml:space="preserve">, în sensul articolului 1a alineatul (2) din Statutul funcționarilor: </w:t>
      </w:r>
    </w:p>
    <w:p>
      <w:pPr>
        <w:pStyle w:val="ListParagraph"/>
        <w:numPr>
          <w:ilvl w:val="0"/>
          <w:numId w:val="32"/>
        </w:numPr>
        <w:jc w:val="both"/>
        <w:rPr>
          <w:rFonts w:ascii="Times New Roman" w:hAnsi="Times New Roman" w:cs="Times New Roman"/>
          <w:noProof/>
          <w:sz w:val="24"/>
          <w:szCs w:val="24"/>
        </w:rPr>
      </w:pPr>
      <w:r>
        <w:rPr>
          <w:rFonts w:ascii="Times New Roman" w:hAnsi="Times New Roman"/>
          <w:noProof/>
          <w:sz w:val="24"/>
        </w:rPr>
        <w:t xml:space="preserve">6 agenții executive, </w:t>
      </w:r>
    </w:p>
    <w:p>
      <w:pPr>
        <w:pStyle w:val="ListParagraph"/>
        <w:numPr>
          <w:ilvl w:val="0"/>
          <w:numId w:val="32"/>
        </w:numPr>
        <w:jc w:val="both"/>
        <w:rPr>
          <w:rFonts w:ascii="Times New Roman" w:hAnsi="Times New Roman" w:cs="Times New Roman"/>
          <w:noProof/>
          <w:sz w:val="24"/>
          <w:szCs w:val="24"/>
        </w:rPr>
      </w:pPr>
      <w:r>
        <w:rPr>
          <w:rFonts w:ascii="Times New Roman" w:hAnsi="Times New Roman"/>
          <w:noProof/>
          <w:sz w:val="24"/>
        </w:rPr>
        <w:t xml:space="preserve">36 de agenții descentralizate și organisme ale Uniunii și </w:t>
      </w:r>
    </w:p>
    <w:p>
      <w:pPr>
        <w:pStyle w:val="ListParagraph"/>
        <w:numPr>
          <w:ilvl w:val="0"/>
          <w:numId w:val="32"/>
        </w:numPr>
        <w:jc w:val="both"/>
        <w:rPr>
          <w:rFonts w:ascii="Times New Roman" w:hAnsi="Times New Roman" w:cs="Times New Roman"/>
          <w:noProof/>
          <w:sz w:val="24"/>
          <w:szCs w:val="24"/>
        </w:rPr>
      </w:pPr>
      <w:r>
        <w:rPr>
          <w:rFonts w:ascii="Times New Roman" w:hAnsi="Times New Roman"/>
          <w:noProof/>
          <w:sz w:val="24"/>
        </w:rPr>
        <w:t>12 întreprinderi comune.</w:t>
      </w:r>
    </w:p>
    <w:p>
      <w:pPr>
        <w:jc w:val="both"/>
        <w:rPr>
          <w:rFonts w:ascii="Times New Roman" w:hAnsi="Times New Roman" w:cs="Times New Roman"/>
          <w:noProof/>
          <w:sz w:val="24"/>
          <w:szCs w:val="24"/>
        </w:rPr>
      </w:pPr>
      <w:r>
        <w:rPr>
          <w:rFonts w:ascii="Times New Roman" w:hAnsi="Times New Roman"/>
          <w:noProof/>
          <w:sz w:val="24"/>
        </w:rPr>
        <w:t>Reforma din 2014 a Statutului funcționarilor a creat un nou cadru pentru adoptarea de norme de punere în aplicare a Statutului funcționarilor de către agenții. Principiul general introdus prin articolul 110 alineatul (2) din Statutul funcționarilor este acela că normele de punere în aplicare adoptate de Comisie se aplică, prin analogie, agențiilor. În acest scop, Comisia informează agențiile în legătură cu orice astfel de norme de punere în aplicare imediat după adoptare.</w:t>
      </w:r>
    </w:p>
    <w:p>
      <w:pPr>
        <w:jc w:val="both"/>
        <w:rPr>
          <w:rFonts w:ascii="Times New Roman" w:hAnsi="Times New Roman" w:cs="Times New Roman"/>
          <w:noProof/>
          <w:sz w:val="24"/>
          <w:szCs w:val="24"/>
        </w:rPr>
      </w:pPr>
      <w:r>
        <w:rPr>
          <w:rFonts w:ascii="Times New Roman" w:hAnsi="Times New Roman"/>
          <w:noProof/>
          <w:sz w:val="24"/>
        </w:rPr>
        <w:t>Prin excepție de la principiul analogiei, o agenție poate decide, după consultarea comitetului său pentru personal și după ce a primit acordul Comisiei, să adopte o decizie individuală care să stabilească:</w:t>
      </w:r>
    </w:p>
    <w:p>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rPr>
        <w:t>neaplicarea anumitor norme ale Comisiei („opt-out”);</w:t>
      </w:r>
    </w:p>
    <w:p>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rPr>
        <w:t>norme care sunt diferite de cele ale Comisiei;</w:t>
      </w:r>
    </w:p>
    <w:p>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rPr>
        <w:t>norme privind alte subiecte decât cele reglementate de normele adoptate de Comisie.</w:t>
      </w:r>
    </w:p>
    <w:p>
      <w:pPr>
        <w:jc w:val="both"/>
        <w:rPr>
          <w:rFonts w:asciiTheme="majorBidi" w:hAnsiTheme="majorBidi" w:cstheme="majorBidi"/>
          <w:noProof/>
          <w:sz w:val="24"/>
          <w:szCs w:val="24"/>
        </w:rPr>
      </w:pPr>
      <w:r>
        <w:rPr>
          <w:rFonts w:asciiTheme="majorBidi" w:hAnsiTheme="majorBidi"/>
          <w:noProof/>
          <w:sz w:val="24"/>
        </w:rPr>
        <w:t xml:space="preserve">În cazul în care un număr semnificativ de agenții încearcă să obțină o autorizație pentru a nu aplica, prin analogie, normele de punere în aplicare ale Comisiei cu privire la un anumit aspect, Comisia poate acorda un acord orizontal conform căruia agențiile pot adopta o decizie individuală fără a trebui să depună o cerere oficială (și anume Comisia își dă acordul </w:t>
      </w:r>
      <w:r>
        <w:rPr>
          <w:rFonts w:asciiTheme="majorBidi" w:hAnsiTheme="majorBidi"/>
          <w:i/>
          <w:noProof/>
          <w:sz w:val="24"/>
        </w:rPr>
        <w:t>ex ante</w:t>
      </w:r>
      <w:r>
        <w:rPr>
          <w:rFonts w:asciiTheme="majorBidi" w:hAnsiTheme="majorBidi"/>
          <w:noProof/>
          <w:sz w:val="24"/>
        </w:rPr>
        <w:t xml:space="preserve">), cu condiția ca decizia lor individuală să respecte modelul de norme de punere în aplicare anexat la acordul </w:t>
      </w:r>
      <w:r>
        <w:rPr>
          <w:rFonts w:asciiTheme="majorBidi" w:hAnsiTheme="majorBidi"/>
          <w:i/>
          <w:noProof/>
          <w:sz w:val="24"/>
        </w:rPr>
        <w:t>ex ante</w:t>
      </w:r>
      <w:r>
        <w:rPr>
          <w:rFonts w:asciiTheme="majorBidi" w:hAnsiTheme="majorBidi"/>
          <w:noProof/>
          <w:sz w:val="24"/>
        </w:rPr>
        <w:t xml:space="preserve"> (denumite în continuare „</w:t>
      </w:r>
      <w:r>
        <w:rPr>
          <w:rFonts w:asciiTheme="majorBidi" w:hAnsiTheme="majorBidi"/>
          <w:b/>
          <w:noProof/>
          <w:sz w:val="24"/>
        </w:rPr>
        <w:t>modele de decizii</w:t>
      </w:r>
      <w:r>
        <w:rPr>
          <w:rFonts w:asciiTheme="majorBidi" w:hAnsiTheme="majorBidi"/>
          <w:noProof/>
          <w:sz w:val="24"/>
        </w:rPr>
        <w:t xml:space="preserve">”). Modelele de decizii se bazează pe normele de punere în aplicare ale Comisiei, dar sunt adaptate la contextul </w:t>
      </w:r>
      <w:r>
        <w:rPr>
          <w:rFonts w:asciiTheme="majorBidi" w:hAnsiTheme="majorBidi"/>
          <w:noProof/>
          <w:sz w:val="24"/>
        </w:rPr>
        <w:lastRenderedPageBreak/>
        <w:t xml:space="preserve">specific al agențiilor și sunt elaborate în cooperare cu reprezentanții agențiilor. Acest proces contribuie la armonizarea aplicării Statutului funcționarilor în rândul diferitelor agenții. </w:t>
      </w:r>
    </w:p>
    <w:p>
      <w:pPr>
        <w:jc w:val="both"/>
        <w:rPr>
          <w:rFonts w:ascii="Times New Roman" w:hAnsi="Times New Roman" w:cs="Times New Roman"/>
          <w:noProof/>
          <w:sz w:val="18"/>
          <w:szCs w:val="18"/>
        </w:rPr>
      </w:pPr>
      <w:r>
        <w:rPr>
          <w:rFonts w:ascii="Times New Roman" w:hAnsi="Times New Roman"/>
          <w:noProof/>
          <w:sz w:val="24"/>
        </w:rPr>
        <w:t>Tabelul general prezentat în anexa IV la prezentul raport oferă o sinteză a numărului și tipurilor de norme de punere în aplicare care erau aplicabile în cadrul agențiilor la 31 decembrie 2023, făcând distincție între diferitele perioade</w:t>
      </w:r>
      <w:r>
        <w:rPr>
          <w:rFonts w:ascii="Times New Roman" w:hAnsi="Times New Roman"/>
          <w:noProof/>
          <w:sz w:val="28"/>
        </w:rPr>
        <w:t xml:space="preserve"> </w:t>
      </w:r>
      <w:r>
        <w:rPr>
          <w:rFonts w:ascii="Times New Roman" w:hAnsi="Times New Roman"/>
          <w:noProof/>
          <w:sz w:val="24"/>
        </w:rPr>
        <w:t>de raportare de la reforma din 2014 a Statutului funcționarilor.</w:t>
      </w:r>
    </w:p>
    <w:p>
      <w:pPr>
        <w:jc w:val="both"/>
        <w:rPr>
          <w:rFonts w:ascii="Times New Roman" w:hAnsi="Times New Roman" w:cs="Times New Roman"/>
          <w:noProof/>
          <w:sz w:val="24"/>
          <w:szCs w:val="24"/>
        </w:rPr>
      </w:pPr>
      <w:r>
        <w:rPr>
          <w:rFonts w:ascii="Times New Roman" w:hAnsi="Times New Roman"/>
          <w:noProof/>
          <w:sz w:val="24"/>
        </w:rPr>
        <w:t>Acesta folosește următoarea metodologie:</w:t>
      </w:r>
    </w:p>
    <w:p>
      <w:pPr>
        <w:pStyle w:val="ListParagraph"/>
        <w:numPr>
          <w:ilvl w:val="0"/>
          <w:numId w:val="26"/>
        </w:numPr>
        <w:jc w:val="both"/>
        <w:rPr>
          <w:rFonts w:ascii="Times New Roman" w:hAnsi="Times New Roman" w:cs="Times New Roman"/>
          <w:noProof/>
          <w:sz w:val="24"/>
          <w:szCs w:val="24"/>
        </w:rPr>
      </w:pPr>
      <w:r>
        <w:rPr>
          <w:rFonts w:ascii="Times New Roman" w:hAnsi="Times New Roman"/>
          <w:noProof/>
          <w:sz w:val="24"/>
        </w:rPr>
        <w:t>respectă structura din Statutul funcționarilor și RAA, pentru a contribui la identificarea subiectelor cu privire la care agențiile au adoptat norme de punere în aplicare;</w:t>
      </w:r>
    </w:p>
    <w:p>
      <w:pPr>
        <w:pStyle w:val="ListParagraph"/>
        <w:numPr>
          <w:ilvl w:val="0"/>
          <w:numId w:val="26"/>
        </w:numPr>
        <w:jc w:val="both"/>
        <w:rPr>
          <w:rFonts w:ascii="Times New Roman" w:hAnsi="Times New Roman" w:cs="Times New Roman"/>
          <w:noProof/>
          <w:sz w:val="24"/>
          <w:szCs w:val="24"/>
        </w:rPr>
      </w:pPr>
      <w:r>
        <w:rPr>
          <w:rFonts w:ascii="Times New Roman" w:hAnsi="Times New Roman"/>
          <w:noProof/>
          <w:sz w:val="24"/>
        </w:rPr>
        <w:t>în ceea ce privește fiecare subiect, tabelul face o distincție între scenariile în cadrul cărora agențiile și-au adoptat normele.</w:t>
      </w:r>
    </w:p>
    <w:p>
      <w:pPr>
        <w:jc w:val="both"/>
        <w:rPr>
          <w:rFonts w:ascii="Times New Roman" w:hAnsi="Times New Roman" w:cs="Times New Roman"/>
          <w:noProof/>
          <w:sz w:val="24"/>
          <w:szCs w:val="24"/>
        </w:rPr>
      </w:pPr>
      <w:r>
        <w:rPr>
          <w:rFonts w:ascii="Times New Roman" w:hAnsi="Times New Roman"/>
          <w:noProof/>
          <w:sz w:val="24"/>
        </w:rPr>
        <w:t>În special, acest tabel demonstrează cum au funcționat în practică mecanismele introduse în 2014.</w:t>
      </w:r>
    </w:p>
    <w:p>
      <w:pPr>
        <w:jc w:val="center"/>
        <w:rPr>
          <w:rFonts w:ascii="Times New Roman" w:hAnsi="Times New Roman" w:cs="Times New Roman"/>
          <w:noProof/>
          <w:sz w:val="24"/>
          <w:szCs w:val="24"/>
        </w:rPr>
      </w:pPr>
      <w:r>
        <w:rPr>
          <w:rFonts w:ascii="Times New Roman" w:hAnsi="Times New Roman"/>
          <w:b/>
          <w:noProof/>
          <w:sz w:val="24"/>
        </w:rPr>
        <w:t xml:space="preserve">EFECTELE MECANISMELOR INTRODUSE ÎNCEPÂND CU ANUL 2014 </w:t>
      </w:r>
    </w:p>
    <w:tbl>
      <w:tblPr>
        <w:tblStyle w:val="TableGrid"/>
        <w:tblW w:w="0" w:type="auto"/>
        <w:tblLook w:val="04A0" w:firstRow="1" w:lastRow="0" w:firstColumn="1" w:lastColumn="0" w:noHBand="0" w:noVBand="1"/>
      </w:tblPr>
      <w:tblGrid>
        <w:gridCol w:w="5499"/>
        <w:gridCol w:w="1263"/>
        <w:gridCol w:w="1263"/>
        <w:gridCol w:w="1263"/>
      </w:tblGrid>
      <w:tr>
        <w:tc>
          <w:tcPr>
            <w:tcW w:w="0" w:type="auto"/>
          </w:tcPr>
          <w:p>
            <w:pPr>
              <w:jc w:val="both"/>
              <w:rPr>
                <w:rFonts w:ascii="Times New Roman" w:hAnsi="Times New Roman" w:cs="Times New Roman"/>
                <w:noProof/>
                <w:sz w:val="24"/>
                <w:szCs w:val="24"/>
              </w:rPr>
            </w:pPr>
          </w:p>
        </w:tc>
        <w:tc>
          <w:tcPr>
            <w:tcW w:w="0" w:type="auto"/>
            <w:vAlign w:val="center"/>
          </w:tcPr>
          <w:p>
            <w:pPr>
              <w:jc w:val="center"/>
              <w:rPr>
                <w:rFonts w:ascii="Times New Roman" w:hAnsi="Times New Roman" w:cs="Times New Roman"/>
                <w:b/>
                <w:noProof/>
                <w:sz w:val="20"/>
                <w:szCs w:val="20"/>
              </w:rPr>
            </w:pPr>
            <w:r>
              <w:rPr>
                <w:rFonts w:ascii="Times New Roman" w:hAnsi="Times New Roman"/>
                <w:b/>
                <w:noProof/>
                <w:sz w:val="20"/>
              </w:rPr>
              <w:t>Perioada 2014-2016</w:t>
            </w:r>
          </w:p>
        </w:tc>
        <w:tc>
          <w:tcPr>
            <w:tcW w:w="0" w:type="auto"/>
            <w:vAlign w:val="center"/>
          </w:tcPr>
          <w:p>
            <w:pPr>
              <w:jc w:val="center"/>
              <w:rPr>
                <w:rFonts w:ascii="Times New Roman" w:hAnsi="Times New Roman" w:cs="Times New Roman"/>
                <w:b/>
                <w:noProof/>
                <w:sz w:val="20"/>
                <w:szCs w:val="20"/>
              </w:rPr>
            </w:pPr>
            <w:r>
              <w:rPr>
                <w:rFonts w:ascii="Times New Roman" w:hAnsi="Times New Roman"/>
                <w:b/>
                <w:noProof/>
                <w:sz w:val="20"/>
              </w:rPr>
              <w:t>Perioada 2014-2019</w:t>
            </w:r>
          </w:p>
        </w:tc>
        <w:tc>
          <w:tcPr>
            <w:tcW w:w="0" w:type="auto"/>
          </w:tcPr>
          <w:p>
            <w:pPr>
              <w:jc w:val="center"/>
              <w:rPr>
                <w:rFonts w:ascii="Times New Roman" w:hAnsi="Times New Roman" w:cs="Times New Roman"/>
                <w:b/>
                <w:noProof/>
                <w:sz w:val="20"/>
                <w:szCs w:val="20"/>
              </w:rPr>
            </w:pPr>
            <w:r>
              <w:rPr>
                <w:rFonts w:ascii="Times New Roman" w:hAnsi="Times New Roman"/>
                <w:b/>
                <w:noProof/>
                <w:sz w:val="20"/>
              </w:rPr>
              <w:t>Perioada 2014-2023</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Norme de punere în aplicare ale Comisiei adoptate după reforma din 2014 și notificate agențiilor</w:t>
            </w:r>
          </w:p>
          <w:p>
            <w:pPr>
              <w:rPr>
                <w:rFonts w:ascii="Times New Roman" w:hAnsi="Times New Roman" w:cs="Times New Roman"/>
                <w:b/>
                <w:noProof/>
                <w:sz w:val="24"/>
                <w:szCs w:val="24"/>
              </w:rPr>
            </w:pP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23</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29</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29</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Norme de punere în aplicare în agenții care se aplică, prin analogie, după reforma din 2014 [articolul 110 alineatul (2) din statut]</w:t>
            </w:r>
          </w:p>
          <w:p>
            <w:pPr>
              <w:rPr>
                <w:rFonts w:ascii="Times New Roman" w:hAnsi="Times New Roman" w:cs="Times New Roman"/>
                <w:b/>
                <w:noProof/>
                <w:sz w:val="24"/>
                <w:szCs w:val="24"/>
              </w:rPr>
            </w:pP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593</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749</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925</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Derogări după 2014 (norme proprii sau „opt-out”)</w:t>
            </w:r>
          </w:p>
          <w:p>
            <w:pPr>
              <w:rPr>
                <w:rFonts w:ascii="Times New Roman" w:hAnsi="Times New Roman" w:cs="Times New Roman"/>
                <w:b/>
                <w:noProof/>
                <w:sz w:val="24"/>
                <w:szCs w:val="24"/>
              </w:rPr>
            </w:pP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201</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173</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129</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 xml:space="preserve">Acorduri orizontale </w:t>
            </w:r>
            <w:r>
              <w:rPr>
                <w:rFonts w:ascii="Times New Roman" w:hAnsi="Times New Roman"/>
                <w:b/>
                <w:i/>
                <w:noProof/>
                <w:sz w:val="20"/>
              </w:rPr>
              <w:t>ex ante</w:t>
            </w:r>
            <w:r>
              <w:rPr>
                <w:rFonts w:ascii="Times New Roman" w:hAnsi="Times New Roman"/>
                <w:b/>
                <w:noProof/>
                <w:sz w:val="20"/>
              </w:rPr>
              <w:t xml:space="preserve"> ale Comisiei</w:t>
            </w:r>
          </w:p>
          <w:p>
            <w:pPr>
              <w:rPr>
                <w:rFonts w:ascii="Times New Roman" w:hAnsi="Times New Roman" w:cs="Times New Roman"/>
                <w:b/>
                <w:noProof/>
                <w:sz w:val="24"/>
                <w:szCs w:val="24"/>
                <w:lang w:val="fr-BE"/>
              </w:rPr>
            </w:pP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14</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27</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29</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 xml:space="preserve">Acordurile </w:t>
            </w:r>
            <w:r>
              <w:rPr>
                <w:rFonts w:ascii="Times New Roman" w:hAnsi="Times New Roman"/>
                <w:b/>
                <w:i/>
                <w:noProof/>
                <w:sz w:val="20"/>
              </w:rPr>
              <w:t>ex ante</w:t>
            </w:r>
            <w:r>
              <w:rPr>
                <w:rFonts w:ascii="Times New Roman" w:hAnsi="Times New Roman"/>
                <w:b/>
                <w:noProof/>
                <w:sz w:val="20"/>
              </w:rPr>
              <w:t xml:space="preserve"> ale Comisiei în domenii reglementate de normele de punere în aplicare ale Comisiei după 2014</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10</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21</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23</w:t>
            </w:r>
            <w:r>
              <w:rPr>
                <w:rStyle w:val="FootnoteReference"/>
                <w:rFonts w:ascii="Times New Roman" w:hAnsi="Times New Roman" w:cs="Times New Roman"/>
                <w:noProof/>
                <w:sz w:val="20"/>
                <w:szCs w:val="20"/>
                <w:lang w:val="en-US"/>
              </w:rPr>
              <w:footnoteReference w:id="26"/>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 xml:space="preserve">Acordurile </w:t>
            </w:r>
            <w:r>
              <w:rPr>
                <w:rFonts w:ascii="Times New Roman" w:hAnsi="Times New Roman"/>
                <w:b/>
                <w:i/>
                <w:noProof/>
                <w:sz w:val="20"/>
              </w:rPr>
              <w:t>ex ante</w:t>
            </w:r>
            <w:r>
              <w:rPr>
                <w:rFonts w:ascii="Times New Roman" w:hAnsi="Times New Roman"/>
                <w:b/>
                <w:noProof/>
                <w:sz w:val="20"/>
              </w:rPr>
              <w:t xml:space="preserve"> ale Comisiei în domenii care nu sunt reglementate de normele de punere în aplicare ale Comisiei după 2014</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4</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6</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6</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 xml:space="preserve">Derogări – Acordurile </w:t>
            </w:r>
            <w:r>
              <w:rPr>
                <w:rFonts w:ascii="Times New Roman" w:hAnsi="Times New Roman"/>
                <w:b/>
                <w:i/>
                <w:noProof/>
                <w:sz w:val="20"/>
              </w:rPr>
              <w:t>ex ante</w:t>
            </w:r>
            <w:r>
              <w:rPr>
                <w:rFonts w:ascii="Times New Roman" w:hAnsi="Times New Roman"/>
                <w:b/>
                <w:noProof/>
                <w:sz w:val="20"/>
              </w:rPr>
              <w:t xml:space="preserve"> ale Comisiei pentru neaplicarea normelor de punere în aplicare ale Comisiei după 2014</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1</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3</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3</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 xml:space="preserve">Derogări – </w:t>
            </w:r>
          </w:p>
          <w:p>
            <w:pPr>
              <w:rPr>
                <w:rFonts w:ascii="Times New Roman" w:hAnsi="Times New Roman" w:cs="Times New Roman"/>
                <w:b/>
                <w:noProof/>
                <w:sz w:val="20"/>
                <w:szCs w:val="20"/>
              </w:rPr>
            </w:pPr>
            <w:r>
              <w:rPr>
                <w:rFonts w:ascii="Times New Roman" w:hAnsi="Times New Roman"/>
                <w:b/>
                <w:noProof/>
                <w:sz w:val="20"/>
              </w:rPr>
              <w:t xml:space="preserve">Acordurile Comisiei cu privire la normele diferite ale agențiilor (diferite de normele de punere în aplicare ale Comisiei sau de modelul de decizie prevăzut de acordul </w:t>
            </w:r>
            <w:r>
              <w:rPr>
                <w:rFonts w:ascii="Times New Roman" w:hAnsi="Times New Roman"/>
                <w:b/>
                <w:i/>
                <w:noProof/>
                <w:sz w:val="20"/>
              </w:rPr>
              <w:t>ex ante</w:t>
            </w:r>
            <w:r>
              <w:rPr>
                <w:rFonts w:ascii="Times New Roman" w:hAnsi="Times New Roman"/>
                <w:b/>
                <w:noProof/>
                <w:sz w:val="20"/>
              </w:rPr>
              <w:t>)</w:t>
            </w:r>
          </w:p>
        </w:tc>
        <w:tc>
          <w:tcPr>
            <w:tcW w:w="0" w:type="auto"/>
            <w:vAlign w:val="center"/>
          </w:tcPr>
          <w:p>
            <w:pPr>
              <w:jc w:val="center"/>
              <w:rPr>
                <w:rFonts w:ascii="Times New Roman" w:hAnsi="Times New Roman" w:cs="Times New Roman"/>
                <w:noProof/>
                <w:sz w:val="20"/>
                <w:szCs w:val="20"/>
                <w:lang w:val="fr-BE"/>
              </w:rPr>
            </w:pP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5</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7</w:t>
            </w:r>
          </w:p>
        </w:tc>
      </w:tr>
      <w:tr>
        <w:tc>
          <w:tcPr>
            <w:tcW w:w="0" w:type="auto"/>
            <w:vAlign w:val="center"/>
          </w:tcPr>
          <w:p>
            <w:pPr>
              <w:rPr>
                <w:rFonts w:ascii="Times New Roman" w:hAnsi="Times New Roman" w:cs="Times New Roman"/>
                <w:b/>
                <w:noProof/>
                <w:sz w:val="20"/>
                <w:szCs w:val="20"/>
              </w:rPr>
            </w:pPr>
            <w:r>
              <w:rPr>
                <w:rFonts w:ascii="Times New Roman" w:hAnsi="Times New Roman"/>
                <w:b/>
                <w:noProof/>
                <w:sz w:val="20"/>
              </w:rPr>
              <w:t xml:space="preserve">Norme de punere în aplicare adoptate de agenții pe baza unui acord </w:t>
            </w:r>
            <w:r>
              <w:rPr>
                <w:rFonts w:ascii="Times New Roman" w:hAnsi="Times New Roman"/>
                <w:b/>
                <w:i/>
                <w:noProof/>
                <w:sz w:val="20"/>
              </w:rPr>
              <w:t>ex ante</w:t>
            </w:r>
          </w:p>
          <w:p>
            <w:pPr>
              <w:rPr>
                <w:rFonts w:ascii="Times New Roman" w:hAnsi="Times New Roman" w:cs="Times New Roman"/>
                <w:b/>
                <w:noProof/>
                <w:sz w:val="24"/>
                <w:szCs w:val="24"/>
              </w:rPr>
            </w:pP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284</w:t>
            </w:r>
          </w:p>
        </w:tc>
        <w:tc>
          <w:tcPr>
            <w:tcW w:w="0" w:type="auto"/>
            <w:vAlign w:val="center"/>
          </w:tcPr>
          <w:p>
            <w:pPr>
              <w:jc w:val="center"/>
              <w:rPr>
                <w:rFonts w:ascii="Times New Roman" w:hAnsi="Times New Roman" w:cs="Times New Roman"/>
                <w:noProof/>
                <w:sz w:val="20"/>
                <w:szCs w:val="20"/>
              </w:rPr>
            </w:pPr>
            <w:r>
              <w:rPr>
                <w:rFonts w:ascii="Times New Roman" w:hAnsi="Times New Roman"/>
                <w:noProof/>
                <w:sz w:val="20"/>
              </w:rPr>
              <w:t>689</w:t>
            </w:r>
          </w:p>
        </w:tc>
        <w:tc>
          <w:tcPr>
            <w:tcW w:w="0" w:type="auto"/>
          </w:tcPr>
          <w:p>
            <w:pPr>
              <w:jc w:val="center"/>
              <w:rPr>
                <w:rFonts w:ascii="Times New Roman" w:hAnsi="Times New Roman" w:cs="Times New Roman"/>
                <w:noProof/>
                <w:sz w:val="20"/>
                <w:szCs w:val="20"/>
              </w:rPr>
            </w:pPr>
            <w:r>
              <w:rPr>
                <w:noProof/>
              </w:rPr>
              <w:t xml:space="preserve"> </w:t>
            </w:r>
            <w:r>
              <w:rPr>
                <w:noProof/>
              </w:rPr>
              <w:br/>
            </w:r>
            <w:r>
              <w:rPr>
                <w:rFonts w:ascii="Times New Roman" w:hAnsi="Times New Roman"/>
                <w:noProof/>
                <w:sz w:val="20"/>
              </w:rPr>
              <w:t>868</w:t>
            </w:r>
          </w:p>
        </w:tc>
      </w:tr>
    </w:tbl>
    <w:p>
      <w:pPr>
        <w:spacing w:before="240"/>
        <w:jc w:val="both"/>
        <w:rPr>
          <w:rFonts w:ascii="Times New Roman" w:hAnsi="Times New Roman" w:cs="Times New Roman"/>
          <w:noProof/>
          <w:sz w:val="24"/>
          <w:szCs w:val="24"/>
        </w:rPr>
      </w:pPr>
    </w:p>
    <w:p>
      <w:pPr>
        <w:spacing w:after="360"/>
        <w:jc w:val="both"/>
        <w:rPr>
          <w:rFonts w:ascii="Times New Roman" w:hAnsi="Times New Roman" w:cs="Times New Roman"/>
          <w:noProof/>
          <w:sz w:val="24"/>
          <w:szCs w:val="24"/>
        </w:rPr>
      </w:pPr>
      <w:r>
        <w:rPr>
          <w:rFonts w:ascii="Times New Roman" w:hAnsi="Times New Roman"/>
          <w:noProof/>
          <w:sz w:val="24"/>
        </w:rPr>
        <w:lastRenderedPageBreak/>
        <w:t>În urma reformei mecanismului prevăzut la articolul 110 alineatul (2) din Statutul funcționarilor din 2014, agențiile aplică pe scară largă, prin analogie, normele de punere în aplicare ale Comisiei sau își adoptă propriile norme pe baza unui model de decizie. Comisia și-a dat acordul pentru neaplicarea normelor Comisiei doar de trei ori, ocazii care nu prezintă relevanță pentru agenții (două decizii ale Comisiei privind durata maximă pentru care se recurge la personal nepermanent în serviciile Comisiei</w:t>
      </w:r>
      <w:r>
        <w:rPr>
          <w:rStyle w:val="FootnoteReference"/>
          <w:rFonts w:ascii="Times New Roman" w:hAnsi="Times New Roman" w:cs="Times New Roman"/>
          <w:noProof/>
          <w:sz w:val="24"/>
          <w:szCs w:val="24"/>
        </w:rPr>
        <w:footnoteReference w:id="27"/>
      </w:r>
      <w:r>
        <w:rPr>
          <w:rFonts w:ascii="Times New Roman" w:hAnsi="Times New Roman"/>
          <w:noProof/>
          <w:sz w:val="24"/>
        </w:rPr>
        <w:t xml:space="preserve"> și decizia Comisiei privind funcția de consilier</w:t>
      </w:r>
      <w:r>
        <w:rPr>
          <w:rStyle w:val="FootnoteReference"/>
          <w:rFonts w:ascii="Times New Roman" w:hAnsi="Times New Roman" w:cs="Times New Roman"/>
          <w:noProof/>
          <w:sz w:val="24"/>
          <w:szCs w:val="24"/>
        </w:rPr>
        <w:footnoteReference w:id="28"/>
      </w:r>
      <w:r>
        <w:rPr>
          <w:rFonts w:ascii="Times New Roman" w:hAnsi="Times New Roman"/>
          <w:noProof/>
          <w:sz w:val="24"/>
        </w:rPr>
        <w:t>). Comisia a acordat șapte acorduri pentru adoptarea unor norme de punere în aplicare diferite de cele ale Comisiei sau de modelul de decizie.</w:t>
      </w:r>
    </w:p>
    <w:p>
      <w:pPr>
        <w:pBdr>
          <w:top w:val="double" w:sz="4" w:space="1" w:color="auto"/>
          <w:left w:val="double" w:sz="4" w:space="4" w:color="auto"/>
          <w:bottom w:val="double" w:sz="4" w:space="1" w:color="auto"/>
          <w:right w:val="double" w:sz="4" w:space="4" w:color="auto"/>
        </w:pBdr>
        <w:jc w:val="center"/>
        <w:rPr>
          <w:rFonts w:ascii="Times New Roman" w:hAnsi="Times New Roman" w:cs="Times New Roman"/>
          <w:b/>
          <w:i/>
          <w:noProof/>
          <w:sz w:val="24"/>
          <w:szCs w:val="24"/>
        </w:rPr>
      </w:pPr>
      <w:r>
        <w:rPr>
          <w:rFonts w:ascii="Times New Roman" w:hAnsi="Times New Roman"/>
          <w:b/>
          <w:i/>
          <w:noProof/>
          <w:sz w:val="24"/>
        </w:rPr>
        <w:t>TRANSPARENȚA</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xml:space="preserve">→ Raportul oferă un inventar exhaustiv al diferitelor tipuri de norme de punere în aplicare în cadrul instituțiilor și al agențiilor în vigoare în perioada relevantă. Prin utilizarea unei metodologii comune, se poate aplica o abordare comparativă între instituții, sporind în acest mod transparența. </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Raportul indică faptul că numărul total de norme de punere în aplicare adoptate de instituții a rămas relativ stabil de la ultima perioadă de raportare.</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Raportul demonstrează că mecanismele introduse prin reforma din 2014, menite să asigure aplicarea consecventă a normelor privind personalul în cadrul agențiilor, continuă să fie utilizate pe scară largă și să fie eficiente.</w:t>
      </w:r>
    </w:p>
    <w:p>
      <w:pPr>
        <w:pStyle w:val="Heading1"/>
        <w:rPr>
          <w:rFonts w:ascii="Times New Roman" w:hAnsi="Times New Roman" w:cs="Times New Roman"/>
          <w:noProof/>
        </w:rPr>
      </w:pPr>
      <w:bookmarkStart w:id="8" w:name="_Toc238715627"/>
      <w:r>
        <w:rPr>
          <w:rFonts w:ascii="Times New Roman" w:hAnsi="Times New Roman"/>
          <w:noProof/>
        </w:rPr>
        <w:t>TITLUL 3.</w:t>
      </w:r>
      <w:r>
        <w:rPr>
          <w:noProof/>
        </w:rPr>
        <w:tab/>
      </w:r>
      <w:r>
        <w:rPr>
          <w:rFonts w:ascii="Times New Roman" w:hAnsi="Times New Roman"/>
          <w:noProof/>
        </w:rPr>
        <w:t>EVALUAREA CALITATIVĂ/CONFORMITATEA</w:t>
      </w:r>
      <w:bookmarkEnd w:id="8"/>
    </w:p>
    <w:p>
      <w:pPr>
        <w:rPr>
          <w:rFonts w:ascii="Times New Roman" w:hAnsi="Times New Roman" w:cs="Times New Roman"/>
          <w:noProof/>
        </w:rPr>
      </w:pPr>
    </w:p>
    <w:p>
      <w:pPr>
        <w:pBdr>
          <w:top w:val="double" w:sz="4" w:space="1" w:color="auto"/>
          <w:left w:val="double" w:sz="4" w:space="4" w:color="auto"/>
          <w:bottom w:val="double" w:sz="4" w:space="7" w:color="auto"/>
          <w:right w:val="double" w:sz="4" w:space="4" w:color="auto"/>
        </w:pBdr>
        <w:jc w:val="center"/>
        <w:rPr>
          <w:rFonts w:ascii="Times New Roman" w:hAnsi="Times New Roman" w:cs="Times New Roman"/>
          <w:b/>
          <w:i/>
          <w:noProof/>
          <w:sz w:val="24"/>
          <w:szCs w:val="24"/>
        </w:rPr>
      </w:pPr>
      <w:r>
        <w:rPr>
          <w:rFonts w:ascii="Times New Roman" w:hAnsi="Times New Roman"/>
          <w:b/>
          <w:i/>
          <w:noProof/>
          <w:sz w:val="24"/>
        </w:rPr>
        <w:t>CONFORMITATEA</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Au respectat instituțiile cadrul Statutului funcționarilor și al RAA?</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A existat o convergență suplimentară între instituții cu privire la subiectele reglementate de normele de punere în aplicare adoptate de acestea?</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noProof/>
          <w:sz w:val="24"/>
          <w:szCs w:val="24"/>
        </w:rPr>
      </w:pPr>
      <w:r>
        <w:rPr>
          <w:rFonts w:ascii="Times New Roman" w:hAnsi="Times New Roman"/>
          <w:b/>
          <w:i/>
          <w:noProof/>
          <w:sz w:val="24"/>
        </w:rPr>
        <w:t>→ Care este situația actuală în ceea ce privește registrul ținut de Curtea de Justiție?</w:t>
      </w:r>
    </w:p>
    <w:p>
      <w:pPr>
        <w:pStyle w:val="Heading2"/>
        <w:spacing w:before="240" w:after="360"/>
        <w:rPr>
          <w:rFonts w:ascii="Times New Roman" w:hAnsi="Times New Roman" w:cs="Times New Roman"/>
          <w:noProof/>
        </w:rPr>
      </w:pPr>
      <w:bookmarkStart w:id="9" w:name="_Toc238715628"/>
      <w:r>
        <w:rPr>
          <w:rFonts w:ascii="Times New Roman" w:hAnsi="Times New Roman"/>
          <w:noProof/>
        </w:rPr>
        <w:lastRenderedPageBreak/>
        <w:t>a)</w:t>
      </w:r>
      <w:r>
        <w:rPr>
          <w:noProof/>
        </w:rPr>
        <w:tab/>
      </w:r>
      <w:r>
        <w:rPr>
          <w:rFonts w:ascii="Times New Roman" w:hAnsi="Times New Roman"/>
          <w:noProof/>
        </w:rPr>
        <w:t>Conformitatea cu Statutul funcționarilor și Regimul aplicabil celorlalți agenți ai Uniunii Europene</w:t>
      </w:r>
      <w:bookmarkEnd w:id="9"/>
    </w:p>
    <w:p>
      <w:pPr>
        <w:jc w:val="both"/>
        <w:rPr>
          <w:rFonts w:ascii="Times New Roman" w:hAnsi="Times New Roman" w:cs="Times New Roman"/>
          <w:noProof/>
          <w:sz w:val="24"/>
          <w:szCs w:val="24"/>
          <w:bdr w:val="dashSmallGap" w:sz="4" w:space="0" w:color="auto"/>
        </w:rPr>
      </w:pPr>
      <w:r>
        <w:rPr>
          <w:rFonts w:ascii="Times New Roman" w:hAnsi="Times New Roman"/>
          <w:noProof/>
          <w:sz w:val="24"/>
        </w:rPr>
        <w:t xml:space="preserve">În secțiunea următoare, raportul examinează măsura în care autoritățile împuternicite să facă numiri și autoritățile abilitate să încheie contracte de muncă ale instituțiilor au utilizat, până în prezent, competențele specifice care le sunt acordate prin Statutul funcționarilor și, respectiv, prin RAA pentru a adopta norme de punere în aplicare (a se vedea mai jos listele prezentate sub formă de </w:t>
      </w:r>
      <w:r>
        <w:rPr>
          <w:rFonts w:ascii="Times New Roman" w:hAnsi="Times New Roman"/>
          <w:noProof/>
          <w:sz w:val="24"/>
          <w:bdr w:val="single" w:sz="4" w:space="0" w:color="auto"/>
        </w:rPr>
        <w:t>tabele)</w:t>
      </w:r>
      <w:r>
        <w:rPr>
          <w:rFonts w:ascii="Times New Roman" w:hAnsi="Times New Roman"/>
          <w:noProof/>
          <w:sz w:val="24"/>
        </w:rPr>
        <w:t xml:space="preserve">. Se acordă o atenție deosebită subiectelor cu privire la care autoritățile nu și-au exercitat (încă) competența de a adopta norme. </w:t>
      </w:r>
    </w:p>
    <w:p>
      <w:pPr>
        <w:jc w:val="both"/>
        <w:rPr>
          <w:rFonts w:ascii="Times New Roman" w:hAnsi="Times New Roman" w:cs="Times New Roman"/>
          <w:noProof/>
          <w:sz w:val="24"/>
          <w:szCs w:val="24"/>
          <w:highlight w:val="green"/>
        </w:rPr>
      </w:pPr>
      <w:r>
        <w:rPr>
          <w:rFonts w:ascii="Times New Roman" w:hAnsi="Times New Roman"/>
          <w:noProof/>
          <w:sz w:val="24"/>
        </w:rPr>
        <w:t xml:space="preserve">În plus, raportul enumeră domeniile în care instituțiile au adoptat norme de punere în aplicare care nu sunt prevăzute în mod expres în Statutul funcționarilor și în RAA (a se vedea mai jos listele prezentate în tabele încadrate de o </w:t>
      </w:r>
      <w:r>
        <w:rPr>
          <w:rFonts w:ascii="Times New Roman" w:hAnsi="Times New Roman"/>
          <w:noProof/>
          <w:sz w:val="24"/>
          <w:bdr w:val="dashSmallGap" w:sz="4" w:space="0" w:color="auto"/>
        </w:rPr>
        <w:t>linie punctată</w:t>
      </w:r>
      <w:r>
        <w:rPr>
          <w:rFonts w:ascii="Times New Roman" w:hAnsi="Times New Roman"/>
          <w:noProof/>
          <w:sz w:val="24"/>
        </w:rPr>
        <w:t>).</w:t>
      </w:r>
      <w:r>
        <w:rPr>
          <w:rFonts w:ascii="Times New Roman" w:hAnsi="Times New Roman"/>
          <w:noProof/>
          <w:sz w:val="24"/>
          <w:highlight w:val="green"/>
        </w:rPr>
        <w:t xml:space="preserve"> </w:t>
      </w:r>
    </w:p>
    <w:p>
      <w:pPr>
        <w:jc w:val="both"/>
        <w:rPr>
          <w:rFonts w:ascii="Times New Roman" w:hAnsi="Times New Roman" w:cs="Times New Roman"/>
          <w:noProof/>
          <w:sz w:val="24"/>
          <w:szCs w:val="24"/>
        </w:rPr>
      </w:pPr>
      <w:r>
        <w:rPr>
          <w:rFonts w:ascii="Times New Roman" w:hAnsi="Times New Roman"/>
          <w:noProof/>
          <w:sz w:val="24"/>
        </w:rPr>
        <w:t xml:space="preserve">În listele menționate mai sus, raportul identifică, de asemenea, eventualele neconcordanțe cu Statutul funcționarilor și cu RAA în ceea ce privește respectarea obligației de a adopta norme de punere în aplicare, atunci când este necesar, și respectarea procedurii impuse pentru adoptarea normei de punere în aplicare în cauză. Este vorba de a alege între normele adoptate de comun acord între instituții, dispozițiile generale de punere în aplicare și alte norme de punere în aplicare. Aceste observații au fost evidențiate în liste cu </w:t>
      </w:r>
      <w:r>
        <w:rPr>
          <w:rFonts w:ascii="Times New Roman" w:hAnsi="Times New Roman"/>
          <w:b/>
          <w:noProof/>
          <w:sz w:val="24"/>
        </w:rPr>
        <w:t>caractere aldine</w:t>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 xml:space="preserve">În fine, prezenta secțiune a raportului analizează domeniile vizate de activitatea de reglementare în perioada de raportare, 2020-2023, în ceea ce privește subiectele vizate de normele de punere în aplicare. </w:t>
      </w:r>
    </w:p>
    <w:p>
      <w:pPr>
        <w:jc w:val="both"/>
        <w:rPr>
          <w:rFonts w:ascii="Times New Roman" w:hAnsi="Times New Roman" w:cs="Times New Roman"/>
          <w:noProof/>
          <w:sz w:val="24"/>
          <w:szCs w:val="24"/>
        </w:rPr>
      </w:pPr>
    </w:p>
    <w:p>
      <w:pPr>
        <w:jc w:val="center"/>
        <w:rPr>
          <w:rFonts w:ascii="Times New Roman" w:hAnsi="Times New Roman" w:cs="Times New Roman"/>
          <w:b/>
          <w:i/>
          <w:noProof/>
          <w:sz w:val="28"/>
          <w:szCs w:val="28"/>
        </w:rPr>
      </w:pPr>
      <w:r>
        <w:rPr>
          <w:rFonts w:ascii="Times New Roman" w:hAnsi="Times New Roman"/>
          <w:b/>
          <w:i/>
          <w:noProof/>
          <w:sz w:val="28"/>
        </w:rPr>
        <w:t>Statutul funcționarilor</w:t>
      </w:r>
    </w:p>
    <w:p>
      <w:pPr>
        <w:jc w:val="center"/>
        <w:rPr>
          <w:rFonts w:ascii="Times New Roman" w:hAnsi="Times New Roman" w:cs="Times New Roman"/>
          <w:i/>
          <w:noProof/>
          <w:sz w:val="24"/>
          <w:szCs w:val="24"/>
          <w:u w:val="single"/>
        </w:rPr>
      </w:pPr>
      <w:r>
        <w:rPr>
          <w:rFonts w:ascii="Times New Roman" w:hAnsi="Times New Roman"/>
          <w:i/>
          <w:noProof/>
          <w:sz w:val="24"/>
          <w:u w:val="single"/>
        </w:rPr>
        <w:t>Titlul I – Dispoziții generale</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i/>
          <w:noProof/>
          <w:sz w:val="20"/>
        </w:rPr>
        <w:t>Articolul 2 — Exercitarea competenței autorității împuternicite să facă numiri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Toate instituțiile, cu excepția uneia, au utilizat competențele de a adopta norme de punere în aplicare în ceea ce privește exercitarea competenței autorității împuternicite să facă numiri. Unele instituții au utilizat posibilitatea de a încredința această competență altei instituții sau altui organism interinstituțional.</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i/>
          <w:noProof/>
          <w:sz w:val="20"/>
        </w:rPr>
        <w:t>Articolul 5 alineatul (4) – Definirea funcțiilor și atribuțiilor care corespund fiecărui post tip</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făcut uz de posibilitatea oferită de Statutul funcționarilor de a defini mai detaliat sarcinile și competențele care corespund fiecărui tip de post. O instituție a adoptat, de asemenea, dispoziții generale de punere în aplicare în această privință.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Articolul 9 + anexa II, articolul 2 – Procedura de constituire a comisiei paritare comune (COPARCO)</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Toate instituțiile au adoptat de comun acord o normă privind procedura de constituire a comisiei paritare comune.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Articolul 9 alineatul (2) – Componența și procedurile organismelor (comitete)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lastRenderedPageBreak/>
        <w:t xml:space="preserve">Toate instituțiile, cu excepția uneia, au utilizat competența de a stabili componența și procedura organismelor. </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i/>
          <w:noProof/>
          <w:sz w:val="20"/>
        </w:rPr>
        <w:t>Articolul 10 – Modalitățile de stabilire a componenței Comitetului pentru statutul funcționarilor</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Toate instituțiile au adoptat o normă de comun acord privind procedura de numire a membrilor Comitetului pentru Statutul funcționarilor.</w:t>
      </w:r>
    </w:p>
    <w:p>
      <w:pPr>
        <w:pBdr>
          <w:top w:val="single" w:sz="4" w:space="1" w:color="auto"/>
          <w:left w:val="single" w:sz="4" w:space="4" w:color="auto"/>
          <w:bottom w:val="single" w:sz="4" w:space="1" w:color="auto"/>
          <w:right w:val="single" w:sz="4" w:space="4" w:color="auto"/>
        </w:pBdr>
        <w:rPr>
          <w:rFonts w:ascii="Times New Roman" w:hAnsi="Times New Roman" w:cs="Times New Roman"/>
          <w:noProof/>
          <w:sz w:val="20"/>
          <w:szCs w:val="20"/>
        </w:rPr>
      </w:pPr>
      <w:r>
        <w:rPr>
          <w:rFonts w:ascii="Times New Roman" w:hAnsi="Times New Roman"/>
          <w:i/>
          <w:noProof/>
          <w:sz w:val="20"/>
        </w:rPr>
        <w:t>Anexa XIII, articolul 30 alineatul (3) – Repartizarea funcționarilor care au responsabilități speciale aferente postului de „șef de unitate sau echivalent” ori de „consilier sau echivalent” înainte de 31 decembrie 2015</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Cinci instituții au stabilit dispoziții privind derogarea de la articolul 30 alineatul (2) din anexa XIII la Statutul funcționarilor în legătură cu încadrarea funcționarilor în gradele AD9 - AD14 învestiți cu responsabilități speciale în tipul de post „șef de unitate sau echivalent” sau „consilier sau echivalent” înainte de 31 decembrie 2015.</w:t>
      </w:r>
    </w:p>
    <w:p>
      <w:pPr>
        <w:pBdr>
          <w:top w:val="dashed" w:sz="4" w:space="1" w:color="auto"/>
          <w:left w:val="dashed" w:sz="4" w:space="4" w:color="auto"/>
          <w:bottom w:val="dashed" w:sz="4" w:space="1" w:color="auto"/>
          <w:right w:val="dashed" w:sz="4" w:space="4" w:color="auto"/>
        </w:pBdr>
        <w:jc w:val="both"/>
        <w:rPr>
          <w:rFonts w:ascii="Times New Roman" w:hAnsi="Times New Roman" w:cs="Times New Roman"/>
          <w:noProof/>
          <w:sz w:val="24"/>
          <w:szCs w:val="24"/>
        </w:rPr>
      </w:pPr>
      <w:r>
        <w:rPr>
          <w:rFonts w:ascii="Times New Roman" w:hAnsi="Times New Roman"/>
          <w:noProof/>
          <w:sz w:val="24"/>
        </w:rPr>
        <w:t>Deși acest lucru nu este impus în mod expres de Statutul funcționarilor, unele instituții au adoptat, de asemenea, norme de punere în aplicare cu privire la următoarele aspecte care sunt abordate în titlul I din Statutul funcționarilor: handicap, măsuri cu caracter social, munca de la distanță, indemnizații compensatorii pentru anumite categorii de personal care își desfășoară activitatea în Luxemburg, norme referitoare la Comitetul consultativ privind numirile, standarde de sănătate și siguranță și transfer/mobilitate.</w:t>
      </w:r>
    </w:p>
    <w:p>
      <w:pPr>
        <w:jc w:val="both"/>
        <w:rPr>
          <w:rFonts w:ascii="Times New Roman" w:hAnsi="Times New Roman" w:cs="Times New Roman"/>
          <w:noProof/>
          <w:sz w:val="24"/>
          <w:szCs w:val="24"/>
        </w:rPr>
      </w:pPr>
      <w:r>
        <w:rPr>
          <w:rFonts w:ascii="Times New Roman" w:hAnsi="Times New Roman"/>
          <w:noProof/>
          <w:sz w:val="24"/>
        </w:rPr>
        <w:t>Subiectele adăugate de unele instituții în perioada 2020-2023 au vizat munca de la distanță, normele referitoare la Comitetul consultativ privind numirile și indemnizațiile compensatorii pentru anumite categorii de personal care își desfășoară activitatea în Luxemburg.</w:t>
      </w:r>
    </w:p>
    <w:p>
      <w:pPr>
        <w:jc w:val="center"/>
        <w:rPr>
          <w:rFonts w:ascii="Times New Roman" w:hAnsi="Times New Roman" w:cs="Times New Roman"/>
          <w:i/>
          <w:noProof/>
          <w:sz w:val="24"/>
          <w:szCs w:val="24"/>
          <w:u w:val="single"/>
        </w:rPr>
      </w:pPr>
      <w:r>
        <w:rPr>
          <w:rFonts w:ascii="Times New Roman" w:hAnsi="Times New Roman"/>
          <w:i/>
          <w:noProof/>
          <w:sz w:val="24"/>
          <w:u w:val="single"/>
        </w:rPr>
        <w:t>Titlul II – Drepturile și obligațiile funcționarului</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i/>
          <w:noProof/>
          <w:sz w:val="20"/>
        </w:rPr>
        <w:t>Articolul 22c – Norme interne privind denunțarea neregulilor</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adoptat norme de punere în aplicare privind denunțarea neregulilor. </w:t>
      </w:r>
    </w:p>
    <w:p>
      <w:pPr>
        <w:pBdr>
          <w:top w:val="dashed" w:sz="4" w:space="1" w:color="auto"/>
          <w:left w:val="dashed" w:sz="4" w:space="4" w:color="auto"/>
          <w:bottom w:val="dashed" w:sz="4" w:space="1" w:color="auto"/>
          <w:right w:val="dashed" w:sz="4" w:space="4" w:color="auto"/>
        </w:pBdr>
        <w:jc w:val="both"/>
        <w:rPr>
          <w:rFonts w:ascii="Times New Roman" w:hAnsi="Times New Roman" w:cs="Times New Roman"/>
          <w:noProof/>
          <w:sz w:val="24"/>
          <w:szCs w:val="24"/>
        </w:rPr>
      </w:pPr>
      <w:r>
        <w:rPr>
          <w:rFonts w:ascii="Times New Roman" w:hAnsi="Times New Roman"/>
          <w:noProof/>
          <w:sz w:val="24"/>
        </w:rPr>
        <w:t>Unele instituții au adoptat, de asemenea, norme de punere în aplicare cu privire la următoarele aspecte care sunt abordate în titlul II din Statutul funcționarilor: etică și integritate, prevenirea hărțuirii (inclusiv în ceea ce privește deputații din Parlamentul European), activitățile externe (inclusiv atunci când au legătură cu alegerile), locul de reședință, responsabilitatea financiară, sindicatele și formarea (inclusiv din proprie inițiativă).</w:t>
      </w:r>
    </w:p>
    <w:p>
      <w:pPr>
        <w:jc w:val="both"/>
        <w:rPr>
          <w:rFonts w:ascii="Times New Roman" w:hAnsi="Times New Roman" w:cs="Times New Roman"/>
          <w:noProof/>
          <w:sz w:val="24"/>
          <w:szCs w:val="24"/>
        </w:rPr>
      </w:pPr>
      <w:r>
        <w:rPr>
          <w:rFonts w:ascii="Times New Roman" w:hAnsi="Times New Roman"/>
          <w:noProof/>
          <w:sz w:val="24"/>
        </w:rPr>
        <w:t xml:space="preserve">Subiectele adăugate de unele instituții în perioada 2020-2023 au vizat, în special, plângerile depuse împotriva unor deputați în Parlamentul European privind hărțuirea la locul de muncă, formarea din proprie inițiativă și sindicatele. </w:t>
      </w:r>
    </w:p>
    <w:p>
      <w:pPr>
        <w:jc w:val="center"/>
        <w:rPr>
          <w:rFonts w:ascii="Times New Roman" w:hAnsi="Times New Roman" w:cs="Times New Roman"/>
          <w:i/>
          <w:noProof/>
          <w:sz w:val="24"/>
          <w:szCs w:val="24"/>
          <w:u w:val="single"/>
        </w:rPr>
      </w:pPr>
      <w:r>
        <w:rPr>
          <w:rFonts w:ascii="Times New Roman" w:hAnsi="Times New Roman"/>
          <w:i/>
          <w:noProof/>
          <w:sz w:val="24"/>
          <w:u w:val="single"/>
        </w:rPr>
        <w:t>Titlul III – Cariera funcționarului</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i/>
          <w:noProof/>
          <w:sz w:val="20"/>
        </w:rPr>
        <w:t>Articolul 27 alineatul (2) – Măsuri corespunzătoare adoptate în urma constatării unui dezechilibru semnificativ între naționalitățile funcționarilor</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O singură instituție a adoptat dispoziții generale de punere în aplicare în această privință.</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Articolul 32 alineatul (2) – Încadrarea în treaptă la recrutare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lastRenderedPageBreak/>
        <w:t xml:space="preserve">Toate instituțiile au adoptat dispoziții generale de punere în aplicare pentru a permite un spor de vechime de cel mult 24 de luni pentru a se ține seama de experiența profesională a funcționarilor.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Articolul 37 litera (b) – Stabilirea unei liste a organizațiilor dedicate promovării intereselor Uniunii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întocmit, de comun acord, o listă a organizațiilor dedicate promovării intereselor Uniunii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Articolul 42a – Concediul pentru creșterea copilului, familii monoparentale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adoptat dispoziții de punere în aplicare privind concediul pentru creșterea copilului, inclusiv privind chestiunea recunoașterii familiilor monoparentale în vederea dublării duratei concediului pentru creșterea copilului. </w:t>
      </w:r>
      <w:r>
        <w:rPr>
          <w:rFonts w:ascii="Times New Roman" w:hAnsi="Times New Roman"/>
          <w:b/>
          <w:noProof/>
          <w:sz w:val="20"/>
        </w:rPr>
        <w:t>Cu toate acestea, o instituție nu a adoptat aceste norme sub forma unor dispoziții generale de punere în aplicare, astfel cum se prevede la articolul 42a alineatul (1) din Statutul funcționarilor.</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Articolul 43 – Raportul anual privind competența, eficiența și conduita în serviciu</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adoptat dispoziții generale de punere în aplicare privind rapoartele anuale referitoare la competență, eficiență și conduita în serviciu. Trei instituții au adoptat, de asemenea, alte norme de punere în aplicare cu privire la această chestiune.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Articolul 45 alineatul (2) – Capacitatea de a lucra într-o a treia limbă înaintea primei promovări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Toate instituțiile au adoptat, de comun acord, norme de punere în aplicare a cerinței referitoare la obligația funcționarului de a demonstra, înainte de a i se acorda prima promovare, capacitatea de a lucra într-o a treia limbă.</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Articolul 45a alineatul (5) – Numirea unui funcționar încadrat în grupa de funcții AST într-un post din grupa de funcții AD</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adoptat dispoziții generale pentru a pune în aplicare posibilitatea de a numi un funcționar din grupa de funcții AST într-un post din grupa de funcții AD, așa-numita „procedură de certificare”. </w:t>
      </w:r>
      <w:r>
        <w:rPr>
          <w:rFonts w:ascii="Times New Roman" w:hAnsi="Times New Roman"/>
          <w:b/>
          <w:noProof/>
          <w:sz w:val="20"/>
        </w:rPr>
        <w:t>Cu toate acestea, o instituție nu a adoptat aceste norme sub forma unor dispoziții generale de punere în aplicare, astfel cum se prevede la articolul 45a alineatul (5) din Statutul funcționarilor.</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Articolul 51 alineatul (1) – Procedurile privind incompetența profesională</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bCs/>
          <w:noProof/>
          <w:sz w:val="20"/>
          <w:szCs w:val="20"/>
        </w:rPr>
      </w:pPr>
      <w:r>
        <w:rPr>
          <w:rFonts w:ascii="Times New Roman" w:hAnsi="Times New Roman"/>
          <w:noProof/>
          <w:sz w:val="20"/>
        </w:rPr>
        <w:t xml:space="preserve">Opt instituții au adoptat dispoziții interne privind identificarea, gestionarea și soluționarea cazurilor de incompetență profesională în timp util și într-o manieră adecvată. </w:t>
      </w:r>
      <w:r>
        <w:rPr>
          <w:rFonts w:ascii="Times New Roman" w:hAnsi="Times New Roman"/>
          <w:b/>
          <w:noProof/>
          <w:sz w:val="20"/>
        </w:rPr>
        <w:t xml:space="preserve">O instituție a adoptat aceste norme sub forma unor dispoziții generale de punere în aplicare. </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noProof/>
          <w:sz w:val="24"/>
        </w:rPr>
        <w:t>Unele instituții au adoptat, de asemenea, norme de punere în aplicare cu privire la următoarele aspecte care sunt abordate în titlul III din Statutul funcționarilor: personalul de conducere de nivel mediu, recrutarea înalților funcționari, perioada de probă, detașarea, concediul pentru interese personale, concediul din motive familiale, concediul în interesul serviciului, avansarea în treaptă, confirmarea în funcții de conducere, promovarea, pensionarea și titlul onorific.</w:t>
      </w:r>
    </w:p>
    <w:p>
      <w:pPr>
        <w:jc w:val="both"/>
        <w:rPr>
          <w:rFonts w:ascii="Times New Roman" w:hAnsi="Times New Roman" w:cs="Times New Roman"/>
          <w:noProof/>
          <w:sz w:val="24"/>
          <w:szCs w:val="24"/>
        </w:rPr>
      </w:pPr>
      <w:r>
        <w:rPr>
          <w:rFonts w:ascii="Times New Roman" w:hAnsi="Times New Roman"/>
          <w:noProof/>
          <w:sz w:val="24"/>
        </w:rPr>
        <w:t>Subiectele adăugate de unele instituții în perioada 2020-2023 se referă la echilibrul geografic, concediul din motive familiale, concediul în interesul serviciului și incompetența profesională.</w:t>
      </w:r>
    </w:p>
    <w:p>
      <w:pPr>
        <w:jc w:val="center"/>
        <w:rPr>
          <w:rFonts w:ascii="Times New Roman" w:hAnsi="Times New Roman" w:cs="Times New Roman"/>
          <w:i/>
          <w:noProof/>
          <w:sz w:val="24"/>
          <w:szCs w:val="24"/>
          <w:u w:val="single"/>
        </w:rPr>
      </w:pPr>
      <w:r>
        <w:rPr>
          <w:rFonts w:ascii="Times New Roman" w:hAnsi="Times New Roman"/>
          <w:i/>
          <w:noProof/>
          <w:sz w:val="24"/>
          <w:u w:val="single"/>
        </w:rPr>
        <w:lastRenderedPageBreak/>
        <w:t>Titlul IV – Condițiile de muncă ale funcționarului</w:t>
      </w:r>
      <w:r>
        <w:rPr>
          <w:rStyle w:val="FootnoteReference"/>
          <w:rFonts w:ascii="Times New Roman" w:hAnsi="Times New Roman" w:cs="Times New Roman"/>
          <w:i/>
          <w:noProof/>
          <w:sz w:val="24"/>
          <w:szCs w:val="24"/>
          <w:u w:val="single"/>
        </w:rPr>
        <w:footnoteReference w:id="29"/>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Articolul 55 alineatul (3) – Rămânerea la dispoziția instituției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0"/>
          <w:szCs w:val="20"/>
        </w:rPr>
      </w:pPr>
      <w:r>
        <w:rPr>
          <w:rFonts w:ascii="Times New Roman" w:hAnsi="Times New Roman"/>
          <w:b/>
          <w:noProof/>
          <w:sz w:val="20"/>
        </w:rPr>
        <w:t>Nicio instituție nu a stabilit norme detaliate de aplicare a dispozițiilor privind rămânerea la dispoziția instituției în temeiul prezentului articol</w:t>
      </w:r>
      <w:r>
        <w:rPr>
          <w:rFonts w:ascii="Times New Roman" w:hAnsi="Times New Roman"/>
          <w:noProof/>
          <w:sz w:val="20"/>
        </w:rPr>
        <w:t>.</w:t>
      </w:r>
      <w:r>
        <w:rPr>
          <w:rFonts w:ascii="Times New Roman" w:hAnsi="Times New Roman"/>
          <w:b/>
          <w:noProof/>
          <w:sz w:val="20"/>
        </w:rPr>
        <w:t xml:space="preserve"> </w:t>
      </w:r>
      <w:r>
        <w:rPr>
          <w:rFonts w:ascii="Times New Roman" w:hAnsi="Times New Roman"/>
          <w:noProof/>
          <w:sz w:val="20"/>
        </w:rPr>
        <w:t xml:space="preserve">Cu toate acestea, două instituții au adoptat norme de punere în aplicare privind rămânerea la dispoziția instituției în temeiul articolului 56b din Statutul funcționarilor.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Articolul 55 alineatul (4) – Programul de lucru/programele de lucru flexibile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introdus programe de lucru flexibile.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Articolul 55a + anexa IVa, articolul 5 – Activitatea cu normă redusă</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stabilit norme detaliate pentru aplicarea dispozițiilor privind activitatea cu normă redusă. Șapte instituții au adoptat, de asemenea, norme privind munca de la distanță în temeiul acestui articol.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Articolul 55b – Împărțirea activității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O instituție a stabilit norme detaliate pentru aplicarea articolului privind împărțirea activității.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Articolul 56 – Orele suplimentare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Șapte instituții au stabilit norme privind procedura de autorizare a orelor suplimentare sau condițiile pentru indemnizația fixă.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Articolul 57 – Concediul anual</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b/>
          <w:noProof/>
          <w:sz w:val="20"/>
        </w:rPr>
        <w:t xml:space="preserve">Instituțiile nu au stabilit de comun acord norme privind concediul anual. În schimb, nouă instituții și-au adoptat norme proprii de punere în aplicare cu privire la această chestiune.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Articolul 61 – Lista sărbătorilor legale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0"/>
        </w:rPr>
        <w:t>Toate instituțiile au stabilit de comun acord o listă a sărbătorilor legale.</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noProof/>
          <w:sz w:val="24"/>
        </w:rPr>
        <w:t xml:space="preserve">Unele instituții au adoptat, de asemenea, norme de punere în aplicare cu privire la următoarele chestiuni care se referă la titlul IV din Statutul funcționarilor: concediul de maternitate, concediul medical, procedura de invaliditate, vizita medicală anuală, </w:t>
      </w:r>
      <w:bookmarkStart w:id="10" w:name="_Hlk187305439"/>
      <w:r>
        <w:rPr>
          <w:rFonts w:ascii="Times New Roman" w:hAnsi="Times New Roman"/>
          <w:noProof/>
          <w:sz w:val="24"/>
        </w:rPr>
        <w:t>rămânerea la dispoziția instituției în temeiul articolului 56b din Statutul funcționarilor</w:t>
      </w:r>
      <w:bookmarkEnd w:id="10"/>
      <w:r>
        <w:rPr>
          <w:rFonts w:ascii="Times New Roman" w:hAnsi="Times New Roman"/>
          <w:noProof/>
          <w:sz w:val="24"/>
        </w:rPr>
        <w:t xml:space="preserve"> și absențele.</w:t>
      </w:r>
    </w:p>
    <w:p>
      <w:pPr>
        <w:jc w:val="both"/>
        <w:rPr>
          <w:rFonts w:ascii="Times New Roman" w:hAnsi="Times New Roman" w:cs="Times New Roman"/>
          <w:noProof/>
          <w:sz w:val="24"/>
          <w:szCs w:val="24"/>
        </w:rPr>
      </w:pPr>
      <w:r>
        <w:rPr>
          <w:rFonts w:ascii="Times New Roman" w:hAnsi="Times New Roman"/>
          <w:noProof/>
          <w:sz w:val="24"/>
        </w:rPr>
        <w:t>Subiectele adăugate de unele instituții în perioada 2020-2023 au vizat, în special, concediul de maternitate, concediul anual, munca de la distanță, concediul medical, rămânerea la dispoziția instituției în temeiul articolului 56b din Statutul funcționarilor și absențele. Instituțiile au adoptat dispoziții privind munca de la distanță în temeiul diferitelor dispoziții ale prezentului titlu, precum și în temeiul titlului I.</w:t>
      </w:r>
    </w:p>
    <w:p>
      <w:pPr>
        <w:pageBreakBefore/>
        <w:jc w:val="center"/>
        <w:rPr>
          <w:rFonts w:ascii="Times New Roman" w:hAnsi="Times New Roman" w:cs="Times New Roman"/>
          <w:i/>
          <w:noProof/>
          <w:sz w:val="24"/>
          <w:szCs w:val="24"/>
          <w:u w:val="single"/>
        </w:rPr>
      </w:pPr>
      <w:r>
        <w:rPr>
          <w:rFonts w:ascii="Times New Roman" w:hAnsi="Times New Roman"/>
          <w:i/>
          <w:noProof/>
          <w:sz w:val="24"/>
          <w:u w:val="single"/>
        </w:rPr>
        <w:lastRenderedPageBreak/>
        <w:t>Titlul V – Regimul financiar și prestațiile de asigurări sociale ale funcționarului</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Articolul 72 alineatul (1) – Asigurarea de sănătate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elaborat de comun acord norme privind asigurarea de sănătate.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Articolul 72 alineatul (1) – Rambursarea cheltuielilor medicale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Ca urmare a competenței conferite acesteia de către toate instituțiile, astfel cum se prevede la articolul 72 alineatul (1) al treilea paragraf din Statutul funcționarilor, Comisia a adoptat norme de reglementare a rambursării cheltuielilor, care sunt aplicabile în toate instituțiile.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Articolul 73 alineatul (1) – Asigurarea împotriva riscurilor de boală profesională sau de accident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Toate instituțiile au elaborat de comun acord norme privind asigurarea împotriva riscurilor de boală profesională sau de accident.</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i/>
          <w:noProof/>
          <w:sz w:val="20"/>
        </w:rPr>
        <w:t>Articolul 76a – Ajutoare financiare pentru majorarea pensiei unui soț supraviețuitor care suferă de o boală gravă sau de durată sau care are un handicap</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Toate instituțiile au stabilit de comun acord norme de punere în aplicare cu privire la ajutoarele financiare pentru majorarea pensiei unui soț supraviețuitor care suferă de o boală gravă sau de durată sau care are un handicap.</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Anexa VII, articolul 3 alineatul (1) – Alocația școlară</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stabilit dispoziții generale de punere în aplicare privind alocația școlară.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Anexa VII, articolul 9 alineatul (1) – Cheltuielile de mutare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adoptat dispoziții de punere în aplicare privind cheltuielile de mutare. </w:t>
      </w:r>
      <w:r>
        <w:rPr>
          <w:rFonts w:ascii="Times New Roman" w:hAnsi="Times New Roman"/>
          <w:b/>
          <w:noProof/>
          <w:sz w:val="20"/>
        </w:rPr>
        <w:t>Cu toate acestea, o instituție nu a adoptat aceste norme sub forma unor dispoziții generale de punere în aplicare, astfel cum se prevede la articolul 9 alineatul (1) din anexa VII la Statutul funcționarilor.</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Anexa VII, articolul 13 alineatul (2) litera (b) – Baremul aplicabil delegațiilor în țări terțe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Două instituții au stabilit baremul pentru cheltuielile aferente delegațiilor care au loc în țări din afara Uniunii Europene.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Anexa VII, articolul 13a – Cheltuielile de delegație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Toate instituțiile au adoptat dispoziții de punere în aplicare privind cheltuielile de delegație. Trei instituții au adoptat, de asemenea, alte norme de punere în aplicare cu privire la această chestiune.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Anexa VII, articolul 14 alineatul (2) – Cheltuielile de protocol</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Nicio instituție nu a stabilit condiții de rambursare a cheltuielilor de protocol suportate ocazional.</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Anexa VII, articolul 17 alineatul (2) – Transferul unei părți din remunerație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adoptat de comun acord norme privind transferul special, periodic, al unei părți din remunerația unui funcționar.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Anexa VIII, articolul 11 alineatul (2) – Transferul drepturilor de pensie către sistemul de pensii al Uniunii (transfer „IN”)</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0"/>
        </w:rPr>
        <w:t xml:space="preserve">Nouă instituții au adoptat dispoziții generale de punere în aplicare pentru a stabili numărul de ani de plată a contribuțiilor la sistemul de pensii ai unui funcționar care intră în serviciul Uniunii după ce și-a încheiat activitatea în cadrul unei administrații guvernamentale sau al unei organizații naționale sau internaționale sau </w:t>
      </w:r>
      <w:r>
        <w:rPr>
          <w:rFonts w:ascii="Times New Roman" w:hAnsi="Times New Roman"/>
          <w:noProof/>
          <w:sz w:val="20"/>
        </w:rPr>
        <w:lastRenderedPageBreak/>
        <w:t xml:space="preserve">după ce a exercitat o activitate salariată sau independentă pe care acestea îi iau în considerare conform sistemului de pensii al Uniunii aferenți perioadei de muncă anterioară. </w:t>
      </w:r>
      <w:r>
        <w:rPr>
          <w:rFonts w:ascii="Times New Roman" w:hAnsi="Times New Roman"/>
          <w:b/>
          <w:noProof/>
          <w:sz w:val="20"/>
        </w:rPr>
        <w:t xml:space="preserve">O instituție nu a adoptat încă dispozițiile generale de punere în aplicare prevăzute la articolul 11 alineatul (2) din anexa VIII la Statutul funcționarilor. </w:t>
      </w:r>
      <w:r>
        <w:rPr>
          <w:rFonts w:ascii="Times New Roman" w:hAnsi="Times New Roman"/>
          <w:noProof/>
          <w:sz w:val="20"/>
        </w:rPr>
        <w:t>O instituție a adoptat, de asemenea, alte norme de punere în aplicare cu privire la această chestiune.</w:t>
      </w:r>
      <w:r>
        <w:rPr>
          <w:rFonts w:ascii="Times New Roman" w:hAnsi="Times New Roman"/>
          <w:b/>
          <w:noProof/>
          <w:sz w:val="20"/>
        </w:rPr>
        <w:t xml:space="preserve"> </w:t>
      </w:r>
    </w:p>
    <w:p>
      <w:pPr>
        <w:pBdr>
          <w:top w:val="dashSmallGap" w:sz="4" w:space="1" w:color="auto"/>
          <w:left w:val="dashSmallGap" w:sz="4" w:space="1" w:color="auto"/>
          <w:bottom w:val="dashSmallGap" w:sz="4" w:space="1" w:color="auto"/>
          <w:right w:val="dashSmallGap" w:sz="4" w:space="1" w:color="auto"/>
        </w:pBdr>
        <w:jc w:val="both"/>
        <w:rPr>
          <w:rFonts w:ascii="Times New Roman" w:hAnsi="Times New Roman" w:cs="Times New Roman"/>
          <w:noProof/>
          <w:sz w:val="24"/>
          <w:szCs w:val="24"/>
        </w:rPr>
      </w:pPr>
      <w:r>
        <w:rPr>
          <w:rFonts w:ascii="Times New Roman" w:hAnsi="Times New Roman"/>
          <w:noProof/>
          <w:sz w:val="24"/>
        </w:rPr>
        <w:t>Aproape toate instituțiile au adoptat, de asemenea, norme de punere în aplicare cu privire la următoarele aspecte care sunt abordate în titlul V din Statutul funcționarilor: alocațiile familiale, alocația pentru locuință prin decizie specială, persoanele considerate copil aflat în întreținere, cheltuielile anuale de călătorie, locul de origine, cheltuielile de delegație și de deplasare în interes de serviciu și transferul drepturilor de pensie. În marea majoritate a cazurilor, instituțiile au ales să adopte dispoziții generale de punere în aplicare cu privire la aceste subiecte.</w:t>
      </w:r>
    </w:p>
    <w:p>
      <w:pPr>
        <w:pBdr>
          <w:top w:val="dashSmallGap" w:sz="4" w:space="1" w:color="auto"/>
          <w:left w:val="dashSmallGap" w:sz="4" w:space="1" w:color="auto"/>
          <w:bottom w:val="dashSmallGap" w:sz="4" w:space="1" w:color="auto"/>
          <w:right w:val="dashSmallGap" w:sz="4" w:space="1" w:color="auto"/>
        </w:pBdr>
        <w:jc w:val="both"/>
        <w:rPr>
          <w:rFonts w:ascii="Times New Roman" w:hAnsi="Times New Roman" w:cs="Times New Roman"/>
          <w:noProof/>
          <w:sz w:val="24"/>
          <w:szCs w:val="24"/>
        </w:rPr>
      </w:pPr>
      <w:r>
        <w:rPr>
          <w:rFonts w:ascii="Times New Roman" w:hAnsi="Times New Roman"/>
          <w:noProof/>
          <w:sz w:val="24"/>
        </w:rPr>
        <w:t>Unele instituții au adoptat, de asemenea, norme de punere în aplicare privind împrumuturile și avansurile, calcularea drepturilor de pensie, contribuția la cheltuielile cu transportul public, pensionarea anticipată și prestația de invaliditate.</w:t>
      </w:r>
    </w:p>
    <w:p>
      <w:pPr>
        <w:jc w:val="both"/>
        <w:rPr>
          <w:rFonts w:ascii="Times New Roman" w:hAnsi="Times New Roman" w:cs="Times New Roman"/>
          <w:noProof/>
          <w:sz w:val="24"/>
          <w:szCs w:val="24"/>
        </w:rPr>
      </w:pPr>
      <w:r>
        <w:rPr>
          <w:rFonts w:ascii="Times New Roman" w:hAnsi="Times New Roman"/>
          <w:noProof/>
          <w:sz w:val="24"/>
        </w:rPr>
        <w:t>Subiectele adăugate de unele instituții în perioada 2020-2023 au vizat cheltuielile de delegație și de deplasare în interes de serviciu, precum și contribuția la cheltuielile cu transportul public.</w:t>
      </w:r>
    </w:p>
    <w:p>
      <w:pPr>
        <w:jc w:val="center"/>
        <w:rPr>
          <w:rFonts w:ascii="Times New Roman" w:hAnsi="Times New Roman" w:cs="Times New Roman"/>
          <w:i/>
          <w:noProof/>
          <w:sz w:val="24"/>
          <w:szCs w:val="24"/>
          <w:u w:val="single"/>
        </w:rPr>
      </w:pPr>
      <w:r>
        <w:rPr>
          <w:rFonts w:ascii="Times New Roman" w:hAnsi="Times New Roman"/>
          <w:i/>
          <w:noProof/>
          <w:sz w:val="24"/>
          <w:u w:val="single"/>
        </w:rPr>
        <w:t>Titlul VI – Măsuri disciplinare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 xml:space="preserve">Anexa IX, articolul 2 alineatul (3) – Anchetele administrative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adoptat norme de punere în aplicare privind anchetele administrative, sub formă de dispoziții generale de punere în aplicare.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Anexa IX, articolul 30 – Procedura disciplinară</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Toate instituțiile au adoptat, în general, norme de punere în aplicare a procedurii disciplinare.</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noProof/>
          <w:sz w:val="24"/>
        </w:rPr>
        <w:t>O instituție a adoptat norme de punere în aplicare privind investigațiile referitoare la comisiile de selecție ale EPSO, iar o instituție a adoptat norme de punere în aplicare privind prevenirea fraudei, a corupției și a oricăror alte activități ilegale.</w:t>
      </w:r>
    </w:p>
    <w:p>
      <w:pPr>
        <w:jc w:val="center"/>
        <w:rPr>
          <w:rFonts w:ascii="Times New Roman" w:hAnsi="Times New Roman" w:cs="Times New Roman"/>
          <w:i/>
          <w:noProof/>
          <w:sz w:val="24"/>
          <w:szCs w:val="24"/>
          <w:u w:val="single"/>
        </w:rPr>
      </w:pPr>
      <w:r>
        <w:rPr>
          <w:rFonts w:ascii="Times New Roman" w:hAnsi="Times New Roman"/>
          <w:i/>
          <w:noProof/>
          <w:sz w:val="24"/>
          <w:u w:val="single"/>
        </w:rPr>
        <w:t>Titlul VII – Căile de atac</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noProof/>
          <w:sz w:val="24"/>
        </w:rPr>
        <w:t>O instituție a adoptat norme de punere în aplicare privind plângerile în sensul articolelor 90 și 91 din Statutul funcționarilor.</w:t>
      </w:r>
    </w:p>
    <w:p>
      <w:pPr>
        <w:jc w:val="center"/>
        <w:rPr>
          <w:rFonts w:ascii="Times New Roman" w:hAnsi="Times New Roman" w:cs="Times New Roman"/>
          <w:i/>
          <w:noProof/>
          <w:sz w:val="24"/>
          <w:szCs w:val="24"/>
          <w:u w:val="single"/>
        </w:rPr>
      </w:pPr>
      <w:r>
        <w:rPr>
          <w:rFonts w:ascii="Times New Roman" w:hAnsi="Times New Roman"/>
          <w:i/>
          <w:noProof/>
          <w:sz w:val="24"/>
          <w:u w:val="single"/>
        </w:rPr>
        <w:t xml:space="preserve">Titlul VIIIa – Dispoziții speciale aplicabile SEAE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rPr>
      </w:pPr>
      <w:r>
        <w:rPr>
          <w:rFonts w:ascii="Times New Roman" w:hAnsi="Times New Roman"/>
          <w:i/>
          <w:noProof/>
        </w:rPr>
        <w:t xml:space="preserve">Articolul 96 – Funcționarii Comisiei care lucrează într-o delegație a Uniunii și funcționarii SEAE care trebuie să efectueze sarcini pentru Comisie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noProof/>
        </w:rPr>
        <w:t xml:space="preserve">Comisia și SEAE au convenit asupra modalităților detaliate privind acceptarea de instrucțiuni de către un funcționar al Comisiei care lucrează într-o delegație a Uniunii din partea șefului delegației și acceptarea de instrucțiuni de către un funcționar SEAE care trebuie să îndeplinească sarcini pentru Comisie din partea Comisiei. </w:t>
      </w:r>
    </w:p>
    <w:p>
      <w:pPr>
        <w:jc w:val="center"/>
        <w:rPr>
          <w:rFonts w:ascii="Times New Roman" w:hAnsi="Times New Roman" w:cs="Times New Roman"/>
          <w:i/>
          <w:noProof/>
          <w:sz w:val="24"/>
          <w:szCs w:val="24"/>
          <w:u w:val="single"/>
        </w:rPr>
      </w:pPr>
    </w:p>
    <w:p>
      <w:pPr>
        <w:jc w:val="center"/>
        <w:rPr>
          <w:rFonts w:ascii="Times New Roman" w:hAnsi="Times New Roman" w:cs="Times New Roman"/>
          <w:i/>
          <w:noProof/>
          <w:sz w:val="24"/>
          <w:szCs w:val="24"/>
          <w:u w:val="single"/>
        </w:rPr>
      </w:pPr>
      <w:r>
        <w:rPr>
          <w:rFonts w:ascii="Times New Roman" w:hAnsi="Times New Roman"/>
          <w:i/>
          <w:noProof/>
          <w:sz w:val="24"/>
          <w:u w:val="single"/>
        </w:rPr>
        <w:t xml:space="preserve">Titlul VIIIb – Cerințe speciale și derogatorii aplicabile funcționarilor repartizați într-o țară terță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Anexa X, articolul 1 al treilea paragraf – Funcționarii repartizați într-o țară terță</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Comisia și SEAE au adoptat dispoziții generale de punere în aplicare aplicabile funcționarilor Uniunii Europene repartizați într-o țară terță. Curtea de Justiție a clarificat în jurisprudența sa că Statutul funcționarilor nu obligă instituțiile să adopte dispoziții generale de punere în aplicare a anexei X la Statutul funcționarilor. Cu toate acestea, în cazul în care o instituție alege să facă acest lucru, trebuie urmată procedura prevăzută la articolul 110 din Statutul funcționarilor (și anume adoptarea prin intermediul dispozițiilor generale de punere în aplicare)</w:t>
      </w:r>
      <w:r>
        <w:rPr>
          <w:rStyle w:val="FootnoteReference"/>
          <w:rFonts w:ascii="Times New Roman" w:hAnsi="Times New Roman" w:cs="Times New Roman"/>
          <w:noProof/>
          <w:sz w:val="20"/>
          <w:szCs w:val="20"/>
        </w:rPr>
        <w:footnoteReference w:id="30"/>
      </w:r>
      <w:r>
        <w:rPr>
          <w:noProof/>
        </w:rPr>
        <w:t>.</w:t>
      </w:r>
      <w:r>
        <w:rPr>
          <w:rFonts w:ascii="Times New Roman" w:hAnsi="Times New Roman"/>
          <w:noProof/>
          <w:sz w:val="20"/>
        </w:rPr>
        <w:t xml:space="preserv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Anexa X, articolul 2 – Transferul funcționarilor repartizați în țări terțe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Două instituții au stabilit norme detaliate de punere în aplicare privind transferurile funcționarilor printr-o procedură specifică denumită „procedura de mobilitate”.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Anexa X, articolul 3 – Aplicarea cu titlu derogatoriu a anexei X funcționarilor repartizați din nou, temporar, într-un post în cadrul sediului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Două instituții au stabilit dispoziții generale de punere în aplicare privind acordarea alocației școlare personalului repartizat temporar într-­un post în cadrul sediului.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Anexa X, articolul 5 alineatul (2) – Servicii de cazare pentru funcționarii repartizați în țări terțe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Două instituții au stabilit norme detaliate privind punerea la dispoziția unui funcționar a unei locuințe.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Anexa X, articolul 10 alineatul (3) – Indemnizația pentru condiții de viață</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Două instituții au adoptat dispoziții detaliate privind indemnizația pentru condiții de viață. O instituție a adoptat, de asemenea, dispoziții generale de punere în aplicare în această privință.</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i/>
          <w:noProof/>
          <w:sz w:val="20"/>
        </w:rPr>
        <w:t>Anexa X, articolul 23 – Rambursarea chiriei pentru funcționarii repartizați în țări terțe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Două instituții au stabilit norme detaliate privind acordarea unei alocații pentru locuință sau rambursarea chiriei. </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noProof/>
          <w:sz w:val="24"/>
        </w:rPr>
        <w:t xml:space="preserve">Comisia și SEAE au adoptat, de asemenea, norme de punere în aplicare cu privire la următoarele chestiuni care sunt abordate în titlul VIIIb din Statutul funcționarilor și în anexa X la acesta: concediul de odihnă, moneda și coeficientul corector, rambursarea cheltuielilor suportate de funcționarii repartizați în țări terțe, mobilitatea agenților contractuali care își desfășoară activitatea în cadrul SEAE, indemnizația pentru locuința temporară și cheltuielile de transport, asigurările de sănătate și de accidente. Comisia a adoptat, de asemenea, norme de punere în aplicare aplicabile personalului care își desfășoară activitatea în cadrul Biroului Comisiei din Groenlanda, căruia i se aplică dispozițiile anexei X la Statutul funcționarilor, având în vedere statutul specific al Groenlandei. </w:t>
      </w:r>
    </w:p>
    <w:p>
      <w:pPr>
        <w:jc w:val="both"/>
        <w:rPr>
          <w:rFonts w:ascii="Times New Roman" w:hAnsi="Times New Roman" w:cs="Times New Roman"/>
          <w:noProof/>
          <w:sz w:val="24"/>
          <w:szCs w:val="24"/>
        </w:rPr>
      </w:pPr>
      <w:r>
        <w:rPr>
          <w:rFonts w:ascii="Times New Roman" w:hAnsi="Times New Roman"/>
          <w:noProof/>
          <w:sz w:val="24"/>
        </w:rPr>
        <w:t xml:space="preserve">În perioada 2020-2023, Comisia și SEAE au adăugat doar norme de punere în aplicare privind acordarea alocației școlare personalului repartizat temporar într­-un post în cadrul sediului. </w:t>
      </w:r>
      <w:r>
        <w:rPr>
          <w:rFonts w:ascii="Times New Roman" w:hAnsi="Times New Roman"/>
          <w:noProof/>
          <w:sz w:val="24"/>
        </w:rPr>
        <w:lastRenderedPageBreak/>
        <w:t xml:space="preserve">Comisia a adoptat, de asemenea, norme de punere în aplicare privind personalul care își desfășoară activitatea în cadrul Biroului Comisiei din Groenlanda. </w:t>
      </w:r>
    </w:p>
    <w:p>
      <w:pPr>
        <w:jc w:val="center"/>
        <w:rPr>
          <w:rFonts w:ascii="Times New Roman" w:hAnsi="Times New Roman" w:cs="Times New Roman"/>
          <w:i/>
          <w:iCs/>
          <w:noProof/>
          <w:sz w:val="24"/>
          <w:szCs w:val="24"/>
          <w:u w:val="single"/>
        </w:rPr>
      </w:pPr>
      <w:r>
        <w:rPr>
          <w:rFonts w:ascii="Times New Roman" w:hAnsi="Times New Roman"/>
          <w:i/>
          <w:noProof/>
          <w:sz w:val="24"/>
          <w:u w:val="single"/>
        </w:rPr>
        <w:t>Titlul IX – Dispoziții tranzitorii și finale</w:t>
      </w:r>
    </w:p>
    <w:p>
      <w:pPr>
        <w:jc w:val="both"/>
        <w:rPr>
          <w:rFonts w:ascii="Times New Roman" w:hAnsi="Times New Roman" w:cs="Times New Roman"/>
          <w:noProof/>
          <w:sz w:val="20"/>
          <w:szCs w:val="20"/>
        </w:rPr>
      </w:pPr>
      <w:r>
        <w:rPr>
          <w:rFonts w:ascii="Times New Roman" w:hAnsi="Times New Roman"/>
          <w:noProof/>
          <w:sz w:val="20"/>
        </w:rPr>
        <w:t xml:space="preserve">O instituție a adoptat norme de punere în aplicare privind plățile compensatorii și dispoziții generale de punere în aplicare privind drepturile de pensie. </w:t>
      </w:r>
    </w:p>
    <w:p>
      <w:pPr>
        <w:jc w:val="center"/>
        <w:rPr>
          <w:rFonts w:ascii="Times New Roman" w:hAnsi="Times New Roman" w:cs="Times New Roman"/>
          <w:b/>
          <w:i/>
          <w:noProof/>
          <w:sz w:val="28"/>
          <w:szCs w:val="28"/>
        </w:rPr>
      </w:pPr>
      <w:r>
        <w:rPr>
          <w:rFonts w:ascii="Times New Roman" w:hAnsi="Times New Roman"/>
          <w:b/>
          <w:i/>
          <w:noProof/>
          <w:sz w:val="28"/>
        </w:rPr>
        <w:t>Regimul aplicabil celorlalți agenți</w:t>
      </w:r>
    </w:p>
    <w:p>
      <w:pPr>
        <w:jc w:val="center"/>
        <w:rPr>
          <w:rFonts w:ascii="Times New Roman" w:hAnsi="Times New Roman" w:cs="Times New Roman"/>
          <w:i/>
          <w:noProof/>
          <w:sz w:val="24"/>
          <w:szCs w:val="24"/>
          <w:u w:val="single"/>
        </w:rPr>
      </w:pPr>
      <w:r>
        <w:rPr>
          <w:rFonts w:ascii="Times New Roman" w:hAnsi="Times New Roman"/>
          <w:i/>
          <w:noProof/>
          <w:sz w:val="24"/>
          <w:u w:val="single"/>
        </w:rPr>
        <w:t>Titlul II – Agenții temporari</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i/>
          <w:noProof/>
          <w:sz w:val="20"/>
        </w:rPr>
        <w:t>Articolul 12 alineatul (1) al treilea paragraf – Măsuri corespunzătoare în urma constatării unui dezechilibru semnificativ între naționalitățile agenților temporari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Articolul 12 alineatul (1) al treilea paragraf permite fiecărei instituții să adopte măsuri corespunzătoare în urma constatării unui dezechilibru semnificativ între naționalitățile agenților temporari, care nu se justifică prin criterii obiective. Aceste măsuri corespunzătoare trebuie justificate și nu pot avea niciodată drept rezultat alte criterii de recrutare decât cele bazate pe merit. Înainte de adoptarea unor astfel de măsuri corespunzătoare, autoritatea abilitată să încheie contracte de muncă adoptă dispoziții generale de punere în aplicare. La momentul finalizării prezentului raport, nicio instituție nu a adoptat încă astfel de dispoziții de punere în aplicare.</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i/>
          <w:noProof/>
          <w:sz w:val="20"/>
          <w:szCs w:val="20"/>
        </w:rPr>
      </w:pPr>
      <w:r>
        <w:rPr>
          <w:rFonts w:ascii="Times New Roman" w:hAnsi="Times New Roman"/>
          <w:i/>
          <w:noProof/>
          <w:sz w:val="20"/>
        </w:rPr>
        <w:t>Articolul 12 alineatul (5) – Procedurile de recrutare a agenților temporari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Cinci instituții au adoptat dispoziții de punere în aplicare privind procedurile de recrutare a agenților temporari. </w:t>
      </w:r>
      <w:r>
        <w:rPr>
          <w:rFonts w:ascii="Times New Roman" w:hAnsi="Times New Roman"/>
          <w:b/>
          <w:noProof/>
          <w:sz w:val="20"/>
        </w:rPr>
        <w:t xml:space="preserve">Cu toate acestea, două din cele cinci instituții nu au respectat cerința de a adopta astfel de norme sub forma unor dispoziții generale de punere în aplicare, astfel cum se prevede la articolul 12 alineatul (5) din RAA. Cinci instituții nu au adoptat încă normele privind recrutarea agenților temporari. </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i/>
          <w:noProof/>
          <w:sz w:val="20"/>
          <w:szCs w:val="20"/>
        </w:rPr>
      </w:pPr>
      <w:r>
        <w:rPr>
          <w:rFonts w:ascii="Times New Roman" w:hAnsi="Times New Roman"/>
          <w:i/>
          <w:noProof/>
          <w:sz w:val="20"/>
        </w:rPr>
        <w:t>Articolul 28a alineatul (2) – Dispoziții privind acordarea indemnizației de șomaj agenților temporari</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noProof/>
          <w:sz w:val="20"/>
          <w:szCs w:val="20"/>
        </w:rPr>
      </w:pPr>
      <w:r>
        <w:rPr>
          <w:rFonts w:ascii="Times New Roman" w:hAnsi="Times New Roman"/>
          <w:noProof/>
          <w:sz w:val="20"/>
        </w:rPr>
        <w:t xml:space="preserve">Nicio instituție nu a prevăzut dispoziții privind acordarea unei indemnizații de șomaj agenților temporari. </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i/>
          <w:noProof/>
          <w:sz w:val="20"/>
          <w:szCs w:val="20"/>
        </w:rPr>
      </w:pPr>
      <w:r>
        <w:rPr>
          <w:rFonts w:ascii="Times New Roman" w:hAnsi="Times New Roman"/>
          <w:i/>
          <w:noProof/>
          <w:sz w:val="20"/>
        </w:rPr>
        <w:t>Articolul 28a alineatul (10) – Modalități detaliate privind acordarea unei indemnizații de șomaj agenților temporari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stabilit de comun acord modalități detaliate pentru dispozițiile privind acordarea unei indemnizații de șomaj agenților temporari.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Articolul 42 – Condiții pentru ca plățile să constituie sau să mențină drepturi de pensie în țara de origine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Nicio instituție nu a stabilit condiții pentru ca plățile să constituie sau să mențină drepturile de pensie în țara de origine pentru agenții temporari.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Articolul 54 – Reclasificarea agenților temporari menționați la articolul 2 litera (f) din RAA</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Cs/>
          <w:noProof/>
          <w:sz w:val="20"/>
          <w:szCs w:val="20"/>
        </w:rPr>
      </w:pPr>
      <w:r>
        <w:rPr>
          <w:rFonts w:ascii="Times New Roman" w:hAnsi="Times New Roman"/>
          <w:noProof/>
          <w:sz w:val="20"/>
        </w:rPr>
        <w:t xml:space="preserve">Toate agențiile au adoptat dispoziții generale de punere în aplicare pentru punerea în aplicare a dispozițiilor privind clasificarea agenților temporari [menționați la articolul 2 litera (f) din RAA] în gradul imediat superior. Toate agențiile, cu excepția uneia, au adoptat aceste dispoziții generale de punere în aplicare pe baza unui acord </w:t>
      </w:r>
      <w:r>
        <w:rPr>
          <w:rFonts w:ascii="Times New Roman" w:hAnsi="Times New Roman"/>
          <w:i/>
          <w:noProof/>
          <w:sz w:val="20"/>
        </w:rPr>
        <w:t>ex ante</w:t>
      </w:r>
      <w:r>
        <w:rPr>
          <w:rFonts w:ascii="Times New Roman" w:hAnsi="Times New Roman"/>
          <w:noProof/>
          <w:sz w:val="20"/>
        </w:rPr>
        <w:t xml:space="preserve"> al Comisiei, în timp ce o agenție a adoptat norme proprii, care sunt diferite.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Articolul 56 – Angajarea și utilizarea agenților temporari menționați la articolul 2 litera (f) din RAA</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Cs/>
          <w:noProof/>
          <w:sz w:val="24"/>
          <w:szCs w:val="24"/>
        </w:rPr>
      </w:pPr>
      <w:r>
        <w:rPr>
          <w:rFonts w:ascii="Times New Roman" w:hAnsi="Times New Roman"/>
          <w:noProof/>
          <w:sz w:val="20"/>
        </w:rPr>
        <w:t xml:space="preserve">Toate agențiile au adoptat dispoziții generale pentru punerea în aplicare a procedurilor privind angajarea și utilizarea agenților temporari [menționați la articolul 2 litera (f) din RAA]. Toate agențiile, cu excepția a două </w:t>
      </w:r>
      <w:r>
        <w:rPr>
          <w:rFonts w:ascii="Times New Roman" w:hAnsi="Times New Roman"/>
          <w:noProof/>
          <w:sz w:val="20"/>
        </w:rPr>
        <w:lastRenderedPageBreak/>
        <w:t xml:space="preserve">dintre ele, au adoptat aceste norme pe baza unui acord </w:t>
      </w:r>
      <w:r>
        <w:rPr>
          <w:rFonts w:ascii="Times New Roman" w:hAnsi="Times New Roman"/>
          <w:i/>
          <w:noProof/>
          <w:sz w:val="20"/>
        </w:rPr>
        <w:t>ex ante</w:t>
      </w:r>
      <w:r>
        <w:rPr>
          <w:rFonts w:ascii="Times New Roman" w:hAnsi="Times New Roman"/>
          <w:noProof/>
          <w:sz w:val="20"/>
        </w:rPr>
        <w:t xml:space="preserve"> al Comisiei, în timp ce două agenții au adoptat norme proprii, care sunt diferite.</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noProof/>
          <w:sz w:val="24"/>
        </w:rPr>
        <w:t>Unele instituții au adoptat, de asemenea, norme de punere în aplicare cu privire la următoarele chestiuni care se referă la titlul II din RAA: Programul pentru tinerii profesioniști, politica generală privind angajarea și utilizarea agenților temporari, reclasificarea agenților temporari, măsurile de natură socială, încadrarea în treaptă a agenților temporari, condițiile de muncă ale agenților temporari, șoferii, indemnizația de maternitate, pensionarea anticipată.</w:t>
      </w:r>
    </w:p>
    <w:p>
      <w:pPr>
        <w:jc w:val="both"/>
        <w:rPr>
          <w:rFonts w:ascii="Times New Roman" w:hAnsi="Times New Roman" w:cs="Times New Roman"/>
          <w:noProof/>
          <w:sz w:val="24"/>
          <w:szCs w:val="24"/>
        </w:rPr>
      </w:pPr>
      <w:r>
        <w:rPr>
          <w:rFonts w:ascii="Times New Roman" w:hAnsi="Times New Roman"/>
          <w:noProof/>
          <w:sz w:val="24"/>
        </w:rPr>
        <w:t xml:space="preserve">Subiectele adăugate în perioada 2020-2023 au vizat în special </w:t>
      </w:r>
      <w:bookmarkStart w:id="11" w:name="_Hlk187305511"/>
      <w:r>
        <w:rPr>
          <w:rFonts w:ascii="Times New Roman" w:hAnsi="Times New Roman"/>
          <w:noProof/>
          <w:sz w:val="24"/>
        </w:rPr>
        <w:t>politica generală de angajare a agenților temporari și încadrarea în treaptă a agenților temporari.</w:t>
      </w:r>
      <w:bookmarkEnd w:id="11"/>
    </w:p>
    <w:p>
      <w:pPr>
        <w:jc w:val="center"/>
        <w:rPr>
          <w:rFonts w:ascii="Times New Roman" w:hAnsi="Times New Roman" w:cs="Times New Roman"/>
          <w:i/>
          <w:noProof/>
          <w:sz w:val="24"/>
          <w:szCs w:val="24"/>
          <w:u w:val="single"/>
        </w:rPr>
      </w:pPr>
      <w:r>
        <w:rPr>
          <w:rFonts w:ascii="Times New Roman" w:hAnsi="Times New Roman"/>
          <w:i/>
          <w:noProof/>
          <w:sz w:val="24"/>
          <w:u w:val="single"/>
        </w:rPr>
        <w:t>Titlul IV – Agenții contractuali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Articolul 79 alineatul (2) – Utilizarea agenților contractuali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adoptat dispoziții generale de punere în aplicare care reglementează utilizarea agenților contractuali. Două instituții au adoptat, de asemenea, alte norme de punere în aplicare cu privire la această chestiune.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Articolul 82 alineatul (6) – Angajarea agenților contractuali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adoptat dispoziții generale de punere în aplicare privind procedurile de recrutare a agenților temporari. Trei instituții au adoptat, de asemenea, alte norme de punere în aplicare cu privire la această chestiune.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Articolul 86 alineatul (1) – Încadrarea agenților contractuali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Toate instituțiile au adoptat dispoziții generale de punere în aplicare privind încadrarea agenților contractuali. O instituție a adoptat, de asemenea, alte norme de punere în aplicare cu privire la această chestiune.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Articolul 96 alineatul (2) – Dispoziții privind acordarea indemnizației de șomaj agenților contractuali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Nicio instituție nu a stabilit dispoziții privind acordarea indemnizației de șomaj agenților contractuali.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Articolul 112 – Condițiile aferente plății drepturilor de pensie, indemnizației de șomaj, asigurării de invaliditate, asigurării de viață și asigurării de sănătate în țara în care persoana respectivă a fost asigurată ultima dată în cadrul unor astfel de sisteme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noProof/>
          <w:sz w:val="20"/>
        </w:rPr>
        <w:t>Nicio instituție nu a stabilit condiții pentru plata drepturilor de pensie, a indemnizației de șomaj, a asigurării de invaliditate, a asigurării de viață și a asigurării de sănătate în țara în care persoana respectivă a fost asigurată ultima dată în cadrul unor astfel de sisteme.</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noProof/>
          <w:sz w:val="24"/>
        </w:rPr>
        <w:t>Unele instituții au adoptat, de asemenea, norme de punere în aplicare cu privire la următoarele chestiuni care se referă la titlul IV din RAA: normele aplicabile membrilor personalului angajați în temeiul dreptului intern care nu pot deveni agenți contractuali, evaluarea și reclasificarea agenților contractuali, durata maximă a contractelor de angajare a personalului nepermanent, interpreții de conferință auxiliari, condițiile de muncă ale interpreților și mobilitatea personalului contractual în delegații.</w:t>
      </w:r>
    </w:p>
    <w:p>
      <w:pPr>
        <w:jc w:val="both"/>
        <w:rPr>
          <w:rFonts w:ascii="Times New Roman" w:hAnsi="Times New Roman" w:cs="Times New Roman"/>
          <w:noProof/>
          <w:sz w:val="24"/>
          <w:szCs w:val="24"/>
        </w:rPr>
      </w:pPr>
      <w:r>
        <w:rPr>
          <w:rFonts w:ascii="Times New Roman" w:hAnsi="Times New Roman"/>
          <w:noProof/>
          <w:sz w:val="24"/>
        </w:rPr>
        <w:t xml:space="preserve">Subiectele adăugate în perioada 2020-2023 au vizat </w:t>
      </w:r>
      <w:bookmarkStart w:id="12" w:name="_Hlk187305522"/>
      <w:r>
        <w:rPr>
          <w:rFonts w:ascii="Times New Roman" w:hAnsi="Times New Roman"/>
          <w:noProof/>
          <w:sz w:val="24"/>
        </w:rPr>
        <w:t>reclasificarea agenților contractuali.</w:t>
      </w:r>
    </w:p>
    <w:p>
      <w:pPr>
        <w:jc w:val="both"/>
        <w:rPr>
          <w:rFonts w:ascii="Times New Roman" w:hAnsi="Times New Roman" w:cs="Times New Roman"/>
          <w:noProof/>
          <w:sz w:val="24"/>
          <w:szCs w:val="24"/>
        </w:rPr>
      </w:pPr>
    </w:p>
    <w:p>
      <w:pPr>
        <w:jc w:val="both"/>
        <w:rPr>
          <w:rFonts w:ascii="Times New Roman" w:hAnsi="Times New Roman" w:cs="Times New Roman"/>
          <w:noProof/>
          <w:sz w:val="24"/>
          <w:szCs w:val="24"/>
        </w:rPr>
      </w:pPr>
    </w:p>
    <w:bookmarkEnd w:id="12"/>
    <w:p>
      <w:pPr>
        <w:jc w:val="center"/>
        <w:rPr>
          <w:rFonts w:ascii="Times New Roman" w:hAnsi="Times New Roman" w:cs="Times New Roman"/>
          <w:i/>
          <w:noProof/>
          <w:sz w:val="24"/>
          <w:szCs w:val="24"/>
          <w:u w:val="single"/>
        </w:rPr>
      </w:pPr>
      <w:r>
        <w:rPr>
          <w:rFonts w:ascii="Times New Roman" w:hAnsi="Times New Roman"/>
          <w:i/>
          <w:noProof/>
          <w:sz w:val="24"/>
          <w:u w:val="single"/>
        </w:rPr>
        <w:t>Titlul V – Agenții locali</w:t>
      </w:r>
    </w:p>
    <w:p>
      <w:pPr>
        <w:jc w:val="both"/>
        <w:rPr>
          <w:rFonts w:ascii="Times New Roman" w:hAnsi="Times New Roman" w:cs="Times New Roman"/>
          <w:noProof/>
          <w:sz w:val="24"/>
          <w:szCs w:val="24"/>
        </w:rPr>
      </w:pPr>
      <w:r>
        <w:rPr>
          <w:rFonts w:ascii="Times New Roman" w:hAnsi="Times New Roman"/>
          <w:noProof/>
          <w:sz w:val="24"/>
        </w:rPr>
        <w:t xml:space="preserve">Comisia și SEAE au adoptat norme de punere în aplicare privind condițiile de încadrare în muncă, metoda de salarizare, securitatea socială aferentă agenților locali care își desfășoară activitatea în delegații și comisiile paritare pentru agenții locali. Comisia a adoptat, de asemenea, norme de punere în aplicare privind comisiile paritare pentru agenții locali. </w:t>
      </w:r>
    </w:p>
    <w:p>
      <w:pPr>
        <w:jc w:val="center"/>
        <w:rPr>
          <w:rFonts w:ascii="Times New Roman" w:hAnsi="Times New Roman" w:cs="Times New Roman"/>
          <w:i/>
          <w:noProof/>
          <w:sz w:val="24"/>
          <w:szCs w:val="24"/>
          <w:u w:val="single"/>
        </w:rPr>
      </w:pPr>
      <w:r>
        <w:rPr>
          <w:rFonts w:ascii="Times New Roman" w:hAnsi="Times New Roman"/>
          <w:i/>
          <w:noProof/>
          <w:sz w:val="24"/>
          <w:u w:val="single"/>
        </w:rPr>
        <w:t>Titlul VI – Consilierii speciali</w:t>
      </w:r>
    </w:p>
    <w:p>
      <w:pPr>
        <w:jc w:val="both"/>
        <w:rPr>
          <w:rFonts w:ascii="Times New Roman" w:hAnsi="Times New Roman" w:cs="Times New Roman"/>
          <w:noProof/>
          <w:sz w:val="24"/>
          <w:szCs w:val="24"/>
        </w:rPr>
      </w:pPr>
      <w:r>
        <w:rPr>
          <w:rFonts w:ascii="Times New Roman" w:hAnsi="Times New Roman"/>
          <w:noProof/>
          <w:sz w:val="24"/>
        </w:rPr>
        <w:t>O instituție a adoptat norme de punere în aplicare privind consilierii speciali.</w:t>
      </w:r>
    </w:p>
    <w:p>
      <w:pPr>
        <w:jc w:val="center"/>
        <w:rPr>
          <w:rFonts w:ascii="Times New Roman" w:hAnsi="Times New Roman" w:cs="Times New Roman"/>
          <w:i/>
          <w:noProof/>
          <w:sz w:val="24"/>
          <w:szCs w:val="24"/>
          <w:u w:val="single"/>
        </w:rPr>
      </w:pPr>
      <w:r>
        <w:rPr>
          <w:rFonts w:ascii="Times New Roman" w:hAnsi="Times New Roman"/>
          <w:i/>
          <w:noProof/>
          <w:sz w:val="24"/>
          <w:u w:val="single"/>
        </w:rPr>
        <w:t>Titlul VII – Asistenții parlamentari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i/>
          <w:noProof/>
          <w:sz w:val="20"/>
        </w:rPr>
        <w:t>Articolul 125 – Asistenții parlamentari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noProof/>
          <w:sz w:val="20"/>
        </w:rPr>
        <w:t xml:space="preserve">Parlamentul European a adoptat măsuri de punere în aplicare prin decizie internă în scopul aplicării dispozițiilor privind asistenții parlamentari. </w:t>
      </w:r>
    </w:p>
    <w:p>
      <w:pPr>
        <w:jc w:val="center"/>
        <w:rPr>
          <w:rFonts w:ascii="Times New Roman" w:hAnsi="Times New Roman" w:cs="Times New Roman"/>
          <w:noProof/>
          <w:sz w:val="24"/>
          <w:szCs w:val="24"/>
        </w:rPr>
      </w:pP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 xml:space="preserve">Referitor la convergența în ceea ce privește subiectele vizate de normele de punere în aplicare, reiese din cele de mai sus că a existat o convergență suplimentară între instituții în cursul perioadei de raportare. O astfel de convergență a fost mai mare în ceea ce privește subiectele în care majoritatea instituțiilor adoptaseră deja norme în perioada de raportare precedentă sau anterior acesteia, alte instituții urmându-le exemplul. Este vorba, în special, de următoarele subiecte: tipurile de posturi și denumirea posturilor, comitetele, combaterea hărțuirii, formarea, concediul pentru interese personale, timpul de lucru, activitatea cu normă redusă, munca de la distanță, alocația pentru locuință acordată printr-o decizie specială, cheltuielile de delegație și de deplasare în interes de serviciu. </w:t>
      </w:r>
    </w:p>
    <w:p>
      <w:pPr>
        <w:jc w:val="both"/>
        <w:rPr>
          <w:rFonts w:ascii="Times New Roman" w:hAnsi="Times New Roman" w:cs="Times New Roman"/>
          <w:noProof/>
          <w:sz w:val="24"/>
          <w:szCs w:val="24"/>
        </w:rPr>
      </w:pPr>
      <w:r>
        <w:rPr>
          <w:rFonts w:ascii="Times New Roman" w:hAnsi="Times New Roman"/>
          <w:noProof/>
          <w:sz w:val="24"/>
        </w:rPr>
        <w:t xml:space="preserve">A existat o anumită convergență, mai limitată însă, și în ceea ce privește următoarele subiecte: sănătatea și siguranța, transferul, etica și integritatea, recrutarea înalților funcționari, vizita medicală anuală, împrumuturile și avansurile, precum și procedurile disciplinare. </w:t>
      </w:r>
    </w:p>
    <w:p>
      <w:pPr>
        <w:jc w:val="both"/>
        <w:rPr>
          <w:rFonts w:ascii="Times New Roman" w:hAnsi="Times New Roman" w:cs="Times New Roman"/>
          <w:noProof/>
          <w:sz w:val="24"/>
          <w:szCs w:val="24"/>
        </w:rPr>
      </w:pPr>
      <w:bookmarkStart w:id="13" w:name="_Hlk187305177"/>
      <w:r>
        <w:rPr>
          <w:rFonts w:ascii="Times New Roman" w:hAnsi="Times New Roman"/>
          <w:noProof/>
          <w:sz w:val="24"/>
        </w:rPr>
        <w:t>Printre subiectele introduse de una sau mai multe instituții</w:t>
      </w:r>
      <w:r>
        <w:rPr>
          <w:rStyle w:val="FootnoteReference"/>
          <w:rFonts w:ascii="Times New Roman" w:hAnsi="Times New Roman" w:cs="Times New Roman"/>
          <w:noProof/>
          <w:sz w:val="24"/>
          <w:szCs w:val="24"/>
        </w:rPr>
        <w:footnoteReference w:id="31"/>
      </w:r>
      <w:r>
        <w:rPr>
          <w:rFonts w:ascii="Times New Roman" w:hAnsi="Times New Roman"/>
          <w:noProof/>
          <w:sz w:val="24"/>
        </w:rPr>
        <w:t xml:space="preserve"> în cursul perioadei de raportare s-au numărat </w:t>
      </w:r>
      <w:r>
        <w:rPr>
          <w:rFonts w:ascii="Times New Roman" w:hAnsi="Times New Roman"/>
          <w:i/>
          <w:noProof/>
          <w:sz w:val="24"/>
        </w:rPr>
        <w:t>acordarea de ajutor suplimentar pentru persoanele cu handicap, munca de la distanță, indemnizațiile compensatorii pentru anumite categorii de personal care își desfășoară activitatea în Luxemburg, plângerile depuse împotriva unor deputați în Parlamentul European privind hărțuirea la locul de muncă</w:t>
      </w:r>
      <w:r>
        <w:rPr>
          <w:rFonts w:ascii="Times New Roman" w:hAnsi="Times New Roman"/>
          <w:noProof/>
          <w:sz w:val="24"/>
        </w:rPr>
        <w:t xml:space="preserve">, formarea din proprie inițiativă, </w:t>
      </w:r>
      <w:r>
        <w:rPr>
          <w:rFonts w:ascii="Times New Roman" w:hAnsi="Times New Roman"/>
          <w:i/>
          <w:noProof/>
          <w:sz w:val="24"/>
        </w:rPr>
        <w:t>sindicatele</w:t>
      </w:r>
      <w:r>
        <w:rPr>
          <w:rFonts w:ascii="Times New Roman" w:hAnsi="Times New Roman"/>
          <w:noProof/>
          <w:sz w:val="24"/>
        </w:rPr>
        <w:t xml:space="preserve">, concediul din motive familiale, concediul în interesul serviciului, incompetența profesională, </w:t>
      </w:r>
      <w:r>
        <w:rPr>
          <w:rFonts w:ascii="Times New Roman" w:hAnsi="Times New Roman"/>
          <w:i/>
          <w:noProof/>
          <w:sz w:val="24"/>
        </w:rPr>
        <w:t>echilibrul geografic</w:t>
      </w:r>
      <w:r>
        <w:rPr>
          <w:rFonts w:ascii="Times New Roman" w:hAnsi="Times New Roman"/>
          <w:noProof/>
          <w:sz w:val="24"/>
        </w:rPr>
        <w:t xml:space="preserve">, concediul de maternitate, concediul medical, absențele, concediul anual, cheltuielile de delegație și de deplasare în interes de serviciu, </w:t>
      </w:r>
      <w:r>
        <w:rPr>
          <w:rFonts w:ascii="Times New Roman" w:hAnsi="Times New Roman"/>
          <w:i/>
          <w:noProof/>
          <w:sz w:val="24"/>
        </w:rPr>
        <w:t xml:space="preserve">contribuția la cheltuielile cu transportul public, rămânerea la dispoziția instituției în temeiul articolului 56b din Statutul funcționarilor, dispozițiile speciale privind personalul care își desfășoară activitatea în cadrul Biroului Comisiei din Groenlanda, alocația școlară acordată </w:t>
      </w:r>
      <w:r>
        <w:rPr>
          <w:rFonts w:ascii="Times New Roman" w:hAnsi="Times New Roman"/>
          <w:i/>
          <w:noProof/>
          <w:sz w:val="24"/>
        </w:rPr>
        <w:lastRenderedPageBreak/>
        <w:t>personalului repartizat temporar într­-un post în cadrul sediului, programul pentru tinerii profesioniști din cadrul Comisiei</w:t>
      </w:r>
      <w:r>
        <w:rPr>
          <w:rFonts w:ascii="Times New Roman" w:hAnsi="Times New Roman"/>
          <w:noProof/>
          <w:sz w:val="24"/>
        </w:rPr>
        <w:t>, politica de angajare a agenților temporari și încadrarea în treaptă a agenților temporari, precum și reclasificarea agenților contractuali.</w:t>
      </w:r>
    </w:p>
    <w:p>
      <w:pPr>
        <w:pStyle w:val="Heading2"/>
        <w:spacing w:before="240" w:after="360"/>
        <w:rPr>
          <w:rFonts w:ascii="Times New Roman" w:hAnsi="Times New Roman" w:cs="Times New Roman"/>
          <w:noProof/>
        </w:rPr>
      </w:pPr>
      <w:bookmarkStart w:id="14" w:name="_Toc238715629"/>
      <w:bookmarkEnd w:id="13"/>
      <w:r>
        <w:rPr>
          <w:rFonts w:ascii="Times New Roman" w:hAnsi="Times New Roman"/>
          <w:noProof/>
        </w:rPr>
        <w:t>b)</w:t>
      </w:r>
      <w:r>
        <w:rPr>
          <w:noProof/>
        </w:rPr>
        <w:tab/>
      </w:r>
      <w:r>
        <w:rPr>
          <w:rFonts w:ascii="Times New Roman" w:hAnsi="Times New Roman"/>
          <w:noProof/>
        </w:rPr>
        <w:t>Registrul administrat de Curtea de Justiție</w:t>
      </w:r>
      <w:bookmarkEnd w:id="14"/>
    </w:p>
    <w:p>
      <w:pPr>
        <w:jc w:val="both"/>
        <w:rPr>
          <w:rFonts w:ascii="Times New Roman" w:hAnsi="Times New Roman" w:cs="Times New Roman"/>
          <w:noProof/>
          <w:sz w:val="24"/>
          <w:szCs w:val="24"/>
        </w:rPr>
      </w:pPr>
      <w:r>
        <w:rPr>
          <w:rFonts w:ascii="Times New Roman" w:hAnsi="Times New Roman"/>
          <w:noProof/>
          <w:sz w:val="24"/>
        </w:rPr>
        <w:t>Începând cu luna februarie 2014, registrul normelor adoptate de autoritatea împuternicită să facă numiri și de autoritatea abilitată să încheie contracte de muncă ale fiecărei instituții și agenții este pus la dispoziția publicului prin intermediul aplicației online „Centrul de resurse de comunicare și informare pentru administrații, întreprinderi și cetățeni (CIRCABC)”, care poate fi accesată prin intermediul unui cont specific în cadrul Serviciului de autentificare al Comisiei Europene (ECAS).</w:t>
      </w:r>
    </w:p>
    <w:p>
      <w:pPr>
        <w:jc w:val="both"/>
        <w:rPr>
          <w:rFonts w:ascii="Times New Roman" w:hAnsi="Times New Roman" w:cs="Times New Roman"/>
          <w:noProof/>
          <w:sz w:val="24"/>
          <w:szCs w:val="24"/>
        </w:rPr>
      </w:pPr>
      <w:r>
        <w:rPr>
          <w:rFonts w:ascii="Times New Roman" w:hAnsi="Times New Roman"/>
          <w:noProof/>
          <w:sz w:val="24"/>
        </w:rPr>
        <w:t>Registrul a stabilit următoarea structură a documentului:</w:t>
      </w:r>
    </w:p>
    <w:tbl>
      <w:tblPr>
        <w:tblStyle w:val="TableGrid"/>
        <w:tblW w:w="0" w:type="auto"/>
        <w:tblLook w:val="04A0" w:firstRow="1" w:lastRow="0" w:firstColumn="1" w:lastColumn="0" w:noHBand="0" w:noVBand="1"/>
      </w:tblPr>
      <w:tblGrid>
        <w:gridCol w:w="2660"/>
        <w:gridCol w:w="6628"/>
      </w:tblGrid>
      <w:tr>
        <w:tc>
          <w:tcPr>
            <w:tcW w:w="2660" w:type="dxa"/>
          </w:tcPr>
          <w:p>
            <w:pPr>
              <w:jc w:val="center"/>
              <w:rPr>
                <w:rFonts w:ascii="Times New Roman" w:hAnsi="Times New Roman" w:cs="Times New Roman"/>
                <w:b/>
                <w:noProof/>
                <w:sz w:val="24"/>
                <w:szCs w:val="24"/>
              </w:rPr>
            </w:pPr>
            <w:r>
              <w:rPr>
                <w:rFonts w:ascii="Times New Roman" w:hAnsi="Times New Roman"/>
                <w:b/>
                <w:noProof/>
                <w:sz w:val="24"/>
              </w:rPr>
              <w:t>Titlu</w:t>
            </w:r>
          </w:p>
        </w:tc>
        <w:tc>
          <w:tcPr>
            <w:tcW w:w="6628" w:type="dxa"/>
          </w:tcPr>
          <w:p>
            <w:pPr>
              <w:jc w:val="center"/>
              <w:rPr>
                <w:rFonts w:ascii="Times New Roman" w:hAnsi="Times New Roman" w:cs="Times New Roman"/>
                <w:b/>
                <w:noProof/>
                <w:sz w:val="24"/>
                <w:szCs w:val="24"/>
              </w:rPr>
            </w:pPr>
            <w:r>
              <w:rPr>
                <w:rFonts w:ascii="Times New Roman" w:hAnsi="Times New Roman"/>
                <w:b/>
                <w:noProof/>
                <w:sz w:val="24"/>
              </w:rPr>
              <w:t>Descriere</w:t>
            </w:r>
          </w:p>
        </w:tc>
      </w:tr>
      <w:tr>
        <w:tc>
          <w:tcPr>
            <w:tcW w:w="2660" w:type="dxa"/>
          </w:tcPr>
          <w:p>
            <w:pPr>
              <w:rPr>
                <w:rFonts w:ascii="Times New Roman" w:hAnsi="Times New Roman" w:cs="Times New Roman"/>
                <w:b/>
                <w:noProof/>
                <w:sz w:val="20"/>
                <w:szCs w:val="20"/>
              </w:rPr>
            </w:pPr>
            <w:r>
              <w:rPr>
                <w:rFonts w:ascii="Times New Roman" w:hAnsi="Times New Roman"/>
                <w:b/>
                <w:noProof/>
                <w:sz w:val="20"/>
              </w:rPr>
              <w:t>1. Statutul funcționarilor și RAA</w:t>
            </w:r>
          </w:p>
        </w:tc>
        <w:tc>
          <w:tcPr>
            <w:tcW w:w="6628" w:type="dxa"/>
          </w:tcPr>
          <w:p>
            <w:pPr>
              <w:jc w:val="both"/>
              <w:rPr>
                <w:rFonts w:ascii="Times New Roman" w:hAnsi="Times New Roman" w:cs="Times New Roman"/>
                <w:i/>
                <w:noProof/>
                <w:sz w:val="20"/>
                <w:szCs w:val="20"/>
              </w:rPr>
            </w:pPr>
            <w:r>
              <w:rPr>
                <w:rFonts w:ascii="Times New Roman" w:hAnsi="Times New Roman"/>
                <w:i/>
                <w:noProof/>
                <w:sz w:val="20"/>
              </w:rPr>
              <w:t>„Acestea sunt regulamentele aplicabile funcționarilor Uniunii Europene și regimul aplicabil celorlalți agenți ai Uniunii”.</w:t>
            </w:r>
          </w:p>
        </w:tc>
      </w:tr>
      <w:tr>
        <w:tc>
          <w:tcPr>
            <w:tcW w:w="2660" w:type="dxa"/>
          </w:tcPr>
          <w:p>
            <w:pPr>
              <w:rPr>
                <w:rFonts w:ascii="Times New Roman" w:hAnsi="Times New Roman" w:cs="Times New Roman"/>
                <w:b/>
                <w:noProof/>
                <w:sz w:val="20"/>
                <w:szCs w:val="20"/>
              </w:rPr>
            </w:pPr>
            <w:r>
              <w:rPr>
                <w:rFonts w:ascii="Times New Roman" w:hAnsi="Times New Roman"/>
                <w:b/>
                <w:noProof/>
                <w:sz w:val="20"/>
              </w:rPr>
              <w:t xml:space="preserve">2. Norme generale </w:t>
            </w:r>
          </w:p>
        </w:tc>
        <w:tc>
          <w:tcPr>
            <w:tcW w:w="6628" w:type="dxa"/>
          </w:tcPr>
          <w:p>
            <w:pPr>
              <w:jc w:val="both"/>
              <w:rPr>
                <w:rFonts w:ascii="Times New Roman" w:hAnsi="Times New Roman" w:cs="Times New Roman"/>
                <w:i/>
                <w:noProof/>
                <w:sz w:val="20"/>
                <w:szCs w:val="20"/>
              </w:rPr>
            </w:pPr>
            <w:r>
              <w:rPr>
                <w:rFonts w:ascii="Times New Roman" w:hAnsi="Times New Roman"/>
                <w:i/>
                <w:noProof/>
                <w:sz w:val="20"/>
              </w:rPr>
              <w:t>„Acestea sunt norme adoptate de Consiliul Uniunii Europene sau acte delegate adoptate de Comisia Europeană în vederea punerii în aplicare a Statutului funcționarilor și se aplică personalului instituțiilor și agențiilor Uniunii.”</w:t>
            </w:r>
          </w:p>
        </w:tc>
      </w:tr>
      <w:tr>
        <w:tc>
          <w:tcPr>
            <w:tcW w:w="2660" w:type="dxa"/>
          </w:tcPr>
          <w:p>
            <w:pPr>
              <w:rPr>
                <w:rFonts w:ascii="Times New Roman" w:hAnsi="Times New Roman" w:cs="Times New Roman"/>
                <w:b/>
                <w:noProof/>
                <w:sz w:val="20"/>
                <w:szCs w:val="20"/>
              </w:rPr>
            </w:pPr>
            <w:r>
              <w:rPr>
                <w:rFonts w:ascii="Times New Roman" w:hAnsi="Times New Roman"/>
                <w:b/>
                <w:noProof/>
                <w:sz w:val="20"/>
              </w:rPr>
              <w:t>3. Norme stabilite de comun acord</w:t>
            </w:r>
          </w:p>
          <w:p>
            <w:pPr>
              <w:rPr>
                <w:rFonts w:ascii="Times New Roman" w:hAnsi="Times New Roman" w:cs="Times New Roman"/>
                <w:b/>
                <w:noProof/>
                <w:sz w:val="20"/>
                <w:szCs w:val="20"/>
              </w:rPr>
            </w:pPr>
          </w:p>
        </w:tc>
        <w:tc>
          <w:tcPr>
            <w:tcW w:w="6628" w:type="dxa"/>
          </w:tcPr>
          <w:p>
            <w:pPr>
              <w:jc w:val="both"/>
              <w:rPr>
                <w:rFonts w:ascii="Times New Roman" w:hAnsi="Times New Roman" w:cs="Times New Roman"/>
                <w:i/>
                <w:noProof/>
                <w:sz w:val="20"/>
                <w:szCs w:val="20"/>
              </w:rPr>
            </w:pPr>
            <w:r>
              <w:rPr>
                <w:rFonts w:ascii="Times New Roman" w:hAnsi="Times New Roman"/>
                <w:i/>
                <w:noProof/>
                <w:sz w:val="20"/>
              </w:rPr>
              <w:t>„Anumite articole din Statutul funcționarilor se referă în mod expres, pentru aplicarea lor, la norme stabilite de comun acord între instituții. Aceste norme sunt adoptate în exact același mod de fiecare instituție, iar președintele Curții de Justiție stabilește, în final, acordul comun al instituțiilor.”</w:t>
            </w:r>
          </w:p>
        </w:tc>
      </w:tr>
      <w:tr>
        <w:tc>
          <w:tcPr>
            <w:tcW w:w="2660" w:type="dxa"/>
          </w:tcPr>
          <w:p>
            <w:pPr>
              <w:rPr>
                <w:rFonts w:ascii="Times New Roman" w:hAnsi="Times New Roman" w:cs="Times New Roman"/>
                <w:b/>
                <w:noProof/>
                <w:sz w:val="20"/>
                <w:szCs w:val="20"/>
              </w:rPr>
            </w:pPr>
            <w:r>
              <w:rPr>
                <w:rFonts w:ascii="Times New Roman" w:hAnsi="Times New Roman"/>
                <w:b/>
                <w:noProof/>
                <w:sz w:val="20"/>
              </w:rPr>
              <w:t>4. Dispoziții generale de punere în aplicare</w:t>
            </w:r>
          </w:p>
          <w:p>
            <w:pPr>
              <w:rPr>
                <w:rFonts w:ascii="Times New Roman" w:hAnsi="Times New Roman" w:cs="Times New Roman"/>
                <w:b/>
                <w:noProof/>
                <w:sz w:val="20"/>
                <w:szCs w:val="20"/>
              </w:rPr>
            </w:pPr>
          </w:p>
        </w:tc>
        <w:tc>
          <w:tcPr>
            <w:tcW w:w="6628" w:type="dxa"/>
          </w:tcPr>
          <w:p>
            <w:pPr>
              <w:jc w:val="both"/>
              <w:rPr>
                <w:rFonts w:ascii="Times New Roman" w:hAnsi="Times New Roman" w:cs="Times New Roman"/>
                <w:i/>
                <w:noProof/>
                <w:sz w:val="20"/>
                <w:szCs w:val="20"/>
              </w:rPr>
            </w:pPr>
            <w:r>
              <w:rPr>
                <w:rFonts w:ascii="Times New Roman" w:hAnsi="Times New Roman"/>
                <w:i/>
                <w:noProof/>
                <w:sz w:val="20"/>
              </w:rPr>
              <w:t>„În cazul în care Statutul funcționarilor prevede acest lucru în mod expres, fiecare instituție își adoptă propriile dispoziții generale de punere în aplicare a articolelor din Statutul funcționarilor, după consultarea Comitetului pentru personal și după obținerea avizului Comitetului pentru statutul funcționarilor. Anumite texte sunt adoptate, de asemenea, de către instituții sub forma unor „dispoziții generale de punere în aplicare” fie în cazul în care articole din Statutul funcționarilor prevăd „dispoziții de punere în aplicare”, fie în cazul în care dispozițiile legale nu sunt suficient de explicite pentru a fi aplicate în mod direct.”</w:t>
            </w:r>
          </w:p>
        </w:tc>
      </w:tr>
      <w:tr>
        <w:tc>
          <w:tcPr>
            <w:tcW w:w="2660" w:type="dxa"/>
          </w:tcPr>
          <w:p>
            <w:pPr>
              <w:rPr>
                <w:rFonts w:ascii="Times New Roman" w:hAnsi="Times New Roman" w:cs="Times New Roman"/>
                <w:b/>
                <w:noProof/>
                <w:sz w:val="20"/>
                <w:szCs w:val="20"/>
              </w:rPr>
            </w:pPr>
            <w:r>
              <w:rPr>
                <w:rFonts w:ascii="Times New Roman" w:hAnsi="Times New Roman"/>
                <w:b/>
                <w:noProof/>
                <w:sz w:val="20"/>
              </w:rPr>
              <w:t>5. Alte norme de punere în aplicare</w:t>
            </w:r>
          </w:p>
        </w:tc>
        <w:tc>
          <w:tcPr>
            <w:tcW w:w="6628" w:type="dxa"/>
          </w:tcPr>
          <w:p>
            <w:pPr>
              <w:jc w:val="both"/>
              <w:rPr>
                <w:rFonts w:ascii="Times New Roman" w:hAnsi="Times New Roman" w:cs="Times New Roman"/>
                <w:i/>
                <w:noProof/>
                <w:sz w:val="20"/>
                <w:szCs w:val="20"/>
              </w:rPr>
            </w:pPr>
            <w:r>
              <w:rPr>
                <w:rFonts w:ascii="Times New Roman" w:hAnsi="Times New Roman"/>
                <w:i/>
                <w:noProof/>
                <w:sz w:val="20"/>
              </w:rPr>
              <w:t>„Acestea sunt texte adoptate de fiecare instituție pentru a pune în aplicare Statutul funcționarilor și nu au caracterul unor norme stabilite de comun acord sau al unor dispoziții generale de punere în aplicare.”</w:t>
            </w:r>
          </w:p>
        </w:tc>
      </w:tr>
    </w:tbl>
    <w:p>
      <w:pPr>
        <w:spacing w:before="240"/>
        <w:jc w:val="both"/>
        <w:rPr>
          <w:rFonts w:ascii="Times New Roman" w:hAnsi="Times New Roman" w:cs="Times New Roman"/>
          <w:noProof/>
          <w:sz w:val="24"/>
          <w:szCs w:val="24"/>
        </w:rPr>
      </w:pPr>
      <w:r>
        <w:rPr>
          <w:rFonts w:ascii="Times New Roman" w:hAnsi="Times New Roman"/>
          <w:noProof/>
          <w:sz w:val="24"/>
        </w:rPr>
        <w:t xml:space="preserve">Normele de la fiecare titlu sunt organizate pe instituții, existând un folder comun pentru agențiile Uniunii Europene. Unele instituții și-au organizat mai detaliat normele de punere în aplicare în subfoldere, în funcție de subiect. </w:t>
      </w:r>
    </w:p>
    <w:p>
      <w:pPr>
        <w:jc w:val="both"/>
        <w:rPr>
          <w:rFonts w:ascii="Times New Roman" w:hAnsi="Times New Roman" w:cs="Times New Roman"/>
          <w:noProof/>
          <w:sz w:val="24"/>
          <w:szCs w:val="24"/>
        </w:rPr>
      </w:pPr>
      <w:r>
        <w:rPr>
          <w:rFonts w:ascii="Times New Roman" w:hAnsi="Times New Roman"/>
          <w:noProof/>
          <w:sz w:val="24"/>
        </w:rPr>
        <w:t xml:space="preserve">În ceea ce privește agențiile, normele de punere în aplicare ale acestora se regăsesc în registru la titlurile „General implementing provisions (GIP)” („Dispoziții generale de punere în aplicare”) și „Other implementing rules (IR)” („Alte norme de punere în aplicare”) în folderul comun „European Union agencies” („Agențiile Uniunii Europene”). </w:t>
      </w:r>
    </w:p>
    <w:p>
      <w:pPr>
        <w:jc w:val="both"/>
        <w:rPr>
          <w:rFonts w:ascii="Times New Roman" w:hAnsi="Times New Roman" w:cs="Times New Roman"/>
          <w:noProof/>
          <w:sz w:val="24"/>
          <w:szCs w:val="24"/>
        </w:rPr>
      </w:pPr>
      <w:r>
        <w:rPr>
          <w:rFonts w:ascii="Times New Roman" w:hAnsi="Times New Roman"/>
          <w:noProof/>
          <w:sz w:val="24"/>
        </w:rPr>
        <w:t xml:space="preserve">Folderul conține subfoldere pentru: </w:t>
      </w:r>
    </w:p>
    <w:p>
      <w:pPr>
        <w:pStyle w:val="ListParagraph"/>
        <w:numPr>
          <w:ilvl w:val="0"/>
          <w:numId w:val="45"/>
        </w:numPr>
        <w:jc w:val="both"/>
        <w:rPr>
          <w:rFonts w:ascii="Times New Roman" w:hAnsi="Times New Roman" w:cs="Times New Roman"/>
          <w:noProof/>
          <w:sz w:val="24"/>
          <w:szCs w:val="24"/>
        </w:rPr>
      </w:pPr>
      <w:r>
        <w:rPr>
          <w:rFonts w:ascii="Times New Roman" w:hAnsi="Times New Roman"/>
          <w:noProof/>
          <w:sz w:val="24"/>
        </w:rPr>
        <w:t xml:space="preserve">„Commission’s agreements ex ante on GIP derogated” („Acordurile </w:t>
      </w:r>
      <w:r>
        <w:rPr>
          <w:rFonts w:ascii="Times New Roman" w:hAnsi="Times New Roman"/>
          <w:i/>
          <w:noProof/>
          <w:sz w:val="24"/>
        </w:rPr>
        <w:t>ex ante</w:t>
      </w:r>
      <w:r>
        <w:rPr>
          <w:rFonts w:ascii="Times New Roman" w:hAnsi="Times New Roman"/>
          <w:noProof/>
          <w:sz w:val="24"/>
        </w:rPr>
        <w:t xml:space="preserve"> ale Comisiei privind dispozițiile generale de punere în aplicare pentru care se acordă o </w:t>
      </w:r>
      <w:r>
        <w:rPr>
          <w:rFonts w:ascii="Times New Roman" w:hAnsi="Times New Roman"/>
          <w:noProof/>
          <w:sz w:val="24"/>
        </w:rPr>
        <w:lastRenderedPageBreak/>
        <w:t xml:space="preserve">derogare”) și, respectiv, „Commission’s agreements ex ante on IR derogated” („Acordurile ex ante ale Comisiei privind normele de punere în aplicare pentru care se acordă o derogare”), descrise ca </w:t>
      </w:r>
      <w:r>
        <w:rPr>
          <w:rFonts w:ascii="Times New Roman" w:hAnsi="Times New Roman"/>
          <w:i/>
          <w:noProof/>
          <w:sz w:val="24"/>
        </w:rPr>
        <w:t>„Agreements applicable to all agencies. Agreements applicable to executive agencies. Agreements applicable to decentralised agencies and joint undertakings.”</w:t>
      </w:r>
      <w:r>
        <w:rPr>
          <w:rFonts w:ascii="Times New Roman" w:hAnsi="Times New Roman"/>
          <w:noProof/>
          <w:sz w:val="24"/>
        </w:rPr>
        <w:t xml:space="preserve"> („Acorduri aplicabile tuturor agențiilor. Acorduri aplicabile agențiilor executive. Acorduri aplicabile agențiilor descentralizate și întreprinderilor comune”). Aceste subfoldere sunt divizate în continuare în funcție de subiect.</w:t>
      </w:r>
    </w:p>
    <w:p>
      <w:pPr>
        <w:pStyle w:val="ListParagraph"/>
        <w:numPr>
          <w:ilvl w:val="0"/>
          <w:numId w:val="45"/>
        </w:numPr>
        <w:jc w:val="both"/>
        <w:rPr>
          <w:rFonts w:ascii="Times New Roman" w:hAnsi="Times New Roman" w:cs="Times New Roman"/>
          <w:noProof/>
          <w:sz w:val="24"/>
          <w:szCs w:val="24"/>
        </w:rPr>
      </w:pPr>
      <w:r>
        <w:rPr>
          <w:rFonts w:ascii="Times New Roman" w:hAnsi="Times New Roman"/>
          <w:noProof/>
          <w:sz w:val="24"/>
        </w:rPr>
        <w:t>„Joint undertakings” („Întreprinderile comune”)</w:t>
      </w:r>
    </w:p>
    <w:p>
      <w:pPr>
        <w:pStyle w:val="ListParagraph"/>
        <w:numPr>
          <w:ilvl w:val="0"/>
          <w:numId w:val="45"/>
        </w:numPr>
        <w:jc w:val="both"/>
        <w:rPr>
          <w:rFonts w:ascii="Times New Roman" w:hAnsi="Times New Roman" w:cs="Times New Roman"/>
          <w:noProof/>
          <w:sz w:val="24"/>
          <w:szCs w:val="24"/>
        </w:rPr>
      </w:pPr>
      <w:r>
        <w:rPr>
          <w:rFonts w:ascii="Times New Roman" w:hAnsi="Times New Roman"/>
          <w:noProof/>
          <w:sz w:val="24"/>
        </w:rPr>
        <w:t>„Decentralised agencies” („Agențiile descentralizate”)</w:t>
      </w:r>
    </w:p>
    <w:p>
      <w:pPr>
        <w:pStyle w:val="ListParagraph"/>
        <w:numPr>
          <w:ilvl w:val="0"/>
          <w:numId w:val="45"/>
        </w:numPr>
        <w:jc w:val="both"/>
        <w:rPr>
          <w:rFonts w:ascii="Times New Roman" w:hAnsi="Times New Roman" w:cs="Times New Roman"/>
          <w:noProof/>
          <w:sz w:val="24"/>
          <w:szCs w:val="24"/>
        </w:rPr>
      </w:pPr>
      <w:r>
        <w:rPr>
          <w:rFonts w:ascii="Times New Roman" w:hAnsi="Times New Roman"/>
          <w:noProof/>
          <w:sz w:val="24"/>
        </w:rPr>
        <w:t>„Executive agencies” („Agențiile executive”)</w:t>
      </w:r>
    </w:p>
    <w:p>
      <w:pPr>
        <w:jc w:val="both"/>
        <w:rPr>
          <w:rFonts w:ascii="Times New Roman" w:hAnsi="Times New Roman" w:cs="Times New Roman"/>
          <w:noProof/>
          <w:sz w:val="24"/>
          <w:szCs w:val="24"/>
        </w:rPr>
      </w:pPr>
      <w:r>
        <w:rPr>
          <w:rFonts w:ascii="Times New Roman" w:hAnsi="Times New Roman"/>
          <w:noProof/>
          <w:sz w:val="24"/>
        </w:rPr>
        <w:t xml:space="preserve">Prezentul raport se referă la normele enumerate la titlurile 3-5 din registru. </w:t>
      </w:r>
    </w:p>
    <w:p>
      <w:pPr>
        <w:jc w:val="both"/>
        <w:rPr>
          <w:rFonts w:ascii="Times New Roman" w:hAnsi="Times New Roman" w:cs="Times New Roman"/>
          <w:noProof/>
          <w:sz w:val="24"/>
          <w:szCs w:val="24"/>
        </w:rPr>
      </w:pPr>
      <w:r>
        <w:rPr>
          <w:rFonts w:ascii="Times New Roman" w:hAnsi="Times New Roman"/>
          <w:noProof/>
          <w:sz w:val="24"/>
        </w:rPr>
        <w:t>În ceea ce privește aceste norme, o consultare a registrului arată că toate instituțiile și agențiile știu, în general, de existența registrului și de cerința de a transmite normele lor de punere în aplicare pentru a fi consemnate în registru. Cu toate acestea, nivelul de respectare a acestei cerințe diferă foarte mult de la o instituție la alta și variază semnificativ de la un tip de norme la altul.</w:t>
      </w:r>
    </w:p>
    <w:p>
      <w:pPr>
        <w:jc w:val="both"/>
        <w:rPr>
          <w:rFonts w:ascii="Times New Roman" w:hAnsi="Times New Roman" w:cs="Times New Roman"/>
          <w:noProof/>
          <w:sz w:val="24"/>
          <w:szCs w:val="24"/>
        </w:rPr>
      </w:pPr>
      <w:r>
        <w:rPr>
          <w:rFonts w:ascii="Times New Roman" w:hAnsi="Times New Roman"/>
          <w:noProof/>
          <w:sz w:val="24"/>
        </w:rPr>
        <w:t xml:space="preserve">Înregistrările din registru sunt complete în ceea ce privește normele stabilite de comun acord. </w:t>
      </w:r>
    </w:p>
    <w:p>
      <w:pPr>
        <w:jc w:val="both"/>
        <w:rPr>
          <w:rFonts w:ascii="Times New Roman" w:hAnsi="Times New Roman" w:cs="Times New Roman"/>
          <w:noProof/>
          <w:sz w:val="24"/>
          <w:szCs w:val="24"/>
        </w:rPr>
      </w:pPr>
      <w:r>
        <w:rPr>
          <w:rFonts w:ascii="Times New Roman" w:hAnsi="Times New Roman"/>
          <w:noProof/>
          <w:sz w:val="24"/>
        </w:rPr>
        <w:t xml:space="preserve">În ceea ce privește dispozițiile generale de punere în aplicare, nivelul de respectare pare a fi ridicat, întrucât toate instituțiile au transmis norme. Acestea fiind spuse, în cazul unora dintre instituții, registrul conține majoritatea dispozițiilor lor generale de punere în aplicare, în timp ce în cazul altora rămâne incomplet. </w:t>
      </w:r>
    </w:p>
    <w:p>
      <w:pPr>
        <w:jc w:val="both"/>
        <w:rPr>
          <w:rFonts w:ascii="Times New Roman" w:hAnsi="Times New Roman" w:cs="Times New Roman"/>
          <w:noProof/>
          <w:sz w:val="24"/>
          <w:szCs w:val="24"/>
        </w:rPr>
      </w:pPr>
      <w:r>
        <w:rPr>
          <w:rFonts w:ascii="Times New Roman" w:hAnsi="Times New Roman"/>
          <w:noProof/>
          <w:sz w:val="24"/>
        </w:rPr>
        <w:t>În schimb, în ceea ce privește alte norme de punere în aplicare, majoritatea agențiilor</w:t>
      </w:r>
      <w:r>
        <w:rPr>
          <w:rStyle w:val="FootnoteReference"/>
          <w:rFonts w:ascii="Times New Roman" w:hAnsi="Times New Roman" w:cs="Times New Roman"/>
          <w:noProof/>
          <w:sz w:val="24"/>
          <w:szCs w:val="24"/>
        </w:rPr>
        <w:footnoteReference w:id="32"/>
      </w:r>
      <w:r>
        <w:rPr>
          <w:rFonts w:ascii="Times New Roman" w:hAnsi="Times New Roman"/>
          <w:noProof/>
          <w:sz w:val="24"/>
        </w:rPr>
        <w:t xml:space="preserve"> și 5 din cele 10 instituții au transmis normele lor pentru a fi consemnate în registru. În cazul unora dintre instituții, înregistrările sunt mai actualizate, în timp ce în cazul altora un număr semnificativ de norme de punere în aplicare nu au fost încă transmise. Două instituții nu au prezentat norme de punere în aplicare. </w:t>
      </w:r>
    </w:p>
    <w:p>
      <w:pPr>
        <w:jc w:val="both"/>
        <w:rPr>
          <w:rFonts w:ascii="Times New Roman" w:hAnsi="Times New Roman" w:cs="Times New Roman"/>
          <w:noProof/>
          <w:sz w:val="24"/>
          <w:szCs w:val="24"/>
        </w:rPr>
      </w:pPr>
      <w:r>
        <w:rPr>
          <w:rFonts w:ascii="Times New Roman" w:hAnsi="Times New Roman"/>
          <w:noProof/>
          <w:sz w:val="24"/>
        </w:rPr>
        <w:t xml:space="preserve">Având în vedere cele de mai sus, ar trebui remarcat faptul că informațiile conținute în registru nu sunt identice cu cele din prezentul raport, exceptând cazul în care este vorba despre normele stabilite de comun acord. </w:t>
      </w:r>
    </w:p>
    <w:p>
      <w:pPr>
        <w:jc w:val="both"/>
        <w:rPr>
          <w:rFonts w:ascii="Times New Roman" w:hAnsi="Times New Roman" w:cs="Times New Roman"/>
          <w:noProof/>
          <w:sz w:val="24"/>
          <w:szCs w:val="24"/>
        </w:rPr>
      </w:pPr>
      <w:r>
        <w:rPr>
          <w:rFonts w:ascii="Times New Roman" w:hAnsi="Times New Roman"/>
          <w:noProof/>
          <w:sz w:val="24"/>
        </w:rPr>
        <w:t xml:space="preserve">Pe lângă diferențele care apar din cauza nivelului variabil de exhaustivitate a informațiilor transmise pentru a fi consemnate în registru, unele divergențe rezultă din specificitățile metodologiei utilizate pentru prezentul raport. În special, prezentul raport conține doar normele de punere în aplicare care erau în vigoare în perioada 2020-2023, în timp ce registrul conține și normele de punere în aplicare care nu mai erau aplicabile în perioada respectivă. Unele instituții furnizează normele într-o singură versiune lingvistică, în timp ce altele încarcă mai multe sau toate versiunile lingvistice disponibile. În plus, unele instituții au transmis separat registrului norme de modificare a unei norme preexistente, în timp ce prezentul raport nu identifică normele de modificare ca norme separate. În acest context, ar trebui remarcat </w:t>
      </w:r>
      <w:r>
        <w:rPr>
          <w:rFonts w:ascii="Times New Roman" w:hAnsi="Times New Roman"/>
          <w:noProof/>
          <w:sz w:val="24"/>
        </w:rPr>
        <w:lastRenderedPageBreak/>
        <w:t>faptul că Colegiul șefilor de administrație ai tuturor instituțiilor a propus ca normele de punere în aplicare care nu mai sunt în vigoare să fie eliminate din registru, ca normele să fie transmise în toate versiunile lingvistice disponibile și ca registrul să fie actualizat de fiecare instituție cel puțin o dată pe an</w:t>
      </w:r>
      <w:r>
        <w:rPr>
          <w:rStyle w:val="FootnoteReference"/>
          <w:rFonts w:ascii="Times New Roman" w:hAnsi="Times New Roman" w:cs="Times New Roman"/>
          <w:noProof/>
          <w:sz w:val="24"/>
          <w:szCs w:val="24"/>
        </w:rPr>
        <w:footnoteReference w:id="33"/>
      </w:r>
      <w:r>
        <w:rPr>
          <w:noProof/>
        </w:rPr>
        <w:t>.</w:t>
      </w:r>
    </w:p>
    <w:p>
      <w:pPr>
        <w:pBdr>
          <w:top w:val="double" w:sz="4" w:space="1" w:color="auto"/>
          <w:left w:val="double" w:sz="4" w:space="4" w:color="auto"/>
          <w:bottom w:val="double" w:sz="4" w:space="1" w:color="auto"/>
          <w:right w:val="double" w:sz="4" w:space="4" w:color="auto"/>
        </w:pBdr>
        <w:jc w:val="center"/>
        <w:rPr>
          <w:rFonts w:ascii="Times New Roman" w:hAnsi="Times New Roman" w:cs="Times New Roman"/>
          <w:b/>
          <w:i/>
          <w:noProof/>
          <w:sz w:val="24"/>
          <w:szCs w:val="24"/>
        </w:rPr>
      </w:pPr>
      <w:r>
        <w:rPr>
          <w:rFonts w:ascii="Times New Roman" w:hAnsi="Times New Roman"/>
          <w:b/>
          <w:i/>
          <w:noProof/>
          <w:sz w:val="24"/>
        </w:rPr>
        <w:t>CONFORMITATEA</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Instituțiile și agențiile au respectat în mare măsură cadrul Statutului funcționarilor și al RAA.</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xml:space="preserve">→ Prezentul raport nu indică probleme sistemice sau în alt mod alarmante. </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noProof/>
          <w:sz w:val="24"/>
          <w:szCs w:val="24"/>
        </w:rPr>
      </w:pPr>
      <w:r>
        <w:rPr>
          <w:rFonts w:ascii="Times New Roman" w:hAnsi="Times New Roman"/>
          <w:b/>
          <w:i/>
          <w:noProof/>
          <w:sz w:val="24"/>
        </w:rPr>
        <w:t xml:space="preserve">→ Raportul permite identificarea domeniilor– per ansamblu limitate – în care instituțiile sunt în continuare în urmă față de cadrul statutar. </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xml:space="preserve">→ În perioada de raportare a existat o convergență suplimentară între instituții în ceea ce privește subiectele vizate de normele de punere în aplicare. O astfel de convergență a fost mai mare în ceea ce privește subiectele în care majoritatea instituțiilor adoptaseră deja norme în perioada de raportare precedentă sau anterior acesteia, alte instituții urmându-le exemplul. A existat o anumită convergență, mai limitată însă, și în ceea ce privește alte subiecte. Au fost abordate, de asemenea, câteva subiecte noi. </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b/>
          <w:i/>
          <w:noProof/>
          <w:sz w:val="24"/>
        </w:rPr>
        <w:t>→ Registrul ținut de Curtea de Justiție este funcțional, însă conținutul său nu este sincronizat cu prezentul raport. Domeniul de aplicare exact al cerinței de a transmite normele de punere în aplicare pentru a fi consemnate în registru trebuie clarificat și convenit între instituții.</w:t>
      </w:r>
    </w:p>
    <w:p>
      <w:pPr>
        <w:jc w:val="both"/>
        <w:rPr>
          <w:rFonts w:ascii="Times New Roman" w:hAnsi="Times New Roman" w:cs="Times New Roman"/>
          <w:noProof/>
          <w:sz w:val="24"/>
          <w:szCs w:val="24"/>
        </w:rPr>
      </w:pPr>
    </w:p>
    <w:p>
      <w:pPr>
        <w:rPr>
          <w:rFonts w:ascii="Times New Roman" w:hAnsi="Times New Roman" w:cs="Times New Roman"/>
          <w:noProof/>
          <w:sz w:val="24"/>
          <w:szCs w:val="24"/>
        </w:rPr>
      </w:pPr>
      <w:r>
        <w:rPr>
          <w:noProof/>
        </w:rPr>
        <w:br w:type="page"/>
      </w:r>
    </w:p>
    <w:p>
      <w:pPr>
        <w:pStyle w:val="Heading1"/>
        <w:spacing w:before="240" w:after="360"/>
        <w:rPr>
          <w:noProof/>
        </w:rPr>
      </w:pPr>
      <w:bookmarkStart w:id="15" w:name="_Toc238715630"/>
      <w:r>
        <w:rPr>
          <w:rFonts w:ascii="Times New Roman" w:hAnsi="Times New Roman"/>
          <w:noProof/>
        </w:rPr>
        <w:lastRenderedPageBreak/>
        <w:t>TITLUL 4.</w:t>
      </w:r>
      <w:r>
        <w:rPr>
          <w:noProof/>
        </w:rPr>
        <w:tab/>
      </w:r>
      <w:r>
        <w:rPr>
          <w:rFonts w:ascii="Times New Roman" w:hAnsi="Times New Roman"/>
          <w:noProof/>
        </w:rPr>
        <w:t>REZUMAT</w:t>
      </w:r>
      <w:bookmarkEnd w:id="15"/>
    </w:p>
    <w:p>
      <w:pPr>
        <w:jc w:val="both"/>
        <w:rPr>
          <w:rFonts w:ascii="Times New Roman" w:hAnsi="Times New Roman" w:cs="Times New Roman"/>
          <w:noProof/>
          <w:sz w:val="24"/>
          <w:szCs w:val="24"/>
        </w:rPr>
      </w:pPr>
      <w:r>
        <w:rPr>
          <w:rFonts w:ascii="Times New Roman" w:hAnsi="Times New Roman"/>
          <w:noProof/>
          <w:sz w:val="24"/>
        </w:rPr>
        <w:t>Prezentul raport oferă o imagine de ansamblu a normelor adoptate de instituții și agenții pentru aplicarea Statutului funcționarilor și a RAA, aflate în vigoare în perioada cuprinsă între 1 ianuarie 2020 și 31 decembrie 2023.</w:t>
      </w:r>
    </w:p>
    <w:p>
      <w:pPr>
        <w:jc w:val="both"/>
        <w:rPr>
          <w:rFonts w:ascii="Times New Roman" w:hAnsi="Times New Roman" w:cs="Times New Roman"/>
          <w:noProof/>
          <w:sz w:val="24"/>
          <w:szCs w:val="24"/>
        </w:rPr>
      </w:pPr>
      <w:r>
        <w:rPr>
          <w:rFonts w:ascii="Times New Roman" w:hAnsi="Times New Roman"/>
          <w:noProof/>
          <w:sz w:val="24"/>
        </w:rPr>
        <w:t>Raportul demonstrează autonomia instituțiilor în ceea ce privește aplicarea Statutului funcționarilor și a RAA personalului lor. Această autonomie se exercită în limitele cadrului juridic, astfel cum este prevăzut în Statutul funcționarilor. În plus, Statutul funcționarilor prevede mecanisme specifice pentru a ajunge la o abordare interinstituțională comună ori de câte ori un anumit subiect impune o astfel de armonizare.</w:t>
      </w:r>
    </w:p>
    <w:p>
      <w:pPr>
        <w:jc w:val="both"/>
        <w:rPr>
          <w:rFonts w:ascii="Times New Roman" w:hAnsi="Times New Roman" w:cs="Times New Roman"/>
          <w:noProof/>
          <w:sz w:val="24"/>
          <w:szCs w:val="24"/>
        </w:rPr>
      </w:pPr>
      <w:r>
        <w:rPr>
          <w:rFonts w:ascii="Times New Roman" w:hAnsi="Times New Roman"/>
          <w:noProof/>
          <w:sz w:val="24"/>
        </w:rPr>
        <w:t xml:space="preserve">Raportul arată că instituțiile au recurs în mare măsură la competența lor de a adopta norme pentru aplicarea Statutului funcționarilor și a RAA, chiar dacă autoritățile împuternicite să facă numiri și autoritățile abilitate să încheie contracte de muncă ale fiecărei instituții și agenții au exercitat această competență în grade diferite. Această varietate poate fi considerată o reflectare a realităților administrative diferite și a principiului autonomiei fiecărei instituții în calitate de angajator, astfel cum este recunoscut de dreptul Uniunii. </w:t>
      </w:r>
    </w:p>
    <w:p>
      <w:pPr>
        <w:jc w:val="both"/>
        <w:rPr>
          <w:rFonts w:ascii="Times New Roman" w:hAnsi="Times New Roman" w:cs="Times New Roman"/>
          <w:noProof/>
          <w:sz w:val="24"/>
          <w:szCs w:val="24"/>
        </w:rPr>
      </w:pPr>
      <w:r>
        <w:rPr>
          <w:rFonts w:ascii="Times New Roman" w:hAnsi="Times New Roman"/>
          <w:noProof/>
          <w:sz w:val="24"/>
        </w:rPr>
        <w:t xml:space="preserve">Ar trebui remarcat faptul că prezentul raport se referă la perioada care a inclus pandemia de COVID-19 și care a impus anumitor instituții să adopte măsuri </w:t>
      </w:r>
      <w:r>
        <w:rPr>
          <w:rFonts w:ascii="Times New Roman" w:hAnsi="Times New Roman"/>
          <w:i/>
          <w:noProof/>
          <w:sz w:val="24"/>
        </w:rPr>
        <w:t>ad-hoc</w:t>
      </w:r>
      <w:r>
        <w:rPr>
          <w:rFonts w:ascii="Times New Roman" w:hAnsi="Times New Roman"/>
          <w:noProof/>
          <w:sz w:val="24"/>
        </w:rPr>
        <w:t xml:space="preserve"> pentru a răspunde nevoilor serviciului la momentul respectiv sau chiar norme de punere în aplicare. Unele dintre normele de punere în aplicare adoptate în acest context au fost concepute ca o măsură tranzitorie. Prin urmare, aceste norme au fost adoptate și abrogate în cursul perioadei de raportare și nu au un impact direct asupra numărului total de norme de punere în aplicare în vigoare la sfârșitul perioadei de raportare. În plus, toate instituțiile au adoptat noi norme privind timpul de lucru și munca hibridă, care se bazează probabil pe experiențele legate de modalitățile flexibile de lucru adoptate ca urmare a pandemiei de COVID-19.</w:t>
      </w:r>
    </w:p>
    <w:p>
      <w:pPr>
        <w:jc w:val="both"/>
        <w:rPr>
          <w:rFonts w:ascii="Times New Roman" w:hAnsi="Times New Roman" w:cs="Times New Roman"/>
          <w:noProof/>
          <w:sz w:val="24"/>
          <w:szCs w:val="24"/>
        </w:rPr>
      </w:pPr>
      <w:r>
        <w:rPr>
          <w:rFonts w:ascii="Times New Roman" w:hAnsi="Times New Roman"/>
          <w:noProof/>
          <w:sz w:val="24"/>
        </w:rPr>
        <w:t xml:space="preserve">Raportul indică existența unei convergențe suplimentare între instituții cu privire la un număr semnificativ de subiecte vizate de normele de punere în aplicare în cursul perioadei de raportare, cum ar fi combaterea hărțuirii și conduita etică. </w:t>
      </w:r>
    </w:p>
    <w:p>
      <w:pPr>
        <w:jc w:val="both"/>
        <w:rPr>
          <w:rFonts w:ascii="Times New Roman" w:hAnsi="Times New Roman" w:cs="Times New Roman"/>
          <w:noProof/>
          <w:sz w:val="24"/>
          <w:szCs w:val="24"/>
        </w:rPr>
      </w:pPr>
      <w:r>
        <w:rPr>
          <w:rFonts w:ascii="Times New Roman" w:hAnsi="Times New Roman"/>
          <w:noProof/>
          <w:sz w:val="24"/>
        </w:rPr>
        <w:t>Raportul furnizează un inventar exhaustiv al normelor de punere în aplicare adoptate de instituții. Acesta prezintă toate normele de punere în aplicare prin utilizarea unei metodologii comune. Se poate efectua astfel o abordare comparativă între instituții, sporind în acest mod transparența. În ceea ce privește agențiile, raportul oferă o viziune de ansamblu agregată și analizează efectele mecanismelor de armonizare introduse în 2014.</w:t>
      </w:r>
    </w:p>
    <w:p>
      <w:pPr>
        <w:spacing w:after="240"/>
        <w:jc w:val="both"/>
        <w:rPr>
          <w:rFonts w:ascii="Times New Roman" w:hAnsi="Times New Roman" w:cs="Times New Roman"/>
          <w:noProof/>
          <w:sz w:val="24"/>
          <w:szCs w:val="24"/>
        </w:rPr>
      </w:pPr>
      <w:r>
        <w:rPr>
          <w:rFonts w:ascii="Times New Roman" w:hAnsi="Times New Roman"/>
          <w:noProof/>
          <w:sz w:val="24"/>
        </w:rPr>
        <w:t xml:space="preserve">Referitor la conformitate, raportul permite să se concluzioneze că autoritățile împuternicite să facă numiri și autoritățile abilitate să încheie contracte de muncă ale instituțiilor și ale agențiilor au respectat în mare măsură, atunci când au adoptat norme de punere în aplicare, cadrul juridic prevăzut de Statutul funcționarilor și de RAA. Raportul nu indică probleme sistemice sau în alt mod alarmante. Acesta permite identificarea domeniilor– per ansamblu limitate – în care instituțiile sunt în continuare în urmă față de cadrul statutar. </w:t>
      </w:r>
    </w:p>
    <w:p>
      <w:pPr>
        <w:jc w:val="both"/>
        <w:rPr>
          <w:rFonts w:ascii="Times New Roman" w:hAnsi="Times New Roman" w:cs="Times New Roman"/>
          <w:noProof/>
          <w:sz w:val="24"/>
          <w:szCs w:val="24"/>
        </w:rPr>
      </w:pPr>
      <w:r>
        <w:rPr>
          <w:rFonts w:ascii="Times New Roman" w:hAnsi="Times New Roman"/>
          <w:noProof/>
          <w:sz w:val="24"/>
        </w:rPr>
        <w:lastRenderedPageBreak/>
        <w:t xml:space="preserve">Curtea de Justiție a Uniunii Europene a înființat registrul normelor de punere în aplicare, astfel cum este prevăzut la articolul 110 alineatul (6) din Statutul funcționarilor, în februarie 2014. Acest registru este disponibil public și ar trebui să fie actualizat în permanență. Raportul concluzionează că registrul este funcțional, dar că nu există o sincronizare deplină între conținutul său și prezentul raport. </w:t>
      </w:r>
    </w:p>
    <w:p>
      <w:pPr>
        <w:jc w:val="both"/>
        <w:rPr>
          <w:rFonts w:ascii="Times New Roman" w:hAnsi="Times New Roman" w:cs="Times New Roman"/>
          <w:noProof/>
          <w:sz w:val="24"/>
          <w:szCs w:val="24"/>
        </w:rPr>
      </w:pPr>
      <w:r>
        <w:rPr>
          <w:rFonts w:ascii="Times New Roman" w:hAnsi="Times New Roman"/>
          <w:noProof/>
          <w:sz w:val="24"/>
        </w:rPr>
        <w:t xml:space="preserve">În ceea ce privește pașii următori, serviciile Comisiei vor transmite prezentul raport șefilor de administrație ai tuturor instituțiilor, permițându-le astfel instituțiilor să evalueze conformitatea fiecăreia dintre ele cu cadrul statutar descris în prezentul raport și să ia măsurile pe care le consideră necesare. </w:t>
      </w:r>
    </w:p>
    <w:p>
      <w:pPr>
        <w:jc w:val="both"/>
        <w:rPr>
          <w:rFonts w:ascii="Times New Roman" w:hAnsi="Times New Roman" w:cs="Times New Roman"/>
          <w:noProof/>
          <w:sz w:val="24"/>
          <w:szCs w:val="24"/>
        </w:rPr>
      </w:pPr>
      <w:r>
        <w:rPr>
          <w:rFonts w:ascii="Times New Roman" w:hAnsi="Times New Roman"/>
          <w:noProof/>
          <w:sz w:val="24"/>
        </w:rPr>
        <w:t>Următorul raport întocmit în temeiul articolului 110 alineatul (6) din Statutul funcționarilor va viza normele de punere în aplicare care vor fi, în principiu, în vigoare în perioada cuprinsă între 1 ianuarie 2024 și 31 decembrie 2026.</w:t>
      </w:r>
    </w:p>
    <w:p>
      <w:pPr>
        <w:pBdr>
          <w:bottom w:val="single" w:sz="12" w:space="1" w:color="auto"/>
        </w:pBdr>
        <w:spacing w:before="120" w:after="120"/>
        <w:jc w:val="both"/>
        <w:rPr>
          <w:rFonts w:ascii="Times New Roman" w:hAnsi="Times New Roman" w:cs="Times New Roman"/>
          <w:noProof/>
          <w:sz w:val="24"/>
          <w:szCs w:val="24"/>
        </w:rPr>
      </w:pPr>
    </w:p>
    <w:p>
      <w:pPr>
        <w:spacing w:before="120" w:after="120"/>
        <w:jc w:val="both"/>
        <w:rPr>
          <w:rFonts w:ascii="Times New Roman" w:hAnsi="Times New Roman" w:cs="Times New Roman"/>
          <w:noProof/>
          <w:sz w:val="24"/>
          <w:szCs w:val="24"/>
        </w:rPr>
      </w:pPr>
    </w:p>
    <w:p>
      <w:pPr>
        <w:spacing w:before="120" w:after="120"/>
        <w:jc w:val="center"/>
        <w:rPr>
          <w:rFonts w:ascii="Times New Roman" w:hAnsi="Times New Roman" w:cs="Times New Roman"/>
          <w:b/>
          <w:noProof/>
          <w:sz w:val="24"/>
          <w:szCs w:val="24"/>
          <w:u w:val="single"/>
        </w:rPr>
      </w:pPr>
      <w:r>
        <w:rPr>
          <w:rFonts w:ascii="Times New Roman" w:hAnsi="Times New Roman"/>
          <w:b/>
          <w:noProof/>
          <w:sz w:val="24"/>
          <w:u w:val="single"/>
        </w:rPr>
        <w:t>ANEXE</w:t>
      </w:r>
    </w:p>
    <w:p>
      <w:pPr>
        <w:spacing w:before="120" w:after="120"/>
        <w:jc w:val="both"/>
        <w:rPr>
          <w:rFonts w:ascii="Times New Roman" w:hAnsi="Times New Roman" w:cs="Times New Roman"/>
          <w:noProof/>
          <w:sz w:val="24"/>
          <w:szCs w:val="24"/>
        </w:rPr>
      </w:pPr>
    </w:p>
    <w:p>
      <w:pPr>
        <w:spacing w:before="120" w:after="120"/>
        <w:jc w:val="both"/>
        <w:rPr>
          <w:rFonts w:ascii="Times New Roman" w:hAnsi="Times New Roman" w:cs="Times New Roman"/>
          <w:b/>
          <w:noProof/>
          <w:sz w:val="24"/>
          <w:szCs w:val="24"/>
        </w:rPr>
      </w:pPr>
      <w:r>
        <w:rPr>
          <w:rFonts w:ascii="Times New Roman" w:hAnsi="Times New Roman"/>
          <w:b/>
          <w:noProof/>
          <w:sz w:val="24"/>
        </w:rPr>
        <w:t>Anexa I</w:t>
      </w:r>
      <w:r>
        <w:rPr>
          <w:noProof/>
        </w:rPr>
        <w:tab/>
      </w:r>
      <w:r>
        <w:rPr>
          <w:noProof/>
        </w:rPr>
        <w:tab/>
      </w:r>
      <w:r>
        <w:rPr>
          <w:noProof/>
        </w:rPr>
        <w:tab/>
      </w:r>
      <w:r>
        <w:rPr>
          <w:rFonts w:ascii="Times New Roman" w:hAnsi="Times New Roman"/>
          <w:b/>
          <w:noProof/>
          <w:sz w:val="24"/>
        </w:rPr>
        <w:t>Norme adoptate de comun acord de către instituții</w:t>
      </w:r>
    </w:p>
    <w:p>
      <w:pPr>
        <w:spacing w:before="120" w:after="120"/>
        <w:jc w:val="both"/>
        <w:rPr>
          <w:rFonts w:ascii="Times New Roman" w:hAnsi="Times New Roman" w:cs="Times New Roman"/>
          <w:b/>
          <w:noProof/>
          <w:sz w:val="24"/>
          <w:szCs w:val="24"/>
        </w:rPr>
      </w:pPr>
      <w:r>
        <w:rPr>
          <w:rFonts w:ascii="Times New Roman" w:hAnsi="Times New Roman"/>
          <w:b/>
          <w:noProof/>
          <w:sz w:val="24"/>
        </w:rPr>
        <w:t>anexa II</w:t>
      </w:r>
      <w:r>
        <w:rPr>
          <w:noProof/>
        </w:rPr>
        <w:tab/>
      </w:r>
      <w:r>
        <w:rPr>
          <w:noProof/>
        </w:rPr>
        <w:tab/>
      </w:r>
      <w:r>
        <w:rPr>
          <w:noProof/>
        </w:rPr>
        <w:tab/>
      </w:r>
      <w:r>
        <w:rPr>
          <w:rFonts w:ascii="Times New Roman" w:hAnsi="Times New Roman"/>
          <w:b/>
          <w:noProof/>
          <w:sz w:val="24"/>
        </w:rPr>
        <w:t>Norme de punere în aplicare în instituții</w:t>
      </w:r>
    </w:p>
    <w:p>
      <w:pPr>
        <w:spacing w:before="120" w:after="120"/>
        <w:jc w:val="both"/>
        <w:rPr>
          <w:rFonts w:ascii="Times New Roman" w:hAnsi="Times New Roman" w:cs="Times New Roman"/>
          <w:b/>
          <w:noProof/>
          <w:sz w:val="24"/>
          <w:szCs w:val="24"/>
        </w:rPr>
      </w:pPr>
      <w:r>
        <w:rPr>
          <w:rFonts w:ascii="Times New Roman" w:hAnsi="Times New Roman"/>
          <w:b/>
          <w:noProof/>
          <w:sz w:val="24"/>
        </w:rPr>
        <w:t>Anexa III</w:t>
      </w:r>
      <w:r>
        <w:rPr>
          <w:noProof/>
        </w:rPr>
        <w:tab/>
      </w:r>
      <w:r>
        <w:rPr>
          <w:noProof/>
        </w:rPr>
        <w:tab/>
      </w:r>
      <w:r>
        <w:rPr>
          <w:noProof/>
        </w:rPr>
        <w:tab/>
      </w:r>
      <w:r>
        <w:rPr>
          <w:rFonts w:ascii="Times New Roman" w:hAnsi="Times New Roman"/>
          <w:b/>
          <w:noProof/>
          <w:sz w:val="24"/>
        </w:rPr>
        <w:t>Tabelul consolidat pentru instituții</w:t>
      </w:r>
    </w:p>
    <w:p>
      <w:pPr>
        <w:spacing w:before="120" w:after="120"/>
        <w:jc w:val="both"/>
        <w:rPr>
          <w:rFonts w:ascii="Times New Roman" w:hAnsi="Times New Roman" w:cs="Times New Roman"/>
          <w:b/>
          <w:noProof/>
          <w:sz w:val="24"/>
          <w:szCs w:val="24"/>
        </w:rPr>
      </w:pPr>
      <w:r>
        <w:rPr>
          <w:rFonts w:ascii="Times New Roman" w:hAnsi="Times New Roman"/>
          <w:b/>
          <w:noProof/>
          <w:sz w:val="24"/>
        </w:rPr>
        <w:t>Anexa IV</w:t>
      </w:r>
      <w:r>
        <w:rPr>
          <w:noProof/>
        </w:rPr>
        <w:tab/>
      </w:r>
      <w:r>
        <w:rPr>
          <w:noProof/>
        </w:rPr>
        <w:tab/>
      </w:r>
      <w:r>
        <w:rPr>
          <w:noProof/>
        </w:rPr>
        <w:tab/>
      </w:r>
      <w:r>
        <w:rPr>
          <w:rFonts w:ascii="Times New Roman" w:hAnsi="Times New Roman"/>
          <w:b/>
          <w:noProof/>
          <w:sz w:val="24"/>
        </w:rPr>
        <w:t>Norme de punere în aplicare în agenții</w:t>
      </w:r>
    </w:p>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21932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JO L 56, 4.3.1968, p. 1.</w:t>
      </w:r>
    </w:p>
  </w:footnote>
  <w:footnote w:id="2">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Definiția detaliată și lista instituțiilor în sensul prezentului raport sunt furnizate la pagina 10. </w:t>
      </w:r>
    </w:p>
  </w:footnote>
  <w:footnote w:id="3">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Pentru detalii, a se vedea pagina 13 și anexa IV.</w:t>
      </w:r>
    </w:p>
  </w:footnote>
  <w:footnote w:id="4">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Regulamentul (UE, Euratom) nr. 1023/2013 al Parlamentului European și al Consiliului din 22 octombrie 2013 de modificare a Statutului funcționarilor Uniunii Europene și a Regimului aplicabil celorlalți agenți ai Uniunii Europene (JO L 287, 29.10.2013, p. 15.</w:t>
      </w:r>
    </w:p>
  </w:footnote>
  <w:footnote w:id="5">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Acesta a vizat perioada 1 ianuarie 2014-31 decembrie 2016. Raport al Comisiei către Parlamentul European și Consiliu privind normele adoptate de autoritatea împuternicită să facă numiri a fiecărei instituții pentru aplicarea Statutului funcționarilor [COM(2017) 632 final] (denumit în continuare „</w:t>
      </w:r>
      <w:r>
        <w:rPr>
          <w:rFonts w:asciiTheme="majorBidi" w:hAnsiTheme="majorBidi"/>
          <w:b/>
        </w:rPr>
        <w:t>raportul pe perioada 2014-2016</w:t>
      </w:r>
      <w:r>
        <w:rPr>
          <w:rFonts w:asciiTheme="majorBidi" w:hAnsiTheme="majorBidi"/>
        </w:rPr>
        <w:t>”).</w:t>
      </w:r>
    </w:p>
  </w:footnote>
  <w:footnote w:id="6">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Raport al Comisiei către Parlamentul European și Consiliu privind normele adoptate de autoritatea împuternicită să facă numiri a fiecărei instituții pentru aplicarea Statutului funcționarilor [COM(2021) 258 final] (denumit în continuare „</w:t>
      </w:r>
      <w:r>
        <w:rPr>
          <w:rFonts w:asciiTheme="majorBidi" w:hAnsiTheme="majorBidi"/>
          <w:b/>
        </w:rPr>
        <w:t>raportul pe perioada 2017-2019</w:t>
      </w:r>
      <w:r>
        <w:rPr>
          <w:rFonts w:asciiTheme="majorBidi" w:hAnsiTheme="majorBidi"/>
        </w:rPr>
        <w:t>”).</w:t>
      </w:r>
    </w:p>
  </w:footnote>
  <w:footnote w:id="7">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Disponibil prin intermediul aplicației internet accesibilă publicului „Centrul de resurse de comunicare și informare pentru administrații, întreprinderi și cetățeni” (denumit în continuare „</w:t>
      </w:r>
      <w:r>
        <w:rPr>
          <w:rFonts w:asciiTheme="majorBidi" w:hAnsiTheme="majorBidi"/>
          <w:b/>
        </w:rPr>
        <w:t>CIRCABC</w:t>
      </w:r>
      <w:r>
        <w:rPr>
          <w:rFonts w:asciiTheme="majorBidi" w:hAnsiTheme="majorBidi"/>
        </w:rPr>
        <w:t>”).</w:t>
      </w:r>
    </w:p>
  </w:footnote>
  <w:footnote w:id="8">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A se vedea considerentul 32 din Regulamentul nr. 1023/2013 din 22 octombrie 2013.</w:t>
      </w:r>
    </w:p>
  </w:footnote>
  <w:footnote w:id="9">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Raportul nu include actele delegate adoptate în temeiul articolelor 111 și 112 din Statutul funcționarilor. Aceste acte rezultă din exercitarea de către Comisie (sau, înainte de reforma din 2014 a Statutului funcționarilor, de către Consiliu) a competenței sale specifice de a adopta norme cu un efect general asupra tuturor membrilor personalului UE. Dimpotrivă, normele de punere în aplicare în sensul articolului 110 din Statutul funcționarilor sunt adoptate de o instituție în temeiul competenței sale de autoritate împuternicită să facă numiri și sunt limitate la membrii personalului instituției în cauză. </w:t>
      </w:r>
    </w:p>
  </w:footnote>
  <w:footnote w:id="10">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Statutul funcționarilor și RAA utilizează grade diferite de obligativitate și formulări diferite atunci când se referă la normele de punere în aplicare care urmează să fie adoptate de o autoritate împuternicită să facă numiri sau de o autoritate abilitată să încheie contracte de muncă (de exemplu, „adoptă”, „în cazul în care consideră necesar, adoptă”, „poate stabili norme detaliate”). În sensul listelor de la prezentul titlu, sunt menționate toate normele menționate în Statutul funcționarilor sau în RAA, indiferent de formulare. </w:t>
      </w:r>
    </w:p>
  </w:footnote>
  <w:footnote w:id="11">
    <w:p>
      <w:pPr>
        <w:pStyle w:val="Default"/>
        <w:jc w:val="both"/>
        <w:rPr>
          <w:rFonts w:asciiTheme="majorBidi" w:hAnsiTheme="majorBidi" w:cstheme="majorBidi"/>
        </w:rPr>
      </w:pPr>
      <w:r>
        <w:rPr>
          <w:rStyle w:val="FootnoteReference"/>
          <w:rFonts w:asciiTheme="majorBidi" w:hAnsiTheme="majorBidi" w:cstheme="majorBidi"/>
          <w:sz w:val="20"/>
          <w:szCs w:val="20"/>
        </w:rPr>
        <w:footnoteRef/>
      </w:r>
      <w:r>
        <w:rPr>
          <w:rFonts w:asciiTheme="majorBidi" w:hAnsiTheme="majorBidi"/>
          <w:sz w:val="20"/>
        </w:rPr>
        <w:t xml:space="preserve"> Statutul funcționarilor nu definește procesul de adoptare a unei norme prin acord între instituțiile Uniunii. Acest proces a fost dezvoltat prin practica interinstituțională și este descris în detaliu în raportul pe perioada 2014-2016.</w:t>
      </w:r>
    </w:p>
  </w:footnote>
  <w:footnote w:id="12">
    <w:p>
      <w:pPr>
        <w:pStyle w:val="Defaul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w:t>
      </w:r>
      <w:r>
        <w:rPr>
          <w:rFonts w:asciiTheme="majorBidi" w:hAnsiTheme="majorBidi"/>
          <w:sz w:val="20"/>
        </w:rPr>
        <w:t>Procesul de adoptare a dispozițiilor generale de punere în aplicare este descris în detaliu în raportul pe perioada 2014-2016.</w:t>
      </w:r>
    </w:p>
  </w:footnote>
  <w:footnote w:id="13">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Trebuie remarcat faptul că, în hotărârea sa din 26 februarie 2020 în cauza </w:t>
      </w:r>
      <w:r>
        <w:rPr>
          <w:rFonts w:asciiTheme="majorBidi" w:hAnsiTheme="majorBidi"/>
          <w:color w:val="000000"/>
        </w:rPr>
        <w:t xml:space="preserve">C-427/18 P, </w:t>
      </w:r>
      <w:r>
        <w:rPr>
          <w:rFonts w:asciiTheme="majorBidi" w:hAnsiTheme="majorBidi"/>
        </w:rPr>
        <w:t>SEAE/Alba Aguilera et al., Curtea de Justiție a constatat că articolul 1 alineatul (3) din anexa X la Statutul funcționarilor nu conține obligația ca autoritatea împuternicită să facă numiri să adopte dispoziții generale de punere în aplicare pentru întreaga anexă X. În schimb, Curtea a constatat că dispoziția se limitează la a prevedea procedura care trebuie urmată în cazul în care autoritatea împuternicită să facă numiri decide să adopte dispoziții generale de punere în aplicare pentru anexa X (a se vedea punctele 77 și 83 din hotărâre). Prin urmare, articolul 1 alineatul (3) din anexa X nu mai este inclus în listă.</w:t>
      </w:r>
    </w:p>
  </w:footnote>
  <w:footnote w:id="14">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Cu toate acestea, în materie de rambursare a cheltuielilor medicale în cadrul Sistemului comun de asigurări de sănătate, Comisia a adoptat, pe baza Reglementării comune privind asigurarea împotriva riscurilor de boală a funcționarilor Uniunii Europene, dispoziții generale de punere în aplicare cu efect asupra membrilor personalului din toate instituțiile și agențiile.</w:t>
      </w:r>
    </w:p>
  </w:footnote>
  <w:footnote w:id="15">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Acest principiu al autonomiei fiecărei instituții în calitate de angajator a fost confirmat de jurisprudență, a se vedea hotărârile din 5 iulie 2011, V/Parlamentul European, F-46/09, punctul 135 și din 28 aprilie 2017, Azoulay et.al./Parlamentul European, T-580/16, punctul 57 și jurisprudența citată.</w:t>
      </w:r>
    </w:p>
  </w:footnote>
  <w:footnote w:id="16">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În raportul pe perioada 2014-2016 este prevăzută o prezentare detaliată a procesului de adoptare a dispozițiilor generale de punere în aplicare.</w:t>
      </w:r>
    </w:p>
  </w:footnote>
  <w:footnote w:id="17">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A se vedea hotărârea Curții de Justiție a Uniunii Europene din 26 februarie 2020 în cauza </w:t>
      </w:r>
      <w:r>
        <w:rPr>
          <w:rFonts w:asciiTheme="majorBidi" w:hAnsiTheme="majorBidi"/>
          <w:color w:val="000000"/>
        </w:rPr>
        <w:t xml:space="preserve">C-427/18 P, </w:t>
      </w:r>
      <w:r>
        <w:rPr>
          <w:rFonts w:asciiTheme="majorBidi" w:hAnsiTheme="majorBidi"/>
        </w:rPr>
        <w:t xml:space="preserve">SEAE/Alba Aguilera et al., punctul 57 și jurisprudența citată. </w:t>
      </w:r>
    </w:p>
  </w:footnote>
  <w:footnote w:id="18">
    <w:p>
      <w:pPr>
        <w:spacing w:line="240" w:lineRule="auto"/>
        <w:jc w:val="both"/>
        <w:rPr>
          <w:rFonts w:asciiTheme="majorBidi" w:hAnsiTheme="majorBidi" w:cstheme="majorBidi"/>
          <w:sz w:val="20"/>
          <w:szCs w:val="20"/>
        </w:rPr>
      </w:pPr>
      <w:r>
        <w:rPr>
          <w:rStyle w:val="FootnoteReference"/>
          <w:rFonts w:asciiTheme="majorBidi" w:hAnsiTheme="majorBidi" w:cstheme="majorBidi"/>
        </w:rPr>
        <w:footnoteRef/>
      </w:r>
      <w:r>
        <w:rPr>
          <w:rFonts w:asciiTheme="majorBidi" w:hAnsiTheme="majorBidi"/>
        </w:rPr>
        <w:t xml:space="preserve"> </w:t>
      </w:r>
      <w:r>
        <w:rPr>
          <w:rFonts w:asciiTheme="majorBidi" w:hAnsiTheme="majorBidi"/>
          <w:sz w:val="20"/>
        </w:rPr>
        <w:t>Articolul 96 din Statutul funcționarilor prevede o competență comună a Comisiei și a SEAE într-un singur caz (cu privire la funcționarii Comisiei care lucrează într-o delegație a Uniunii și la funcționarii SEAE care trebuie să îndeplinească sarcini pentru Comisie ca parte a atribuțiilor lor).</w:t>
      </w:r>
    </w:p>
    <w:p>
      <w:pPr>
        <w:pStyle w:val="FootnoteText"/>
        <w:rPr>
          <w:rFonts w:asciiTheme="majorBidi" w:hAnsiTheme="majorBidi" w:cstheme="majorBidi"/>
        </w:rPr>
      </w:pPr>
    </w:p>
  </w:footnote>
  <w:footnote w:id="19">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În conformitate cu articolul 36.1 din Protocolul (nr. 4) privind Statutul Sistemului European al Băncilor Centrale și al Băncii Centrale Europene, membrii personalului Băncii Centrale Europene sunt supuși condițiilor de angajare a personalului BCE. </w:t>
      </w:r>
    </w:p>
  </w:footnote>
  <w:footnote w:id="20">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Trebuie precizat faptul că, în cazurile în care data intrării în vigoare nu a fost ușor de identificat, a fost prezentată, în schimb, data adoptării normei.</w:t>
      </w:r>
    </w:p>
  </w:footnote>
  <w:footnote w:id="21">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S-a făcut o excepție în cazul „deciziilor omnibus” adoptate de SEAE, și anume deciziile generale care adoptă, în bloc și prin analogie, mai multe decizii speciale ale altor instituții. În astfel de situații, a fost luat în considerare numărul respectiv al deciziilor speciale. </w:t>
      </w:r>
    </w:p>
  </w:footnote>
  <w:footnote w:id="22">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Cu toate acestea, în cazul în care o normă generală de punere în aplicare a fost înlocuită cu un tip diferit de normă de punere în aplicare (sau invers), au fost inventariate două norme de punere în aplicare (câte una pentru fiecare categorie de norme).</w:t>
      </w:r>
    </w:p>
  </w:footnote>
  <w:footnote w:id="23">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Acest lucru se referă în special la deciziile comune ale SEAE și ale Comisiei privind personalul care își desfășoară activitatea în cadrul delegațiilor Uniunii.</w:t>
      </w:r>
    </w:p>
  </w:footnote>
  <w:footnote w:id="24">
    <w:p>
      <w:pPr>
        <w:spacing w:line="240" w:lineRule="auto"/>
        <w:jc w:val="both"/>
        <w:rPr>
          <w:rFonts w:asciiTheme="majorBidi" w:hAnsiTheme="majorBidi" w:cstheme="majorBidi"/>
        </w:rPr>
      </w:pPr>
      <w:r>
        <w:rPr>
          <w:rStyle w:val="FootnoteReference"/>
          <w:rFonts w:asciiTheme="majorBidi" w:hAnsiTheme="majorBidi" w:cstheme="majorBidi"/>
          <w:sz w:val="20"/>
          <w:szCs w:val="20"/>
        </w:rPr>
        <w:footnoteRef/>
      </w:r>
      <w:r>
        <w:rPr>
          <w:rFonts w:asciiTheme="majorBidi" w:hAnsiTheme="majorBidi"/>
          <w:sz w:val="20"/>
        </w:rPr>
        <w:t xml:space="preserve"> Acest tabel este întocmit pe baza tabelului din raportul pe perioada 2014-2016. Cifrele din primul raport au fost ușor corectate. Acest lucru se datorează faptului că majoritatea instituțiilor au identificat o serie de norme care fuseseră excluse neintenționat din raportul pe perioada 2014-2016 și care erau în vigoare în perioada de raportare respectivă. Tabelul actual a fost actualizat pentru a reflecta și aceste corecții. </w:t>
      </w:r>
    </w:p>
  </w:footnote>
  <w:footnote w:id="25">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Printre acestea se numără Parchetul European, instituit în octombrie 2017.</w:t>
      </w:r>
    </w:p>
  </w:footnote>
  <w:footnote w:id="26">
    <w:p>
      <w:pPr>
        <w:pStyle w:val="FootnoteText"/>
        <w:rPr>
          <w:rFonts w:asciiTheme="majorBidi" w:hAnsiTheme="majorBidi" w:cstheme="majorBidi"/>
          <w:sz w:val="22"/>
          <w:szCs w:val="22"/>
        </w:rPr>
      </w:pPr>
      <w:r>
        <w:rPr>
          <w:rStyle w:val="FootnoteReference"/>
          <w:rFonts w:asciiTheme="majorBidi" w:hAnsiTheme="majorBidi" w:cstheme="majorBidi"/>
          <w:sz w:val="22"/>
          <w:szCs w:val="22"/>
        </w:rPr>
        <w:footnoteRef/>
      </w:r>
      <w:r>
        <w:rPr>
          <w:rFonts w:asciiTheme="majorBidi" w:hAnsiTheme="majorBidi"/>
          <w:sz w:val="22"/>
        </w:rPr>
        <w:t xml:space="preserve"> </w:t>
      </w:r>
      <w:r>
        <w:rPr>
          <w:rFonts w:asciiTheme="majorBidi" w:hAnsiTheme="majorBidi"/>
        </w:rPr>
        <w:t xml:space="preserve">Printre acestea se numără acordurile </w:t>
      </w:r>
      <w:r>
        <w:rPr>
          <w:rFonts w:asciiTheme="majorBidi" w:hAnsiTheme="majorBidi"/>
          <w:i/>
        </w:rPr>
        <w:t>ex ante</w:t>
      </w:r>
      <w:r>
        <w:rPr>
          <w:rFonts w:asciiTheme="majorBidi" w:hAnsiTheme="majorBidi"/>
        </w:rPr>
        <w:t xml:space="preserve"> privind munca de la distanță și timpul de lucru, care nu mai sunt în vigoare.</w:t>
      </w:r>
    </w:p>
  </w:footnote>
  <w:footnote w:id="27">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Decizia C(2013)9028 a Comisiei din 16 decembrie 2013 de modificare a Deciziei Comisiei din 28 aprilie 2004 privind durata maximă pentru care se recurge la personal nepermanent în serviciile Comisiei, Decizia C(2019)2548 a Comisiei din 5 aprilie 2019 de modificare a Deciziei Comisiei din 28 aprilie 2004 privind durata maximă pentru care se recurge la personal nepermanent.</w:t>
      </w:r>
    </w:p>
  </w:footnote>
  <w:footnote w:id="28">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Decizia C(2016)3214 a Comisiei din 7 iunie 2016 privind funcția de consilier.</w:t>
      </w:r>
    </w:p>
  </w:footnote>
  <w:footnote w:id="29">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Titlul IV conține, la rândul său, competențe specifice acordate Comisiei (înainte de reforma din 2014 a Statutului funcționarilor acestea erau acordate Consiliului) de a stabili, prin intermediul unor acte delegate, categoriile de funcționari care au dreptul la indemnizații specifice (activitate în schimburi, rămânerea la dispoziția instituției, condiții de muncă deosebit de grele). Aceste acte delegate nu fac obiectul prezentului raport, a se vedea nota de subsol 5.</w:t>
      </w:r>
    </w:p>
  </w:footnote>
  <w:footnote w:id="30">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A se vedea hotărârea Curții de Justiție a Uniunii Europene în cauza C-427/18 P, SEAE/Alba Aguilera et al., punctul 77.</w:t>
      </w:r>
    </w:p>
  </w:footnote>
  <w:footnote w:id="31">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Subiectele complet noi introduse în cursul perioadei de raportare sunt marcate cu </w:t>
      </w:r>
      <w:r>
        <w:rPr>
          <w:rFonts w:asciiTheme="majorBidi" w:hAnsiTheme="majorBidi"/>
          <w:i/>
        </w:rPr>
        <w:t>caractere cursive</w:t>
      </w:r>
      <w:r>
        <w:rPr>
          <w:rFonts w:asciiTheme="majorBidi" w:hAnsiTheme="majorBidi"/>
        </w:rPr>
        <w:t xml:space="preserve">. </w:t>
      </w:r>
    </w:p>
  </w:footnote>
  <w:footnote w:id="32">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Comisia nu a fost în măsură să evalueze dacă au fost transmise toate normele relevante ale tuturor agențiilor.</w:t>
      </w:r>
    </w:p>
  </w:footnote>
  <w:footnote w:id="33">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CA-D 3654/22.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6003A"/>
    <w:multiLevelType w:val="hybridMultilevel"/>
    <w:tmpl w:val="C4241D94"/>
    <w:lvl w:ilvl="0" w:tplc="080C0001">
      <w:start w:val="1"/>
      <w:numFmt w:val="bullet"/>
      <w:lvlText w:val=""/>
      <w:lvlJc w:val="left"/>
      <w:pPr>
        <w:ind w:left="1440" w:hanging="360"/>
      </w:pPr>
      <w:rPr>
        <w:rFonts w:ascii="Symbol" w:hAnsi="Symbol"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start w:val="1"/>
      <w:numFmt w:val="bullet"/>
      <w:lvlText w:val=""/>
      <w:lvlJc w:val="left"/>
      <w:pPr>
        <w:ind w:left="5040" w:hanging="360"/>
      </w:pPr>
      <w:rPr>
        <w:rFonts w:ascii="Wingdings" w:hAnsi="Wingdings" w:hint="default"/>
      </w:rPr>
    </w:lvl>
    <w:lvl w:ilvl="6" w:tplc="080C0001">
      <w:start w:val="1"/>
      <w:numFmt w:val="bullet"/>
      <w:lvlText w:val=""/>
      <w:lvlJc w:val="left"/>
      <w:pPr>
        <w:ind w:left="5760" w:hanging="360"/>
      </w:pPr>
      <w:rPr>
        <w:rFonts w:ascii="Symbol" w:hAnsi="Symbol" w:hint="default"/>
      </w:rPr>
    </w:lvl>
    <w:lvl w:ilvl="7" w:tplc="080C0003">
      <w:start w:val="1"/>
      <w:numFmt w:val="bullet"/>
      <w:lvlText w:val="o"/>
      <w:lvlJc w:val="left"/>
      <w:pPr>
        <w:ind w:left="6480" w:hanging="360"/>
      </w:pPr>
      <w:rPr>
        <w:rFonts w:ascii="Courier New" w:hAnsi="Courier New" w:cs="Courier New" w:hint="default"/>
      </w:rPr>
    </w:lvl>
    <w:lvl w:ilvl="8" w:tplc="080C0005">
      <w:start w:val="1"/>
      <w:numFmt w:val="bullet"/>
      <w:lvlText w:val=""/>
      <w:lvlJc w:val="left"/>
      <w:pPr>
        <w:ind w:left="7200" w:hanging="360"/>
      </w:pPr>
      <w:rPr>
        <w:rFonts w:ascii="Wingdings" w:hAnsi="Wingdings" w:hint="default"/>
      </w:rPr>
    </w:lvl>
  </w:abstractNum>
  <w:abstractNum w:abstractNumId="1" w15:restartNumberingAfterBreak="0">
    <w:nsid w:val="04962710"/>
    <w:multiLevelType w:val="hybridMultilevel"/>
    <w:tmpl w:val="7AA81386"/>
    <w:lvl w:ilvl="0" w:tplc="0809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5B177B7"/>
    <w:multiLevelType w:val="hybridMultilevel"/>
    <w:tmpl w:val="D974C0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D0F3CD6"/>
    <w:multiLevelType w:val="hybridMultilevel"/>
    <w:tmpl w:val="1E5035E0"/>
    <w:lvl w:ilvl="0" w:tplc="1809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09428E6"/>
    <w:multiLevelType w:val="hybridMultilevel"/>
    <w:tmpl w:val="02F607EA"/>
    <w:lvl w:ilvl="0" w:tplc="0096F656">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6D530F9"/>
    <w:multiLevelType w:val="hybridMultilevel"/>
    <w:tmpl w:val="1B8662D4"/>
    <w:lvl w:ilvl="0" w:tplc="0809001B">
      <w:start w:val="1"/>
      <w:numFmt w:val="lowerRoman"/>
      <w:lvlText w:val="%1."/>
      <w:lvlJc w:val="righ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83729E5"/>
    <w:multiLevelType w:val="hybridMultilevel"/>
    <w:tmpl w:val="F7401DDC"/>
    <w:lvl w:ilvl="0" w:tplc="040C000F">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15:restartNumberingAfterBreak="0">
    <w:nsid w:val="1CA239A7"/>
    <w:multiLevelType w:val="hybridMultilevel"/>
    <w:tmpl w:val="D2E8874E"/>
    <w:lvl w:ilvl="0" w:tplc="1D189D98">
      <w:start w:val="1"/>
      <w:numFmt w:val="bullet"/>
      <w:lvlText w:val=""/>
      <w:lvlJc w:val="left"/>
      <w:pPr>
        <w:ind w:left="779" w:hanging="360"/>
      </w:pPr>
      <w:rPr>
        <w:rFonts w:ascii="Symbol" w:hAnsi="Symbol" w:hint="default"/>
      </w:rPr>
    </w:lvl>
    <w:lvl w:ilvl="1" w:tplc="040C0003" w:tentative="1">
      <w:start w:val="1"/>
      <w:numFmt w:val="bullet"/>
      <w:lvlText w:val="o"/>
      <w:lvlJc w:val="left"/>
      <w:pPr>
        <w:ind w:left="1499" w:hanging="360"/>
      </w:pPr>
      <w:rPr>
        <w:rFonts w:ascii="Courier New" w:hAnsi="Courier New" w:cs="Courier New" w:hint="default"/>
      </w:rPr>
    </w:lvl>
    <w:lvl w:ilvl="2" w:tplc="040C0005" w:tentative="1">
      <w:start w:val="1"/>
      <w:numFmt w:val="bullet"/>
      <w:lvlText w:val=""/>
      <w:lvlJc w:val="left"/>
      <w:pPr>
        <w:ind w:left="2219" w:hanging="360"/>
      </w:pPr>
      <w:rPr>
        <w:rFonts w:ascii="Wingdings" w:hAnsi="Wingdings" w:hint="default"/>
      </w:rPr>
    </w:lvl>
    <w:lvl w:ilvl="3" w:tplc="040C0001" w:tentative="1">
      <w:start w:val="1"/>
      <w:numFmt w:val="bullet"/>
      <w:lvlText w:val=""/>
      <w:lvlJc w:val="left"/>
      <w:pPr>
        <w:ind w:left="2939" w:hanging="360"/>
      </w:pPr>
      <w:rPr>
        <w:rFonts w:ascii="Symbol" w:hAnsi="Symbol" w:hint="default"/>
      </w:rPr>
    </w:lvl>
    <w:lvl w:ilvl="4" w:tplc="040C0003" w:tentative="1">
      <w:start w:val="1"/>
      <w:numFmt w:val="bullet"/>
      <w:lvlText w:val="o"/>
      <w:lvlJc w:val="left"/>
      <w:pPr>
        <w:ind w:left="3659" w:hanging="360"/>
      </w:pPr>
      <w:rPr>
        <w:rFonts w:ascii="Courier New" w:hAnsi="Courier New" w:cs="Courier New" w:hint="default"/>
      </w:rPr>
    </w:lvl>
    <w:lvl w:ilvl="5" w:tplc="040C0005" w:tentative="1">
      <w:start w:val="1"/>
      <w:numFmt w:val="bullet"/>
      <w:lvlText w:val=""/>
      <w:lvlJc w:val="left"/>
      <w:pPr>
        <w:ind w:left="4379" w:hanging="360"/>
      </w:pPr>
      <w:rPr>
        <w:rFonts w:ascii="Wingdings" w:hAnsi="Wingdings" w:hint="default"/>
      </w:rPr>
    </w:lvl>
    <w:lvl w:ilvl="6" w:tplc="040C0001" w:tentative="1">
      <w:start w:val="1"/>
      <w:numFmt w:val="bullet"/>
      <w:lvlText w:val=""/>
      <w:lvlJc w:val="left"/>
      <w:pPr>
        <w:ind w:left="5099" w:hanging="360"/>
      </w:pPr>
      <w:rPr>
        <w:rFonts w:ascii="Symbol" w:hAnsi="Symbol" w:hint="default"/>
      </w:rPr>
    </w:lvl>
    <w:lvl w:ilvl="7" w:tplc="040C0003" w:tentative="1">
      <w:start w:val="1"/>
      <w:numFmt w:val="bullet"/>
      <w:lvlText w:val="o"/>
      <w:lvlJc w:val="left"/>
      <w:pPr>
        <w:ind w:left="5819" w:hanging="360"/>
      </w:pPr>
      <w:rPr>
        <w:rFonts w:ascii="Courier New" w:hAnsi="Courier New" w:cs="Courier New" w:hint="default"/>
      </w:rPr>
    </w:lvl>
    <w:lvl w:ilvl="8" w:tplc="040C0005" w:tentative="1">
      <w:start w:val="1"/>
      <w:numFmt w:val="bullet"/>
      <w:lvlText w:val=""/>
      <w:lvlJc w:val="left"/>
      <w:pPr>
        <w:ind w:left="6539" w:hanging="360"/>
      </w:pPr>
      <w:rPr>
        <w:rFonts w:ascii="Wingdings" w:hAnsi="Wingdings" w:hint="default"/>
      </w:rPr>
    </w:lvl>
  </w:abstractNum>
  <w:abstractNum w:abstractNumId="8" w15:restartNumberingAfterBreak="0">
    <w:nsid w:val="1E1004F7"/>
    <w:multiLevelType w:val="hybridMultilevel"/>
    <w:tmpl w:val="3EA24F80"/>
    <w:lvl w:ilvl="0" w:tplc="040C000F">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1E735911"/>
    <w:multiLevelType w:val="hybridMultilevel"/>
    <w:tmpl w:val="434AED90"/>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C07085"/>
    <w:multiLevelType w:val="hybridMultilevel"/>
    <w:tmpl w:val="CF3E3BEE"/>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00504F3"/>
    <w:multiLevelType w:val="hybridMultilevel"/>
    <w:tmpl w:val="1954237A"/>
    <w:lvl w:ilvl="0" w:tplc="1D189D98">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221712FA"/>
    <w:multiLevelType w:val="hybridMultilevel"/>
    <w:tmpl w:val="469676FA"/>
    <w:lvl w:ilvl="0" w:tplc="1809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24811224"/>
    <w:multiLevelType w:val="hybridMultilevel"/>
    <w:tmpl w:val="F7401DDC"/>
    <w:lvl w:ilvl="0" w:tplc="040C000F">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15:restartNumberingAfterBreak="0">
    <w:nsid w:val="260D032E"/>
    <w:multiLevelType w:val="hybridMultilevel"/>
    <w:tmpl w:val="9FC60AAA"/>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820AC8"/>
    <w:multiLevelType w:val="hybridMultilevel"/>
    <w:tmpl w:val="A6488C0E"/>
    <w:lvl w:ilvl="0" w:tplc="0809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15:restartNumberingAfterBreak="0">
    <w:nsid w:val="313442F4"/>
    <w:multiLevelType w:val="hybridMultilevel"/>
    <w:tmpl w:val="9D123840"/>
    <w:lvl w:ilvl="0" w:tplc="040C000F">
      <w:start w:val="1"/>
      <w:numFmt w:val="decimal"/>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7" w15:restartNumberingAfterBreak="0">
    <w:nsid w:val="3A714FD4"/>
    <w:multiLevelType w:val="hybridMultilevel"/>
    <w:tmpl w:val="9B244966"/>
    <w:lvl w:ilvl="0" w:tplc="18090001">
      <w:start w:val="1"/>
      <w:numFmt w:val="bullet"/>
      <w:lvlText w:val=""/>
      <w:lvlJc w:val="left"/>
      <w:pPr>
        <w:ind w:left="720" w:hanging="360"/>
      </w:pPr>
      <w:rPr>
        <w:rFonts w:ascii="Symbol" w:hAnsi="Symbo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E312B7C"/>
    <w:multiLevelType w:val="hybridMultilevel"/>
    <w:tmpl w:val="FA1A4926"/>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F350E3C"/>
    <w:multiLevelType w:val="hybridMultilevel"/>
    <w:tmpl w:val="ABA41CBA"/>
    <w:lvl w:ilvl="0" w:tplc="0809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45A76CF6"/>
    <w:multiLevelType w:val="hybridMultilevel"/>
    <w:tmpl w:val="F05EC6F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5D243D6"/>
    <w:multiLevelType w:val="hybridMultilevel"/>
    <w:tmpl w:val="4D78580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49905F22"/>
    <w:multiLevelType w:val="hybridMultilevel"/>
    <w:tmpl w:val="405A3E00"/>
    <w:lvl w:ilvl="0" w:tplc="040C000F">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15:restartNumberingAfterBreak="0">
    <w:nsid w:val="4A5A2B2D"/>
    <w:multiLevelType w:val="hybridMultilevel"/>
    <w:tmpl w:val="3EA24F80"/>
    <w:lvl w:ilvl="0" w:tplc="040C000F">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51FE3A3C"/>
    <w:multiLevelType w:val="hybridMultilevel"/>
    <w:tmpl w:val="DCC654B2"/>
    <w:lvl w:ilvl="0" w:tplc="040C000F">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5290124C"/>
    <w:multiLevelType w:val="hybridMultilevel"/>
    <w:tmpl w:val="4AAAB2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33C77D7"/>
    <w:multiLevelType w:val="hybridMultilevel"/>
    <w:tmpl w:val="A6488C0E"/>
    <w:lvl w:ilvl="0" w:tplc="0809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592B1127"/>
    <w:multiLevelType w:val="hybridMultilevel"/>
    <w:tmpl w:val="876A4F14"/>
    <w:lvl w:ilvl="0" w:tplc="040C000F">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8" w15:restartNumberingAfterBreak="0">
    <w:nsid w:val="5AE677BE"/>
    <w:multiLevelType w:val="hybridMultilevel"/>
    <w:tmpl w:val="4D3C85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B006B5F"/>
    <w:multiLevelType w:val="hybridMultilevel"/>
    <w:tmpl w:val="D9FAFA64"/>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C917455"/>
    <w:multiLevelType w:val="hybridMultilevel"/>
    <w:tmpl w:val="83B2C27A"/>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D6419D2"/>
    <w:multiLevelType w:val="hybridMultilevel"/>
    <w:tmpl w:val="8206A064"/>
    <w:lvl w:ilvl="0" w:tplc="040C000F">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 w15:restartNumberingAfterBreak="0">
    <w:nsid w:val="5F39481B"/>
    <w:multiLevelType w:val="hybridMultilevel"/>
    <w:tmpl w:val="FC40B928"/>
    <w:lvl w:ilvl="0" w:tplc="08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37D008A"/>
    <w:multiLevelType w:val="hybridMultilevel"/>
    <w:tmpl w:val="DD3E1B3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65CA3386"/>
    <w:multiLevelType w:val="hybridMultilevel"/>
    <w:tmpl w:val="960AA21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15:restartNumberingAfterBreak="0">
    <w:nsid w:val="6AE52A71"/>
    <w:multiLevelType w:val="hybridMultilevel"/>
    <w:tmpl w:val="F6C6B6AC"/>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C21798C"/>
    <w:multiLevelType w:val="hybridMultilevel"/>
    <w:tmpl w:val="C9021080"/>
    <w:lvl w:ilvl="0" w:tplc="0D361566">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7" w15:restartNumberingAfterBreak="0">
    <w:nsid w:val="6F707D72"/>
    <w:multiLevelType w:val="hybridMultilevel"/>
    <w:tmpl w:val="8D2674B4"/>
    <w:lvl w:ilvl="0" w:tplc="1809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6FED2699"/>
    <w:multiLevelType w:val="hybridMultilevel"/>
    <w:tmpl w:val="D7903004"/>
    <w:lvl w:ilvl="0" w:tplc="1D189D98">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9" w15:restartNumberingAfterBreak="0">
    <w:nsid w:val="71842DB4"/>
    <w:multiLevelType w:val="hybridMultilevel"/>
    <w:tmpl w:val="38E2C49C"/>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3A01E8F"/>
    <w:multiLevelType w:val="hybridMultilevel"/>
    <w:tmpl w:val="283A82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59C2B42"/>
    <w:multiLevelType w:val="hybridMultilevel"/>
    <w:tmpl w:val="59CC632A"/>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5AC2A03"/>
    <w:multiLevelType w:val="hybridMultilevel"/>
    <w:tmpl w:val="D24C2E9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15:restartNumberingAfterBreak="0">
    <w:nsid w:val="784C5A47"/>
    <w:multiLevelType w:val="hybridMultilevel"/>
    <w:tmpl w:val="0D8898BE"/>
    <w:lvl w:ilvl="0" w:tplc="1D8834A6">
      <w:start w:val="1"/>
      <w:numFmt w:val="lowerRoman"/>
      <w:lvlText w:val="(%1)"/>
      <w:lvlJc w:val="left"/>
      <w:pPr>
        <w:ind w:left="1080" w:hanging="72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44" w15:restartNumberingAfterBreak="0">
    <w:nsid w:val="78AA5448"/>
    <w:multiLevelType w:val="hybridMultilevel"/>
    <w:tmpl w:val="12DE1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B860D03"/>
    <w:multiLevelType w:val="hybridMultilevel"/>
    <w:tmpl w:val="E488B6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ED74131"/>
    <w:multiLevelType w:val="hybridMultilevel"/>
    <w:tmpl w:val="A6488C0E"/>
    <w:lvl w:ilvl="0" w:tplc="0809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32"/>
  </w:num>
  <w:num w:numId="2">
    <w:abstractNumId w:val="45"/>
  </w:num>
  <w:num w:numId="3">
    <w:abstractNumId w:val="2"/>
  </w:num>
  <w:num w:numId="4">
    <w:abstractNumId w:val="28"/>
  </w:num>
  <w:num w:numId="5">
    <w:abstractNumId w:val="4"/>
  </w:num>
  <w:num w:numId="6">
    <w:abstractNumId w:val="6"/>
  </w:num>
  <w:num w:numId="7">
    <w:abstractNumId w:val="23"/>
  </w:num>
  <w:num w:numId="8">
    <w:abstractNumId w:val="13"/>
  </w:num>
  <w:num w:numId="9">
    <w:abstractNumId w:val="27"/>
  </w:num>
  <w:num w:numId="10">
    <w:abstractNumId w:val="31"/>
  </w:num>
  <w:num w:numId="11">
    <w:abstractNumId w:val="29"/>
  </w:num>
  <w:num w:numId="12">
    <w:abstractNumId w:val="34"/>
  </w:num>
  <w:num w:numId="13">
    <w:abstractNumId w:val="21"/>
  </w:num>
  <w:num w:numId="14">
    <w:abstractNumId w:val="30"/>
  </w:num>
  <w:num w:numId="15">
    <w:abstractNumId w:val="14"/>
  </w:num>
  <w:num w:numId="16">
    <w:abstractNumId w:val="42"/>
  </w:num>
  <w:num w:numId="17">
    <w:abstractNumId w:val="22"/>
  </w:num>
  <w:num w:numId="18">
    <w:abstractNumId w:val="33"/>
  </w:num>
  <w:num w:numId="19">
    <w:abstractNumId w:val="24"/>
  </w:num>
  <w:num w:numId="20">
    <w:abstractNumId w:val="8"/>
  </w:num>
  <w:num w:numId="21">
    <w:abstractNumId w:val="25"/>
  </w:num>
  <w:num w:numId="22">
    <w:abstractNumId w:val="44"/>
  </w:num>
  <w:num w:numId="23">
    <w:abstractNumId w:val="11"/>
  </w:num>
  <w:num w:numId="24">
    <w:abstractNumId w:val="15"/>
  </w:num>
  <w:num w:numId="25">
    <w:abstractNumId w:val="26"/>
  </w:num>
  <w:num w:numId="26">
    <w:abstractNumId w:val="41"/>
  </w:num>
  <w:num w:numId="27">
    <w:abstractNumId w:val="46"/>
  </w:num>
  <w:num w:numId="28">
    <w:abstractNumId w:val="9"/>
  </w:num>
  <w:num w:numId="29">
    <w:abstractNumId w:val="38"/>
  </w:num>
  <w:num w:numId="30">
    <w:abstractNumId w:val="1"/>
  </w:num>
  <w:num w:numId="31">
    <w:abstractNumId w:val="7"/>
  </w:num>
  <w:num w:numId="32">
    <w:abstractNumId w:val="39"/>
  </w:num>
  <w:num w:numId="33">
    <w:abstractNumId w:val="18"/>
  </w:num>
  <w:num w:numId="34">
    <w:abstractNumId w:val="19"/>
  </w:num>
  <w:num w:numId="35">
    <w:abstractNumId w:val="10"/>
  </w:num>
  <w:num w:numId="36">
    <w:abstractNumId w:val="35"/>
  </w:num>
  <w:num w:numId="37">
    <w:abstractNumId w:val="40"/>
  </w:num>
  <w:num w:numId="38">
    <w:abstractNumId w:val="20"/>
  </w:num>
  <w:num w:numId="39">
    <w:abstractNumId w:val="36"/>
  </w:num>
  <w:num w:numId="40">
    <w:abstractNumId w:val="0"/>
  </w:num>
  <w:num w:numId="41">
    <w:abstractNumId w:val="5"/>
  </w:num>
  <w:num w:numId="42">
    <w:abstractNumId w:val="37"/>
  </w:num>
  <w:num w:numId="43">
    <w:abstractNumId w:val="12"/>
  </w:num>
  <w:num w:numId="44">
    <w:abstractNumId w:val="3"/>
  </w:num>
  <w:num w:numId="45">
    <w:abstractNumId w:val="17"/>
  </w:num>
  <w:num w:numId="46">
    <w:abstractNumId w:val="16"/>
  </w:num>
  <w:num w:numId="4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ocStatus" w:val="Green"/>
    <w:docVar w:name="LW_CORRIGENDUM" w:val="&lt;UNUSED&gt;"/>
    <w:docVar w:name="LW_COVERPAGE_EXISTS" w:val="True"/>
    <w:docVar w:name="LW_COVERPAGE_GUID" w:val="974BE2F9-C9B0-4D69-B688-E7FC53CD1C31"/>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normele adoptate de autoritatea împuternicit\u259? s\u259? fac\u259? numiri a fiec\u259?rei institu\u539?ii pentru punerea în aplicare a Statutului func\u539?ionarilor_x000d__x000d__x000b_"/>
    <w:docVar w:name="LW_TYPE.DOC.CP" w:val="RAPORT AL COMISIEI C\u258?TRE PARLAMENTUL EUROPEAN \u536?I CONSILIU"/>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4C3215E-C02A-4950-889A-C892C219D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unhideWhenUsed/>
    <w:pPr>
      <w:spacing w:after="0" w:line="240" w:lineRule="auto"/>
    </w:pPr>
    <w:rPr>
      <w:kern w:val="0"/>
      <w:sz w:val="20"/>
      <w:szCs w:val="20"/>
      <w14:ligatures w14:val="none"/>
    </w:rPr>
  </w:style>
  <w:style w:type="character" w:customStyle="1" w:styleId="FootnoteTextChar">
    <w:name w:val="Footnote Text Char"/>
    <w:basedOn w:val="DefaultParagraphFont"/>
    <w:link w:val="FootnoteText"/>
    <w:rPr>
      <w:kern w:val="0"/>
      <w:sz w:val="20"/>
      <w:szCs w:val="20"/>
      <w14:ligatures w14:val="none"/>
    </w:rPr>
  </w:style>
  <w:style w:type="character" w:styleId="FootnoteReference">
    <w:name w:val="footnote reference"/>
    <w:basedOn w:val="DefaultParagraphFon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Pr>
      <w:rFonts w:ascii="Tahoma" w:hAnsi="Tahoma" w:cs="Tahoma"/>
      <w:kern w:val="0"/>
      <w:sz w:val="16"/>
      <w:szCs w:val="16"/>
      <w14:ligatures w14:val="none"/>
    </w:rPr>
  </w:style>
  <w:style w:type="table" w:styleId="TableGrid">
    <w:name w:val="Table Grid"/>
    <w:basedOn w:val="TableNormal"/>
    <w:uiPriority w:val="5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headersubtitle">
    <w:name w:val="contentheadersubtitle"/>
    <w:basedOn w:val="DefaultParagraphFont"/>
    <w:rPr>
      <w:sz w:val="19"/>
      <w:szCs w:val="19"/>
    </w:rPr>
  </w:style>
  <w:style w:type="paragraph" w:styleId="TOCHeading">
    <w:name w:val="TOC Heading"/>
    <w:basedOn w:val="Heading1"/>
    <w:next w:val="Normal"/>
    <w:uiPriority w:val="39"/>
    <w:unhideWhenUsed/>
    <w:qFormat/>
    <w:pPr>
      <w:spacing w:before="480" w:after="0"/>
      <w:outlineLvl w:val="9"/>
    </w:pPr>
    <w:rPr>
      <w:b/>
      <w:bCs/>
      <w:kern w:val="0"/>
      <w:sz w:val="28"/>
      <w:szCs w:val="28"/>
      <w:lang w:eastAsia="ja-JP"/>
      <w14:ligatures w14:val="none"/>
    </w:rPr>
  </w:style>
  <w:style w:type="paragraph" w:styleId="TOC1">
    <w:name w:val="toc 1"/>
    <w:basedOn w:val="Normal"/>
    <w:next w:val="Normal"/>
    <w:autoRedefine/>
    <w:uiPriority w:val="39"/>
    <w:unhideWhenUsed/>
    <w:pPr>
      <w:tabs>
        <w:tab w:val="left" w:pos="1100"/>
        <w:tab w:val="right" w:leader="dot" w:pos="9062"/>
      </w:tabs>
      <w:spacing w:after="100"/>
    </w:pPr>
    <w:rPr>
      <w:b/>
      <w:noProof/>
      <w:kern w:val="0"/>
      <w14:ligatures w14:val="none"/>
    </w:rPr>
  </w:style>
  <w:style w:type="paragraph" w:styleId="TOC2">
    <w:name w:val="toc 2"/>
    <w:basedOn w:val="Normal"/>
    <w:next w:val="Normal"/>
    <w:autoRedefine/>
    <w:uiPriority w:val="39"/>
    <w:unhideWhenUsed/>
    <w:pPr>
      <w:tabs>
        <w:tab w:val="left" w:pos="660"/>
        <w:tab w:val="right" w:leader="dot" w:pos="9062"/>
      </w:tabs>
      <w:spacing w:after="100"/>
      <w:ind w:left="220"/>
    </w:pPr>
    <w:rPr>
      <w:kern w:val="0"/>
      <w14:ligatures w14:val="none"/>
    </w:rPr>
  </w:style>
  <w:style w:type="paragraph" w:styleId="TOC3">
    <w:name w:val="toc 3"/>
    <w:basedOn w:val="Normal"/>
    <w:next w:val="Normal"/>
    <w:autoRedefine/>
    <w:uiPriority w:val="39"/>
    <w:unhideWhenUsed/>
    <w:pPr>
      <w:spacing w:after="100"/>
      <w:ind w:left="440"/>
    </w:pPr>
    <w:rPr>
      <w:kern w:val="0"/>
      <w14:ligatures w14:val="none"/>
    </w:rPr>
  </w:style>
  <w:style w:type="character" w:styleId="Hyperlink">
    <w:name w:val="Hyperlink"/>
    <w:basedOn w:val="DefaultParagraphFont"/>
    <w:uiPriority w:val="99"/>
    <w:unhideWhenUsed/>
    <w:rPr>
      <w:color w:val="0000FF" w:themeColor="hyperlink"/>
      <w:u w:val="single"/>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kern w:val="0"/>
      <w:sz w:val="24"/>
      <w14:ligatures w14:val="none"/>
    </w:rPr>
  </w:style>
  <w:style w:type="paragraph" w:customStyle="1" w:styleId="TitreobjetPagedecouverture">
    <w:name w:val="Titre objet (Page de couverture)"/>
    <w:basedOn w:val="Titreobjet"/>
    <w:next w:val="Normal"/>
  </w:style>
  <w:style w:type="paragraph" w:customStyle="1" w:styleId="Declassification">
    <w:name w:val="Declassification"/>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kern w:val="0"/>
      <w:sz w:val="24"/>
      <w14:ligatures w14:val="none"/>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kern w:val="0"/>
      <w:sz w:val="24"/>
      <w14:ligatures w14:val="non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ind w:left="5103"/>
    </w:pPr>
    <w:rPr>
      <w:rFonts w:ascii="Times New Roman" w:hAnsi="Times New Roman" w:cs="Times New Roman"/>
      <w:kern w:val="0"/>
      <w:sz w:val="28"/>
      <w14:ligatures w14:val="none"/>
    </w:rPr>
  </w:style>
  <w:style w:type="paragraph" w:customStyle="1" w:styleId="DateMarking">
    <w:name w:val="DateMarking"/>
    <w:basedOn w:val="Normal"/>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ind w:left="5103"/>
    </w:pPr>
    <w:rPr>
      <w:rFonts w:ascii="Times New Roman" w:hAnsi="Times New Roman" w:cs="Times New Roman"/>
      <w:i/>
      <w:kern w:val="0"/>
      <w:sz w:val="28"/>
      <w14:ligatures w14:val="non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Pr>
      <w:kern w:val="0"/>
      <w:sz w:val="20"/>
      <w:szCs w:val="20"/>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0"/>
      <w:sz w:val="20"/>
      <w:szCs w:val="20"/>
      <w14:ligatures w14:val="none"/>
    </w:rPr>
  </w:style>
  <w:style w:type="paragraph" w:styleId="Revision">
    <w:name w:val="Revision"/>
    <w:hidden/>
    <w:uiPriority w:val="99"/>
    <w:semiHidden/>
    <w:pPr>
      <w:spacing w:after="0" w:line="240" w:lineRule="auto"/>
    </w:pPr>
    <w:rPr>
      <w:kern w:val="0"/>
      <w14:ligatures w14:val="non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myintracomm.ec.europa.eu/DG/HR/Documents/19%2010%2014%20Agencies%20webpage_final.pdf"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C7036-66F7-4E73-9C2D-9F19D1BA9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10673</Words>
  <Characters>60840</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15</cp:revision>
  <cp:lastPrinted>2026-05-13T09:08:00Z</cp:lastPrinted>
  <dcterms:created xsi:type="dcterms:W3CDTF">2026-08-19T14:34:00Z</dcterms:created>
  <dcterms:modified xsi:type="dcterms:W3CDTF">2026-09-10T12:53:00Z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2026-02-23T08:31:17Z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cc53cf62-87be-43f9-ab77-a7ea3c11c86e</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