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Pagedecouverture"/>
        <w:rPr>
          <w:noProof/>
        </w:rPr>
      </w:pPr>
      <w:bookmarkStart w:id="0" w:name="LW_BM_COVERPAGE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DA3ECE88-BED5-4540-9D4E-24C909961416" style="width:455.25pt;height:387.75pt">
            <v:imagedata r:id="rId6" o:title=""/>
          </v:shape>
        </w:pict>
      </w:r>
    </w:p>
    <w:bookmarkEnd w:id="0"/>
    <w:p>
      <w:pPr>
        <w:rPr>
          <w:noProof/>
          <w:lang w:eastAsia="en-GB"/>
        </w:rPr>
        <w:sectPr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tbl>
      <w:tblPr>
        <w:tblpPr w:leftFromText="180" w:rightFromText="180" w:horzAnchor="margin" w:tblpXSpec="center" w:tblpY="-547"/>
        <w:tblW w:w="11131" w:type="dxa"/>
        <w:tblLayout w:type="fixed"/>
        <w:tblLook w:val="04A0" w:firstRow="1" w:lastRow="0" w:firstColumn="1" w:lastColumn="0" w:noHBand="0" w:noVBand="1"/>
      </w:tblPr>
      <w:tblGrid>
        <w:gridCol w:w="1747"/>
        <w:gridCol w:w="3214"/>
        <w:gridCol w:w="3652"/>
        <w:gridCol w:w="2518"/>
      </w:tblGrid>
      <w:tr>
        <w:trPr>
          <w:trHeight w:val="765"/>
        </w:trPr>
        <w:tc>
          <w:tcPr>
            <w:tcW w:w="1113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i/>
                <w:iCs/>
                <w:noProof/>
                <w:sz w:val="20"/>
                <w:szCs w:val="20"/>
                <w:lang w:eastAsia="en-GB"/>
              </w:rPr>
            </w:pPr>
          </w:p>
        </w:tc>
      </w:tr>
      <w:tr>
        <w:trPr>
          <w:trHeight w:val="918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36"/>
                <w:szCs w:val="36"/>
              </w:rPr>
            </w:pPr>
            <w:r>
              <w:rPr>
                <w:rFonts w:ascii="Times New Roman" w:hAnsi="Times New Roman"/>
                <w:noProof/>
                <w:sz w:val="36"/>
              </w:rPr>
              <w:t>Statutul funcționarilor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br/>
            </w:r>
            <w:r>
              <w:rPr>
                <w:rFonts w:ascii="Times New Roman" w:hAnsi="Times New Roman"/>
                <w:noProof/>
                <w:sz w:val="24"/>
              </w:rPr>
              <w:t>(aplicabil, prin analogie, celorlalți agenți ori de câte ori Regimul aplicabil celorlalți agenți prevede în mod expres acest lucru)</w:t>
            </w:r>
          </w:p>
        </w:tc>
      </w:tr>
      <w:tr>
        <w:trPr>
          <w:trHeight w:val="705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Articolul 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Obiectul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Titlu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Intrarea în vigoare</w:t>
            </w:r>
          </w:p>
        </w:tc>
      </w:tr>
      <w:tr>
        <w:trPr>
          <w:trHeight w:val="399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36"/>
                <w:szCs w:val="36"/>
                <w:lang w:eastAsia="en-GB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48"/>
                <w:szCs w:val="48"/>
                <w:lang w:eastAsia="en-GB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36"/>
                <w:szCs w:val="36"/>
                <w:lang w:eastAsia="en-GB"/>
              </w:rPr>
            </w:pP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36"/>
                <w:szCs w:val="36"/>
                <w:lang w:eastAsia="en-GB"/>
              </w:rPr>
            </w:pPr>
          </w:p>
        </w:tc>
      </w:tr>
      <w:tr>
        <w:trPr>
          <w:trHeight w:val="551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t>Titlul I – Dispoziții generale</w:t>
            </w:r>
          </w:p>
        </w:tc>
      </w:tr>
      <w:tr>
        <w:trPr>
          <w:trHeight w:val="1365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>
            <w:pPr>
              <w:autoSpaceDE w:val="0"/>
              <w:autoSpaceDN w:val="0"/>
              <w:spacing w:before="40" w:after="40" w:line="240" w:lineRule="auto"/>
              <w:jc w:val="center"/>
              <w:rPr>
                <w:noProof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9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br/>
            </w:r>
            <w:r>
              <w:rPr>
                <w:rFonts w:ascii="Times New Roman" w:hAnsi="Times New Roman"/>
                <w:b/>
                <w:noProof/>
                <w:sz w:val="24"/>
              </w:rPr>
              <w:t xml:space="preserve"> anexa II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>
            <w:pPr>
              <w:autoSpaceDE w:val="0"/>
              <w:autoSpaceDN w:val="0"/>
              <w:spacing w:before="40" w:after="40" w:line="240" w:lineRule="auto"/>
              <w:rPr>
                <w:noProof/>
              </w:rPr>
            </w:pPr>
            <w:r>
              <w:rPr>
                <w:noProof/>
              </w:rPr>
              <w:t xml:space="preserve"> </w:t>
            </w:r>
            <w:r>
              <w:rPr>
                <w:noProof/>
              </w:rPr>
              <w:br/>
            </w:r>
            <w:r>
              <w:rPr>
                <w:rFonts w:ascii="Times New Roman" w:hAnsi="Times New Roman"/>
                <w:b/>
                <w:noProof/>
                <w:sz w:val="24"/>
              </w:rPr>
              <w:t>Comisia paritară (COPARCO)</w:t>
            </w:r>
            <w:r>
              <w:rPr>
                <w:rFonts w:ascii="Segoe UI" w:hAnsi="Segoe UI"/>
                <w:noProof/>
                <w:color w:val="000000"/>
                <w:sz w:val="20"/>
              </w:rPr>
              <w:t xml:space="preserve"> 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Comisia paritară comună a instituțiilor (COPARCO)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1.1.1993</w:t>
            </w:r>
          </w:p>
        </w:tc>
      </w:tr>
      <w:tr>
        <w:trPr>
          <w:trHeight w:val="1365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10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Comitetul pentru Statutul funcționarilor 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Acord comun între autoritățile împuternicite să facă numiri ale instituțiilor Uniunii Europene privind componența Comitetului pentru Statutul funcționarilor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1.1.2016</w:t>
            </w:r>
          </w:p>
        </w:tc>
      </w:tr>
      <w:tr>
        <w:trPr>
          <w:trHeight w:val="555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36"/>
                <w:szCs w:val="36"/>
                <w:lang w:eastAsia="en-GB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48"/>
                <w:szCs w:val="48"/>
                <w:lang w:eastAsia="en-GB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36"/>
                <w:szCs w:val="36"/>
                <w:lang w:eastAsia="en-GB"/>
              </w:rPr>
            </w:pP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36"/>
                <w:szCs w:val="36"/>
                <w:lang w:eastAsia="en-GB"/>
              </w:rPr>
            </w:pPr>
          </w:p>
        </w:tc>
      </w:tr>
      <w:tr>
        <w:trPr>
          <w:trHeight w:val="421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t xml:space="preserve">Titlul III – Cariera funcționarului </w:t>
            </w:r>
          </w:p>
        </w:tc>
      </w:tr>
      <w:tr>
        <w:trPr>
          <w:trHeight w:val="660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44"/>
                <w:szCs w:val="44"/>
              </w:rPr>
            </w:pPr>
            <w:r>
              <w:rPr>
                <w:rFonts w:ascii="Times New Roman" w:hAnsi="Times New Roman"/>
                <w:noProof/>
                <w:sz w:val="28"/>
              </w:rPr>
              <w:t>Capitolul 2 – Situații administrative</w:t>
            </w:r>
            <w:r>
              <w:rPr>
                <w:rFonts w:ascii="Times New Roman" w:hAnsi="Times New Roman"/>
                <w:b/>
                <w:noProof/>
                <w:sz w:val="44"/>
              </w:rPr>
              <w:t xml:space="preserve"> </w:t>
            </w:r>
          </w:p>
        </w:tc>
      </w:tr>
      <w:tr>
        <w:trPr>
          <w:trHeight w:val="1515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37 alineatul (1) litera (b)</w:t>
            </w: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Lista organismelor care urmăresc interesul Uniunii Europene  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Norme comune de modificare a normelor de stabilire a unei liste de organisme care urmăresc promovarea intereselor Comunității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1.7.2002</w:t>
            </w:r>
          </w:p>
        </w:tc>
      </w:tr>
      <w:tr>
        <w:trPr>
          <w:trHeight w:val="313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GB"/>
              </w:rPr>
            </w:pPr>
          </w:p>
        </w:tc>
      </w:tr>
      <w:tr>
        <w:trPr>
          <w:trHeight w:val="617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44"/>
                <w:szCs w:val="44"/>
              </w:rPr>
            </w:pPr>
            <w:r>
              <w:rPr>
                <w:rFonts w:ascii="Times New Roman" w:hAnsi="Times New Roman"/>
                <w:noProof/>
                <w:sz w:val="28"/>
              </w:rPr>
              <w:t>Capitolul 3 – Evaluarea, avansarea în treaptă și promovarea</w:t>
            </w:r>
            <w:r>
              <w:rPr>
                <w:rFonts w:ascii="Times New Roman" w:hAnsi="Times New Roman"/>
                <w:b/>
                <w:noProof/>
                <w:sz w:val="44"/>
              </w:rPr>
              <w:t xml:space="preserve"> </w:t>
            </w:r>
          </w:p>
        </w:tc>
      </w:tr>
      <w:tr>
        <w:trPr>
          <w:trHeight w:val="1329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45 alineatul (2)</w:t>
            </w: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Capacitatea funcționarilor de a lucra într-o a treia limbă 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Norme adoptate de comun acord de către instituții privind aplicarea articolului 45 alineatul (2) din Statutul funcționarilor 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1.6.2016</w:t>
            </w:r>
          </w:p>
        </w:tc>
      </w:tr>
      <w:tr>
        <w:trPr>
          <w:trHeight w:val="136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36"/>
                <w:szCs w:val="36"/>
                <w:lang w:eastAsia="en-GB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48"/>
                <w:szCs w:val="48"/>
                <w:lang w:eastAsia="en-GB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48"/>
                <w:szCs w:val="48"/>
                <w:lang w:eastAsia="en-GB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36"/>
                <w:szCs w:val="36"/>
                <w:lang w:eastAsia="en-GB"/>
              </w:rPr>
            </w:pP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36"/>
                <w:szCs w:val="36"/>
                <w:lang w:eastAsia="en-GB"/>
              </w:rPr>
            </w:pPr>
          </w:p>
        </w:tc>
      </w:tr>
      <w:tr>
        <w:trPr>
          <w:trHeight w:val="552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t xml:space="preserve">Titlul IV </w:t>
            </w:r>
            <w:r>
              <w:rPr>
                <w:rFonts w:ascii="Times New Roman" w:hAnsi="Times New Roman"/>
                <w:i/>
                <w:noProof/>
                <w:sz w:val="28"/>
              </w:rPr>
              <w:t>–</w:t>
            </w:r>
            <w:r>
              <w:rPr>
                <w:rFonts w:ascii="Times New Roman" w:hAnsi="Times New Roman"/>
                <w:noProof/>
                <w:sz w:val="28"/>
              </w:rPr>
              <w:t xml:space="preserve"> Condiții de muncă </w:t>
            </w:r>
          </w:p>
        </w:tc>
      </w:tr>
      <w:tr>
        <w:trPr>
          <w:trHeight w:val="404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lastRenderedPageBreak/>
              <w:t xml:space="preserve">Capitolul 3 – Sărbătorile legale </w:t>
            </w:r>
          </w:p>
        </w:tc>
      </w:tr>
      <w:tr>
        <w:trPr>
          <w:trHeight w:val="1470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61</w:t>
            </w: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Lista sărbătorilor legale 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Norme comune de stabilire a listei sărbătorilor legale ale funcționarilor Comunităților Europene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1.10.1966</w:t>
            </w:r>
          </w:p>
        </w:tc>
      </w:tr>
      <w:tr>
        <w:trPr>
          <w:trHeight w:val="459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36"/>
                <w:szCs w:val="36"/>
                <w:lang w:eastAsia="en-GB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48"/>
                <w:szCs w:val="48"/>
                <w:lang w:eastAsia="en-GB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36"/>
                <w:szCs w:val="36"/>
                <w:lang w:eastAsia="en-GB"/>
              </w:rPr>
            </w:pP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36"/>
                <w:szCs w:val="36"/>
                <w:lang w:eastAsia="en-GB"/>
              </w:rPr>
            </w:pPr>
          </w:p>
        </w:tc>
      </w:tr>
      <w:tr>
        <w:trPr>
          <w:trHeight w:val="541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t xml:space="preserve">Titlul V + anexa VII – Regimul financiar și prestațiile de asigurări sociale ale funcționarului  </w:t>
            </w:r>
          </w:p>
        </w:tc>
      </w:tr>
      <w:tr>
        <w:trPr>
          <w:trHeight w:val="439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t xml:space="preserve">Capitolul 1 – Remunerarea și rambursarea cheltuielilor </w:t>
            </w:r>
          </w:p>
        </w:tc>
      </w:tr>
      <w:tr>
        <w:trPr>
          <w:trHeight w:val="2085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Anexa VII 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br/>
            </w:r>
            <w:r>
              <w:rPr>
                <w:rFonts w:ascii="Times New Roman" w:hAnsi="Times New Roman"/>
                <w:b/>
                <w:noProof/>
                <w:sz w:val="24"/>
              </w:rPr>
              <w:t>| (articolul 17)</w:t>
            </w: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Transferul retribuțiilor 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Norme comune privind modalitățile detaliate pentru transferul unei părți a retribuțiilor funcționarilor Comunităților Europene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1.1.2005</w:t>
            </w:r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footnoteReference w:id="1"/>
            </w:r>
          </w:p>
        </w:tc>
      </w:tr>
      <w:tr>
        <w:trPr>
          <w:trHeight w:val="283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44"/>
                <w:szCs w:val="44"/>
              </w:rPr>
            </w:pPr>
            <w:r>
              <w:rPr>
                <w:rFonts w:ascii="Times New Roman" w:hAnsi="Times New Roman"/>
                <w:noProof/>
                <w:sz w:val="28"/>
              </w:rPr>
              <w:t>Capitolul 2 – Asigurările sociale</w:t>
            </w:r>
          </w:p>
        </w:tc>
      </w:tr>
      <w:tr>
        <w:trPr>
          <w:trHeight w:val="1245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72</w:t>
            </w: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Asigurarea de sănătate 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Normele comune privind asigurările de sănătate ale funcționarilor Uniunii Europene 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1.12.2005</w:t>
            </w:r>
          </w:p>
        </w:tc>
      </w:tr>
      <w:tr>
        <w:trPr>
          <w:trHeight w:val="1920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73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Sistemul de asigurare împotriva riscurilor de boală profesională sau de accident 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Norme comune privind sistemul de asigurare împotriva riscurilor de boală profesională sau de accident 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1.1.2006</w:t>
            </w:r>
          </w:p>
        </w:tc>
      </w:tr>
      <w:tr>
        <w:trPr>
          <w:trHeight w:val="2038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76a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Ajutoare financiare pentru majorarea pensiei unui soț supraviețuitor care suferă de o boală gravă sau de durată sau care are un handicap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Norme comune de stabilire a procedurii privind acordarea de ajutoare financiare pentru majorarea pensiei unui soț supraviețuitor care suferă de o boală gravă sau de durată sau care are un handicap 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1.7.2008</w:t>
            </w:r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footnoteReference w:id="2"/>
            </w:r>
          </w:p>
        </w:tc>
      </w:tr>
    </w:tbl>
    <w:p>
      <w:pPr>
        <w:rPr>
          <w:noProof/>
        </w:rPr>
      </w:pPr>
    </w:p>
    <w:tbl>
      <w:tblPr>
        <w:tblW w:w="11131" w:type="dxa"/>
        <w:jc w:val="center"/>
        <w:tblLayout w:type="fixed"/>
        <w:tblLook w:val="04A0" w:firstRow="1" w:lastRow="0" w:firstColumn="1" w:lastColumn="0" w:noHBand="0" w:noVBand="1"/>
      </w:tblPr>
      <w:tblGrid>
        <w:gridCol w:w="1747"/>
        <w:gridCol w:w="3214"/>
        <w:gridCol w:w="3652"/>
        <w:gridCol w:w="2518"/>
      </w:tblGrid>
      <w:tr>
        <w:trPr>
          <w:trHeight w:val="918"/>
          <w:jc w:val="center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noProof/>
                <w:sz w:val="36"/>
              </w:rPr>
              <w:lastRenderedPageBreak/>
              <w:t>Regimul aplicabil celorlalți agenți</w:t>
            </w:r>
            <w:r>
              <w:rPr>
                <w:rFonts w:ascii="Times New Roman" w:hAnsi="Times New Roman"/>
                <w:noProof/>
                <w:sz w:val="36"/>
              </w:rPr>
              <w:t xml:space="preserve"> </w:t>
            </w:r>
          </w:p>
        </w:tc>
      </w:tr>
      <w:tr>
        <w:trPr>
          <w:trHeight w:val="705"/>
          <w:jc w:val="center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Articolul 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Obiectul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Titlu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Intrarea în vigoare</w:t>
            </w:r>
          </w:p>
        </w:tc>
      </w:tr>
      <w:tr>
        <w:trPr>
          <w:trHeight w:val="705"/>
          <w:jc w:val="center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28a alineatul (10)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Indemnizația de șomaj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hyperlink r:id="rId13" w:history="1">
              <w:r>
                <w:rPr>
                  <w:rFonts w:ascii="Times New Roman" w:hAnsi="Times New Roman"/>
                  <w:b/>
                  <w:noProof/>
                  <w:sz w:val="24"/>
                </w:rPr>
                <w:t>Norme comune pentru aplicarea dispozițiilor care reglementează indemnizațiile de șomaj pentru agenții temporari</w:t>
              </w:r>
            </w:hyperlink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1.5.2004</w:t>
            </w:r>
          </w:p>
        </w:tc>
      </w:tr>
    </w:tbl>
    <w:p>
      <w:pPr>
        <w:rPr>
          <w:noProof/>
        </w:rPr>
      </w:pPr>
    </w:p>
    <w:sectPr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CoverPage"/>
      <w:framePr w:wrap="around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RO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CoverPage"/>
      <w:framePr w:wrap="around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RO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CoverPage"/>
      <w:framePr w:wrap="around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 xml:space="preserve"> Normele erau aplicabile începând cu 1 mai 2004. </w:t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 xml:space="preserve"> Normele erau aplicabile începând cu 1 mai 2004.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CoverPage"/>
      <w:framePr w:wrap="aroun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CoverPage"/>
      <w:framePr w:wrap="aroun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CoverPage"/>
      <w:framePr w:wrap="aroun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oNotDisplayPageBoundaries/>
  <w:hideSpellingErrors/>
  <w:hideGrammaticalErrors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Status" w:val="Green"/>
    <w:docVar w:name="LW_ACCOMPAGNANT.CP" w:val="la "/>
    <w:docVar w:name="LW_ANNEX_NBR_FIRST" w:val="1"/>
    <w:docVar w:name="LW_ANNEX_NBR_LAST" w:val="1"/>
    <w:docVar w:name="LW_ANNEX_UNIQUE" w:val="0"/>
    <w:docVar w:name="LW_CORRIGENDUM" w:val="&lt;UNUSED&gt;"/>
    <w:docVar w:name="LW_COVERPAGE_EXISTS" w:val="True"/>
    <w:docVar w:name="LW_COVERPAGE_GUID" w:val="DA3ECE88-BED5-4540-9D4E-24C909961416"/>
    <w:docVar w:name="LW_COVERPAGE_TYPE" w:val="1"/>
    <w:docVar w:name="LW_CROSSREFERENCE" w:val="&lt;UNUSED&gt;"/>
    <w:docVar w:name="LW_DATE.ADOPT.CP_ISODATE" w:val="&lt;EMPTY&gt;"/>
    <w:docVar w:name="LW_DocType" w:val="NORMAL"/>
    <w:docVar w:name="LW_EMISSION" w:val="17.9.2026"/>
    <w:docVar w:name="LW_EMISSION_ISODATE" w:val="2026-09-17"/>
    <w:docVar w:name="LW_EMISSION_LOCATION" w:val="BRX"/>
    <w:docVar w:name="LW_EMISSION_PREFIX" w:val="Bruxelles, "/>
    <w:docVar w:name="LW_EMISSION_SUFFIX" w:val=" "/>
    <w:docVar w:name="LW_ID_DOCTYPE_NONLW" w:val="CP-039"/>
    <w:docVar w:name="LW_INTERETEEE.CP" w:val="&lt;UNUSED&gt;"/>
    <w:docVar w:name="LW_LANGUE" w:val="RO"/>
    <w:docVar w:name="LW_LANGUESFAISANTFOI.CP" w:val="&lt;UNUSED&gt;"/>
    <w:docVar w:name="LW_LEVEL_OF_SENSITIVITY" w:val="Standard treatment"/>
    <w:docVar w:name="LW_NOM.INST" w:val="COMISIA EUROPEAN\u258?"/>
    <w:docVar w:name="LW_NOM.INST_JOINTDOC" w:val="&lt;EMPTY&gt;"/>
    <w:docVar w:name="LW_OBJETACTEPRINCIPAL.CP" w:val="&lt;FMT:Font=Calibri CE&gt;privind normele adoptate de autoritatea împuternicit\u259? s\u259? fac\u259? numiri a fiec\u259?rei institu\u539?ii pentru punerea în aplicare a Statutului func\u539?ionarilor&lt;/FMT&gt;_x000d__x000d__x000d__x000b_"/>
    <w:docVar w:name="LW_PART_NBR" w:val="1"/>
    <w:docVar w:name="LW_PART_NBR_TOTAL" w:val="1"/>
    <w:docVar w:name="LW_REF.II.NEW.CP" w:val="&lt;UNUSED&gt;"/>
    <w:docVar w:name="LW_REF.II.NEW.CP_NUMBER" w:val="&lt;UNUSED&gt;"/>
    <w:docVar w:name="LW_REF.II.NEW.CP_YEAR" w:val="2026"/>
    <w:docVar w:name="LW_REF.INST.NEW" w:val="COM"/>
    <w:docVar w:name="LW_REF.INST.NEW_ADOPTED" w:val="final"/>
    <w:docVar w:name="LW_REF.INST.NEW_TEXT" w:val="(2026) 474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&lt;UNUSED&gt;"/>
    <w:docVar w:name="LW_TYPE.DOC.CP" w:val="ANEX\u258?_x000b_"/>
    <w:docVar w:name="LW_TYPEACTEPRINCIPAL.CP" w:val="RAPORTUL COMISIEI C\u258?TRE PARLAMENTUL EUROPEAN \u536?I CONSILIU _x000b_"/>
    <w:docVar w:name="LwApiVersions" w:val="LW4CoDe 1.25.1.0; LW 9.2, Build 2026070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E5F7CF48-5B3A-428C-88A9-D97459CCD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kern w:val="0"/>
      <w:sz w:val="20"/>
      <w:szCs w:val="20"/>
      <w:lang w:val="ro-RO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kern w:val="0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kern w:val="0"/>
      <w:lang w:val="ro-RO"/>
      <w14:ligatures w14:val="none"/>
    </w:rPr>
  </w:style>
  <w:style w:type="paragraph" w:customStyle="1" w:styleId="Pagedecouverture">
    <w:name w:val="Page de couverture"/>
    <w:basedOn w:val="Normal"/>
    <w:next w:val="Normal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FooterCoverPage">
    <w:name w:val="Footer Cover Page"/>
    <w:basedOn w:val="Normal"/>
    <w:link w:val="FooterCoverPageChar"/>
    <w:pPr>
      <w:framePr w:hSpace="180" w:wrap="around" w:hAnchor="margin" w:xAlign="center" w:y="-547"/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  <w:outlineLvl w:val="2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Pr>
      <w:rFonts w:ascii="Times New Roman" w:hAnsi="Times New Roman" w:cs="Times New Roman"/>
      <w:kern w:val="0"/>
      <w:sz w:val="24"/>
      <w14:ligatures w14:val="none"/>
    </w:rPr>
  </w:style>
  <w:style w:type="paragraph" w:customStyle="1" w:styleId="FooterSensitivity">
    <w:name w:val="Footer Sensitivity"/>
    <w:basedOn w:val="Normal"/>
    <w:link w:val="FooterSensitivityChar"/>
    <w:pPr>
      <w:framePr w:hSpace="180" w:wrap="around" w:hAnchor="margin" w:xAlign="center" w:y="-547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  <w:outlineLvl w:val="2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Pr>
      <w:rFonts w:ascii="Times New Roman" w:hAnsi="Times New Roman" w:cs="Times New Roman"/>
      <w:b/>
      <w:kern w:val="0"/>
      <w:sz w:val="32"/>
      <w14:ligatures w14:val="none"/>
    </w:rPr>
  </w:style>
  <w:style w:type="paragraph" w:customStyle="1" w:styleId="HeaderCoverPage">
    <w:name w:val="Header Cover Page"/>
    <w:basedOn w:val="Normal"/>
    <w:link w:val="HeaderCoverPageChar"/>
    <w:pPr>
      <w:framePr w:hSpace="180" w:wrap="around" w:hAnchor="margin" w:xAlign="center" w:y="-547"/>
      <w:tabs>
        <w:tab w:val="center" w:pos="4535"/>
        <w:tab w:val="right" w:pos="9071"/>
      </w:tabs>
      <w:spacing w:after="120" w:line="240" w:lineRule="auto"/>
      <w:jc w:val="both"/>
      <w:outlineLvl w:val="2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Pr>
      <w:rFonts w:ascii="Times New Roman" w:hAnsi="Times New Roman" w:cs="Times New Roman"/>
      <w:kern w:val="0"/>
      <w:sz w:val="24"/>
      <w14:ligatures w14:val="none"/>
    </w:rPr>
  </w:style>
  <w:style w:type="paragraph" w:customStyle="1" w:styleId="HeaderSensitivity">
    <w:name w:val="Header Sensitivity"/>
    <w:basedOn w:val="Normal"/>
    <w:link w:val="HeaderSensitivityChar"/>
    <w:pPr>
      <w:framePr w:hSpace="180" w:wrap="around" w:hAnchor="margin" w:xAlign="center" w:y="-547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  <w:outlineLvl w:val="2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Pr>
      <w:rFonts w:ascii="Times New Roman" w:hAnsi="Times New Roman" w:cs="Times New Roman"/>
      <w:b/>
      <w:kern w:val="0"/>
      <w:sz w:val="32"/>
      <w14:ligatures w14:val="none"/>
    </w:rPr>
  </w:style>
  <w:style w:type="paragraph" w:customStyle="1" w:styleId="HeaderSensitivityRight">
    <w:name w:val="Header Sensitivity Right"/>
    <w:basedOn w:val="Normal"/>
    <w:link w:val="HeaderSensitivityRightChar"/>
    <w:pPr>
      <w:framePr w:hSpace="180" w:wrap="around" w:hAnchor="margin" w:xAlign="center" w:y="-547"/>
      <w:spacing w:after="120" w:line="240" w:lineRule="auto"/>
      <w:jc w:val="right"/>
      <w:outlineLvl w:val="2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Pr>
      <w:rFonts w:ascii="Times New Roman" w:hAnsi="Times New Roman" w:cs="Times New Roman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circabc.europa.eu/ui/group/47001db4-d61c-4677-af45-0b5ce0d388fc/library/cfd53fd4-91f2-4bbd-906b-97047629a88b?p=1&amp;n=10&amp;sort=modified_DESC" TargetMode="External"/><Relationship Id="rId18" Type="http://schemas.openxmlformats.org/officeDocument/2006/relationships/header" Target="header6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openxmlformats.org/officeDocument/2006/relationships/settings" Target="setting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footer" Target="footer6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SVC-T1-CODE-PRD</cp:lastModifiedBy>
  <cp:revision>5</cp:revision>
  <dcterms:created xsi:type="dcterms:W3CDTF">2026-08-27T07:24:00Z</dcterms:created>
  <dcterms:modified xsi:type="dcterms:W3CDTF">2026-09-10T12:55:00Z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2024-09-23T08:10:37Z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4a09786c-5e71-4c85-83a6-6bac52e3270f</vt:lpwstr>
  </property>
  <property fmtid="{D5CDD505-2E9C-101B-9397-08002B2CF9AE}" pid="8" name="MSIP_Label_6bd9ddd1-4d20-43f6-abfa-fc3c07406f94_ContentBits">
    <vt:lpwstr>0</vt:lpwstr>
  </property>
  <property fmtid="{D5CDD505-2E9C-101B-9397-08002B2CF9AE}" pid="9" name="Level of sensitivity">
    <vt:lpwstr>Standard treatment</vt:lpwstr>
  </property>
  <property fmtid="{D5CDD505-2E9C-101B-9397-08002B2CF9AE}" pid="10" name="First annex">
    <vt:lpwstr>1</vt:lpwstr>
  </property>
  <property fmtid="{D5CDD505-2E9C-101B-9397-08002B2CF9AE}" pid="11" name="Last annex">
    <vt:lpwstr>1</vt:lpwstr>
  </property>
  <property fmtid="{D5CDD505-2E9C-101B-9397-08002B2CF9AE}" pid="12" name="Unique annex">
    <vt:lpwstr>0</vt:lpwstr>
  </property>
  <property fmtid="{D5CDD505-2E9C-101B-9397-08002B2CF9AE}" pid="13" name="Part">
    <vt:lpwstr>1</vt:lpwstr>
  </property>
  <property fmtid="{D5CDD505-2E9C-101B-9397-08002B2CF9AE}" pid="14" name="Total parts">
    <vt:lpwstr>1</vt:lpwstr>
  </property>
  <property fmtid="{D5CDD505-2E9C-101B-9397-08002B2CF9AE}" pid="15" name="DocStatus">
    <vt:lpwstr>Green</vt:lpwstr>
  </property>
  <property fmtid="{D5CDD505-2E9C-101B-9397-08002B2CF9AE}" pid="16" name="CPTemplateID">
    <vt:lpwstr>CP-039</vt:lpwstr>
  </property>
  <property fmtid="{D5CDD505-2E9C-101B-9397-08002B2CF9AE}" pid="17" name="Last edited using">
    <vt:lpwstr>LW 9.2, Build 20250828</vt:lpwstr>
  </property>
  <property fmtid="{D5CDD505-2E9C-101B-9397-08002B2CF9AE}" pid="18" name="Created using">
    <vt:lpwstr>LW 9.2, Build 20250828</vt:lpwstr>
  </property>
</Properties>
</file>