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00A354-AF32-4592-9F6C-1771C948BCD6" style="width:455.25pt;height:400.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lastRenderedPageBreak/>
              <w:t xml:space="preserve"> PARLEMENT EUROPÉEN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paragraphe 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Décision du bureau du 22 juin 2005 </w:t>
            </w:r>
            <w:r>
              <w:rPr>
                <w:rFonts w:ascii="Times New Roman" w:hAnsi="Times New Roman"/>
                <w:noProof/>
                <w:sz w:val="12"/>
              </w:rPr>
              <w:br/>
              <w:t>(Code de bonne conduite pour l’emploi des personnes handicapées)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22.6.2005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Règles internes relatives à la mise en œuvre de l’article 1</w:t>
            </w:r>
            <w:r>
              <w:rPr>
                <w:rFonts w:ascii="Times New Roman" w:hAnsi="Times New Roman"/>
                <w:noProof/>
                <w:sz w:val="12"/>
                <w:vertAlign w:val="superscript"/>
              </w:rPr>
              <w:t>er</w:t>
            </w:r>
            <w:r>
              <w:rPr>
                <w:rFonts w:ascii="Times New Roman" w:hAnsi="Times New Roman"/>
                <w:noProof/>
                <w:sz w:val="12"/>
              </w:rPr>
              <w:t> </w:t>
            </w:r>
            <w:r>
              <w:rPr>
                <w:rFonts w:ascii="Times New Roman" w:hAnsi="Times New Roman"/>
                <w:i/>
                <w:iCs/>
                <w:noProof/>
                <w:sz w:val="12"/>
              </w:rPr>
              <w:t>quinquies</w:t>
            </w:r>
            <w:r>
              <w:rPr>
                <w:rFonts w:ascii="Times New Roman" w:hAnsi="Times New Roman"/>
                <w:noProof/>
                <w:sz w:val="12"/>
              </w:rPr>
              <w:t>, paragraphe 4</w:t>
            </w:r>
            <w:r>
              <w:rPr>
                <w:rFonts w:ascii="Times New Roman" w:hAnsi="Times New Roman"/>
                <w:noProof/>
                <w:sz w:val="12"/>
              </w:rPr>
              <w:br/>
              <w:t xml:space="preserve"> (Personnes handicapées)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641"/>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Dépistage médical de certains agents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 w:name="_Hlk167185660"/>
            <w:r>
              <w:rPr>
                <w:rFonts w:ascii="Times New Roman" w:hAnsi="Times New Roman"/>
                <w:noProof/>
                <w:sz w:val="12"/>
              </w:rPr>
              <w:t>Décision du secrétaire général du 22 janvier 2018 –</w:t>
            </w:r>
            <w:bookmarkEnd w:id="1"/>
            <w:r>
              <w:rPr>
                <w:rFonts w:ascii="Times New Roman" w:hAnsi="Times New Roman"/>
                <w:noProof/>
                <w:sz w:val="12"/>
              </w:rPr>
              <w:t xml:space="preserve"> Réglementation interne relative au dépistage médical pour les postes de sécurité, de vigilance et à risques définis occupés par des fonctionnaires et d’autres agents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1.3.2018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991"/>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beforeLines="60" w:before="144" w:afterLines="60" w:after="144"/>
              <w:jc w:val="center"/>
              <w:rPr>
                <w:rFonts w:ascii="Times New Roman" w:eastAsia="Calibri" w:hAnsi="Times New Roman" w:cs="Times New Roman"/>
                <w:b/>
                <w:noProof/>
                <w:w w:val="105"/>
                <w:sz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 1 et 3</w:t>
            </w:r>
          </w:p>
          <w:p>
            <w:pPr>
              <w:widowControl w:val="0"/>
              <w:spacing w:after="0" w:line="240" w:lineRule="auto"/>
              <w:jc w:val="center"/>
              <w:rPr>
                <w:rFonts w:ascii="Times New Roman" w:eastAsia="Times New Roman" w:hAnsi="Times New Roman" w:cs="Times New Roman"/>
                <w:b/>
                <w:noProof/>
                <w:sz w:val="12"/>
                <w:szCs w:val="12"/>
              </w:rPr>
            </w:pPr>
            <w:r>
              <w:rPr>
                <w:rFonts w:ascii="Times New Roman" w:hAnsi="Times New Roman"/>
                <w:b/>
                <w:noProof/>
                <w:sz w:val="12"/>
              </w:rPr>
              <w:t>(et RAA)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b/>
                <w:noProof/>
                <w:sz w:val="16"/>
                <w:szCs w:val="16"/>
              </w:rPr>
            </w:pPr>
            <w:r>
              <w:rPr>
                <w:rFonts w:ascii="Times New Roman" w:hAnsi="Times New Roman"/>
                <w:b/>
                <w:noProof/>
                <w:sz w:val="16"/>
              </w:rPr>
              <w:t>Indemnité compensatoire pour le personnel affecté à Luxembourg dont la rémunération est</w:t>
            </w:r>
            <w:r>
              <w:rPr>
                <w:rFonts w:ascii="Times New Roman" w:hAnsi="Times New Roman"/>
                <w:b/>
                <w:noProof/>
                <w:sz w:val="16"/>
              </w:rPr>
              <w:br/>
              <w:t xml:space="preserve"> inférieure au salaire minimum</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Times New Roman" w:hAnsi="Times New Roman" w:cs="Times New Roman"/>
                <w:noProof/>
                <w:sz w:val="12"/>
                <w:szCs w:val="12"/>
              </w:rPr>
            </w:pPr>
            <w:bookmarkStart w:id="2" w:name="_Hlk167185695"/>
            <w:bookmarkStart w:id="3" w:name="_Hlk187219740"/>
            <w:r>
              <w:rPr>
                <w:rFonts w:ascii="Times New Roman" w:hAnsi="Times New Roman"/>
                <w:noProof/>
                <w:sz w:val="12"/>
              </w:rPr>
              <w:t>Décision du bureau du 26 avril 2021</w:t>
            </w:r>
            <w:bookmarkEnd w:id="2"/>
            <w:r>
              <w:rPr>
                <w:rFonts w:ascii="Times New Roman" w:hAnsi="Times New Roman"/>
                <w:noProof/>
                <w:sz w:val="12"/>
              </w:rPr>
              <w:t xml:space="preserve"> relative à l’octroi d’une indemnité en faveur des fonctionnaires et autres agents du Parlement européen affectés à Luxembourg dont la rémunération est inférieure au salaire minimum luxembourgeois </w:t>
            </w:r>
            <w:r>
              <w:rPr>
                <w:rFonts w:ascii="Times New Roman" w:hAnsi="Times New Roman"/>
                <w:noProof/>
                <w:sz w:val="12"/>
              </w:rPr>
              <w:br/>
              <w:t>(modifiée par la décision du bureau du 17.4.2023)</w:t>
            </w:r>
            <w:bookmarkEnd w:id="3"/>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2</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Pouvoirs de l’AIPN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bureau du 9 décembre 2013 portant délégation en ce qui concerne les questions en rapport avec la mise en œuvre du statut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9.12.2013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Décision du bureau du 13 janvier 2014 relative à la délégation des pouvoirs de l’autorité investie du pouvoir de nomination et de l’autorité habilitée à conclure les contrats d’engagement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13.1.2014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709"/>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secrétaire général du 25 septembre 2017 modifiant les pouvoirs de l’AIPN et de l’AHCC à la suite de la délégation des pouvoirs effectuée dans l’article 9, paragraphe 3, de la décision du bureau du 13 janvier 2014 relative à la délégation des pouvoirs de l’AIPN et de l’AHCC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1.10.2017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paragraphe 4</w:t>
            </w:r>
          </w:p>
        </w:tc>
        <w:tc>
          <w:tcPr>
            <w:tcW w:w="2551"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Types d’emplois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secrétaire général définissant les types d’emplois couverts par les différents types de postes au secrétariat du Parlement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11.12.2015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6"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7, paragraphe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Mobilité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Règlement régissant la mobilité du personnel – </w:t>
            </w:r>
            <w:r>
              <w:rPr>
                <w:rFonts w:ascii="Times New Roman" w:hAnsi="Times New Roman"/>
                <w:noProof/>
                <w:sz w:val="12"/>
              </w:rPr>
              <w:br/>
              <w:t>Décision du bureau du 15 janvier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Modalités pratiques d’exécution de la politique de mobilité – Décision du secrétaire général du 16 février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16.2.2019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6" w:space="0" w:color="000000"/>
              <w:left w:val="single" w:sz="4" w:space="0" w:color="000000"/>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 des rapports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président du 30 septembre 1993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30.9.1993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Droits et obligations du fonctionnaire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11 à 26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Code de conduite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du bureau du 7 juillet 2008 – Guide sur les obligations des fonctionnaires et autres agents du Parlement européen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7.7.2008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12 </w:t>
            </w:r>
            <w:r>
              <w:rPr>
                <w:rFonts w:ascii="Times New Roman" w:hAnsi="Times New Roman"/>
                <w:b/>
                <w:i/>
                <w:iCs/>
                <w:noProof/>
                <w:sz w:val="12"/>
              </w:rPr>
              <w:t>bis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Harcèlement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bookmarkStart w:id="4" w:name="_Hlk167185768"/>
            <w:r>
              <w:rPr>
                <w:rFonts w:ascii="Times New Roman" w:hAnsi="Times New Roman"/>
                <w:noProof/>
                <w:sz w:val="12"/>
              </w:rPr>
              <w:t>Règles internes relatives au comité consultatif sur le harcèlement</w:t>
            </w:r>
            <w:bookmarkEnd w:id="4"/>
            <w:r>
              <w:rPr>
                <w:rFonts w:ascii="Times New Roman" w:hAnsi="Times New Roman"/>
                <w:noProof/>
                <w:sz w:val="12"/>
              </w:rPr>
              <w:t xml:space="preserve"> et sa prévention sur le lieu de travail – DV\ 608697 – 21 février 2006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21.2.2006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Décision du bureau relative au fonctionnement du comité consultatif traitant des plaintes pour harcèlement concernant des députés au Parlement européen et à ses procédures de traitement des plaintes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1.9.2018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Dénonciation des dysfonctionnements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secrétaire général portant règles internes relatives à la mise en œuvre de l’article 22 </w:t>
            </w:r>
            <w:r>
              <w:rPr>
                <w:rFonts w:ascii="Times New Roman" w:hAnsi="Times New Roman"/>
                <w:i/>
                <w:iCs/>
                <w:noProof/>
                <w:sz w:val="12"/>
              </w:rPr>
              <w:t>quater</w:t>
            </w:r>
            <w:r>
              <w:rPr>
                <w:rFonts w:ascii="Times New Roman" w:hAnsi="Times New Roman"/>
                <w:noProof/>
                <w:sz w:val="12"/>
              </w:rPr>
              <w:t xml:space="preserve"> du statut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30.11.2023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bureau portant règles internes relatives à la mise en œuvre de l’article 22 </w:t>
            </w:r>
            <w:r>
              <w:rPr>
                <w:rFonts w:ascii="Times New Roman" w:hAnsi="Times New Roman"/>
                <w:i/>
                <w:iCs/>
                <w:noProof/>
                <w:sz w:val="12"/>
              </w:rPr>
              <w:t>quater</w:t>
            </w:r>
            <w:r>
              <w:rPr>
                <w:rFonts w:ascii="Times New Roman" w:hAnsi="Times New Roman"/>
                <w:noProof/>
                <w:sz w:val="12"/>
              </w:rPr>
              <w:t xml:space="preserve"> du statut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Demandes d’aide – Plaintes pour harcèlement concernant des députés au Parlement européen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du bureau relative au fonctionnement du comité consultatif traitant des plaintes pour harcèlement concernant des députés au Parlement européen et à ses procédures de traitement des plaintes </w:t>
            </w:r>
            <w:r>
              <w:rPr>
                <w:rFonts w:ascii="Times New Roman" w:hAnsi="Times New Roman"/>
                <w:noProof/>
                <w:sz w:val="12"/>
              </w:rPr>
              <w:br/>
              <w:t>(modifiée le 10 juillet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before="1"/>
              <w:jc w:val="center"/>
              <w:rPr>
                <w:rFonts w:ascii="Times New Roman" w:eastAsia="Times New Roman" w:hAnsi="Times New Roman" w:cs="Times New Roman"/>
                <w:b/>
                <w:noProof/>
                <w:sz w:val="12"/>
                <w:szCs w:val="12"/>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24 </w:t>
            </w:r>
            <w:r>
              <w:rPr>
                <w:rFonts w:ascii="Times New Roman" w:hAnsi="Times New Roman"/>
                <w:b/>
                <w:i/>
                <w:iCs/>
                <w:noProof/>
                <w:sz w:val="12"/>
              </w:rPr>
              <w:t>bis</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Formation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Règles internes relatives à la formation professionnelle des agents du Parlement européen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29.2.2021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secrétaire général sur la formation et le développement pour le personnel du Parlement européen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1.3.2021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7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Équilibre géographique</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Dispositions générales d’exécution de l’article 27 du statut des fonctionnaires de l’Union européenne, adoptées par la décision du bureau </w:t>
            </w:r>
            <w:r>
              <w:rPr>
                <w:rFonts w:ascii="Times New Roman" w:hAnsi="Times New Roman"/>
                <w:noProof/>
                <w:sz w:val="12"/>
              </w:rPr>
              <w:br/>
              <w:t>du 21 novembre 2022</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21"/>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à 34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concours et sélections, au recrutement et au classement des fonctionnaires et des autres agents</w:t>
            </w:r>
            <w:r>
              <w:rPr>
                <w:rFonts w:ascii="Times New Roman" w:hAnsi="Times New Roman"/>
                <w:noProof/>
                <w:sz w:val="12"/>
              </w:rPr>
              <w:br/>
              <w:t xml:space="preserve"> du 17 octobre 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 paragraphe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Recrutement de personnel d’encadrement supérieur</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Décision du bureau fixant les étapes de la procédure de nomination des hauts fonctionnaires </w:t>
            </w:r>
            <w:r>
              <w:rPr>
                <w:rFonts w:ascii="Times New Roman" w:hAnsi="Times New Roman"/>
                <w:noProof/>
                <w:sz w:val="12"/>
              </w:rPr>
              <w:br/>
              <w:t>(modifiée en dernier lieu le 18 février 2008)</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16.5.2000</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2 – Détachement</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37, point 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Détachement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Règles internes relatives au détachement de fonctionnaires du 16 octobre 2014, suivant l’article 37, point 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convenance personnelle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Règles internes relatives au congé de convenance personnelle et au congé sans rémunération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du secrétaire général du 4 septembre 2014 portant dispositions générales d’exécution relatives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1.10.2014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familial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Règles internes relatives au congé familial du 4 juin 2014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4" w:space="0" w:color="auto"/>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761"/>
        </w:trPr>
        <w:tc>
          <w:tcPr>
            <w:tcW w:w="1157"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7"/>
              </w:rPr>
              <w:t>Rapport annuel</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Dispositions générales d’exécution relatives à la mise en œuvre de l’article 43 du statut des fonctionnaires et de l’article 15, paragraphe 2, et de l’article 87, paragraphe 1, du régime applicable aux autres agents (rapports de notation)</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02"/>
        </w:trPr>
        <w:tc>
          <w:tcPr>
            <w:tcW w:w="1157" w:type="dxa"/>
            <w:vMerge/>
            <w:tcBorders>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Règles internes régissant l’application des dispositions générales d’exécution relatives à la mise en œuvre de l’article 43 du statut des fonctionnaires et de l’article 15, paragraphe 2, et de l’article 87, paragraphe 1, du régime applicable aux autres agents (rapports de notation)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0"/>
        </w:trPr>
        <w:tc>
          <w:tcPr>
            <w:tcW w:w="1157"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Dispositions générales d’exécution relatives à la procédure de notation, applicables à l’encadrement supérieur, conformément à l’article 43 du statut et à l’article 15, paragraphe 2, du régime applicable aux autres agents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27.2.2015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val="539"/>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44, 2</w:t>
            </w:r>
            <w:r>
              <w:rPr>
                <w:rFonts w:ascii="Times New Roman" w:hAnsi="Times New Roman"/>
                <w:b/>
                <w:noProof/>
                <w:sz w:val="12"/>
                <w:vertAlign w:val="superscript"/>
              </w:rPr>
              <w:t>e</w:t>
            </w:r>
            <w:r>
              <w:rPr>
                <w:rFonts w:ascii="Times New Roman" w:hAnsi="Times New Roman"/>
                <w:b/>
                <w:noProof/>
                <w:sz w:val="12"/>
              </w:rPr>
              <w:t> alinéa, à 46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Confirmation dans des postes d’encadrement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Règles internes confirmant la nomination de chefs d’unité, de directeurs et de directeurs généraux</w:t>
            </w:r>
            <w:r>
              <w:rPr>
                <w:rFonts w:ascii="Times New Roman" w:hAnsi="Times New Roman"/>
                <w:noProof/>
                <w:sz w:val="12"/>
              </w:rPr>
              <w:br/>
              <w:t xml:space="preserve"> (modifiées en dernier lieu le 18 juillet 2014)</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7.7.2008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val="restart"/>
            <w:tcBorders>
              <w:top w:val="single" w:sz="4" w:space="0" w:color="auto"/>
              <w:left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7"/>
              </w:rPr>
              <w:t>Promotions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Règles internes relatives aux comités consultatifs de promotion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18.7.2014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tcBorders>
              <w:left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Règles internes relatives à l’attribution des points de mérite et des promotions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20.12.2017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tcBorders>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du secrétaire général du 20 juin 2014 relative à la politique de promotion et de progression des carrières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20.6.2014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Dispositions générales d’exécution relatives à la procédure de certification</w:t>
            </w:r>
            <w:r>
              <w:rPr>
                <w:rFonts w:ascii="Times New Roman" w:hAnsi="Times New Roman"/>
                <w:noProof/>
                <w:sz w:val="12"/>
              </w:rPr>
              <w:br/>
              <w:t xml:space="preserve"> (article 45 </w:t>
            </w:r>
            <w:r>
              <w:rPr>
                <w:rFonts w:ascii="Times New Roman" w:hAnsi="Times New Roman"/>
                <w:i/>
                <w:iCs/>
                <w:noProof/>
                <w:sz w:val="12"/>
              </w:rPr>
              <w:t>bis</w:t>
            </w:r>
            <w:r>
              <w:rPr>
                <w:rFonts w:ascii="Times New Roman" w:hAnsi="Times New Roman"/>
                <w:noProof/>
                <w:sz w:val="12"/>
              </w:rPr>
              <w:t xml:space="preserve"> du statut)</w:t>
            </w:r>
            <w:r>
              <w:rPr>
                <w:rFonts w:ascii="Times New Roman" w:hAnsi="Times New Roman"/>
                <w:noProof/>
                <w:sz w:val="12"/>
              </w:rPr>
              <w:br/>
              <w:t xml:space="preserve"> (modifiées en dernier lieu le 7 juillet 2008)</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26.9.2005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lastRenderedPageBreak/>
              <w:t>Chapitre 4 – Cessation définitive des fonctions</w:t>
            </w:r>
          </w:p>
        </w:tc>
      </w:tr>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Section 4 – Procédures de traitement de l’insuffisance professionnelle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Insuffisance professionnelle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bookmarkStart w:id="5" w:name="_Hlk167185817"/>
            <w:r>
              <w:rPr>
                <w:rFonts w:ascii="Times New Roman" w:hAnsi="Times New Roman"/>
                <w:noProof/>
                <w:sz w:val="12"/>
              </w:rPr>
              <w:t>Règles internes relatives à la mise en œuvre de l’article 51</w:t>
            </w:r>
            <w:bookmarkEnd w:id="5"/>
            <w:r>
              <w:rPr>
                <w:rFonts w:ascii="Times New Roman" w:hAnsi="Times New Roman"/>
                <w:noProof/>
                <w:sz w:val="12"/>
              </w:rPr>
              <w:t xml:space="preserve">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Conditions de travail des interprètes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Dispositions applicables aux interprètes et agents interprètes de conférence au Parlement européen – Décision du secrétaire général du 19 juillet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5.11.2023</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Dispositions applicables aux interprètes et agents interprètes de conférence au Parlement européen – Décision du secrétaire général du 27 octobre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Télétravail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du secrétaire général concernant le régime de télétravail pour les linguistes travaillant à la direction de la traduction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10.2.2009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31.8.2021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secrétaire général relative au télétravail au Parlement européen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31.8.2021</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Décision du secrétaire général relative au télétravail au Parlement européen du 16 juillet 2021</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31.11.2022</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du secrétaire général relative au télétravail au Parlement européen du 29 novembre 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w:t>
            </w:r>
            <w:r>
              <w:rPr>
                <w:rFonts w:ascii="Times New Roman" w:hAnsi="Times New Roman"/>
                <w:b/>
                <w:noProof/>
                <w:sz w:val="12"/>
              </w:rPr>
              <w:br/>
              <w:t>annexe IV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Activité à temps partiel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du secrétaire général du 4 juin 2014 portant règles internes relatives à l’exercice de l’activité à temps partiel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 xml:space="preserve">56 + </w:t>
            </w:r>
            <w:r>
              <w:rPr>
                <w:rFonts w:ascii="Times New Roman" w:hAnsi="Times New Roman"/>
                <w:b/>
                <w:noProof/>
                <w:sz w:val="12"/>
              </w:rPr>
              <w:br/>
              <w:t>annexe VI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Heures supplémentaires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Règles internes relatives aux heures supplémentaires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C5D9F1"/>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shd w:val="clear" w:color="auto" w:fill="C5D9F1"/>
              </w:rPr>
              <w:t>57 + annexe</w:t>
            </w:r>
            <w:r>
              <w:rPr>
                <w:rFonts w:ascii="Times New Roman" w:hAnsi="Times New Roman"/>
                <w:b/>
                <w:noProof/>
                <w:sz w:val="12"/>
              </w:rPr>
              <w:t> V</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Congés annuels et congés spéciaux</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Règles internes relatives à la gestion des congés </w:t>
            </w:r>
            <w:r>
              <w:rPr>
                <w:rFonts w:ascii="Times New Roman" w:hAnsi="Times New Roman"/>
                <w:noProof/>
                <w:sz w:val="12"/>
              </w:rPr>
              <w:br/>
              <w:t xml:space="preserve">(modifiées par la décision du secrétaire général </w:t>
            </w:r>
            <w:r>
              <w:rPr>
                <w:rFonts w:ascii="Times New Roman" w:hAnsi="Times New Roman"/>
                <w:noProof/>
                <w:sz w:val="12"/>
              </w:rPr>
              <w:br/>
              <w:t>du 2 avril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7"/>
              </w:rPr>
              <w:t>Congé de maternité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bookmarkStart w:id="6" w:name="_Hlk167185593"/>
            <w:r>
              <w:rPr>
                <w:rFonts w:ascii="Times New Roman" w:hAnsi="Times New Roman"/>
                <w:noProof/>
                <w:sz w:val="12"/>
              </w:rPr>
              <w:t>Règles internes relatives à la gestion des congés</w:t>
            </w:r>
            <w:r>
              <w:rPr>
                <w:rFonts w:ascii="Times New Roman" w:hAnsi="Times New Roman"/>
                <w:noProof/>
                <w:sz w:val="12"/>
              </w:rPr>
              <w:br/>
              <w:t xml:space="preserve"> (modifiées par la décision du secrétaire général) </w:t>
            </w:r>
            <w:r>
              <w:rPr>
                <w:rFonts w:ascii="Times New Roman" w:hAnsi="Times New Roman"/>
                <w:noProof/>
                <w:sz w:val="12"/>
              </w:rPr>
              <w:br/>
              <w:t>du 2 avril 2023)</w:t>
            </w:r>
            <w:bookmarkEnd w:id="6"/>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59 à 60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Congé de maladie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Règles internes relatives aux contrôles des absences au travail et aux contrôles périodiques de la persistance des invalidités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83"/>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18"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67 et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annexe VII</w:t>
            </w:r>
            <w:r>
              <w:rPr>
                <w:rFonts w:ascii="Times New Roman" w:hAnsi="Times New Roman"/>
                <w:b/>
                <w:noProof/>
                <w:sz w:val="12"/>
              </w:rPr>
              <w:br/>
              <w:t xml:space="preserve"> (art. 1 et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Allocations familiales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allocations familiales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72"/>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18"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Allocation de foyer par décision spéciale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l’allocation de foyer par décision spéciale</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before="18"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w:t>
            </w:r>
            <w:r>
              <w:rPr>
                <w:rFonts w:ascii="Times New Roman" w:hAnsi="Times New Roman"/>
                <w:b/>
                <w:noProof/>
                <w:sz w:val="12"/>
              </w:rPr>
              <w:br/>
              <w:t xml:space="preserve"> (art.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Personnes assimilées à un enfant à charge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en matière de personne assimilée à l’enfant à charge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l’octroi de l’allocation scolaire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1.12.2016</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7"/>
              </w:rPr>
              <w:t>Section 3 – Remboursement de frais</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lastRenderedPageBreak/>
              <w:t>71 + annexe</w:t>
            </w:r>
            <w:r>
              <w:rPr>
                <w:rFonts w:ascii="Times New Roman" w:hAnsi="Times New Roman"/>
                <w:noProof/>
                <w:sz w:val="12"/>
              </w:rPr>
              <w:t> </w:t>
            </w:r>
            <w:r>
              <w:rPr>
                <w:rFonts w:ascii="Times New Roman" w:hAnsi="Times New Roman"/>
                <w:b/>
                <w:noProof/>
                <w:sz w:val="12"/>
              </w:rPr>
              <w:t xml:space="preserve">VII </w:t>
            </w:r>
            <w:r>
              <w:rPr>
                <w:rFonts w:ascii="Times New Roman" w:hAnsi="Times New Roman"/>
                <w:b/>
                <w:noProof/>
                <w:sz w:val="12"/>
              </w:rPr>
              <w:br/>
              <w:t>(art. 7 et 8)</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voyage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 paiement des frais de voyage annuels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6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71 + annexe</w:t>
            </w:r>
            <w:r>
              <w:rPr>
                <w:rFonts w:ascii="Times New Roman" w:hAnsi="Times New Roman"/>
                <w:noProof/>
                <w:sz w:val="12"/>
              </w:rPr>
              <w:t> </w:t>
            </w:r>
            <w:r>
              <w:rPr>
                <w:rFonts w:ascii="Times New Roman" w:hAnsi="Times New Roman"/>
                <w:b/>
                <w:noProof/>
                <w:sz w:val="12"/>
              </w:rPr>
              <w:t xml:space="preserve">VII </w:t>
            </w:r>
            <w:r>
              <w:rPr>
                <w:rFonts w:ascii="Times New Roman" w:hAnsi="Times New Roman"/>
                <w:b/>
                <w:noProof/>
                <w:sz w:val="12"/>
              </w:rPr>
              <w:br/>
              <w:t>(art. 8)</w:t>
            </w:r>
          </w:p>
        </w:tc>
        <w:tc>
          <w:tcPr>
            <w:tcW w:w="2551"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Lieu d’origine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la détermination ou au changement de lieu d’origine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5" w:space="0" w:color="000000"/>
              <w:left w:val="single" w:sz="4" w:space="0" w:color="000000"/>
              <w:bottom w:val="single" w:sz="5" w:space="0" w:color="000000"/>
              <w:right w:val="single" w:sz="4" w:space="0" w:color="auto"/>
            </w:tcBorders>
            <w:shd w:val="clear" w:color="auto" w:fill="FFFF65"/>
            <w:vAlign w:val="center"/>
          </w:tcPr>
          <w:p>
            <w:pPr>
              <w:widowControl w:val="0"/>
              <w:spacing w:before="3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71 + annexe</w:t>
            </w:r>
            <w:r>
              <w:rPr>
                <w:rFonts w:ascii="Times New Roman" w:hAnsi="Times New Roman"/>
                <w:noProof/>
                <w:sz w:val="12"/>
              </w:rPr>
              <w:t> </w:t>
            </w:r>
            <w:r>
              <w:rPr>
                <w:rFonts w:ascii="Times New Roman" w:hAnsi="Times New Roman"/>
                <w:b/>
                <w:noProof/>
                <w:sz w:val="12"/>
              </w:rPr>
              <w:t xml:space="preserve">VII </w:t>
            </w:r>
            <w:r>
              <w:rPr>
                <w:rFonts w:ascii="Times New Roman" w:hAnsi="Times New Roman"/>
                <w:b/>
                <w:noProof/>
                <w:sz w:val="12"/>
              </w:rPr>
              <w:br/>
              <w:t>(art. 9)</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 remboursement des frais de déménagement</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vMerge w:val="restart"/>
            <w:tcBorders>
              <w:top w:val="single" w:sz="5" w:space="0" w:color="000000"/>
              <w:left w:val="single" w:sz="4" w:space="0" w:color="000000"/>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71 + </w:t>
            </w:r>
            <w:r>
              <w:rPr>
                <w:rFonts w:ascii="Times New Roman" w:hAnsi="Times New Roman"/>
                <w:b/>
                <w:noProof/>
                <w:sz w:val="12"/>
              </w:rPr>
              <w:br/>
              <w:t>annexe VII</w:t>
            </w:r>
          </w:p>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 (art. 11 à 13 </w:t>
            </w:r>
            <w:r>
              <w:rPr>
                <w:rFonts w:ascii="Times New Roman" w:hAnsi="Times New Roman"/>
                <w:b/>
                <w:i/>
                <w:iCs/>
                <w:noProof/>
                <w:sz w:val="12"/>
              </w:rPr>
              <w:t>bis</w:t>
            </w:r>
            <w:r>
              <w:rPr>
                <w:rFonts w:ascii="Times New Roman" w:hAnsi="Times New Roman"/>
                <w:b/>
                <w:noProof/>
                <w:sz w:val="12"/>
              </w:rPr>
              <w:t>)</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 remboursement des frais de mission et de déplacement</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10.9.2009</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65"/>
        </w:trPr>
        <w:tc>
          <w:tcPr>
            <w:tcW w:w="1156" w:type="dxa"/>
            <w:vMerge/>
            <w:tcBorders>
              <w:left w:val="single" w:sz="4" w:space="0" w:color="000000"/>
              <w:bottom w:val="single" w:sz="3" w:space="0" w:color="000000"/>
              <w:right w:val="single" w:sz="4" w:space="0" w:color="auto"/>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4" w:space="0" w:color="auto"/>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bookmarkStart w:id="7" w:name="_Hlk167187221"/>
            <w:r>
              <w:rPr>
                <w:rFonts w:ascii="Times New Roman" w:hAnsi="Times New Roman"/>
                <w:noProof/>
                <w:sz w:val="12"/>
              </w:rPr>
              <w:t xml:space="preserve">Règles internes relatives à la gestion des missions et des déplacements des fonctionnaires et des autres agents du Parlement européen </w:t>
            </w:r>
            <w:r>
              <w:rPr>
                <w:rFonts w:ascii="Times New Roman" w:hAnsi="Times New Roman"/>
                <w:noProof/>
                <w:sz w:val="12"/>
              </w:rPr>
              <w:br/>
              <w:t>(décision du secrétaire général du 20 juillet 2018)</w:t>
            </w:r>
            <w:bookmarkEnd w:id="7"/>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1.9.2018</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spacing w:after="120"/>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rPr>
            </w:pPr>
            <w:r>
              <w:rPr>
                <w:rFonts w:ascii="Times New Roman" w:hAnsi="Times New Roman"/>
                <w:b/>
                <w:noProof/>
                <w:sz w:val="19"/>
              </w:rPr>
              <w:t>Chapitre 2 – Sécurité sociale</w:t>
            </w:r>
          </w:p>
        </w:tc>
      </w:tr>
      <w:tr>
        <w:trPr>
          <w:trHeight w:hRule="exact" w:val="677"/>
        </w:trPr>
        <w:tc>
          <w:tcPr>
            <w:tcW w:w="1156" w:type="dxa"/>
            <w:tcBorders>
              <w:top w:val="single" w:sz="6" w:space="0" w:color="000000"/>
              <w:left w:val="single" w:sz="4" w:space="0" w:color="000000"/>
              <w:bottom w:val="single" w:sz="6" w:space="0" w:color="000000"/>
              <w:right w:val="single" w:sz="3" w:space="0" w:color="000000"/>
            </w:tcBorders>
            <w:vAlign w:val="center"/>
          </w:tcPr>
          <w:p>
            <w:pPr>
              <w:widowControl w:val="0"/>
              <w:spacing w:before="83" w:after="20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76</w:t>
            </w:r>
          </w:p>
        </w:tc>
        <w:tc>
          <w:tcPr>
            <w:tcW w:w="2551"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135" w:after="200" w:line="240" w:lineRule="auto"/>
              <w:jc w:val="center"/>
              <w:rPr>
                <w:rFonts w:ascii="Times New Roman" w:eastAsia="Calibri" w:hAnsi="Times New Roman" w:cs="Times New Roman"/>
                <w:noProof/>
                <w:sz w:val="16"/>
                <w:szCs w:val="16"/>
              </w:rPr>
            </w:pPr>
            <w:r>
              <w:rPr>
                <w:rFonts w:ascii="Times New Roman" w:hAnsi="Times New Roman"/>
                <w:b/>
                <w:noProof/>
                <w:sz w:val="16"/>
              </w:rPr>
              <w:t>Aide financière</w:t>
            </w:r>
          </w:p>
        </w:tc>
        <w:tc>
          <w:tcPr>
            <w:tcW w:w="3029"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9" w:after="200" w:line="254" w:lineRule="auto"/>
              <w:ind w:right="121"/>
              <w:jc w:val="center"/>
              <w:rPr>
                <w:rFonts w:ascii="Times New Roman" w:eastAsia="Calibri" w:hAnsi="Times New Roman" w:cs="Times New Roman"/>
                <w:noProof/>
                <w:sz w:val="12"/>
                <w:szCs w:val="12"/>
              </w:rPr>
            </w:pPr>
            <w:r>
              <w:rPr>
                <w:rFonts w:ascii="Times New Roman" w:hAnsi="Times New Roman"/>
                <w:noProof/>
                <w:sz w:val="12"/>
              </w:rPr>
              <w:t>Règles internes relatives à l’application de l’article 76 du statut portant sur l’aide financière octroyée aux fonctionnaires et agents se trouvant dans une situation financière particulièrement difficile</w:t>
            </w:r>
          </w:p>
        </w:tc>
        <w:tc>
          <w:tcPr>
            <w:tcW w:w="1322"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1.12.2016</w:t>
            </w:r>
          </w:p>
        </w:tc>
        <w:tc>
          <w:tcPr>
            <w:tcW w:w="1687"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3" w:space="0" w:color="000000"/>
              <w:bottom w:val="single" w:sz="6"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 VIII – Pensions et allocation d’invalidité</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annexe VIII</w:t>
            </w:r>
            <w:r>
              <w:rPr>
                <w:rFonts w:ascii="Times New Roman" w:hAnsi="Times New Roman"/>
                <w:b/>
                <w:noProof/>
                <w:sz w:val="12"/>
              </w:rPr>
              <w:br/>
              <w:t xml:space="preserve"> (art. 11 et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Transfert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 transfert des droits à pension</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73 et</w:t>
            </w:r>
            <w:r>
              <w:rPr>
                <w:rFonts w:ascii="Times New Roman" w:hAnsi="Times New Roman"/>
                <w:noProof/>
                <w:sz w:val="12"/>
              </w:rPr>
              <w:t xml:space="preserve"> </w:t>
            </w:r>
            <w:r>
              <w:rPr>
                <w:rFonts w:ascii="Times New Roman" w:hAnsi="Times New Roman"/>
                <w:b/>
                <w:noProof/>
                <w:sz w:val="12"/>
              </w:rPr>
              <w:t>78 + annexe VIII</w:t>
            </w:r>
          </w:p>
        </w:tc>
        <w:tc>
          <w:tcPr>
            <w:tcW w:w="2551"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d’invalidité</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Règles internes relatives à la procédure pour la convocation de la commission d’invalidité</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24.9.2010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567"/>
        </w:trPr>
        <w:tc>
          <w:tcPr>
            <w:tcW w:w="1156" w:type="dxa"/>
            <w:tcBorders>
              <w:top w:val="single" w:sz="5" w:space="0" w:color="000000"/>
              <w:left w:val="single" w:sz="4" w:space="0" w:color="000000"/>
              <w:bottom w:val="single" w:sz="5" w:space="0" w:color="000000"/>
              <w:right w:val="single" w:sz="4"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annexe IX</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disciplinaires et enquêtes administratives</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du secrétaire général du 18 mai 2004 concernant les dispositions générales d’exécution relatives aux procédures disciplinaires et aux enquêtes administratives</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6"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 86 + annexe IX</w:t>
            </w:r>
          </w:p>
        </w:tc>
        <w:tc>
          <w:tcPr>
            <w:tcW w:w="2551"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Enquêtes concernant les jurys EPSO</w:t>
            </w:r>
          </w:p>
        </w:tc>
        <w:tc>
          <w:tcPr>
            <w:tcW w:w="3029"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du secrétaire général du 25 avril 2006</w:t>
            </w:r>
          </w:p>
        </w:tc>
        <w:tc>
          <w:tcPr>
            <w:tcW w:w="1322"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25.4.2006</w:t>
            </w:r>
          </w:p>
        </w:tc>
        <w:tc>
          <w:tcPr>
            <w:tcW w:w="1687"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7"/>
              </w:rPr>
              <w:t>1 RE</w:t>
            </w:r>
          </w:p>
        </w:tc>
      </w:tr>
    </w:tbl>
    <w:p>
      <w:pP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779"/>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8 + 12, paragraphe 5</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Politique générale d’engagement des agents temporaires</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35" w:after="0" w:line="254" w:lineRule="auto"/>
              <w:ind w:right="258"/>
              <w:jc w:val="center"/>
              <w:rPr>
                <w:noProof/>
              </w:rPr>
            </w:pPr>
            <w:r>
              <w:rPr>
                <w:rFonts w:ascii="Times New Roman" w:hAnsi="Times New Roman"/>
                <w:noProof/>
                <w:sz w:val="12"/>
              </w:rPr>
              <w:t>Dispositions générales d’exécution relatives aux concours et sélections, au recrutement et au classement des fonctionnaires et des autres agents du 17 octobre 2014</w:t>
            </w:r>
          </w:p>
        </w:tc>
        <w:tc>
          <w:tcPr>
            <w:tcW w:w="1322"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5" w:space="0" w:color="000000"/>
              <w:left w:val="single" w:sz="3" w:space="0" w:color="000000"/>
              <w:bottom w:val="single" w:sz="5"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79"/>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Reclassement des agents temporaires</w:t>
            </w:r>
          </w:p>
        </w:tc>
        <w:tc>
          <w:tcPr>
            <w:tcW w:w="3029" w:type="dxa"/>
            <w:tcBorders>
              <w:top w:val="single" w:sz="6" w:space="0" w:color="000000"/>
              <w:left w:val="single" w:sz="4" w:space="0" w:color="000000"/>
              <w:bottom w:val="single" w:sz="4" w:space="0" w:color="000000"/>
              <w:right w:val="single" w:sz="4" w:space="0" w:color="000000"/>
            </w:tcBorders>
            <w:shd w:val="clear" w:color="auto" w:fill="D99594"/>
            <w:vAlign w:val="center"/>
          </w:tcPr>
          <w:p>
            <w:pPr>
              <w:widowControl w:val="0"/>
              <w:spacing w:before="35" w:after="0" w:line="254" w:lineRule="auto"/>
              <w:ind w:right="258"/>
              <w:jc w:val="center"/>
              <w:rPr>
                <w:noProof/>
              </w:rPr>
            </w:pPr>
            <w:r>
              <w:rPr>
                <w:rFonts w:ascii="Times New Roman" w:hAnsi="Times New Roman"/>
                <w:noProof/>
                <w:sz w:val="12"/>
              </w:rPr>
              <w:t>Règles internes relatives au reclassement des agents temporaires engagés en application de l’article 2, point a), du régime applicable aux autres agents</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21.10.2014</w:t>
            </w:r>
          </w:p>
        </w:tc>
        <w:tc>
          <w:tcPr>
            <w:tcW w:w="1687" w:type="dxa"/>
            <w:tcBorders>
              <w:top w:val="single" w:sz="5" w:space="0" w:color="000000"/>
              <w:left w:val="single" w:sz="3" w:space="0" w:color="000000"/>
              <w:bottom w:val="single" w:sz="3"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6" w:space="0" w:color="000000"/>
              <w:left w:val="single" w:sz="4" w:space="0" w:color="000000"/>
              <w:bottom w:val="single" w:sz="4" w:space="0" w:color="auto"/>
              <w:right w:val="single" w:sz="6"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4 – Conditions de travail</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 de maternité et son paiement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Règles internes relatives à la gestion des congés</w:t>
            </w:r>
            <w:r>
              <w:rPr>
                <w:rFonts w:ascii="Times New Roman" w:hAnsi="Times New Roman"/>
                <w:noProof/>
                <w:sz w:val="12"/>
              </w:rPr>
              <w:br/>
              <w:t xml:space="preserve"> (modifiées par la décision du secrétaire général du 12 avril 2023)</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lastRenderedPageBreak/>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1" w:after="0" w:line="240" w:lineRule="auto"/>
              <w:jc w:val="center"/>
              <w:rPr>
                <w:rFonts w:ascii="Times New Roman" w:eastAsia="Times New Roman" w:hAnsi="Times New Roman" w:cs="Times New Roman"/>
                <w:b/>
                <w:bCs/>
                <w:noProof/>
                <w:sz w:val="9"/>
                <w:szCs w:val="9"/>
              </w:rPr>
            </w:pPr>
          </w:p>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concours et sélections, au recrutement et au classement des fonctionnaires et des autres agents du 17 octobre 2014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Procédures de recrutement des agents contractuels</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Dispositions générales d’exécution relatives aux concours et sélections, au recrutement et au classement des fonctionnaires et des autres agents du 17 octobre 2014</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Grades au recrutement</w:t>
            </w:r>
          </w:p>
        </w:tc>
        <w:tc>
          <w:tcPr>
            <w:tcW w:w="3029" w:type="dxa"/>
            <w:tcBorders>
              <w:top w:val="single" w:sz="4" w:space="0" w:color="auto"/>
              <w:left w:val="single" w:sz="4" w:space="0" w:color="000000"/>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concours et sélections, au recrutement et au classement des fonctionnaires et des autres agents du 17 octobre 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Chapitre 4 – Dispositions particulières applicables aux agents contractuels visés à l’article 3 </w:t>
            </w:r>
            <w:r>
              <w:rPr>
                <w:rFonts w:ascii="Times New Roman" w:hAnsi="Times New Roman"/>
                <w:b/>
                <w:i/>
                <w:iCs/>
                <w:noProof/>
                <w:sz w:val="19"/>
              </w:rPr>
              <w:t>bis</w:t>
            </w:r>
          </w:p>
        </w:tc>
      </w:tr>
      <w:tr>
        <w:trPr>
          <w:trHeight w:hRule="exact" w:val="931"/>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tabs>
                <w:tab w:val="left" w:pos="1272"/>
              </w:tabs>
              <w:spacing w:before="86"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Évaluation des agents contractuels</w:t>
            </w:r>
          </w:p>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la mise en œuvre de l’article 43 du statut des fonctionnaires et de l’article 15, paragraphe 2, et de l’article 87, paragraphe 1, du régime applicable aux autres agents</w:t>
            </w:r>
            <w:r>
              <w:rPr>
                <w:rFonts w:ascii="Times New Roman" w:hAnsi="Times New Roman"/>
                <w:noProof/>
                <w:sz w:val="12"/>
              </w:rPr>
              <w:br/>
              <w:t xml:space="preserve"> (rapports de notation)</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86"/>
        </w:trPr>
        <w:tc>
          <w:tcPr>
            <w:tcW w:w="1156" w:type="dxa"/>
            <w:vMerge/>
            <w:tcBorders>
              <w:left w:val="single" w:sz="4" w:space="0" w:color="auto"/>
              <w:bottom w:val="single" w:sz="4" w:space="0" w:color="auto"/>
              <w:right w:val="single" w:sz="4" w:space="0" w:color="auto"/>
            </w:tcBorders>
            <w:shd w:val="clear" w:color="auto" w:fill="FFFFFF" w:themeFill="background1"/>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FFFF65"/>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Règles internes régissant l’application des dispositions générales d’exécution relatives à la mise en œuvre de l’article 43 du statut des fonctionnaires et de l’article 15, paragraphe 2, et de l’article 87, paragraphe 1, du régime applicable aux autres agents (rapports de notation)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 xml:space="preserve">Chapitre 5 </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noProof/>
                <w:sz w:val="12"/>
              </w:rPr>
              <w:t>90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b/>
                <w:noProof/>
                <w:sz w:val="16"/>
                <w:szCs w:val="16"/>
              </w:rPr>
            </w:pPr>
            <w:r>
              <w:rPr>
                <w:rFonts w:ascii="Times New Roman" w:hAnsi="Times New Roman"/>
                <w:b/>
                <w:noProof/>
                <w:sz w:val="16"/>
              </w:rPr>
              <w:t>Agents interprètes de conférence</w:t>
            </w:r>
          </w:p>
          <w:p>
            <w:pPr>
              <w:widowControl w:val="0"/>
              <w:spacing w:after="0" w:line="240" w:lineRule="auto"/>
              <w:jc w:val="center"/>
              <w:rPr>
                <w:rFonts w:ascii="Times New Roman" w:eastAsia="Times New Roman" w:hAnsi="Times New Roman" w:cs="Times New Roman"/>
                <w:b/>
                <w:noProof/>
                <w:sz w:val="16"/>
                <w:szCs w:val="16"/>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du bureau du 15 décembre 2008 Règles du PE applicables aux interprètes de conférence recrutés en vertu de l’article 90 du RAA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90</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b/>
                <w:noProof/>
                <w:sz w:val="16"/>
                <w:szCs w:val="16"/>
              </w:rPr>
            </w:pPr>
            <w:r>
              <w:rPr>
                <w:rFonts w:ascii="Times New Roman" w:hAnsi="Times New Roman"/>
                <w:b/>
                <w:noProof/>
                <w:sz w:val="16"/>
              </w:rPr>
              <w:t>Conditions de travail des interprètes</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Dispositions applicables aux interprètes et agents interprètes de conférence au Parlement européen – Décision du secrétaire général du 19 juillet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1"/>
              </w:rPr>
              <w:t>5.11.2023</w:t>
            </w:r>
          </w:p>
        </w:tc>
        <w:tc>
          <w:tcPr>
            <w:tcW w:w="936" w:type="dxa"/>
            <w:vMerge w:val="restart"/>
            <w:tcBorders>
              <w:top w:val="single" w:sz="4" w:space="0" w:color="auto"/>
              <w:left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Dispositions applicables aux interprètes et agents interprètes de conférence au Parlement européen – Décision du secrétaire général du 27 octobre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6.11.2023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VII – Assistants parlementaires </w:t>
            </w:r>
          </w:p>
        </w:tc>
      </w:tr>
      <w:tr>
        <w:trPr>
          <w:trHeight w:hRule="exact" w:val="567"/>
        </w:trPr>
        <w:tc>
          <w:tcPr>
            <w:tcW w:w="1156" w:type="dxa"/>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125 à 139</w:t>
            </w:r>
          </w:p>
        </w:tc>
        <w:tc>
          <w:tcPr>
            <w:tcW w:w="2551" w:type="dxa"/>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Mesures d’application du titre VII</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Mesures d’application du titre VII du régime applicable aux autres agents de l’Union européenne (modifiées par les décisions du bureau du 2 octobre 2017 et du 5 juillet 2021)</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14.5.2014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noProof/>
              </w:rPr>
              <w:lastRenderedPageBreak/>
              <w:br w:type="page"/>
            </w:r>
            <w:r>
              <w:rPr>
                <w:rFonts w:ascii="Times New Roman" w:hAnsi="Times New Roman"/>
                <w:b/>
                <w:noProof/>
                <w:sz w:val="50"/>
              </w:rPr>
              <w:t>CONSEIL DE L’UNION EUROPÉENNE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923"/>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paragraphe 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Handicap</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nº 12/2019 portant application de l’article 1</w:t>
            </w:r>
            <w:r>
              <w:rPr>
                <w:rFonts w:ascii="Times New Roman" w:hAnsi="Times New Roman"/>
                <w:noProof/>
                <w:sz w:val="12"/>
                <w:vertAlign w:val="superscript"/>
              </w:rPr>
              <w:t>er</w:t>
            </w:r>
            <w:r>
              <w:rPr>
                <w:rFonts w:ascii="Times New Roman" w:hAnsi="Times New Roman"/>
                <w:noProof/>
                <w:sz w:val="12"/>
              </w:rPr>
              <w:t> </w:t>
            </w:r>
            <w:r>
              <w:rPr>
                <w:rFonts w:ascii="Times New Roman" w:hAnsi="Times New Roman"/>
                <w:i/>
                <w:iCs/>
                <w:noProof/>
                <w:sz w:val="12"/>
              </w:rPr>
              <w:t>quinquies</w:t>
            </w:r>
            <w:r>
              <w:rPr>
                <w:rFonts w:ascii="Times New Roman" w:hAnsi="Times New Roman"/>
                <w:noProof/>
                <w:sz w:val="12"/>
              </w:rPr>
              <w:t>, paragraphe 4, du statut concernant les mesures d’aménagement raisonnable pour les personnes handicapées et établissant</w:t>
            </w:r>
            <w:r>
              <w:rPr>
                <w:rFonts w:ascii="Times New Roman" w:hAnsi="Times New Roman"/>
                <w:noProof/>
                <w:sz w:val="12"/>
              </w:rPr>
              <w:br/>
              <w:t xml:space="preserve"> les procédures de gestion des demandes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15.4.2019</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50"/>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 4 + 76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Octroi d’une aide complémentaire aux personnes handicapées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nº 20/2021 portant application des lignes directrices interinstitutionnelles du 30 avril 2020 pour la mise en œuvre d’une aide complémentaire aux personnes handicapées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27.5.2021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Calibri"/>
                <w:b/>
                <w:noProof/>
                <w:sz w:val="12"/>
              </w:rPr>
              <w:t>1</w:t>
            </w:r>
            <w:r>
              <w:rPr>
                <w:rFonts w:ascii="Times New Roman" w:hAnsi="Calibri"/>
                <w:b/>
                <w:noProof/>
                <w:sz w:val="12"/>
                <w:vertAlign w:val="superscript"/>
              </w:rPr>
              <w:t>er</w:t>
            </w:r>
            <w:r>
              <w:rPr>
                <w:rFonts w:ascii="Times New Roman" w:hAnsi="Calibri"/>
                <w:b/>
                <w:noProof/>
                <w:sz w:val="12"/>
              </w:rPr>
              <w:t> </w:t>
            </w:r>
            <w:r>
              <w:rPr>
                <w:rFonts w:ascii="Times New Roman" w:hAnsi="Calibri"/>
                <w:b/>
                <w:i/>
                <w:iCs/>
                <w:noProof/>
                <w:sz w:val="12"/>
              </w:rPr>
              <w:t>sexies</w:t>
            </w:r>
            <w:r>
              <w:rPr>
                <w:rFonts w:ascii="Times New Roman" w:hAnsi="Calibri"/>
                <w:b/>
                <w:noProof/>
                <w:sz w:val="12"/>
              </w:rPr>
              <w:t>, paragraphe</w:t>
            </w:r>
            <w:r>
              <w:rPr>
                <w:rFonts w:ascii="Times New Roman" w:hAnsi="Calibri"/>
                <w:b/>
                <w:noProof/>
                <w:sz w:val="12"/>
              </w:rPr>
              <w:t> </w:t>
            </w:r>
            <w:r>
              <w:rPr>
                <w:rFonts w:ascii="Times New Roman" w:hAnsi="Calibri"/>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Calibri"/>
                <w:b/>
                <w:noProof/>
                <w:sz w:val="17"/>
              </w:rPr>
              <w:t>Sant</w:t>
            </w:r>
            <w:r>
              <w:rPr>
                <w:rFonts w:ascii="Times New Roman" w:hAnsi="Calibri"/>
                <w:b/>
                <w:noProof/>
                <w:sz w:val="17"/>
              </w:rPr>
              <w:t>é</w:t>
            </w:r>
            <w:r>
              <w:rPr>
                <w:rFonts w:ascii="Times New Roman" w:hAnsi="Calibri"/>
                <w:b/>
                <w:noProof/>
                <w:sz w:val="17"/>
              </w:rPr>
              <w:t xml:space="preserve"> et s</w:t>
            </w:r>
            <w:r>
              <w:rPr>
                <w:rFonts w:ascii="Times New Roman" w:hAnsi="Calibri"/>
                <w:b/>
                <w:noProof/>
                <w:sz w:val="17"/>
              </w:rPr>
              <w:t>é</w:t>
            </w:r>
            <w:r>
              <w:rPr>
                <w:rFonts w:ascii="Times New Roman" w:hAnsi="Calibri"/>
                <w:b/>
                <w:noProof/>
                <w:sz w:val="17"/>
              </w:rPr>
              <w:t>curit</w:t>
            </w:r>
            <w:r>
              <w:rPr>
                <w:rFonts w:ascii="Times New Roman" w:hAnsi="Calibri"/>
                <w:b/>
                <w:noProof/>
                <w:sz w:val="17"/>
              </w:rPr>
              <w: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61/16 actualisant le r</w:t>
            </w:r>
            <w:r>
              <w:rPr>
                <w:rFonts w:ascii="Times New Roman" w:hAnsi="Calibri"/>
                <w:noProof/>
                <w:sz w:val="12"/>
              </w:rPr>
              <w:t>ô</w:t>
            </w:r>
            <w:r>
              <w:rPr>
                <w:rFonts w:ascii="Times New Roman" w:hAnsi="Calibri"/>
                <w:noProof/>
                <w:sz w:val="12"/>
              </w:rPr>
              <w:t>le et les missions du comit</w:t>
            </w:r>
            <w:r>
              <w:rPr>
                <w:rFonts w:ascii="Times New Roman" w:hAnsi="Calibri"/>
                <w:noProof/>
                <w:sz w:val="12"/>
              </w:rPr>
              <w:t>é</w:t>
            </w:r>
            <w:r>
              <w:rPr>
                <w:rFonts w:ascii="Times New Roman" w:hAnsi="Calibri"/>
                <w:noProof/>
                <w:sz w:val="12"/>
              </w:rPr>
              <w:t xml:space="preserve"> paritaire pour l</w:t>
            </w:r>
            <w:r>
              <w:rPr>
                <w:rFonts w:ascii="Times New Roman" w:hAnsi="Calibri"/>
                <w:noProof/>
                <w:sz w:val="12"/>
              </w:rPr>
              <w:t>’</w:t>
            </w:r>
            <w:r>
              <w:rPr>
                <w:rFonts w:ascii="Times New Roman" w:hAnsi="Calibri"/>
                <w:noProof/>
                <w:sz w:val="12"/>
              </w:rPr>
              <w:t>am</w:t>
            </w:r>
            <w:r>
              <w:rPr>
                <w:rFonts w:ascii="Times New Roman" w:hAnsi="Calibri"/>
                <w:noProof/>
                <w:sz w:val="12"/>
              </w:rPr>
              <w:t>é</w:t>
            </w:r>
            <w:r>
              <w:rPr>
                <w:rFonts w:ascii="Times New Roman" w:hAnsi="Calibri"/>
                <w:noProof/>
                <w:sz w:val="12"/>
              </w:rPr>
              <w:t>lioration de la sant</w:t>
            </w:r>
            <w:r>
              <w:rPr>
                <w:rFonts w:ascii="Times New Roman" w:hAnsi="Calibri"/>
                <w:noProof/>
                <w:sz w:val="12"/>
              </w:rPr>
              <w:t>é</w:t>
            </w:r>
            <w:r>
              <w:rPr>
                <w:rFonts w:ascii="Times New Roman" w:hAnsi="Calibri"/>
                <w:noProof/>
                <w:sz w:val="12"/>
              </w:rPr>
              <w:t xml:space="preserve"> et de la s</w:t>
            </w:r>
            <w:r>
              <w:rPr>
                <w:rFonts w:ascii="Times New Roman" w:hAnsi="Calibri"/>
                <w:noProof/>
                <w:sz w:val="12"/>
              </w:rPr>
              <w:t>é</w:t>
            </w:r>
            <w:r>
              <w:rPr>
                <w:rFonts w:ascii="Times New Roman" w:hAnsi="Calibri"/>
                <w:noProof/>
                <w:sz w:val="12"/>
              </w:rPr>
              <w:t>curit</w:t>
            </w:r>
            <w:r>
              <w:rPr>
                <w:rFonts w:ascii="Times New Roman" w:hAnsi="Calibri"/>
                <w:noProof/>
                <w:sz w:val="12"/>
              </w:rPr>
              <w:t>é</w:t>
            </w:r>
            <w:r>
              <w:rPr>
                <w:rFonts w:ascii="Times New Roman" w:hAnsi="Calibri"/>
                <w:noProof/>
                <w:sz w:val="12"/>
              </w:rPr>
              <w:t xml:space="preserve"> au travail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845"/>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Pouvoirs de l’AIPN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(UE) 2017/262 du Conseil du 6 février 2017 portant détermination, pour le secrétariat général du Conseil, </w:t>
            </w:r>
            <w:r>
              <w:rPr>
                <w:rFonts w:ascii="Times New Roman" w:hAnsi="Times New Roman"/>
                <w:noProof/>
                <w:sz w:val="12"/>
              </w:rPr>
              <w:br/>
              <w:t>de l’autorité investie du pouvoir de nomination et de l’autorité habilitée à conclure les contrats d’engagement, et abrogeant la décision 2013/811/UE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6.2.2017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2269"/>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16/2017 du secrétaire général du Conseil déléguant ses pouvoirs de décision et son pouvoir de signature concernant l’application du statut</w:t>
            </w:r>
            <w:r>
              <w:rPr>
                <w:rFonts w:ascii="Times New Roman" w:hAnsi="Times New Roman"/>
                <w:noProof/>
                <w:sz w:val="12"/>
              </w:rPr>
              <w:br/>
              <w:t xml:space="preserve"> des fonctionnaires de l’Union européenne et du régime applicable </w:t>
            </w:r>
            <w:r>
              <w:rPr>
                <w:rFonts w:ascii="Times New Roman" w:hAnsi="Times New Roman"/>
                <w:noProof/>
                <w:sz w:val="12"/>
              </w:rPr>
              <w:br/>
              <w:t>aux autres agents, et abrogeant les décisions nº 22/14 et nº 23/14</w:t>
            </w:r>
            <w:r>
              <w:rPr>
                <w:rFonts w:ascii="Times New Roman" w:hAnsi="Times New Roman"/>
                <w:noProof/>
                <w:sz w:val="12"/>
              </w:rPr>
              <w:br/>
              <w:t xml:space="preserve"> (modifiée par la décision nº 23/22 du secrétaire général </w:t>
            </w:r>
            <w:r>
              <w:rPr>
                <w:rFonts w:ascii="Times New Roman" w:hAnsi="Times New Roman"/>
                <w:noProof/>
                <w:sz w:val="12"/>
              </w:rPr>
              <w:br/>
              <w:t xml:space="preserve">du Conseil modifiant la décision nº 16/2017 déléguant </w:t>
            </w:r>
            <w:r>
              <w:rPr>
                <w:rFonts w:ascii="Times New Roman" w:hAnsi="Times New Roman"/>
                <w:noProof/>
                <w:sz w:val="12"/>
              </w:rPr>
              <w:br/>
              <w:t>ses pouvoirs de décision et son pouvoir de signature concernant</w:t>
            </w:r>
            <w:r>
              <w:rPr>
                <w:rFonts w:ascii="Times New Roman" w:hAnsi="Times New Roman"/>
                <w:noProof/>
                <w:sz w:val="12"/>
              </w:rPr>
              <w:br/>
              <w:t xml:space="preserve"> l’application du statut des fonctionnaires de l’Union européenne et du régime applicable aux autres agents, afin de garantir la continuité en cas de </w:t>
            </w:r>
            <w:r>
              <w:rPr>
                <w:rFonts w:ascii="Times New Roman" w:hAnsi="Times New Roman"/>
                <w:noProof/>
                <w:sz w:val="12"/>
              </w:rPr>
              <w:br/>
              <w:t xml:space="preserve">vacance du poste de secrétaire général, </w:t>
            </w:r>
            <w:r>
              <w:rPr>
                <w:rFonts w:ascii="Times New Roman" w:hAnsi="Times New Roman"/>
                <w:noProof/>
                <w:sz w:val="12"/>
              </w:rPr>
              <w:br/>
              <w:t>adoptée le 29 avril 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45"/>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nº 39/18 du directeur général du développement organisationnel et des services déléguant son pouvoir de signature pour les actes couverts par la délégation des pouvoirs de décision et son pouvoir de signature en vertu de la décision nº 16/2017 </w:t>
            </w:r>
            <w:r>
              <w:rPr>
                <w:rFonts w:ascii="Times New Roman" w:hAnsi="Times New Roman"/>
                <w:noProof/>
                <w:sz w:val="12"/>
              </w:rPr>
              <w:br/>
              <w:t>du secrétaire général, et abrogeant la décision nº 25/18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14.9.2018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001"/>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spacing w:after="40" w:line="240" w:lineRule="auto"/>
              <w:jc w:val="center"/>
              <w:rPr>
                <w:rFonts w:ascii="Times New Roman" w:eastAsia="Calibri" w:hAnsi="Times New Roman" w:cs="Times New Roman"/>
                <w:noProof/>
                <w:sz w:val="12"/>
                <w:szCs w:val="12"/>
              </w:rPr>
            </w:pPr>
            <w:r>
              <w:rPr>
                <w:rFonts w:ascii="Times New Roman" w:hAnsi="Times New Roman"/>
                <w:noProof/>
                <w:sz w:val="12"/>
              </w:rPr>
              <w:t>Décision nº 72/2014 du secrétaire général relative à la délégation des pouvoirs dévolus à l’autorité investie du pouvoir de nomination/l’AHCC concernant l’établissement des droits énoncés au titre 3 de l’accord de niveau de service relatif à la collaboration entre le Conseil de l’Union européenne et la Commission européenne dans le cadre de l’acquisition et de la gestion des droits à pension</w:t>
            </w:r>
          </w:p>
          <w:p>
            <w:pPr>
              <w:widowControl w:val="0"/>
              <w:spacing w:before="9" w:after="0" w:line="240" w:lineRule="auto"/>
              <w:jc w:val="center"/>
              <w:rPr>
                <w:rFonts w:ascii="Times New Roman" w:eastAsia="Calibri" w:hAnsi="Times New Roman" w:cs="Times New Roman"/>
                <w:noProof/>
                <w:sz w:val="12"/>
                <w:szCs w:val="12"/>
              </w:rPr>
            </w:pP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29"/>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47/2015 du secrétaire général du Conseil relative à la délégation des pouvoirs dévolus à l’autorité investie du pouvoir de nomination/l’autorité habilitée à conclure les contrats d’engagement pour l’établissement des droits relatifs à la révision annuelle des salaires et pensions, aux coefficients correcteurs, aux allocations et aux remises pour les fonctionnaires et autres agents du Conseil européen et du Conseil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27.7.2015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1 RE </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annexe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Emplois types et intitulés d’emploi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45/17 du secrétaire général du Conseil</w:t>
            </w:r>
            <w:r>
              <w:rPr>
                <w:rFonts w:ascii="Times New Roman" w:hAnsi="Times New Roman"/>
                <w:noProof/>
                <w:sz w:val="12"/>
              </w:rPr>
              <w:br/>
              <w:t xml:space="preserve"> de l’Union européenne relative aux emplois types et aux intitulés d’emploi,</w:t>
            </w:r>
            <w:r>
              <w:rPr>
                <w:rFonts w:ascii="Times New Roman" w:hAnsi="Times New Roman"/>
                <w:noProof/>
                <w:sz w:val="12"/>
              </w:rPr>
              <w:br/>
              <w:t xml:space="preserve"> et abrogeant la décision nº 24/16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16.11.2017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23"/>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5 + annexe I et annexe XIII (art. 30 et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Classement des fonctionnaires investis de responsabilités particulières en tant que «chef d’unité ou équivalent» ou «conseiller ou équivalent» avant le 31 décembre 2015</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6/14 relative au classement de fonctionnaires AD 9-14 investis de responsabilités particulières dans l’emploi type «chef d’unité ou équivalent» ou «conseiller ou équivalent» avant le 31.12.2015 (modifiée en dernier lieu par la décision nº 34/14 portant modification de l’organigramme des postes d’encadrement et des entités administratives, et nomination aux postes équivalents</w:t>
            </w:r>
            <w:r>
              <w:rPr>
                <w:rFonts w:ascii="Times New Roman" w:hAnsi="Times New Roman"/>
                <w:noProof/>
                <w:sz w:val="12"/>
              </w:rPr>
              <w:br/>
              <w:t xml:space="preserve"> aux postes d’encadrement, de conseiller et/ou de chef d’unité)</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Mobilité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36/2017 du secrétaire général du Conseil de l’Union européenne relative à la mobilité au sein du secrétariat général du Conseil, et abrogeant la décision nº 101/2011 et la décision nº 21/2015</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12.7.2017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611"/>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lastRenderedPageBreak/>
              <w:t>11 à 21</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Éthique et intégrité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La décision nº 61/2015 relative aux activités extérieures et aux mandats</w:t>
            </w:r>
            <w:r>
              <w:rPr>
                <w:rFonts w:ascii="Times New Roman" w:hAnsi="Times New Roman"/>
                <w:noProof/>
                <w:sz w:val="12"/>
              </w:rPr>
              <w:br/>
            </w:r>
            <w:r>
              <w:rPr>
                <w:rFonts w:ascii="Times New Roman" w:hAnsi="Calibri"/>
                <w:noProof/>
                <w:sz w:val="12"/>
              </w:rPr>
              <w:t>remplace les dispositions de la communication au personnel</w:t>
            </w:r>
            <w:r>
              <w:rPr>
                <w:rFonts w:ascii="Times New Roman" w:hAnsi="Calibri"/>
                <w:noProof/>
                <w:sz w:val="12"/>
              </w:rPr>
              <w:t> </w:t>
            </w:r>
            <w:r>
              <w:rPr>
                <w:rFonts w:ascii="Times New Roman" w:hAnsi="Calibri"/>
                <w:noProof/>
                <w:sz w:val="12"/>
              </w:rPr>
              <w:t>124/2000 et de la communication au personnel</w:t>
            </w:r>
            <w:r>
              <w:rPr>
                <w:rFonts w:ascii="Times New Roman" w:hAnsi="Calibri"/>
                <w:noProof/>
                <w:sz w:val="12"/>
              </w:rPr>
              <w:t> </w:t>
            </w:r>
            <w:r>
              <w:rPr>
                <w:rFonts w:ascii="Times New Roman" w:hAnsi="Calibri"/>
                <w:noProof/>
                <w:sz w:val="12"/>
              </w:rPr>
              <w:t>99/1998 relative aux activit</w:t>
            </w:r>
            <w:r>
              <w:rPr>
                <w:rFonts w:ascii="Times New Roman" w:hAnsi="Calibri"/>
                <w:noProof/>
                <w:sz w:val="12"/>
              </w:rPr>
              <w:t>é</w:t>
            </w:r>
            <w:r>
              <w:rPr>
                <w:rFonts w:ascii="Times New Roman" w:hAnsi="Calibri"/>
                <w:noProof/>
                <w:sz w:val="12"/>
              </w:rPr>
              <w:t>s ext</w:t>
            </w:r>
            <w:r>
              <w:rPr>
                <w:rFonts w:ascii="Times New Roman" w:hAnsi="Calibri"/>
                <w:noProof/>
                <w:sz w:val="12"/>
              </w:rPr>
              <w:t>é</w:t>
            </w:r>
            <w:r>
              <w:rPr>
                <w:rFonts w:ascii="Times New Roman" w:hAnsi="Calibri"/>
                <w:noProof/>
                <w:sz w:val="12"/>
              </w:rPr>
              <w:t>rieures, et remplace la 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34/13</w:t>
            </w:r>
            <w:r>
              <w:rPr>
                <w:rFonts w:ascii="Times New Roman" w:hAnsi="Calibri"/>
                <w:noProof/>
                <w:sz w:val="12"/>
              </w:rPr>
              <w:br/>
              <w:t xml:space="preserve"> relative aux faveurs et dons.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16.11.2015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48"/>
        </w:trPr>
        <w:tc>
          <w:tcPr>
            <w:tcW w:w="1156" w:type="dxa"/>
            <w:vMerge/>
            <w:tcBorders>
              <w:left w:val="single" w:sz="4" w:space="0" w:color="000000"/>
              <w:bottom w:val="single" w:sz="3"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 xml:space="preserve">Décision nº 43/2019 relative à la mise en œuvre </w:t>
            </w:r>
            <w:r>
              <w:rPr>
                <w:rFonts w:ascii="Times New Roman" w:hAnsi="Times New Roman"/>
                <w:noProof/>
                <w:sz w:val="12"/>
              </w:rPr>
              <w:br/>
              <w:t xml:space="preserve">de l’article 16, deuxième alinéa, du statut des fonctionnaires de l’Union européenne et des articles 11 et 81 du régime applicable </w:t>
            </w:r>
            <w:r>
              <w:rPr>
                <w:rFonts w:ascii="Times New Roman" w:hAnsi="Times New Roman"/>
                <w:noProof/>
                <w:sz w:val="12"/>
              </w:rPr>
              <w:br/>
              <w:t>aux autres agents de l’Union européenne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8.10.2019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bis</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7"/>
              </w:rPr>
              <w:t>Harcèlement</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Décision nº 15/2015 relative au harcèlement moral et sexuel au travail</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1.5.2015</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29.6.2021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4" w:space="0" w:color="auto"/>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23/2021 relative au harcèlement moral et sexuel au travail au sein du secrétariat général</w:t>
            </w:r>
            <w:r>
              <w:rPr>
                <w:rFonts w:ascii="Times New Roman" w:hAnsi="Times New Roman"/>
                <w:noProof/>
                <w:sz w:val="12"/>
              </w:rPr>
              <w:br/>
              <w:t xml:space="preserve"> du Conseil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29.6.2021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129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Calibri"/>
                <w:b/>
                <w:noProof/>
                <w:sz w:val="12"/>
              </w:rPr>
              <w:t>11, 11</w:t>
            </w:r>
            <w:r>
              <w:rPr>
                <w:rFonts w:ascii="Times New Roman" w:hAnsi="Calibri"/>
                <w:b/>
                <w:noProof/>
                <w:sz w:val="12"/>
              </w:rPr>
              <w:t> </w:t>
            </w:r>
            <w:r>
              <w:rPr>
                <w:rFonts w:ascii="Times New Roman" w:hAnsi="Calibri"/>
                <w:b/>
                <w:i/>
                <w:iCs/>
                <w:noProof/>
                <w:sz w:val="12"/>
              </w:rPr>
              <w:t>bis</w:t>
            </w:r>
            <w:r>
              <w:rPr>
                <w:rFonts w:ascii="Times New Roman" w:hAnsi="Calibri"/>
                <w:b/>
                <w:noProof/>
                <w:sz w:val="12"/>
              </w:rPr>
              <w:t>, 12, 12</w:t>
            </w:r>
            <w:r>
              <w:rPr>
                <w:rFonts w:ascii="Times New Roman" w:hAnsi="Calibri"/>
                <w:b/>
                <w:noProof/>
                <w:sz w:val="12"/>
              </w:rPr>
              <w:t> </w:t>
            </w:r>
            <w:r>
              <w:rPr>
                <w:rFonts w:ascii="Times New Roman" w:hAnsi="Calibri"/>
                <w:b/>
                <w:i/>
                <w:iCs/>
                <w:noProof/>
                <w:sz w:val="12"/>
              </w:rPr>
              <w:t>ter</w:t>
            </w:r>
            <w:r>
              <w:rPr>
                <w:rFonts w:ascii="Times New Roman" w:hAnsi="Calibri"/>
                <w:b/>
                <w:noProof/>
                <w:sz w:val="12"/>
              </w:rPr>
              <w:t>, 15, 16, 17, 17</w:t>
            </w:r>
            <w:r>
              <w:rPr>
                <w:rFonts w:ascii="Times New Roman" w:hAnsi="Calibri"/>
                <w:b/>
                <w:noProof/>
                <w:sz w:val="12"/>
              </w:rPr>
              <w:t> </w:t>
            </w:r>
            <w:r>
              <w:rPr>
                <w:rFonts w:ascii="Times New Roman" w:hAnsi="Calibri"/>
                <w:b/>
                <w:i/>
                <w:iCs/>
                <w:noProof/>
                <w:sz w:val="12"/>
              </w:rPr>
              <w:t>bis</w:t>
            </w:r>
            <w:r>
              <w:rPr>
                <w:rFonts w:ascii="Times New Roman" w:hAnsi="Calibri"/>
                <w:b/>
                <w:noProof/>
                <w:sz w:val="12"/>
              </w:rPr>
              <w:t>, 19, 55, art.</w:t>
            </w:r>
            <w:r>
              <w:rPr>
                <w:rFonts w:ascii="Times New Roman" w:hAnsi="Calibri"/>
                <w:b/>
                <w:noProof/>
                <w:sz w:val="12"/>
              </w:rPr>
              <w:t> </w:t>
            </w:r>
            <w:r>
              <w:rPr>
                <w:rFonts w:ascii="Times New Roman" w:hAnsi="Calibri"/>
                <w:b/>
                <w:noProof/>
                <w:sz w:val="12"/>
              </w:rPr>
              <w:t>3 de l</w:t>
            </w:r>
            <w:r>
              <w:rPr>
                <w:rFonts w:ascii="Times New Roman" w:hAnsi="Calibri"/>
                <w:b/>
                <w:noProof/>
                <w:sz w:val="12"/>
              </w:rPr>
              <w:t>’</w:t>
            </w:r>
            <w:r>
              <w:rPr>
                <w:rFonts w:ascii="Times New Roman" w:hAnsi="Calibri"/>
                <w:b/>
                <w:noProof/>
                <w:sz w:val="12"/>
              </w:rPr>
              <w:t>annexe</w:t>
            </w:r>
            <w:r>
              <w:rPr>
                <w:rFonts w:ascii="Times New Roman" w:hAnsi="Calibri"/>
                <w:b/>
                <w:noProof/>
                <w:sz w:val="12"/>
              </w:rPr>
              <w:t> </w:t>
            </w:r>
            <w:r>
              <w:rPr>
                <w:rFonts w:ascii="Times New Roman" w:hAnsi="Calibri"/>
                <w:b/>
                <w:noProof/>
                <w:sz w:val="12"/>
              </w:rPr>
              <w:t>IV</w:t>
            </w:r>
            <w:r>
              <w:rPr>
                <w:rFonts w:ascii="Times New Roman" w:hAnsi="Calibri"/>
                <w:b/>
                <w:noProof/>
                <w:sz w:val="12"/>
              </w:rPr>
              <w:t> </w:t>
            </w:r>
            <w:r>
              <w:rPr>
                <w:rFonts w:ascii="Times New Roman" w:hAnsi="Calibri"/>
                <w:b/>
                <w:i/>
                <w:iCs/>
                <w:noProof/>
                <w:sz w:val="12"/>
              </w:rPr>
              <w:t>bis</w:t>
            </w:r>
            <w:r>
              <w:rPr>
                <w:rFonts w:ascii="Times New Roman" w:hAnsi="Calibri"/>
                <w:b/>
                <w:noProof/>
                <w:sz w:val="12"/>
              </w:rPr>
              <w:t>, art.</w:t>
            </w:r>
            <w:r>
              <w:rPr>
                <w:rFonts w:ascii="Times New Roman" w:hAnsi="Calibri"/>
                <w:b/>
                <w:noProof/>
                <w:sz w:val="12"/>
              </w:rPr>
              <w:t> </w:t>
            </w:r>
            <w:r>
              <w:rPr>
                <w:rFonts w:ascii="Times New Roman" w:hAnsi="Calibri"/>
                <w:b/>
                <w:noProof/>
                <w:sz w:val="12"/>
              </w:rPr>
              <w:t>13, paragraphe</w:t>
            </w:r>
            <w:r>
              <w:rPr>
                <w:rFonts w:ascii="Times New Roman" w:hAnsi="Calibri"/>
                <w:b/>
                <w:noProof/>
                <w:sz w:val="12"/>
              </w:rPr>
              <w:t> </w:t>
            </w:r>
            <w:r>
              <w:rPr>
                <w:rFonts w:ascii="Times New Roman" w:hAnsi="Calibri"/>
                <w:b/>
                <w:noProof/>
                <w:sz w:val="12"/>
              </w:rPr>
              <w:t>2, de l</w:t>
            </w:r>
            <w:r>
              <w:rPr>
                <w:rFonts w:ascii="Times New Roman" w:hAnsi="Calibri"/>
                <w:b/>
                <w:noProof/>
                <w:sz w:val="12"/>
              </w:rPr>
              <w:t>’</w:t>
            </w:r>
            <w:r>
              <w:rPr>
                <w:rFonts w:ascii="Times New Roman" w:hAnsi="Calibri"/>
                <w:b/>
                <w:noProof/>
                <w:sz w:val="12"/>
              </w:rPr>
              <w:t>annexe</w:t>
            </w:r>
            <w:r>
              <w:rPr>
                <w:rFonts w:ascii="Times New Roman" w:hAnsi="Calibri"/>
                <w:b/>
                <w:noProof/>
                <w:sz w:val="12"/>
              </w:rPr>
              <w:t> </w:t>
            </w:r>
            <w:r>
              <w:rPr>
                <w:rFonts w:ascii="Times New Roman" w:hAnsi="Calibri"/>
                <w:b/>
                <w:noProof/>
                <w:sz w:val="12"/>
              </w:rPr>
              <w:t xml:space="preserve">VIII, </w:t>
            </w:r>
            <w:r>
              <w:rPr>
                <w:rFonts w:ascii="Times New Roman" w:hAnsi="Calibri"/>
                <w:b/>
                <w:noProof/>
                <w:sz w:val="12"/>
              </w:rPr>
              <w:br/>
              <w:t>art.</w:t>
            </w:r>
            <w:r>
              <w:rPr>
                <w:rFonts w:ascii="Times New Roman" w:hAnsi="Calibri"/>
                <w:b/>
                <w:noProof/>
                <w:sz w:val="12"/>
              </w:rPr>
              <w:t> </w:t>
            </w:r>
            <w:r>
              <w:rPr>
                <w:rFonts w:ascii="Times New Roman" w:hAnsi="Calibri"/>
                <w:b/>
                <w:noProof/>
                <w:sz w:val="12"/>
              </w:rPr>
              <w:t>11, 16, 81 et</w:t>
            </w:r>
            <w:r>
              <w:rPr>
                <w:rFonts w:ascii="Times New Roman" w:hAnsi="Calibri"/>
                <w:b/>
                <w:noProof/>
                <w:sz w:val="12"/>
              </w:rPr>
              <w:t> </w:t>
            </w:r>
            <w:r>
              <w:rPr>
                <w:rFonts w:ascii="Times New Roman" w:hAnsi="Calibri"/>
                <w:b/>
                <w:noProof/>
                <w:sz w:val="12"/>
              </w:rPr>
              <w:t>91 du RAA</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Activités extérieures</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 xml:space="preserve">La décision nº 61/2015 relative aux activités extérieures et aux mandats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16.11.2015</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4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Calibri"/>
                <w:b/>
                <w:noProof/>
                <w:sz w:val="12"/>
              </w:rPr>
              <w:t>16</w:t>
            </w: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43/2019 relative à la mise en œuvre de l’article 16, deuxième alinéa, du statut des fonctionnaires de l’Union européenne et des articles 11 et 81 du régime applicable aux autres agents de l’Union européenne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8.10.2019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64"/>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Dénonciation des dysfonctionnements</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03/2016 portant adoption des règles internes relatives au signalement d’irrégularités graves – Modalités d’application</w:t>
            </w:r>
            <w:r>
              <w:rPr>
                <w:rFonts w:ascii="Times New Roman" w:hAnsi="Times New Roman"/>
                <w:noProof/>
                <w:sz w:val="12"/>
              </w:rPr>
              <w:br/>
              <w:t xml:space="preserve"> des articles 22 </w:t>
            </w:r>
            <w:r>
              <w:rPr>
                <w:rFonts w:ascii="Times New Roman" w:hAnsi="Times New Roman"/>
                <w:i/>
                <w:iCs/>
                <w:noProof/>
                <w:sz w:val="12"/>
              </w:rPr>
              <w:t>bis</w:t>
            </w:r>
            <w:r>
              <w:rPr>
                <w:rFonts w:ascii="Times New Roman" w:hAnsi="Times New Roman"/>
                <w:noProof/>
                <w:sz w:val="12"/>
              </w:rPr>
              <w:t>, 22 </w:t>
            </w:r>
            <w:r>
              <w:rPr>
                <w:rFonts w:ascii="Times New Roman" w:hAnsi="Times New Roman"/>
                <w:i/>
                <w:iCs/>
                <w:noProof/>
                <w:sz w:val="12"/>
              </w:rPr>
              <w:t>ter</w:t>
            </w:r>
            <w:r>
              <w:rPr>
                <w:rFonts w:ascii="Times New Roman" w:hAnsi="Times New Roman"/>
                <w:noProof/>
                <w:sz w:val="12"/>
              </w:rPr>
              <w:t xml:space="preserve"> et 22 </w:t>
            </w:r>
            <w:r>
              <w:rPr>
                <w:rFonts w:ascii="Times New Roman" w:hAnsi="Times New Roman"/>
                <w:i/>
                <w:iCs/>
                <w:noProof/>
                <w:sz w:val="12"/>
              </w:rPr>
              <w:t>quater</w:t>
            </w:r>
            <w:r>
              <w:rPr>
                <w:rFonts w:ascii="Times New Roman" w:hAnsi="Times New Roman"/>
                <w:noProof/>
                <w:sz w:val="12"/>
              </w:rPr>
              <w:t xml:space="preserve"> du statut et</w:t>
            </w:r>
            <w:r>
              <w:rPr>
                <w:rFonts w:ascii="Times New Roman" w:hAnsi="Times New Roman"/>
                <w:noProof/>
                <w:sz w:val="12"/>
              </w:rPr>
              <w:br/>
              <w:t xml:space="preserve"> de l’article 66, paragraphe 8, du règlement financier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29.2.2016</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1214"/>
        </w:trPr>
        <w:tc>
          <w:tcPr>
            <w:tcW w:w="1156" w:type="dxa"/>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à 34</w:t>
            </w:r>
          </w:p>
        </w:tc>
        <w:tc>
          <w:tcPr>
            <w:tcW w:w="2551" w:type="dxa"/>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Recrutement</w:t>
            </w:r>
          </w:p>
        </w:tc>
        <w:tc>
          <w:tcPr>
            <w:tcW w:w="3029" w:type="dxa"/>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nº 18/2015 portant adoption des dispositions générales d’exécution relatives aux critères applicables au classement</w:t>
            </w:r>
            <w:r>
              <w:rPr>
                <w:rFonts w:ascii="Times New Roman" w:hAnsi="Times New Roman"/>
                <w:noProof/>
                <w:sz w:val="12"/>
              </w:rPr>
              <w:br/>
              <w:t xml:space="preserve"> en échelon lors du recrutement de fonctionnaires ou de l’engagement </w:t>
            </w:r>
            <w:r>
              <w:rPr>
                <w:rFonts w:ascii="Times New Roman" w:hAnsi="Times New Roman"/>
                <w:noProof/>
                <w:sz w:val="12"/>
              </w:rPr>
              <w:br/>
              <w:t>d’agents temporaires, et abrogeant la décision du Conseil</w:t>
            </w:r>
            <w:r>
              <w:rPr>
                <w:rFonts w:ascii="Times New Roman" w:hAnsi="Times New Roman"/>
                <w:noProof/>
                <w:sz w:val="12"/>
              </w:rPr>
              <w:br/>
              <w:t xml:space="preserve"> du 29.4.2004</w:t>
            </w:r>
          </w:p>
        </w:tc>
        <w:tc>
          <w:tcPr>
            <w:tcW w:w="1322" w:type="dxa"/>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25.3.2015</w:t>
            </w:r>
          </w:p>
        </w:tc>
        <w:tc>
          <w:tcPr>
            <w:tcW w:w="1687" w:type="dxa"/>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62"/>
        </w:trPr>
        <w:tc>
          <w:tcPr>
            <w:tcW w:w="1156" w:type="dxa"/>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34</w:t>
            </w:r>
          </w:p>
        </w:tc>
        <w:tc>
          <w:tcPr>
            <w:tcW w:w="2551" w:type="dxa"/>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7"/>
              </w:rPr>
              <w:t>Période d’essai</w:t>
            </w:r>
          </w:p>
        </w:tc>
        <w:tc>
          <w:tcPr>
            <w:tcW w:w="3029" w:type="dxa"/>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Décision nº 45/23 du secrétaire général du Conseil de l’Union européenne relative aux périodes d’essai (articles 34 et 44 du statut et article 14, article 20, paragraphe 4, et article 84 du RAA)</w:t>
            </w:r>
          </w:p>
        </w:tc>
        <w:tc>
          <w:tcPr>
            <w:tcW w:w="1322" w:type="dxa"/>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14.9.2023</w:t>
            </w:r>
          </w:p>
        </w:tc>
        <w:tc>
          <w:tcPr>
            <w:tcW w:w="1687" w:type="dxa"/>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567"/>
        </w:trPr>
        <w:tc>
          <w:tcPr>
            <w:tcW w:w="1156" w:type="dxa"/>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convenance personnelle</w:t>
            </w:r>
          </w:p>
        </w:tc>
        <w:tc>
          <w:tcPr>
            <w:tcW w:w="3029" w:type="dxa"/>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Décision nº 9/2014 relative au congé de convenance personnelle</w:t>
            </w:r>
          </w:p>
        </w:tc>
        <w:tc>
          <w:tcPr>
            <w:tcW w:w="1322" w:type="dxa"/>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nº 11/2014 portant adoption des dispositions générales d’exécution relatives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 familial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Communication au personnel 67/04 sur la mise en œuvre du statut modifié – Congé de convenance personnelle/congé parental/congé familial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Section 7 – Congé dans l’intérêt du service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42 </w:t>
            </w:r>
            <w:r>
              <w:rPr>
                <w:rFonts w:ascii="Times New Roman" w:hAnsi="Times New Roman"/>
                <w:i/>
                <w:iCs/>
                <w:noProof/>
                <w:sz w:val="12"/>
              </w:rPr>
              <w:t>quater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dans l’intérêt du service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 xml:space="preserve">Décision nº 15/2020 relative à la mise en œuvre du congé </w:t>
            </w:r>
            <w:r>
              <w:rPr>
                <w:rFonts w:ascii="Times New Roman" w:hAnsi="Times New Roman"/>
                <w:noProof/>
                <w:sz w:val="12"/>
              </w:rPr>
              <w:br/>
              <w:t>dans l’intérêt du service</w:t>
            </w:r>
            <w:r>
              <w:rPr>
                <w:rFonts w:ascii="Times New Roman" w:hAnsi="Times New Roman"/>
                <w:noProof/>
                <w:sz w:val="12"/>
              </w:rPr>
              <w:br/>
              <w:t xml:space="preserve"> (article 42 </w:t>
            </w:r>
            <w:r>
              <w:rPr>
                <w:rFonts w:ascii="Times New Roman" w:hAnsi="Times New Roman"/>
                <w:i/>
                <w:iCs/>
                <w:noProof/>
                <w:sz w:val="12"/>
              </w:rPr>
              <w:t>quater</w:t>
            </w:r>
            <w:r>
              <w:rPr>
                <w:rFonts w:ascii="Times New Roman" w:hAnsi="Times New Roman"/>
                <w:noProof/>
                <w:sz w:val="12"/>
              </w:rPr>
              <w:t xml:space="preserve">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1191"/>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lastRenderedPageBreak/>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du Conseil portant fixation des dispositions générales d’exécution</w:t>
            </w:r>
            <w:r>
              <w:rPr>
                <w:rFonts w:ascii="Times New Roman" w:hAnsi="Times New Roman"/>
                <w:noProof/>
                <w:sz w:val="12"/>
              </w:rPr>
              <w:br/>
              <w:t xml:space="preserve"> de l’article 43 du statut des fonctionnaires relatif au rapport de notation, publiée en tant qu’annexe I de la communication au personnel 99/89 du 28.7.1989 sur les instructions générales </w:t>
            </w:r>
            <w:r>
              <w:rPr>
                <w:rFonts w:ascii="Times New Roman" w:hAnsi="Times New Roman"/>
                <w:noProof/>
                <w:sz w:val="12"/>
              </w:rPr>
              <w:br/>
              <w:t>concernant l’élaboration des rapports de notation</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19.10.1981</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55"/>
        </w:trPr>
        <w:tc>
          <w:tcPr>
            <w:tcW w:w="1157"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nº 33/14 modifiant la décision nº 194/83 relative aux comités consultatifs des promotions au sein du secrétariat général du Conseil</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30.4.2014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0"/>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w:t>
            </w:r>
            <w:r>
              <w:rPr>
                <w:rFonts w:ascii="Times New Roman" w:hAnsi="Times New Roman"/>
                <w:b/>
                <w:i/>
                <w:iCs/>
                <w:noProof/>
                <w:sz w:val="12"/>
              </w:rPr>
              <w:t>bis</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7"/>
              </w:rPr>
              <w:t>Certification</w:t>
            </w:r>
          </w:p>
        </w:tc>
        <w:tc>
          <w:tcPr>
            <w:tcW w:w="3029" w:type="dxa"/>
            <w:tcBorders>
              <w:top w:val="single" w:sz="6" w:space="0" w:color="000000"/>
              <w:left w:val="single" w:sz="6" w:space="0" w:color="000000"/>
              <w:bottom w:val="single" w:sz="6" w:space="0" w:color="000000"/>
              <w:right w:val="single" w:sz="6" w:space="0" w:color="000000"/>
            </w:tcBorders>
            <w:shd w:val="clear" w:color="auto" w:fill="FFFF65"/>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Décision nº 34/2017 portant adoption des dispositions générales d’exécution relatives à la certification en application de l’article 45 </w:t>
            </w:r>
            <w:r>
              <w:rPr>
                <w:rFonts w:ascii="Times New Roman" w:hAnsi="Times New Roman"/>
                <w:i/>
                <w:iCs/>
                <w:noProof/>
                <w:sz w:val="12"/>
              </w:rPr>
              <w:t>bis</w:t>
            </w:r>
            <w:r>
              <w:rPr>
                <w:rFonts w:ascii="Times New Roman" w:hAnsi="Times New Roman"/>
                <w:noProof/>
                <w:sz w:val="12"/>
              </w:rPr>
              <w:br/>
              <w:t xml:space="preserve"> du statut, et abrogeant la décision nº 62/2015</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16.10.2017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26.9.2023</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val="539"/>
        </w:trPr>
        <w:tc>
          <w:tcPr>
            <w:tcW w:w="1157"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4" w:space="0" w:color="auto"/>
              <w:right w:val="single" w:sz="4" w:space="0" w:color="000000"/>
            </w:tcBorders>
            <w:shd w:val="clear" w:color="auto" w:fill="FFFF65"/>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nº 55/2023 portant adoption des dispositions générales d’exécution relatives à la certification en application de l’article 45 </w:t>
            </w:r>
            <w:r>
              <w:rPr>
                <w:rFonts w:ascii="Times New Roman" w:hAnsi="Times New Roman"/>
                <w:i/>
                <w:iCs/>
                <w:noProof/>
                <w:sz w:val="12"/>
              </w:rPr>
              <w:t>bis</w:t>
            </w:r>
            <w:r>
              <w:rPr>
                <w:rFonts w:ascii="Times New Roman" w:hAnsi="Times New Roman"/>
                <w:noProof/>
                <w:sz w:val="12"/>
              </w:rPr>
              <w:br/>
              <w:t xml:space="preserve"> du statut</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26.9.2023</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Chapitre 4 – Cessation définitive des fonctions</w:t>
            </w:r>
          </w:p>
        </w:tc>
      </w:tr>
      <w:tr>
        <w:trPr>
          <w:trHeight w:hRule="exact" w:val="55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Section 4 – Procédures de traitement de l’insuffisance professionnelle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Insuffisance professionnelle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nº 46/2015 relative à la procédure de détection, de gestion et de résolution des cas d’insuffisance professionnelle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29.7.2015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Temps de 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left="57" w:right="224"/>
              <w:jc w:val="center"/>
              <w:rPr>
                <w:rFonts w:ascii="Times New Roman" w:eastAsia="Calibri" w:hAnsi="Times New Roman" w:cs="Times New Roman"/>
                <w:noProof/>
                <w:w w:val="105"/>
                <w:sz w:val="12"/>
                <w:szCs w:val="12"/>
              </w:rPr>
            </w:pPr>
            <w:r>
              <w:rPr>
                <w:rFonts w:ascii="Times New Roman" w:hAnsi="Times New Roman"/>
                <w:noProof/>
                <w:sz w:val="12"/>
              </w:rPr>
              <w:t>Décision nº 50/2018 relative au temps de travail,</w:t>
            </w:r>
          </w:p>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et abrogeant la décision nº 42/2017</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59/2023 du secr</w:t>
            </w:r>
            <w:r>
              <w:rPr>
                <w:rFonts w:ascii="Times New Roman" w:hAnsi="Calibri"/>
                <w:noProof/>
                <w:sz w:val="12"/>
              </w:rPr>
              <w:t>é</w:t>
            </w:r>
            <w:r>
              <w:rPr>
                <w:rFonts w:ascii="Times New Roman" w:hAnsi="Calibri"/>
                <w:noProof/>
                <w:sz w:val="12"/>
              </w:rPr>
              <w:t>taire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Conseil relative au temps de travail et au t</w:t>
            </w:r>
            <w:r>
              <w:rPr>
                <w:rFonts w:ascii="Times New Roman" w:hAnsi="Calibri"/>
                <w:noProof/>
                <w:sz w:val="12"/>
              </w:rPr>
              <w:t>é</w:t>
            </w:r>
            <w:r>
              <w:rPr>
                <w:rFonts w:ascii="Times New Roman" w:hAnsi="Calibri"/>
                <w:noProof/>
                <w:sz w:val="12"/>
              </w:rPr>
              <w:t>l</w:t>
            </w:r>
            <w:r>
              <w:rPr>
                <w:rFonts w:ascii="Times New Roman" w:hAnsi="Calibri"/>
                <w:noProof/>
                <w:sz w:val="12"/>
              </w:rPr>
              <w:t>é</w:t>
            </w:r>
            <w:r>
              <w:rPr>
                <w:rFonts w:ascii="Times New Roman" w:hAnsi="Calibri"/>
                <w:noProof/>
                <w:sz w:val="12"/>
              </w:rPr>
              <w:t>travail au secr</w:t>
            </w:r>
            <w:r>
              <w:rPr>
                <w:rFonts w:ascii="Times New Roman" w:hAnsi="Calibri"/>
                <w:noProof/>
                <w:sz w:val="12"/>
              </w:rPr>
              <w:t>é</w:t>
            </w:r>
            <w:r>
              <w:rPr>
                <w:rFonts w:ascii="Times New Roman" w:hAnsi="Calibri"/>
                <w:noProof/>
                <w:sz w:val="12"/>
              </w:rPr>
              <w:t>tariat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Conseil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val="restart"/>
            <w:tcBorders>
              <w:top w:val="single" w:sz="6"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Activité à temps partiel</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nº 14/2014 relative à l’activité à temps partiel du 1</w:t>
            </w:r>
            <w:r>
              <w:rPr>
                <w:rFonts w:ascii="Times New Roman" w:hAnsi="Times New Roman"/>
                <w:noProof/>
                <w:sz w:val="12"/>
                <w:vertAlign w:val="superscript"/>
              </w:rPr>
              <w:t>er</w:t>
            </w:r>
            <w:r>
              <w:rPr>
                <w:rFonts w:ascii="Times New Roman" w:hAnsi="Times New Roman"/>
                <w:noProof/>
                <w:sz w:val="12"/>
              </w:rPr>
              <w:t> janvier 2014 (article 55 </w:t>
            </w:r>
            <w:r>
              <w:rPr>
                <w:rFonts w:ascii="Times New Roman" w:hAnsi="Times New Roman"/>
                <w:i/>
                <w:iCs/>
                <w:noProof/>
                <w:sz w:val="12"/>
              </w:rPr>
              <w:t>bis</w:t>
            </w:r>
            <w:r>
              <w:rPr>
                <w:rFonts w:ascii="Times New Roman" w:hAnsi="Times New Roman"/>
                <w:noProof/>
                <w:sz w:val="12"/>
              </w:rPr>
              <w:t xml:space="preserve"> du statut et annexe IV </w:t>
            </w:r>
            <w:r>
              <w:rPr>
                <w:rFonts w:ascii="Times New Roman" w:hAnsi="Times New Roman"/>
                <w:i/>
                <w:iCs/>
                <w:noProof/>
                <w:sz w:val="12"/>
              </w:rPr>
              <w:t>bis</w:t>
            </w:r>
            <w:r>
              <w:rPr>
                <w:rFonts w:ascii="Times New Roman" w:hAnsi="Times New Roman"/>
                <w:noProof/>
                <w:sz w:val="12"/>
              </w:rPr>
              <w:t>)</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after="0" w:line="240" w:lineRule="auto"/>
              <w:ind w:left="57" w:right="224"/>
              <w:jc w:val="center"/>
              <w:rPr>
                <w:rFonts w:ascii="Times New Roman" w:eastAsia="Calibri" w:hAnsi="Times New Roman" w:cs="Times New Roman"/>
                <w:noProof/>
                <w:w w:val="105"/>
                <w:sz w:val="12"/>
              </w:rPr>
            </w:pPr>
            <w:r>
              <w:rPr>
                <w:rFonts w:ascii="Times New Roman" w:hAnsi="Times New Roman"/>
                <w:noProof/>
                <w:sz w:val="12"/>
              </w:rPr>
              <w:t>Décision nº 50/2018 relative au temps de travail,</w:t>
            </w:r>
          </w:p>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et abrogeant la décision nº 42/2017</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1.1.2019</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59/2023 du secr</w:t>
            </w:r>
            <w:r>
              <w:rPr>
                <w:rFonts w:ascii="Times New Roman" w:hAnsi="Calibri"/>
                <w:noProof/>
                <w:sz w:val="12"/>
              </w:rPr>
              <w:t>é</w:t>
            </w:r>
            <w:r>
              <w:rPr>
                <w:rFonts w:ascii="Times New Roman" w:hAnsi="Calibri"/>
                <w:noProof/>
                <w:sz w:val="12"/>
              </w:rPr>
              <w:t>taire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Conseil relative au temps de travail et au t</w:t>
            </w:r>
            <w:r>
              <w:rPr>
                <w:rFonts w:ascii="Times New Roman" w:hAnsi="Calibri"/>
                <w:noProof/>
                <w:sz w:val="12"/>
              </w:rPr>
              <w:t>é</w:t>
            </w:r>
            <w:r>
              <w:rPr>
                <w:rFonts w:ascii="Times New Roman" w:hAnsi="Calibri"/>
                <w:noProof/>
                <w:sz w:val="12"/>
              </w:rPr>
              <w:t>l</w:t>
            </w:r>
            <w:r>
              <w:rPr>
                <w:rFonts w:ascii="Times New Roman" w:hAnsi="Calibri"/>
                <w:noProof/>
                <w:sz w:val="12"/>
              </w:rPr>
              <w:t>é</w:t>
            </w:r>
            <w:r>
              <w:rPr>
                <w:rFonts w:ascii="Times New Roman" w:hAnsi="Calibri"/>
                <w:noProof/>
                <w:sz w:val="12"/>
              </w:rPr>
              <w:t>travail au secr</w:t>
            </w:r>
            <w:r>
              <w:rPr>
                <w:rFonts w:ascii="Times New Roman" w:hAnsi="Calibri"/>
                <w:noProof/>
                <w:sz w:val="12"/>
              </w:rPr>
              <w:t>é</w:t>
            </w:r>
            <w:r>
              <w:rPr>
                <w:rFonts w:ascii="Times New Roman" w:hAnsi="Calibri"/>
                <w:noProof/>
                <w:sz w:val="12"/>
              </w:rPr>
              <w:t>tariat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Conseil</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12.10.2023</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Télétravail</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Décision nº 59/2016 relative au télétravail, </w:t>
            </w:r>
            <w:r>
              <w:rPr>
                <w:rFonts w:ascii="Times New Roman" w:hAnsi="Times New Roman"/>
                <w:noProof/>
                <w:sz w:val="12"/>
              </w:rPr>
              <w:br/>
              <w:t>et abrogeant les décisions nº 144/2012, 145/2012, 146/2012, 147/2012, 12/2013 et 1/2016</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nº 8/2020 relative au télétravail</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nº 59/2023 du secrétaire général du Conseil relative au temps de travail et au télétravail au secrétariat général du Conseil</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 + annexe VI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Heures supplémentaires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nº 50/2018 relative au temps de travail, et abrogeant la décision nº 42/2017</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   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12.10.2023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Décision nº 59/2023 du secrétaire général du Conseil relative au temps de travail et au télétravail au secrétariat général du Conseil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12.10.2023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1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Décision nº 26/2017 portant dispositions régissant l’octroi des indemnités mensuelles forfaitaires pour les heures supplémentaires effectuées par les secrétaires au sein des cabinets du président du Conseil européen et du secrétaire général du Conseil; par l’équipe de protection rapprochée du président du Conseil européen au sein du bureau de sécurité; et par les chauffeurs du secrétariat général du Conseil, et abrogeant la décision nº 49/10 du secrétaire général adjoint du 15 juin 2006 et la décision du secrétaire général adjoint du 26 juin 2006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 xml:space="preserve">             15.5.2017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20.10.2023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17"/>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Décision nº 56/2023 du secrétaire général du Conseil établissant les dispositions régissant l’octroi</w:t>
            </w:r>
            <w:r>
              <w:rPr>
                <w:rFonts w:ascii="Times New Roman" w:hAnsi="Times New Roman"/>
                <w:noProof/>
                <w:sz w:val="12"/>
              </w:rPr>
              <w:br/>
              <w:t xml:space="preserve"> des indemnités mensuelles forfaitaires pour les heures supplémentaires effectuées par les secrétaires au sein des cabinets du président du Conseil européen et du secrétaire général du Conseil; par l’équipe de protection rapprochée du président du Conseil européen au sein de la direction de la sécurité et de la sûreté; et par les chauffeurs du secrétariat général du Conseil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20.10.2023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b/>
          <w:bCs/>
          <w:noProof/>
          <w:sz w:val="20"/>
          <w:szCs w:val="20"/>
        </w:rPr>
      </w:pPr>
    </w:p>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lastRenderedPageBreak/>
              <w:t xml:space="preserve">              Chapitre 2 – Congés</w:t>
            </w:r>
          </w:p>
        </w:tc>
      </w:tr>
      <w:tr>
        <w:trPr>
          <w:trHeight w:hRule="exact" w:val="700"/>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annexe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Congés annuels et congés spéciaux</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Décision nº 1/2014 portant modalités d’application</w:t>
            </w:r>
            <w:r>
              <w:rPr>
                <w:rFonts w:ascii="Times New Roman" w:hAnsi="Times New Roman"/>
                <w:noProof/>
                <w:sz w:val="12"/>
              </w:rPr>
              <w:br/>
              <w:t xml:space="preserve"> des dispositions statutaires en matière de congés relatifs aux fonctionnaires en activité au sein du secrétariat général du Conseil</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tcBorders>
              <w:top w:val="single" w:sz="6"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t>27.5.2021</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25"/>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 xml:space="preserve">Décision nº 22/2021 du secrétaire général </w:t>
            </w:r>
            <w:r>
              <w:rPr>
                <w:rFonts w:ascii="Times New Roman" w:hAnsi="Times New Roman"/>
                <w:noProof/>
                <w:sz w:val="12"/>
              </w:rPr>
              <w:br/>
              <w:t xml:space="preserve">du Conseil portant modalités d’application </w:t>
            </w:r>
            <w:r>
              <w:rPr>
                <w:rFonts w:ascii="Times New Roman" w:hAnsi="Times New Roman"/>
                <w:noProof/>
                <w:sz w:val="12"/>
              </w:rPr>
              <w:br/>
              <w:t>des dispositions statutaires en matière de congés au sein du secrétariat général du Conseil</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27.5.2021</w:t>
            </w:r>
          </w:p>
        </w:tc>
        <w:tc>
          <w:tcPr>
            <w:tcW w:w="1498" w:type="dxa"/>
            <w:tcBorders>
              <w:top w:val="single" w:sz="6"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t xml:space="preserve">12.10.2023 </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848"/>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Décision nº 58/2023 du secrétaire général</w:t>
            </w:r>
            <w:r>
              <w:rPr>
                <w:rFonts w:ascii="Times New Roman" w:hAnsi="Times New Roman"/>
                <w:noProof/>
                <w:sz w:val="12"/>
              </w:rPr>
              <w:br/>
              <w:t xml:space="preserve"> du Conseil portant modalités d’application</w:t>
            </w:r>
            <w:r>
              <w:rPr>
                <w:rFonts w:ascii="Times New Roman" w:hAnsi="Times New Roman"/>
                <w:noProof/>
                <w:sz w:val="12"/>
              </w:rPr>
              <w:br/>
              <w:t xml:space="preserve"> des dispositions statutaires en matière de congés au sein du secrétariat général du Conseil</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12.10.2023</w:t>
            </w:r>
          </w:p>
        </w:tc>
        <w:tc>
          <w:tcPr>
            <w:tcW w:w="1498" w:type="dxa"/>
            <w:tcBorders>
              <w:top w:val="single" w:sz="3"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748"/>
        </w:trPr>
        <w:tc>
          <w:tcPr>
            <w:tcW w:w="1156" w:type="dxa"/>
            <w:vMerge w:val="restart"/>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58</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 de maternité</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Décision nº 1/2014 portant modalités d’application </w:t>
            </w:r>
            <w:r>
              <w:rPr>
                <w:rFonts w:ascii="Times New Roman" w:hAnsi="Times New Roman"/>
                <w:noProof/>
                <w:sz w:val="12"/>
              </w:rPr>
              <w:br/>
              <w:t xml:space="preserve">des dispositions statutaires en matière de congés relatifs aux fonctionnaires en activité au sein du secrétariat général </w:t>
            </w:r>
            <w:r>
              <w:rPr>
                <w:rFonts w:ascii="Times New Roman" w:hAnsi="Times New Roman"/>
                <w:noProof/>
                <w:sz w:val="12"/>
              </w:rPr>
              <w:br/>
              <w:t>du Conseil</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br/>
              <w:t>27.5.2021</w:t>
            </w:r>
          </w:p>
        </w:tc>
        <w:tc>
          <w:tcPr>
            <w:tcW w:w="936"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28"/>
        </w:trPr>
        <w:tc>
          <w:tcPr>
            <w:tcW w:w="1156" w:type="dxa"/>
            <w:vMerge/>
            <w:tcBorders>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Décision nº 22/2021 du secrétaire général </w:t>
            </w:r>
            <w:r>
              <w:rPr>
                <w:rFonts w:ascii="Times New Roman" w:hAnsi="Times New Roman"/>
                <w:noProof/>
                <w:sz w:val="12"/>
              </w:rPr>
              <w:br/>
              <w:t xml:space="preserve">du Conseil portant modalités d’application </w:t>
            </w:r>
            <w:r>
              <w:rPr>
                <w:rFonts w:ascii="Times New Roman" w:hAnsi="Times New Roman"/>
                <w:noProof/>
                <w:sz w:val="12"/>
              </w:rPr>
              <w:br/>
              <w:t>des dispositions statutaires en matière de congés au sein du secrétariat général du Conseil</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27.5.2021</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12.10.2023</w:t>
            </w:r>
          </w:p>
        </w:tc>
        <w:tc>
          <w:tcPr>
            <w:tcW w:w="936" w:type="dxa"/>
            <w:vMerge/>
            <w:tcBorders>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695"/>
        </w:trPr>
        <w:tc>
          <w:tcPr>
            <w:tcW w:w="1156" w:type="dxa"/>
            <w:vMerge/>
            <w:tcBorders>
              <w:left w:val="single" w:sz="4" w:space="0" w:color="000000"/>
              <w:bottom w:val="single" w:sz="6"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Décision nº 58/2023 du secrétaire général </w:t>
            </w:r>
            <w:r>
              <w:rPr>
                <w:rFonts w:ascii="Times New Roman" w:hAnsi="Times New Roman"/>
                <w:noProof/>
                <w:sz w:val="12"/>
              </w:rPr>
              <w:br/>
              <w:t xml:space="preserve">du Conseil portant modalités d’application </w:t>
            </w:r>
            <w:r>
              <w:rPr>
                <w:rFonts w:ascii="Times New Roman" w:hAnsi="Times New Roman"/>
                <w:noProof/>
                <w:sz w:val="12"/>
              </w:rPr>
              <w:br/>
              <w:t>des dispositions statutaires en matière de congés au sein du secrétariat général du Conseil</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12.10.2023</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99"/>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Absence par suite de maladie ou d’accident</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 xml:space="preserve">Décision nº 9/2022 du secrétaire général du Conseil portant modalités d’application des dispositions </w:t>
            </w:r>
            <w:r>
              <w:rPr>
                <w:rFonts w:ascii="Times New Roman" w:hAnsi="Times New Roman"/>
                <w:noProof/>
                <w:sz w:val="12"/>
              </w:rPr>
              <w:br/>
              <w:t>statutaires en matière d’absence par suite de maladie ou d’accident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5.4.2022</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5"/>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paragraphe 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Visite médicale annuelle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nº 43/2015 portant sur la fixation du montant maximal de remboursement des honoraires du médecin afférents à la visite médicale annuelle pour l’année 2015</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8.7.2015</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811"/>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8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annexe VII</w:t>
            </w:r>
            <w:r>
              <w:rPr>
                <w:rFonts w:ascii="Times New Roman" w:hAnsi="Times New Roman"/>
                <w:b/>
                <w:noProof/>
                <w:sz w:val="12"/>
              </w:rPr>
              <w:br/>
              <w:t xml:space="preserve"> (art. 1 et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Allocations familiales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Décision du Conseil portant adoption des dispositions générales d’exécution des articles 67 et 68 du statut des fonctionnaires des Communautés européennes et des articles 1</w:t>
            </w:r>
            <w:r>
              <w:rPr>
                <w:rFonts w:ascii="Times New Roman" w:hAnsi="Times New Roman"/>
                <w:noProof/>
                <w:sz w:val="12"/>
                <w:vertAlign w:val="superscript"/>
              </w:rPr>
              <w:t>er</w:t>
            </w:r>
            <w:r>
              <w:rPr>
                <w:rFonts w:ascii="Times New Roman" w:hAnsi="Times New Roman"/>
                <w:noProof/>
                <w:sz w:val="12"/>
              </w:rPr>
              <w:t>, 2 et 3 de son annexe VII (publiée en tant qu’annexe XI de la communication au personnel 80/04)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90"/>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8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de foyer par décision spéciale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Décision du Conseil portant adoption des dispositions générales d’exécution concernant l’allocation de foyer par décision spéciale (publiée en tant qu’annexe II de la communication au personnel 80/04)</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52"/>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w:t>
            </w:r>
            <w:r>
              <w:rPr>
                <w:rFonts w:ascii="Times New Roman" w:hAnsi="Times New Roman"/>
                <w:b/>
                <w:noProof/>
                <w:sz w:val="12"/>
              </w:rPr>
              <w:br/>
              <w:t xml:space="preserve"> (art.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Personnes assimilées à un enfant à charge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71" w:lineRule="auto"/>
              <w:ind w:right="27"/>
              <w:jc w:val="center"/>
              <w:rPr>
                <w:rFonts w:ascii="Times New Roman" w:eastAsia="Calibri" w:hAnsi="Calibri" w:cs="Times New Roman"/>
                <w:noProof/>
                <w:w w:val="105"/>
                <w:sz w:val="12"/>
              </w:rPr>
            </w:pPr>
            <w:r>
              <w:rPr>
                <w:rFonts w:ascii="Times New Roman" w:hAnsi="Calibri"/>
                <w:noProof/>
                <w:sz w:val="12"/>
              </w:rPr>
              <w:t>D</w:t>
            </w:r>
            <w:r>
              <w:rPr>
                <w:rFonts w:ascii="Times New Roman" w:hAnsi="Calibri"/>
                <w:noProof/>
                <w:sz w:val="12"/>
              </w:rPr>
              <w:t>é</w:t>
            </w:r>
            <w:r>
              <w:rPr>
                <w:rFonts w:ascii="Times New Roman" w:hAnsi="Calibri"/>
                <w:noProof/>
                <w:sz w:val="12"/>
              </w:rPr>
              <w:t>cision du Conseil du 29</w:t>
            </w:r>
            <w:r>
              <w:rPr>
                <w:rFonts w:ascii="Times New Roman" w:hAnsi="Calibri"/>
                <w:noProof/>
                <w:sz w:val="12"/>
              </w:rPr>
              <w:t> </w:t>
            </w:r>
            <w:r>
              <w:rPr>
                <w:rFonts w:ascii="Times New Roman" w:hAnsi="Calibri"/>
                <w:noProof/>
                <w:sz w:val="12"/>
              </w:rPr>
              <w:t>avril</w:t>
            </w:r>
            <w:r>
              <w:rPr>
                <w:rFonts w:ascii="Times New Roman" w:hAnsi="Calibri"/>
                <w:noProof/>
                <w:sz w:val="12"/>
              </w:rPr>
              <w:t> </w:t>
            </w:r>
            <w:r>
              <w:rPr>
                <w:rFonts w:ascii="Times New Roman" w:hAnsi="Calibri"/>
                <w:noProof/>
                <w:sz w:val="12"/>
              </w:rPr>
              <w:t>2004 portant adoption des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en mati</w:t>
            </w:r>
            <w:r>
              <w:rPr>
                <w:rFonts w:ascii="Times New Roman" w:hAnsi="Calibri"/>
                <w:noProof/>
                <w:sz w:val="12"/>
              </w:rPr>
              <w:t>è</w:t>
            </w:r>
            <w:r>
              <w:rPr>
                <w:rFonts w:ascii="Times New Roman" w:hAnsi="Calibri"/>
                <w:noProof/>
                <w:sz w:val="12"/>
              </w:rPr>
              <w:t>re de personne assimil</w:t>
            </w:r>
            <w:r>
              <w:rPr>
                <w:rFonts w:ascii="Times New Roman" w:hAnsi="Calibri"/>
                <w:noProof/>
                <w:sz w:val="12"/>
              </w:rPr>
              <w:t>é</w:t>
            </w:r>
            <w:r>
              <w:rPr>
                <w:rFonts w:ascii="Times New Roman" w:hAnsi="Calibri"/>
                <w:noProof/>
                <w:sz w:val="12"/>
              </w:rPr>
              <w:t xml:space="preserve">e </w:t>
            </w:r>
            <w:r>
              <w:rPr>
                <w:rFonts w:ascii="Times New Roman" w:hAnsi="Calibri"/>
                <w:noProof/>
                <w:sz w:val="12"/>
              </w:rPr>
              <w:t>à</w:t>
            </w:r>
            <w:r>
              <w:rPr>
                <w:rFonts w:ascii="Times New Roman" w:hAnsi="Calibri"/>
                <w:noProof/>
                <w:sz w:val="12"/>
              </w:rPr>
              <w:t xml:space="preserve"> l</w:t>
            </w:r>
            <w:r>
              <w:rPr>
                <w:rFonts w:ascii="Times New Roman" w:hAnsi="Calibri"/>
                <w:noProof/>
                <w:sz w:val="12"/>
              </w:rPr>
              <w:t>’</w:t>
            </w:r>
            <w:r>
              <w:rPr>
                <w:rFonts w:ascii="Times New Roman" w:hAnsi="Calibri"/>
                <w:noProof/>
                <w:sz w:val="12"/>
              </w:rPr>
              <w:t xml:space="preserve">enfant </w:t>
            </w:r>
            <w:r>
              <w:rPr>
                <w:rFonts w:ascii="Times New Roman" w:hAnsi="Calibri"/>
                <w:noProof/>
                <w:sz w:val="12"/>
              </w:rPr>
              <w:t>à</w:t>
            </w:r>
            <w:r>
              <w:rPr>
                <w:rFonts w:ascii="Times New Roman" w:hAnsi="Calibri"/>
                <w:noProof/>
                <w:sz w:val="12"/>
              </w:rPr>
              <w:t xml:space="preserve"> charge </w:t>
            </w:r>
            <w:r>
              <w:rPr>
                <w:rFonts w:ascii="Times New Roman" w:hAnsi="Calibri"/>
                <w:noProof/>
                <w:sz w:val="12"/>
              </w:rPr>
              <w:br/>
              <w:t>(article</w:t>
            </w:r>
            <w:r>
              <w:rPr>
                <w:rFonts w:ascii="Times New Roman" w:hAnsi="Calibri"/>
                <w:noProof/>
                <w:sz w:val="12"/>
              </w:rPr>
              <w:t> </w:t>
            </w:r>
            <w:r>
              <w:rPr>
                <w:rFonts w:ascii="Times New Roman" w:hAnsi="Calibri"/>
                <w:noProof/>
                <w:sz w:val="12"/>
              </w:rPr>
              <w:t>2, paragraphe</w:t>
            </w:r>
            <w:r>
              <w:rPr>
                <w:rFonts w:ascii="Times New Roman" w:hAnsi="Calibri"/>
                <w:noProof/>
                <w:sz w:val="12"/>
              </w:rPr>
              <w:t> </w:t>
            </w:r>
            <w:r>
              <w:rPr>
                <w:rFonts w:ascii="Times New Roman" w:hAnsi="Calibri"/>
                <w:noProof/>
                <w:sz w:val="12"/>
              </w:rPr>
              <w:t>4,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VII du statut)</w:t>
            </w:r>
            <w:r>
              <w:rPr>
                <w:rFonts w:ascii="Times New Roman" w:hAnsi="Calibri"/>
                <w:noProof/>
                <w:sz w:val="12"/>
              </w:rPr>
              <w:br/>
              <w:t xml:space="preserve"> (publi</w:t>
            </w:r>
            <w:r>
              <w:rPr>
                <w:rFonts w:ascii="Times New Roman" w:hAnsi="Calibri"/>
                <w:noProof/>
                <w:sz w:val="12"/>
              </w:rPr>
              <w:t>é</w:t>
            </w:r>
            <w:r>
              <w:rPr>
                <w:rFonts w:ascii="Times New Roman" w:hAnsi="Calibri"/>
                <w:noProof/>
                <w:sz w:val="12"/>
              </w:rPr>
              <w:t>e en tant qu</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III de la communication au personnel</w:t>
            </w:r>
            <w:r>
              <w:rPr>
                <w:rFonts w:ascii="Times New Roman" w:hAnsi="Calibri"/>
                <w:noProof/>
                <w:sz w:val="12"/>
              </w:rPr>
              <w:t> </w:t>
            </w:r>
            <w:r>
              <w:rPr>
                <w:rFonts w:ascii="Times New Roman" w:hAnsi="Calibri"/>
                <w:noProof/>
                <w:sz w:val="12"/>
              </w:rPr>
              <w:t>80/04)</w:t>
            </w:r>
          </w:p>
          <w:p>
            <w:pPr>
              <w:widowControl w:val="0"/>
              <w:spacing w:after="0" w:line="271" w:lineRule="auto"/>
              <w:ind w:right="27"/>
              <w:jc w:val="center"/>
              <w:rPr>
                <w:rFonts w:ascii="Times New Roman" w:eastAsia="Calibri" w:hAnsi="Calibri" w:cs="Times New Roman"/>
                <w:noProof/>
                <w:w w:val="105"/>
                <w:sz w:val="12"/>
              </w:rPr>
            </w:pPr>
          </w:p>
          <w:p>
            <w:pPr>
              <w:widowControl w:val="0"/>
              <w:spacing w:before="95" w:after="0" w:line="254" w:lineRule="auto"/>
              <w:ind w:right="71"/>
              <w:jc w:val="center"/>
              <w:rPr>
                <w:rFonts w:ascii="Times New Roman" w:eastAsia="Times New Roman" w:hAnsi="Times New Roman" w:cs="Times New Roman"/>
                <w:noProof/>
                <w:sz w:val="12"/>
                <w:szCs w:val="12"/>
              </w:rPr>
            </w:pP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8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scolaire</w:t>
            </w:r>
          </w:p>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Décision 13/2014 portant adoption des dispositions générales d’exécution relatives à l’octroi de l’allocation scolaire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annexe VII </w:t>
            </w:r>
            <w:r>
              <w:rPr>
                <w:rFonts w:ascii="Times New Roman" w:hAnsi="Times New Roman"/>
                <w:b/>
                <w:noProof/>
                <w:sz w:val="12"/>
              </w:rPr>
              <w:br/>
              <w:t>(art. 7 et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Décision nº 12/2014 portant adoption des dispositions générales d’exécution relatives aux frais de voyage du lieu</w:t>
            </w:r>
            <w:r>
              <w:rPr>
                <w:rFonts w:ascii="Times New Roman" w:hAnsi="Times New Roman"/>
                <w:noProof/>
                <w:sz w:val="12"/>
              </w:rPr>
              <w:br/>
              <w:t xml:space="preserve"> d’affectation au lieu d’origine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8)</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Lieu d’origine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 xml:space="preserve">32/2019 relative </w:t>
            </w:r>
            <w:r>
              <w:rPr>
                <w:rFonts w:ascii="Times New Roman" w:hAnsi="Calibri"/>
                <w:noProof/>
                <w:sz w:val="12"/>
              </w:rPr>
              <w:t>à</w:t>
            </w:r>
            <w:r>
              <w:rPr>
                <w:rFonts w:ascii="Times New Roman" w:hAnsi="Calibri"/>
                <w:noProof/>
                <w:sz w:val="12"/>
              </w:rPr>
              <w:t xml:space="preserve"> la fixation du lieu d</w:t>
            </w:r>
            <w:r>
              <w:rPr>
                <w:rFonts w:ascii="Times New Roman" w:hAnsi="Calibri"/>
                <w:noProof/>
                <w:sz w:val="12"/>
              </w:rPr>
              <w:t>’</w:t>
            </w:r>
            <w:r>
              <w:rPr>
                <w:rFonts w:ascii="Times New Roman" w:hAnsi="Calibri"/>
                <w:noProof/>
                <w:sz w:val="12"/>
              </w:rPr>
              <w:t>origine (article</w:t>
            </w:r>
            <w:r>
              <w:rPr>
                <w:rFonts w:ascii="Times New Roman" w:hAnsi="Calibri"/>
                <w:noProof/>
                <w:sz w:val="12"/>
              </w:rPr>
              <w:t> </w:t>
            </w:r>
            <w:r>
              <w:rPr>
                <w:rFonts w:ascii="Times New Roman" w:hAnsi="Calibri"/>
                <w:noProof/>
                <w:sz w:val="12"/>
              </w:rPr>
              <w:t>7, paragraphe</w:t>
            </w:r>
            <w:r>
              <w:rPr>
                <w:rFonts w:ascii="Times New Roman" w:hAnsi="Calibri"/>
                <w:noProof/>
                <w:sz w:val="12"/>
              </w:rPr>
              <w:t> </w:t>
            </w:r>
            <w:r>
              <w:rPr>
                <w:rFonts w:ascii="Times New Roman" w:hAnsi="Calibri"/>
                <w:noProof/>
                <w:sz w:val="12"/>
              </w:rPr>
              <w:t>4,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 xml:space="preserve">VII du statut), </w:t>
            </w:r>
            <w:r>
              <w:rPr>
                <w:rFonts w:ascii="Times New Roman" w:hAnsi="Calibri"/>
                <w:noProof/>
                <w:sz w:val="12"/>
              </w:rPr>
              <w:br/>
              <w:t>et abrogeant la 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10/2014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18.7.2019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38/2019 portant adoption des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relatives aux frais de d</w:t>
            </w:r>
            <w:r>
              <w:rPr>
                <w:rFonts w:ascii="Times New Roman" w:hAnsi="Calibri"/>
                <w:noProof/>
                <w:sz w:val="12"/>
              </w:rPr>
              <w:t>é</w:t>
            </w:r>
            <w:r>
              <w:rPr>
                <w:rFonts w:ascii="Times New Roman" w:hAnsi="Calibri"/>
                <w:noProof/>
                <w:sz w:val="12"/>
              </w:rPr>
              <w:t>m</w:t>
            </w:r>
            <w:r>
              <w:rPr>
                <w:rFonts w:ascii="Times New Roman" w:hAnsi="Calibri"/>
                <w:noProof/>
                <w:sz w:val="12"/>
              </w:rPr>
              <w:t>é</w:t>
            </w:r>
            <w:r>
              <w:rPr>
                <w:rFonts w:ascii="Times New Roman" w:hAnsi="Calibri"/>
                <w:noProof/>
                <w:sz w:val="12"/>
              </w:rPr>
              <w:t>nagement (article</w:t>
            </w:r>
            <w:r>
              <w:rPr>
                <w:rFonts w:ascii="Times New Roman" w:hAnsi="Calibri"/>
                <w:noProof/>
                <w:sz w:val="12"/>
              </w:rPr>
              <w:t> </w:t>
            </w:r>
            <w:r>
              <w:rPr>
                <w:rFonts w:ascii="Times New Roman" w:hAnsi="Calibri"/>
                <w:noProof/>
                <w:sz w:val="12"/>
              </w:rPr>
              <w:t>9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VII du statut), et abrogeant la 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8/2014</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18.7.2019</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1069"/>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lastRenderedPageBreak/>
              <w:t xml:space="preserve">71 + annexe VII </w:t>
            </w:r>
            <w:r>
              <w:rPr>
                <w:rFonts w:ascii="Times New Roman" w:hAnsi="Times New Roman"/>
                <w:b/>
                <w:noProof/>
                <w:sz w:val="12"/>
              </w:rPr>
              <w:br/>
              <w:t>(art. 11 à 13 </w:t>
            </w:r>
            <w:r>
              <w:rPr>
                <w:rFonts w:ascii="Times New Roman" w:hAnsi="Times New Roman"/>
                <w:b/>
                <w:i/>
                <w:iCs/>
                <w:noProof/>
                <w:sz w:val="12"/>
              </w:rPr>
              <w:t>bis</w:t>
            </w:r>
            <w:r>
              <w:rPr>
                <w:rFonts w:ascii="Times New Roman" w:hAnsi="Times New Roman"/>
                <w:b/>
                <w:noProof/>
                <w:sz w:val="12"/>
              </w:rPr>
              <w:t>)</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Frais de mission et de déplacement</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13/2019 relative aux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portant adoption du guide des missions et des d</w:t>
            </w:r>
            <w:r>
              <w:rPr>
                <w:rFonts w:ascii="Times New Roman" w:hAnsi="Calibri"/>
                <w:noProof/>
                <w:sz w:val="12"/>
              </w:rPr>
              <w:t>é</w:t>
            </w:r>
            <w:r>
              <w:rPr>
                <w:rFonts w:ascii="Times New Roman" w:hAnsi="Calibri"/>
                <w:noProof/>
                <w:sz w:val="12"/>
              </w:rPr>
              <w:t>placements autoris</w:t>
            </w:r>
            <w:r>
              <w:rPr>
                <w:rFonts w:ascii="Times New Roman" w:hAnsi="Calibri"/>
                <w:noProof/>
                <w:sz w:val="12"/>
              </w:rPr>
              <w:t>é</w:t>
            </w:r>
            <w:r>
              <w:rPr>
                <w:rFonts w:ascii="Times New Roman" w:hAnsi="Calibri"/>
                <w:noProof/>
                <w:sz w:val="12"/>
              </w:rPr>
              <w:t>s pour les fonctionnaires et autres agents du secr</w:t>
            </w:r>
            <w:r>
              <w:rPr>
                <w:rFonts w:ascii="Times New Roman" w:hAnsi="Calibri"/>
                <w:noProof/>
                <w:sz w:val="12"/>
              </w:rPr>
              <w:t>é</w:t>
            </w:r>
            <w:r>
              <w:rPr>
                <w:rFonts w:ascii="Times New Roman" w:hAnsi="Calibri"/>
                <w:noProof/>
                <w:sz w:val="12"/>
              </w:rPr>
              <w:t>tariat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Conseil et autres personnes assimil</w:t>
            </w:r>
            <w:r>
              <w:rPr>
                <w:rFonts w:ascii="Times New Roman" w:hAnsi="Calibri"/>
                <w:noProof/>
                <w:sz w:val="12"/>
              </w:rPr>
              <w:t>é</w:t>
            </w:r>
            <w:r>
              <w:rPr>
                <w:rFonts w:ascii="Times New Roman" w:hAnsi="Calibri"/>
                <w:noProof/>
                <w:sz w:val="12"/>
              </w:rPr>
              <w:t>es, et abrogeant la 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57/2015</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1.4.2019</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annexes VIII et XIII – Pensions et allocation d’invalidité</w:t>
            </w:r>
          </w:p>
        </w:tc>
      </w:tr>
      <w:tr>
        <w:trPr>
          <w:trHeight w:hRule="exact" w:val="722"/>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annexe VIII</w:t>
            </w:r>
            <w:r>
              <w:rPr>
                <w:rFonts w:ascii="Times New Roman" w:hAnsi="Times New Roman"/>
                <w:b/>
                <w:noProof/>
                <w:sz w:val="12"/>
              </w:rPr>
              <w:br/>
              <w:t xml:space="preserve"> (art. 11 et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Transfert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des articles 11 et 12 de l’annexe VIII relatifs au transfert de droits à pension</w:t>
            </w:r>
            <w:r>
              <w:rPr>
                <w:rFonts w:ascii="Times New Roman" w:hAnsi="Times New Roman"/>
                <w:noProof/>
                <w:sz w:val="12"/>
              </w:rPr>
              <w:br/>
              <w:t xml:space="preserve"> (modifiées par la décision nº 9/2021 du 7 mai 2021)</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2546"/>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73 + 78</w:t>
            </w:r>
          </w:p>
        </w:tc>
        <w:tc>
          <w:tcPr>
            <w:tcW w:w="2551"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Origine professionnelle d’une invalidité</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nº 51/2022 du directeur général du développement organisationnel et des services relative à la compétence de l’unité des conseillers juridiques de l’administration pour mener des enquêtes administratives en vue d’établir les faits dans des cas concernant une éventuelle reconnaissance de l’origine professionnelle de l’invalidité au titre de l’article 78, cinquième alinéa, du statut, et de l’article 33, paragraphe 1, quatrième alinéa, et l’article 101, paragraphe 3, du régime applicable aux autres agents de l’Union européenne, et en vue d’établir les faits dans des cas concernant une éventuelle reconnaissance d’une maladie professionnelle au titre de l’article 73 du statut et des articles 28 et 95 du régime applicable aux autres agents de l’Union européenne, lorsque ces cas peuvent être liés à des conditions de travail en dehors du domaine strictement médical</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12.10.2022</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Régime disciplinaire</w:t>
            </w:r>
          </w:p>
        </w:tc>
        <w:tc>
          <w:tcPr>
            <w:tcW w:w="3029"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nº 6/2021 du secrétaire général du Conseil de l’Union européenne portant adoption de dispositions générales d’exécution relatives aux enquêtes administratives et aux procédures disciplinaires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15.9.2021</w:t>
            </w:r>
          </w:p>
        </w:tc>
        <w:tc>
          <w:tcPr>
            <w:tcW w:w="1687"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4 – Conditions de travail</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 de maternité et son paiement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Décision nº 15/2014 relative au congé de maternité et à son paiement pour les femmes dont le congé de maternité débute avant la fin de leur contrat</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nº 7/14 portant adoption des dispositions générales d’exécution relatives aux procédures régissant l’engagement et l’emploi des agents contractuels, et abrogeant la décision du 16 juin 2011</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lastRenderedPageBreak/>
              <w:t>Chapitre 3 – Conditions d’engagement</w:t>
            </w:r>
          </w:p>
        </w:tc>
      </w:tr>
      <w:tr>
        <w:trPr>
          <w:trHeight w:hRule="exact" w:val="1049"/>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6"/>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7"/>
              </w:rPr>
              <w:t>Procédures de recrutement des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7/14 portant adoption des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relatives aux proc</w:t>
            </w:r>
            <w:r>
              <w:rPr>
                <w:rFonts w:ascii="Times New Roman" w:hAnsi="Calibri"/>
                <w:noProof/>
                <w:sz w:val="12"/>
              </w:rPr>
              <w:t>é</w:t>
            </w:r>
            <w:r>
              <w:rPr>
                <w:rFonts w:ascii="Times New Roman" w:hAnsi="Calibri"/>
                <w:noProof/>
                <w:sz w:val="12"/>
              </w:rPr>
              <w:t>dures r</w:t>
            </w:r>
            <w:r>
              <w:rPr>
                <w:rFonts w:ascii="Times New Roman" w:hAnsi="Calibri"/>
                <w:noProof/>
                <w:sz w:val="12"/>
              </w:rPr>
              <w:t>é</w:t>
            </w:r>
            <w:r>
              <w:rPr>
                <w:rFonts w:ascii="Times New Roman" w:hAnsi="Calibri"/>
                <w:noProof/>
                <w:sz w:val="12"/>
              </w:rPr>
              <w:t>gissant l</w:t>
            </w:r>
            <w:r>
              <w:rPr>
                <w:rFonts w:ascii="Times New Roman" w:hAnsi="Calibri"/>
                <w:noProof/>
                <w:sz w:val="12"/>
              </w:rPr>
              <w:t>’</w:t>
            </w:r>
            <w:r>
              <w:rPr>
                <w:rFonts w:ascii="Times New Roman" w:hAnsi="Calibri"/>
                <w:noProof/>
                <w:sz w:val="12"/>
              </w:rPr>
              <w:t>engagement et l</w:t>
            </w:r>
            <w:r>
              <w:rPr>
                <w:rFonts w:ascii="Times New Roman" w:hAnsi="Calibri"/>
                <w:noProof/>
                <w:sz w:val="12"/>
              </w:rPr>
              <w:t>’</w:t>
            </w:r>
            <w:r>
              <w:rPr>
                <w:rFonts w:ascii="Times New Roman" w:hAnsi="Calibri"/>
                <w:noProof/>
                <w:sz w:val="12"/>
              </w:rPr>
              <w:t>emploi des agents contractuels, et abrogeant la d</w:t>
            </w:r>
            <w:r>
              <w:rPr>
                <w:rFonts w:ascii="Times New Roman" w:hAnsi="Calibri"/>
                <w:noProof/>
                <w:sz w:val="12"/>
              </w:rPr>
              <w:t>é</w:t>
            </w:r>
            <w:r>
              <w:rPr>
                <w:rFonts w:ascii="Times New Roman" w:hAnsi="Calibri"/>
                <w:noProof/>
                <w:sz w:val="12"/>
              </w:rPr>
              <w:t>cision du 16</w:t>
            </w:r>
            <w:r>
              <w:rPr>
                <w:rFonts w:ascii="Times New Roman" w:hAnsi="Calibri"/>
                <w:noProof/>
                <w:sz w:val="12"/>
              </w:rPr>
              <w:t> </w:t>
            </w:r>
            <w:r>
              <w:rPr>
                <w:rFonts w:ascii="Times New Roman" w:hAnsi="Calibri"/>
                <w:noProof/>
                <w:sz w:val="12"/>
              </w:rPr>
              <w:t>juin</w:t>
            </w:r>
            <w:r>
              <w:rPr>
                <w:rFonts w:ascii="Times New Roman" w:hAnsi="Calibri"/>
                <w:noProof/>
                <w:sz w:val="12"/>
              </w:rPr>
              <w:t> </w:t>
            </w:r>
            <w:r>
              <w:rPr>
                <w:rFonts w:ascii="Times New Roman" w:hAnsi="Calibri"/>
                <w:noProof/>
                <w:sz w:val="12"/>
              </w:rPr>
              <w:t>2011</w:t>
            </w:r>
            <w:r>
              <w:rPr>
                <w:rFonts w:ascii="Times New Roman" w:hAnsi="Calibri"/>
                <w:noProof/>
                <w:sz w:val="12"/>
              </w:rPr>
              <w:br/>
              <w:t>(publi</w:t>
            </w:r>
            <w:r>
              <w:rPr>
                <w:rFonts w:ascii="Times New Roman" w:hAnsi="Calibri"/>
                <w:noProof/>
                <w:sz w:val="12"/>
              </w:rPr>
              <w:t>é</w:t>
            </w:r>
            <w:r>
              <w:rPr>
                <w:rFonts w:ascii="Times New Roman" w:hAnsi="Calibri"/>
                <w:noProof/>
                <w:sz w:val="12"/>
              </w:rPr>
              <w:t>e en tant qu</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de la communication au personnel</w:t>
            </w:r>
            <w:r>
              <w:rPr>
                <w:rFonts w:ascii="Times New Roman" w:hAnsi="Calibri"/>
                <w:noProof/>
                <w:sz w:val="12"/>
              </w:rPr>
              <w:t> </w:t>
            </w:r>
            <w:r>
              <w:rPr>
                <w:rFonts w:ascii="Times New Roman" w:hAnsi="Calibri"/>
                <w:noProof/>
                <w:sz w:val="12"/>
              </w:rPr>
              <w:t>61/11 du</w:t>
            </w:r>
            <w:r>
              <w:rPr>
                <w:rFonts w:ascii="Times New Roman" w:hAnsi="Calibri"/>
                <w:noProof/>
                <w:sz w:val="12"/>
              </w:rPr>
              <w:t> </w:t>
            </w:r>
            <w:r>
              <w:rPr>
                <w:rFonts w:ascii="Times New Roman" w:hAnsi="Calibri"/>
                <w:noProof/>
                <w:sz w:val="12"/>
              </w:rPr>
              <w:t>23.6.2011)</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1079"/>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n</w:t>
            </w:r>
            <w:r>
              <w:rPr>
                <w:rFonts w:ascii="Times New Roman" w:hAnsi="Calibri"/>
                <w:noProof/>
                <w:sz w:val="12"/>
              </w:rPr>
              <w:t>º </w:t>
            </w:r>
            <w:r>
              <w:rPr>
                <w:rFonts w:ascii="Times New Roman" w:hAnsi="Calibri"/>
                <w:noProof/>
                <w:sz w:val="12"/>
              </w:rPr>
              <w:t>7/14 portant adoption des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relatives aux proc</w:t>
            </w:r>
            <w:r>
              <w:rPr>
                <w:rFonts w:ascii="Times New Roman" w:hAnsi="Calibri"/>
                <w:noProof/>
                <w:sz w:val="12"/>
              </w:rPr>
              <w:t>é</w:t>
            </w:r>
            <w:r>
              <w:rPr>
                <w:rFonts w:ascii="Times New Roman" w:hAnsi="Calibri"/>
                <w:noProof/>
                <w:sz w:val="12"/>
              </w:rPr>
              <w:t>dures r</w:t>
            </w:r>
            <w:r>
              <w:rPr>
                <w:rFonts w:ascii="Times New Roman" w:hAnsi="Calibri"/>
                <w:noProof/>
                <w:sz w:val="12"/>
              </w:rPr>
              <w:t>é</w:t>
            </w:r>
            <w:r>
              <w:rPr>
                <w:rFonts w:ascii="Times New Roman" w:hAnsi="Calibri"/>
                <w:noProof/>
                <w:sz w:val="12"/>
              </w:rPr>
              <w:t>gissant l</w:t>
            </w:r>
            <w:r>
              <w:rPr>
                <w:rFonts w:ascii="Times New Roman" w:hAnsi="Calibri"/>
                <w:noProof/>
                <w:sz w:val="12"/>
              </w:rPr>
              <w:t>’</w:t>
            </w:r>
            <w:r>
              <w:rPr>
                <w:rFonts w:ascii="Times New Roman" w:hAnsi="Calibri"/>
                <w:noProof/>
                <w:sz w:val="12"/>
              </w:rPr>
              <w:t>engagement et l</w:t>
            </w:r>
            <w:r>
              <w:rPr>
                <w:rFonts w:ascii="Times New Roman" w:hAnsi="Calibri"/>
                <w:noProof/>
                <w:sz w:val="12"/>
              </w:rPr>
              <w:t>’</w:t>
            </w:r>
            <w:r>
              <w:rPr>
                <w:rFonts w:ascii="Times New Roman" w:hAnsi="Calibri"/>
                <w:noProof/>
                <w:sz w:val="12"/>
              </w:rPr>
              <w:t>emploi des agents contractuels, et abrogeant la d</w:t>
            </w:r>
            <w:r>
              <w:rPr>
                <w:rFonts w:ascii="Times New Roman" w:hAnsi="Calibri"/>
                <w:noProof/>
                <w:sz w:val="12"/>
              </w:rPr>
              <w:t>é</w:t>
            </w:r>
            <w:r>
              <w:rPr>
                <w:rFonts w:ascii="Times New Roman" w:hAnsi="Calibri"/>
                <w:noProof/>
                <w:sz w:val="12"/>
              </w:rPr>
              <w:t>cision du 16</w:t>
            </w:r>
            <w:r>
              <w:rPr>
                <w:rFonts w:ascii="Times New Roman" w:hAnsi="Calibri"/>
                <w:noProof/>
                <w:sz w:val="12"/>
              </w:rPr>
              <w:t> </w:t>
            </w:r>
            <w:r>
              <w:rPr>
                <w:rFonts w:ascii="Times New Roman" w:hAnsi="Calibri"/>
                <w:noProof/>
                <w:sz w:val="12"/>
              </w:rPr>
              <w:t>juin</w:t>
            </w:r>
            <w:r>
              <w:rPr>
                <w:rFonts w:ascii="Times New Roman" w:hAnsi="Calibri"/>
                <w:noProof/>
                <w:sz w:val="12"/>
              </w:rPr>
              <w:t> </w:t>
            </w:r>
            <w:r>
              <w:rPr>
                <w:rFonts w:ascii="Times New Roman" w:hAnsi="Calibri"/>
                <w:noProof/>
                <w:sz w:val="12"/>
              </w:rPr>
              <w:t>2011</w:t>
            </w:r>
            <w:r>
              <w:rPr>
                <w:rFonts w:ascii="Times New Roman" w:hAnsi="Calibri"/>
                <w:noProof/>
                <w:sz w:val="12"/>
              </w:rPr>
              <w:br/>
              <w:t xml:space="preserve"> (publi</w:t>
            </w:r>
            <w:r>
              <w:rPr>
                <w:rFonts w:ascii="Times New Roman" w:hAnsi="Calibri"/>
                <w:noProof/>
                <w:sz w:val="12"/>
              </w:rPr>
              <w:t>é</w:t>
            </w:r>
            <w:r>
              <w:rPr>
                <w:rFonts w:ascii="Times New Roman" w:hAnsi="Calibri"/>
                <w:noProof/>
                <w:sz w:val="12"/>
              </w:rPr>
              <w:t>e en tant qu</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de la communication au personnel</w:t>
            </w:r>
            <w:r>
              <w:rPr>
                <w:rFonts w:ascii="Times New Roman" w:hAnsi="Calibri"/>
                <w:noProof/>
                <w:sz w:val="12"/>
              </w:rPr>
              <w:t> </w:t>
            </w:r>
            <w:r>
              <w:rPr>
                <w:rFonts w:ascii="Times New Roman" w:hAnsi="Calibri"/>
                <w:noProof/>
                <w:sz w:val="12"/>
              </w:rPr>
              <w:t>61/11 du</w:t>
            </w:r>
            <w:r>
              <w:rPr>
                <w:rFonts w:ascii="Times New Roman" w:hAnsi="Calibri"/>
                <w:noProof/>
                <w:sz w:val="12"/>
              </w:rPr>
              <w:t> </w:t>
            </w:r>
            <w:r>
              <w:rPr>
                <w:rFonts w:ascii="Times New Roman" w:hAnsi="Calibri"/>
                <w:noProof/>
                <w:sz w:val="12"/>
              </w:rPr>
              <w:t>23.6.2011)</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Chapitre 4 – Dispositions particulières applicables aux agents contractuels visés à l’article 3 </w:t>
            </w:r>
            <w:r>
              <w:rPr>
                <w:rFonts w:ascii="Times New Roman" w:hAnsi="Times New Roman"/>
                <w:b/>
                <w:i/>
                <w:iCs/>
                <w:noProof/>
                <w:sz w:val="19"/>
              </w:rPr>
              <w:t>bis</w:t>
            </w:r>
          </w:p>
        </w:tc>
      </w:tr>
      <w:tr>
        <w:trPr>
          <w:trHeight w:hRule="exact" w:val="5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Calibri"/>
                <w:b/>
                <w:noProof/>
                <w:sz w:val="17"/>
              </w:rPr>
              <w:t>Classement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Décision nº 30/2019 concernant le classement au grade immédiatement supérieur dans le même groupe de fonctions des agents contractuels, et abrogeant la décision nº 55/2014</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iCs/>
                <w:noProof/>
                <w:sz w:val="12"/>
                <w:szCs w:val="12"/>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              21.5.2019</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rPr>
      </w:pPr>
      <w:r>
        <w:rPr>
          <w:noProof/>
        </w:rPr>
        <w:br w:type="page"/>
      </w:r>
    </w:p>
    <w:p>
      <w:pPr>
        <w:widowControl w:val="0"/>
        <w:spacing w:after="0" w:line="240" w:lineRule="auto"/>
        <w:jc w:val="center"/>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t>COMMISSION EUROPÉENNE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700"/>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paragraphe 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C(1998) 2765/1 – Code de bonne conduite pour l’emploi des personnes handicapées</w:t>
            </w:r>
            <w:r>
              <w:rPr>
                <w:rFonts w:ascii="Times New Roman" w:hAnsi="Times New Roman"/>
                <w:noProof/>
                <w:sz w:val="12"/>
              </w:rPr>
              <w:br/>
              <w:t xml:space="preserve"> [modifié en dernier lieu par la décision C(2003) 4362 de la Commission]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15.9.1998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C(2004) 1318 – Décision de la Commission relative à l’application de l’article 1</w:t>
            </w:r>
            <w:r>
              <w:rPr>
                <w:rFonts w:ascii="Times New Roman" w:hAnsi="Times New Roman"/>
                <w:noProof/>
                <w:sz w:val="12"/>
                <w:vertAlign w:val="superscript"/>
              </w:rPr>
              <w:t>er</w:t>
            </w:r>
            <w:r>
              <w:rPr>
                <w:rFonts w:ascii="Times New Roman" w:hAnsi="Times New Roman"/>
                <w:noProof/>
                <w:sz w:val="12"/>
              </w:rPr>
              <w:t> </w:t>
            </w:r>
            <w:r>
              <w:rPr>
                <w:rFonts w:ascii="Times New Roman" w:hAnsi="Times New Roman"/>
                <w:i/>
                <w:iCs/>
                <w:noProof/>
                <w:sz w:val="12"/>
              </w:rPr>
              <w:t>quinquies</w:t>
            </w:r>
            <w:r>
              <w:rPr>
                <w:rFonts w:ascii="Times New Roman" w:hAnsi="Times New Roman"/>
                <w:noProof/>
                <w:sz w:val="12"/>
              </w:rPr>
              <w:t>, paragraphe 4, du statut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1</w:t>
            </w:r>
            <w:r>
              <w:rPr>
                <w:rFonts w:ascii="Times New Roman" w:hAnsi="Times New Roman"/>
                <w:b/>
                <w:noProof/>
                <w:sz w:val="12"/>
              </w:rPr>
              <w:br/>
              <w:t>(76)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Mesures à caractère social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 xml:space="preserve">C(2013) 4876 final – Décision de la Commission </w:t>
            </w:r>
            <w:bookmarkStart w:id="8" w:name="_Hlk187219867"/>
            <w:r>
              <w:rPr>
                <w:rFonts w:ascii="Times New Roman" w:hAnsi="Times New Roman"/>
                <w:noProof/>
                <w:sz w:val="12"/>
              </w:rPr>
              <w:t>relative aux orientations concernant l’aide à la dépendance et la surveillance d’enfant malade</w:t>
            </w:r>
            <w:bookmarkEnd w:id="8"/>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9.8.2013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hAnsi="Times New Roman" w:cs="Times New Roman"/>
                <w:b/>
                <w:noProof/>
                <w:spacing w:val="1"/>
                <w:w w:val="105"/>
                <w:sz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 1 et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pacing w:val="-1"/>
                <w:w w:val="105"/>
                <w:sz w:val="16"/>
              </w:rPr>
            </w:pPr>
            <w:r>
              <w:rPr>
                <w:rFonts w:ascii="Times New Roman" w:hAnsi="Times New Roman"/>
                <w:b/>
                <w:noProof/>
                <w:sz w:val="16"/>
              </w:rPr>
              <w:t xml:space="preserve">Télétravail </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hAnsi="Times New Roman" w:cs="Times New Roman"/>
                <w:noProof/>
                <w:w w:val="105"/>
                <w:sz w:val="12"/>
              </w:rPr>
            </w:pPr>
            <w:r>
              <w:rPr>
                <w:rFonts w:ascii="Times New Roman" w:hAnsi="Times New Roman"/>
                <w:noProof/>
                <w:sz w:val="12"/>
              </w:rPr>
              <w:t>C(2022) 1788 final – Décision de la Commission relative au temps de travail et au travail hybride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noProof/>
                <w:w w:val="105"/>
                <w:sz w:val="12"/>
              </w:rPr>
            </w:pPr>
            <w:r>
              <w:rPr>
                <w:rFonts w:ascii="Times New Roman" w:hAnsi="Times New Roman"/>
                <w:noProof/>
                <w:sz w:val="12"/>
              </w:rPr>
              <w:t>1.4. 2022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2</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Santé et sécurité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C(2003) 1670/3 – Décision de la Commission sur la protection du personnel contre les effets du tabac dans les bâtiments de la Commission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C(2006) 1623 final – Décision de la Commission instituant une politique harmonisée en matière de santé et de sécurité au travail pour l’ensemble du personnel de la Commission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w w:val="105"/>
                <w:sz w:val="12"/>
              </w:rPr>
            </w:pPr>
            <w:r>
              <w:rPr>
                <w:rFonts w:ascii="Times New Roman" w:hAnsi="Times New Roman"/>
                <w:noProof/>
                <w:sz w:val="12"/>
              </w:rPr>
              <w:t>26.4.2006</w:t>
            </w:r>
          </w:p>
          <w:p>
            <w:pPr>
              <w:widowControl w:val="0"/>
              <w:spacing w:before="9" w:after="0" w:line="240" w:lineRule="auto"/>
              <w:jc w:val="center"/>
              <w:rPr>
                <w:rFonts w:ascii="Times New Roman" w:eastAsia="Calibri" w:hAnsi="Times New Roman" w:cs="Times New Roman"/>
                <w:strike/>
                <w:noProof/>
                <w:sz w:val="12"/>
                <w:szCs w:val="12"/>
              </w:rPr>
            </w:pP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994"/>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C(2020) 5973 final – Décision de la Commission relative aux règles spécifiques en matière de santé et sécurité applicables aux sites de la Commission à Bruxelles et à Luxembourg,</w:t>
            </w:r>
            <w:r>
              <w:rPr>
                <w:rFonts w:ascii="Times New Roman" w:hAnsi="Times New Roman"/>
                <w:noProof/>
                <w:sz w:val="12"/>
              </w:rPr>
              <w:br/>
              <w:t xml:space="preserve">modifiée par la décision C(2020) 7603 final du 28.10.2020, </w:t>
            </w:r>
            <w:r>
              <w:rPr>
                <w:rFonts w:ascii="Times New Roman" w:hAnsi="Times New Roman"/>
                <w:noProof/>
                <w:sz w:val="12"/>
              </w:rPr>
              <w:br/>
              <w:t>modifiée par la décision C(2021) 7699 final du 21.10.2021,</w:t>
            </w:r>
            <w:r>
              <w:rPr>
                <w:rFonts w:ascii="Times New Roman" w:hAnsi="Times New Roman"/>
                <w:noProof/>
                <w:sz w:val="12"/>
              </w:rPr>
              <w:br/>
              <w:t>modifiée en dernier lieu par la décision C(2022) 332 final du 14.1.2022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27.8.2020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36"/>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Pouvoirs de l’AIPN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C(2013) 3288 final – Décision de la Commission relative à l’exercice des pouvoirs dévolus à l’autorité investie du pouvoir de nomination (AIPN) par le statut des fonctionnaires et à l’autorité habilitée à conclure les contrats d’engagement (AHCC) par le régime applicable aux autres agents (RAA)</w:t>
            </w:r>
            <w:r>
              <w:rPr>
                <w:rFonts w:ascii="Times New Roman" w:hAnsi="Times New Roman"/>
                <w:noProof/>
                <w:sz w:val="12"/>
              </w:rPr>
              <w:br/>
              <w:t xml:space="preserve"> [modifiée par la décision C(2016) 1881 final] </w:t>
            </w:r>
            <w:r>
              <w:rPr>
                <w:rFonts w:ascii="Times New Roman" w:hAnsi="Times New Roman"/>
                <w:noProof/>
                <w:sz w:val="12"/>
              </w:rPr>
              <w:br/>
              <w:t>[modifiée par la décision C(2019) 9435 final du 23.12.2019]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9.10.2013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16.2.2022</w:t>
            </w:r>
          </w:p>
        </w:tc>
        <w:tc>
          <w:tcPr>
            <w:tcW w:w="936" w:type="dxa"/>
            <w:vMerge w:val="restart"/>
            <w:tcBorders>
              <w:top w:val="single" w:sz="4" w:space="0" w:color="auto"/>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993"/>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C(2021) 9126 final – Décision de la Commission relative à l’exercice des pouvoirs dévolus à l’autorité investie du pouvoir de nomination (AIPN) par le statut des fonctionnaires et à l’autorité habilitée à conclure les contrats d’engagement (AHCC) par le régime applicable aux autres agents (RAA)</w:t>
            </w:r>
            <w:r>
              <w:rPr>
                <w:rFonts w:ascii="Times New Roman" w:hAnsi="Times New Roman"/>
                <w:noProof/>
                <w:sz w:val="12"/>
              </w:rPr>
              <w:br/>
              <w:t>[modifiée en dernier lieu par la décision C(2023) 6797 final du 13.10.2023]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16.2.2022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annexe 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Emplois types et intitulés d’emploi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C(2013) 8979 final – Décision de la Commission </w:t>
            </w:r>
            <w:r>
              <w:rPr>
                <w:rFonts w:ascii="Times New Roman" w:hAnsi="Times New Roman"/>
                <w:noProof/>
                <w:sz w:val="12"/>
              </w:rPr>
              <w:br/>
              <w:t>relative aux emplois types et aux intitulés d’emploi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C(2016) 3214 final – Décision de la Commission relative à la fonction de conseiller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8.6.2016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C(2010) 453 final – Décision de la Commission relative à l’augmentation du quota de conseillers non structurels à la direction générale de l’informatique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2.2.2010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19"/>
        </w:trPr>
        <w:tc>
          <w:tcPr>
            <w:tcW w:w="1156" w:type="dxa"/>
            <w:tcBorders>
              <w:top w:val="single" w:sz="6" w:space="0" w:color="000000"/>
              <w:left w:val="single" w:sz="4" w:space="0" w:color="000000"/>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 xml:space="preserve">5 + annexe I et annexe XIII </w:t>
            </w:r>
            <w:r>
              <w:rPr>
                <w:rFonts w:ascii="Times New Roman" w:hAnsi="Times New Roman"/>
                <w:b/>
                <w:noProof/>
                <w:sz w:val="12"/>
              </w:rPr>
              <w:br/>
              <w:t>(art. 30 et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Classement des fonctionnaires investis de responsabilités particulières en tant que «chef d’unité ou équivalent» ou «conseiller ou équivalent» avant le 31 décembre 2015</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C(2013) 8979 final – Décision de la Commission relative aux emplois types et aux intitulés d’emploi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p>
            <w:pPr>
              <w:widowControl w:val="0"/>
              <w:spacing w:after="0" w:line="240" w:lineRule="auto"/>
              <w:jc w:val="center"/>
              <w:rPr>
                <w:rFonts w:ascii="Times New Roman" w:eastAsia="Calibri" w:hAnsi="Times New Roman" w:cs="Times New Roman"/>
                <w:b/>
                <w:bCs/>
                <w:noProof/>
                <w:sz w:val="12"/>
                <w:szCs w:val="12"/>
              </w:rPr>
            </w:pP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Mobilité</w:t>
            </w:r>
          </w:p>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C(2008) 3983 final – Décision de la Commission établissant les règles de rotation des fonctionnaires dans les représentations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C(2009) 7839 final – Décision relative aux modalités de mise en œuvre de l’occupation par intérim de postes d’encadrement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20.10.2009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6"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SEC(2002) 146 – Lignes directrices sur la mobilité </w:t>
            </w:r>
            <w:r>
              <w:rPr>
                <w:rFonts w:ascii="Times New Roman" w:hAnsi="Times New Roman"/>
                <w:noProof/>
                <w:sz w:val="12"/>
              </w:rPr>
              <w:br/>
              <w:t>[telles que modifiées par la décision C(2003) 3985 – Modification des lignes directrices sur la mobilité]</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12.2.2002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lastRenderedPageBreak/>
              <w:t>9</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Règles portant composition et fonctionnement du comité du personnel du 22.10.1997</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23.12.1997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C(2011) 3588 final – Décision relative aux ressources humaines et financières allouées au Comité du personnel de la Commission européenne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27.5.2011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C(2005) 2665 – Décision relative à l’amélioration du dialogue social à la Commission à travers les commissions et comités paritaires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15.7.2005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611"/>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rPr>
            </w:pPr>
            <w:r>
              <w:rPr>
                <w:rFonts w:ascii="Times New Roman" w:hAnsi="Times New Roman"/>
                <w:b/>
                <w:noProof/>
                <w:sz w:val="12"/>
              </w:rPr>
              <w:t>11 à 21</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rPr>
            </w:pPr>
            <w:r>
              <w:rPr>
                <w:rFonts w:ascii="Times New Roman" w:hAnsi="Times New Roman"/>
                <w:b/>
                <w:noProof/>
                <w:sz w:val="16"/>
              </w:rPr>
              <w:t>Éthique et intégrité</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 xml:space="preserve"> Information administrative nº 4-2019 du 8 janvier</w:t>
            </w:r>
          </w:p>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2019 – Lignes directrices pour le personnel sur l’utilisation des médias sociaux</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8.1.2019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rPr>
            </w:pPr>
            <w:r>
              <w:rPr>
                <w:rFonts w:ascii="Times New Roman" w:hAnsi="Times New Roman"/>
                <w:noProof/>
                <w:sz w:val="12"/>
              </w:rPr>
              <w:t>9.6.2023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611"/>
        </w:trPr>
        <w:tc>
          <w:tcPr>
            <w:tcW w:w="1156" w:type="dxa"/>
            <w:vMerge/>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z w:val="12"/>
                <w:szCs w:val="12"/>
              </w:rPr>
            </w:pPr>
          </w:p>
        </w:tc>
        <w:tc>
          <w:tcPr>
            <w:tcW w:w="2551" w:type="dxa"/>
            <w:vMerge/>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Information administrative nº 22-2023 – Lignes directrices pour le personnel de la Commission sur l’utilisation des médias sociaux</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9.6.2023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611"/>
        </w:trPr>
        <w:tc>
          <w:tcPr>
            <w:tcW w:w="1156" w:type="dxa"/>
            <w:vMerge/>
            <w:tcBorders>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 xml:space="preserve">SEC(2012) 167 final – Communication du vice-président Šefčovič à la Commission sur les lignes directrices concernant les cadeaux et les offres d’hospitalité destinés aux membres du personnel </w:t>
            </w:r>
            <w:r>
              <w:rPr>
                <w:rFonts w:ascii="Times New Roman" w:hAnsi="Times New Roman"/>
                <w:noProof/>
                <w:sz w:val="12"/>
              </w:rPr>
              <w:br/>
              <w:t>publiée en tant qu’information administrative nº 07-2012</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7.3.2012</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rPr>
            </w:pPr>
          </w:p>
        </w:tc>
        <w:tc>
          <w:tcPr>
            <w:tcW w:w="936" w:type="dxa"/>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611"/>
        </w:trPr>
        <w:tc>
          <w:tcPr>
            <w:tcW w:w="1156" w:type="dxa"/>
            <w:tcBorders>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rPr>
            </w:pPr>
          </w:p>
        </w:tc>
        <w:tc>
          <w:tcPr>
            <w:tcW w:w="2551" w:type="dxa"/>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Information administrative nº 24-2016 – Lignes directrices pour le personnel concernant l’utilisation des services de la Commission dans le domaine des technologies de l’information et de la télécommunication</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18.5.2016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rPr>
            </w:pPr>
          </w:p>
        </w:tc>
        <w:tc>
          <w:tcPr>
            <w:tcW w:w="936" w:type="dxa"/>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611"/>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bis</w:t>
            </w:r>
            <w:r>
              <w:rPr>
                <w:rFonts w:ascii="Times New Roman" w:hAnsi="Times New Roman"/>
                <w:b/>
                <w:noProof/>
                <w:sz w:val="12"/>
              </w:rPr>
              <w:br/>
              <w:t xml:space="preserve"> (1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12, 24, 110)</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Harcèlement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C(2006) 1624/3 – Décision de la Commission relative à la politique en matière de protection de la dignité de la personne et de lutte contre le harcèlement moral et le harcèlement sexuel à la Commission européenne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27.4.2006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13.12.2023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48"/>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C(2023) 8630 final – Décision de la Commission sur la prévention du harcèlement moral et sexuel et la lutte contre celui-ci, et abrogeant la décision C(2006) 1624/3</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13.12.2023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ter</w:t>
            </w:r>
            <w:r>
              <w:rPr>
                <w:rFonts w:ascii="Times New Roman" w:hAnsi="Times New Roman"/>
                <w:b/>
                <w:noProof/>
                <w:sz w:val="12"/>
              </w:rPr>
              <w:br/>
              <w:t xml:space="preserve"> (11, 11 </w:t>
            </w:r>
            <w:r>
              <w:rPr>
                <w:rFonts w:ascii="Times New Roman" w:hAnsi="Times New Roman"/>
                <w:b/>
                <w:i/>
                <w:iCs/>
                <w:noProof/>
                <w:sz w:val="12"/>
              </w:rPr>
              <w:t>bis</w:t>
            </w:r>
            <w:r>
              <w:rPr>
                <w:rFonts w:ascii="Times New Roman" w:hAnsi="Times New Roman"/>
                <w:b/>
                <w:noProof/>
                <w:sz w:val="12"/>
              </w:rPr>
              <w:t>, 12, 15, 16, 17, 17 </w:t>
            </w:r>
            <w:r>
              <w:rPr>
                <w:rFonts w:ascii="Times New Roman" w:hAnsi="Times New Roman"/>
                <w:b/>
                <w:i/>
                <w:iCs/>
                <w:noProof/>
                <w:sz w:val="12"/>
              </w:rPr>
              <w:t>bis</w:t>
            </w:r>
            <w:r>
              <w:rPr>
                <w:rFonts w:ascii="Times New Roman" w:hAnsi="Times New Roman"/>
                <w:b/>
                <w:noProof/>
                <w:sz w:val="12"/>
              </w:rPr>
              <w:t>, 19, 40, 55)</w:t>
            </w:r>
          </w:p>
        </w:tc>
        <w:tc>
          <w:tcPr>
            <w:tcW w:w="2551" w:type="dxa"/>
            <w:tcBorders>
              <w:top w:val="single" w:sz="3" w:space="0" w:color="000000"/>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Activités extérieures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C(2018) 4048 final – Décision de la Commission relative aux activités extérieures et aux mandats ainsi qu’aux activités professionnelles après la cessation de fonctions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1.9.2018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rPr>
            </w:pPr>
            <w:r>
              <w:rPr>
                <w:rFonts w:ascii="Times New Roman" w:hAnsi="Times New Roman"/>
                <w:b/>
                <w:noProof/>
                <w:sz w:val="12"/>
              </w:rPr>
              <w:t>15</w:t>
            </w:r>
            <w:r>
              <w:rPr>
                <w:rFonts w:ascii="Times New Roman" w:hAnsi="Times New Roman"/>
                <w:b/>
                <w:noProof/>
                <w:sz w:val="12"/>
              </w:rPr>
              <w:br/>
              <w:t>(11 </w:t>
            </w:r>
            <w:r>
              <w:rPr>
                <w:rFonts w:ascii="Times New Roman" w:hAnsi="Times New Roman"/>
                <w:b/>
                <w:i/>
                <w:iCs/>
                <w:noProof/>
                <w:sz w:val="12"/>
              </w:rPr>
              <w:t>bis</w:t>
            </w:r>
            <w:r>
              <w:rPr>
                <w:rFonts w:ascii="Times New Roman" w:hAnsi="Times New Roman"/>
                <w:b/>
                <w:noProof/>
                <w:sz w:val="12"/>
              </w:rPr>
              <w:t>, 12, 17)</w:t>
            </w:r>
          </w:p>
        </w:tc>
        <w:tc>
          <w:tcPr>
            <w:tcW w:w="2551"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 xml:space="preserve">Activités extérieures – </w:t>
            </w:r>
            <w:r>
              <w:rPr>
                <w:rFonts w:ascii="Times New Roman" w:hAnsi="Times New Roman"/>
                <w:b/>
                <w:noProof/>
                <w:sz w:val="16"/>
              </w:rPr>
              <w:br/>
              <w:t>Comportement du personnel en lien avec les élections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C(2019) 1120 final – Décision relative au comportement des fonctionnaires et autres agents pendant la campagne électorale européenne en 2019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hAnsi="Times New Roman" w:cs="Times New Roman"/>
                <w:b/>
                <w:noProof/>
                <w:w w:val="105"/>
                <w:sz w:val="12"/>
              </w:rPr>
            </w:pPr>
            <w:r>
              <w:rPr>
                <w:rFonts w:ascii="Times New Roman" w:hAnsi="Times New Roman"/>
                <w:b/>
                <w:noProof/>
                <w:sz w:val="12"/>
              </w:rPr>
              <w:t>22</w:t>
            </w:r>
          </w:p>
        </w:tc>
        <w:tc>
          <w:tcPr>
            <w:tcW w:w="2551"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1"/>
                <w:w w:val="105"/>
                <w:sz w:val="16"/>
                <w:szCs w:val="16"/>
              </w:rPr>
            </w:pPr>
            <w:r>
              <w:rPr>
                <w:rFonts w:ascii="Times New Roman" w:hAnsi="Times New Roman"/>
                <w:b/>
                <w:noProof/>
                <w:sz w:val="16"/>
              </w:rPr>
              <w:t>Responsabilité financière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SEC(2004) 730/5 – Lignes directrices pour l’application de l’article 22 du statut (responsabilité financière des fonctionnaires)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9.6.2004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3" w:space="0" w:color="000000"/>
              <w:left w:val="single" w:sz="4" w:space="0" w:color="000000"/>
              <w:right w:val="single" w:sz="3"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tcBorders>
              <w:top w:val="single" w:sz="3" w:space="0" w:color="000000"/>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Dénonciation des dysfonctionnements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Information administrative nº 16-2013 – Communication du vice-président Šefčovič à la Commission sur les lignes directrices relatives à la transmission d’informations en cas de dysfonctionnements graves [SEC(2012) 679]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6.12.2012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24 </w:t>
            </w:r>
            <w:r>
              <w:rPr>
                <w:rFonts w:ascii="Times New Roman" w:hAnsi="Times New Roman"/>
                <w:b/>
                <w:i/>
                <w:iCs/>
                <w:noProof/>
                <w:sz w:val="12"/>
              </w:rPr>
              <w:t>bis</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Formation</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C(2016) 3827 final – Décision de la Commission abrogeant les règles existantes en matière de formation et de développement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055"/>
        </w:trPr>
        <w:tc>
          <w:tcPr>
            <w:tcW w:w="1156" w:type="dxa"/>
            <w:vMerge/>
            <w:tcBorders>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C(2016) 3828 final – Décision de la Commission relative aux règles d’accès à la formation, dans le cadre de la mise en œuvre de la stratégie de formation et de développement de la Commission européenne</w:t>
            </w:r>
            <w:r>
              <w:rPr>
                <w:rFonts w:ascii="Times New Roman" w:hAnsi="Times New Roman"/>
                <w:noProof/>
                <w:sz w:val="12"/>
              </w:rPr>
              <w:br/>
              <w:t>C(2016) 3829 final – Communication à la Commission sur la stratégie de formation et de développement de la Commission européenne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auto"/>
              <w:bottom w:val="single" w:sz="6" w:space="0" w:color="000000"/>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24 </w:t>
            </w:r>
            <w:r>
              <w:rPr>
                <w:rFonts w:ascii="Times New Roman" w:hAnsi="Times New Roman"/>
                <w:b/>
                <w:i/>
                <w:iCs/>
                <w:noProof/>
                <w:sz w:val="12"/>
              </w:rPr>
              <w:t>bis</w:t>
            </w:r>
            <w:r>
              <w:rPr>
                <w:rFonts w:ascii="Times New Roman" w:hAnsi="Times New Roman"/>
                <w:b/>
                <w:noProof/>
                <w:sz w:val="12"/>
              </w:rPr>
              <w:br/>
              <w:t>(57, annexe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Formation sur la propre initiative du personnel</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C(2016) 3855 final – Décision de la Commission relative aux formations sur la propre initiative du membre du personnel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25.6.2016</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75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32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C(2013) 8970 final – Décision de la Commission portant dispositions générales d’exécution relatives aux critères applicables au classement en échelon lors de la nomination ou de l’engagement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w:t>
            </w:r>
            <w:r>
              <w:rPr>
                <w:rFonts w:ascii="Times New Roman" w:hAnsi="Times New Roman"/>
                <w:b/>
                <w:noProof/>
                <w:sz w:val="12"/>
              </w:rPr>
              <w:br/>
              <w:t>(4, 43)</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Nomination du personnel d’encadrement supérieur</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C(2007) 380 – Décision de la Commission relative au règlement intérieur du comité consultatif des nominations (CCN)</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7.2.2007</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w:t>
            </w:r>
            <w:r>
              <w:rPr>
                <w:rFonts w:ascii="Times New Roman" w:hAnsi="Times New Roman"/>
                <w:b/>
                <w:noProof/>
                <w:sz w:val="12"/>
              </w:rPr>
              <w:br/>
              <w:t>(4, 5, 7)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Encadrement intermédiaire</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noProof/>
              </w:rPr>
            </w:pPr>
            <w:r>
              <w:rPr>
                <w:rFonts w:ascii="Times New Roman" w:hAnsi="Times New Roman"/>
                <w:noProof/>
                <w:sz w:val="12"/>
              </w:rPr>
              <w:t>C(2016) 3288 final – Décision de la Commission concernant le personnel d’encadrement intermédiaire</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16.6.2016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lastRenderedPageBreak/>
              <w:t xml:space="preserve">                     Section 2 – Détachement</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38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Détachement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C(2013) 5555 final – Décision de la Commission concernant les aspects administratifs de la mobilité externe</w:t>
            </w:r>
            <w:r>
              <w:rPr>
                <w:rFonts w:ascii="Times New Roman" w:hAnsi="Times New Roman"/>
                <w:noProof/>
                <w:sz w:val="12"/>
              </w:rPr>
              <w:br/>
              <w:t>C(2013) 5554 final – Communication à la Commission concernant les lignes directrices sur la mobilité externe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3.9.2013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convenance personnelle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C(2013) 9054 final – Décision de la Commission relative aux mesures concernant le congé de convenance personnelle des fonctionnaires et le congé sans rémunération des agents temporaires et agents contractuels de l’Union européenne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C(2010) 7572 final – Décision de la Commission relative aux dispositions générales d’exécution de l’article 42 </w:t>
            </w:r>
            <w:r>
              <w:rPr>
                <w:rFonts w:ascii="Times New Roman" w:hAnsi="Times New Roman"/>
                <w:i/>
                <w:iCs/>
                <w:noProof/>
                <w:sz w:val="12"/>
              </w:rPr>
              <w:t>bis</w:t>
            </w:r>
            <w:r>
              <w:rPr>
                <w:rFonts w:ascii="Times New Roman" w:hAnsi="Times New Roman"/>
                <w:noProof/>
                <w:sz w:val="12"/>
              </w:rPr>
              <w:t xml:space="preserve"> du statut relatif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1.1.2011</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familial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C(2010) 7494 final – Décision de la Commission relative à l’article 42 </w:t>
            </w:r>
            <w:r>
              <w:rPr>
                <w:rFonts w:ascii="Times New Roman" w:hAnsi="Times New Roman"/>
                <w:i/>
                <w:iCs/>
                <w:noProof/>
                <w:sz w:val="12"/>
              </w:rPr>
              <w:t>ter</w:t>
            </w:r>
            <w:r>
              <w:rPr>
                <w:rFonts w:ascii="Times New Roman" w:hAnsi="Times New Roman"/>
                <w:noProof/>
                <w:sz w:val="12"/>
              </w:rPr>
              <w:t xml:space="preserve"> du statut relatif au congé familial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4" w:space="0" w:color="auto"/>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1108"/>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 et 44, premier alinéa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 xml:space="preserve">C(2013) 8985 final – Décision de la Commission relative aux dispositions générales d’exécution de l’article 43 du statut et aux modalités d’application de l’article 44, premier alinéa, du statut </w:t>
            </w:r>
            <w:r>
              <w:rPr>
                <w:rFonts w:ascii="Times New Roman" w:hAnsi="Times New Roman"/>
                <w:noProof/>
                <w:sz w:val="12"/>
              </w:rPr>
              <w:br/>
              <w:t>[modifiée en dernier lieu par la décision C(2016) 7270 final du 17.11.2016]</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55"/>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44, 2</w:t>
            </w:r>
            <w:r>
              <w:rPr>
                <w:rFonts w:ascii="Times New Roman" w:hAnsi="Times New Roman"/>
                <w:b/>
                <w:noProof/>
                <w:sz w:val="12"/>
                <w:vertAlign w:val="superscript"/>
              </w:rPr>
              <w:t>e</w:t>
            </w:r>
            <w:r>
              <w:rPr>
                <w:rFonts w:ascii="Times New Roman" w:hAnsi="Times New Roman"/>
                <w:b/>
                <w:noProof/>
                <w:sz w:val="12"/>
              </w:rPr>
              <w:t> alinéa, à 46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Confirmation dans un poste d’encadrement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C(2004) 1891 – Décision de la Commission sur l’application de l’article 44, deuxième alinéa, et de l’article 46 du statut ainsi que de l’article 7, paragraphe 4, de l’annexe XIII du statut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0"/>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C(2013) 8968 final – Décision de la Commission portant dispositions générales d’exécution de l’article 45 du statut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C(2013) 6859 final – Décision de la Commission du 22.10.2013 relative aux dispositions générales d’exécution de l’article 45 </w:t>
            </w:r>
            <w:r>
              <w:rPr>
                <w:rFonts w:ascii="Times New Roman" w:hAnsi="Times New Roman"/>
                <w:i/>
                <w:iCs/>
                <w:noProof/>
                <w:sz w:val="12"/>
              </w:rPr>
              <w:t>bis</w:t>
            </w:r>
            <w:r>
              <w:rPr>
                <w:rFonts w:ascii="Times New Roman" w:hAnsi="Times New Roman"/>
                <w:noProof/>
                <w:sz w:val="12"/>
              </w:rPr>
              <w:t xml:space="preserve"> du statut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29.10.2013</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Chapitre 4 – Cessation définitive des fonctions</w:t>
            </w:r>
          </w:p>
        </w:tc>
      </w:tr>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Section 4 – Procédures de traitement de l’insuffisance professionnelle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r>
              <w:rPr>
                <w:rFonts w:ascii="Times New Roman" w:hAnsi="Times New Roman"/>
                <w:b/>
                <w:noProof/>
                <w:sz w:val="12"/>
              </w:rPr>
              <w:br/>
              <w:t>(9, 43, 44, 110 et annexe II, art. 12)</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Insuffisance professionnelle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C(2019)</w:t>
            </w:r>
            <w:r>
              <w:rPr>
                <w:rFonts w:ascii="Times New Roman"/>
                <w:noProof/>
                <w:sz w:val="12"/>
              </w:rPr>
              <w:t> </w:t>
            </w:r>
            <w:r>
              <w:rPr>
                <w:rFonts w:ascii="Times New Roman"/>
                <w:noProof/>
                <w:sz w:val="12"/>
              </w:rPr>
              <w:t>6855</w:t>
            </w:r>
            <w:r>
              <w:rPr>
                <w:rFonts w:ascii="Times New Roman"/>
                <w:noProof/>
                <w:sz w:val="12"/>
              </w:rPr>
              <w:t> </w:t>
            </w:r>
            <w:r>
              <w:rPr>
                <w:rFonts w:ascii="Times New Roman"/>
                <w:noProof/>
                <w:sz w:val="12"/>
              </w:rPr>
              <w:t>final</w:t>
            </w:r>
            <w:r>
              <w:rPr>
                <w:rFonts w:ascii="Times New Roman"/>
                <w:noProof/>
                <w:sz w:val="12"/>
              </w:rPr>
              <w:t> –</w:t>
            </w:r>
            <w:r>
              <w:rPr>
                <w:rFonts w:ascii="Times New Roman"/>
                <w:noProof/>
                <w:sz w:val="12"/>
              </w:rPr>
              <w:t xml:space="preserve"> D</w:t>
            </w:r>
            <w:r>
              <w:rPr>
                <w:rFonts w:ascii="Times New Roman"/>
                <w:noProof/>
                <w:sz w:val="12"/>
              </w:rPr>
              <w:t>é</w:t>
            </w:r>
            <w:r>
              <w:rPr>
                <w:rFonts w:ascii="Times New Roman"/>
                <w:noProof/>
                <w:sz w:val="12"/>
              </w:rPr>
              <w:t>cision de la Commission relative aux proc</w:t>
            </w:r>
            <w:r>
              <w:rPr>
                <w:rFonts w:ascii="Times New Roman"/>
                <w:noProof/>
                <w:sz w:val="12"/>
              </w:rPr>
              <w:t>é</w:t>
            </w:r>
            <w:r>
              <w:rPr>
                <w:rFonts w:ascii="Times New Roman"/>
                <w:noProof/>
                <w:sz w:val="12"/>
              </w:rPr>
              <w:t>dures de traitement de l</w:t>
            </w:r>
            <w:r>
              <w:rPr>
                <w:rFonts w:ascii="Times New Roman"/>
                <w:noProof/>
                <w:sz w:val="12"/>
              </w:rPr>
              <w:t>’</w:t>
            </w:r>
            <w:r>
              <w:rPr>
                <w:rFonts w:ascii="Times New Roman"/>
                <w:noProof/>
                <w:sz w:val="12"/>
              </w:rPr>
              <w:t>insuffisance professionnelle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4.10.2019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 xml:space="preserve">                 Section 6 – Honorariat</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54</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Honorariat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C(2012) 3192 final – Décision de la Commission relative à l’octroi des rangs honoraires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7.6.2012</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Temps de travail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C(2014) 2502 final – Décision de la Commission relative au temps de travail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t>1.4.2022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r>
              <w:rPr>
                <w:rFonts w:ascii="Times New Roman" w:hAnsi="Times New Roman"/>
                <w:b/>
                <w:noProof/>
                <w:sz w:val="12"/>
              </w:rPr>
              <w:b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 1 et 2)</w:t>
            </w: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C(2022) 1788 final – Décision de la Commission relative au temps de travail et au travail hybride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bookmarkStart w:id="9" w:name="_Hlk225245947"/>
            <w:r>
              <w:rPr>
                <w:rFonts w:ascii="Times New Roman" w:hAnsi="Times New Roman"/>
                <w:noProof/>
                <w:sz w:val="12"/>
              </w:rPr>
              <w:t>01.04. 2022</w:t>
            </w:r>
            <w:bookmarkEnd w:id="9"/>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Télétravail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C(2015) 9151 final – Décision de la Commission relative à la mise en œuvre du télétravail dans les services de la Commission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C(2022) 1788 final – Décision de la Commission relative au temps de travail et au travail hybride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01.04. 2022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w:t>
            </w:r>
            <w:r>
              <w:rPr>
                <w:rFonts w:ascii="Times New Roman" w:hAnsi="Times New Roman"/>
                <w:b/>
                <w:noProof/>
                <w:sz w:val="12"/>
              </w:rPr>
              <w:br/>
              <w:t>annexe IV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Activité à temps partiel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C(2015) 9720 final – Décision de la Commission relative à l’article 55 </w:t>
            </w:r>
            <w:r>
              <w:rPr>
                <w:rFonts w:ascii="Times New Roman" w:hAnsi="Times New Roman"/>
                <w:i/>
                <w:iCs/>
                <w:noProof/>
                <w:sz w:val="12"/>
              </w:rPr>
              <w:t>bis</w:t>
            </w:r>
            <w:r>
              <w:rPr>
                <w:rFonts w:ascii="Times New Roman" w:hAnsi="Times New Roman"/>
                <w:noProof/>
                <w:sz w:val="12"/>
              </w:rPr>
              <w:t xml:space="preserve"> et à l’annexe IV </w:t>
            </w:r>
            <w:r>
              <w:rPr>
                <w:rFonts w:ascii="Times New Roman" w:hAnsi="Times New Roman"/>
                <w:i/>
                <w:iCs/>
                <w:noProof/>
                <w:sz w:val="12"/>
              </w:rPr>
              <w:t>bis</w:t>
            </w:r>
            <w:r>
              <w:rPr>
                <w:rFonts w:ascii="Times New Roman" w:hAnsi="Times New Roman"/>
                <w:noProof/>
                <w:sz w:val="12"/>
              </w:rPr>
              <w:t xml:space="preserve"> du statut concernant le travail à temps partiel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lastRenderedPageBreak/>
              <w:t>55b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7"/>
              </w:rPr>
              <w:t>Emploi partagé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C(2004) 1314 – Décision de la Commission concernant l’article 55 </w:t>
            </w:r>
            <w:r>
              <w:rPr>
                <w:rFonts w:ascii="Times New Roman" w:hAnsi="Times New Roman"/>
                <w:i/>
                <w:iCs/>
                <w:noProof/>
                <w:sz w:val="12"/>
              </w:rPr>
              <w:t>ter</w:t>
            </w:r>
            <w:r>
              <w:rPr>
                <w:rFonts w:ascii="Times New Roman" w:hAnsi="Times New Roman"/>
                <w:noProof/>
                <w:sz w:val="12"/>
              </w:rPr>
              <w:t xml:space="preserve"> du statut relatif à l’emploi partagé</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w:t>
            </w:r>
            <w:r>
              <w:rPr>
                <w:rFonts w:ascii="Times New Roman" w:hAnsi="Times New Roman"/>
                <w:b/>
                <w:noProof/>
                <w:sz w:val="12"/>
              </w:rPr>
              <w:br/>
              <w:t xml:space="preserve">Annexe VI </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Heures supplémentaires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C(2004) 1318/5 – Décision de la Commission relative aux prestations des chauffeurs de la Commission </w:t>
            </w:r>
            <w:r>
              <w:rPr>
                <w:rFonts w:ascii="Times New Roman" w:hAnsi="Times New Roman"/>
                <w:noProof/>
                <w:sz w:val="12"/>
              </w:rPr>
              <w:br/>
            </w:r>
            <w:r>
              <w:rPr>
                <w:rFonts w:ascii="Times New Roman"/>
                <w:noProof/>
                <w:sz w:val="12"/>
              </w:rPr>
              <w:t>[modifi</w:t>
            </w:r>
            <w:r>
              <w:rPr>
                <w:rFonts w:ascii="Times New Roman"/>
                <w:noProof/>
                <w:sz w:val="12"/>
              </w:rPr>
              <w:t>é</w:t>
            </w:r>
            <w:r>
              <w:rPr>
                <w:rFonts w:ascii="Times New Roman"/>
                <w:noProof/>
                <w:sz w:val="12"/>
              </w:rPr>
              <w:t>e en dernier lieu par la 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C(2019)</w:t>
            </w:r>
            <w:r>
              <w:rPr>
                <w:rFonts w:ascii="Times New Roman"/>
                <w:noProof/>
                <w:sz w:val="12"/>
              </w:rPr>
              <w:t> </w:t>
            </w:r>
            <w:r>
              <w:rPr>
                <w:rFonts w:ascii="Times New Roman"/>
                <w:noProof/>
                <w:sz w:val="12"/>
              </w:rPr>
              <w:t>7822</w:t>
            </w:r>
            <w:r>
              <w:rPr>
                <w:rFonts w:ascii="Times New Roman"/>
                <w:noProof/>
                <w:sz w:val="12"/>
              </w:rPr>
              <w:t> </w:t>
            </w:r>
            <w:r>
              <w:rPr>
                <w:rFonts w:ascii="Times New Roman"/>
                <w:noProof/>
                <w:sz w:val="12"/>
              </w:rPr>
              <w:t>final du</w:t>
            </w:r>
            <w:r>
              <w:rPr>
                <w:rFonts w:ascii="Times New Roman"/>
                <w:noProof/>
                <w:sz w:val="12"/>
              </w:rPr>
              <w:t> </w:t>
            </w:r>
            <w:r>
              <w:rPr>
                <w:rFonts w:ascii="Times New Roman"/>
                <w:noProof/>
                <w:sz w:val="12"/>
              </w:rPr>
              <w:t>30.10.2019]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1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C(1986) 0905/6 – Décision de la Commission relative aux heures supplémentaires des fonctionnaires et agents C des cabinets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1.5.1985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472"/>
        </w:trPr>
        <w:tc>
          <w:tcPr>
            <w:tcW w:w="1156" w:type="dxa"/>
            <w:vMerge w:val="restart"/>
            <w:shd w:val="clear" w:color="auto" w:fill="C6D9F1"/>
            <w:vAlign w:val="center"/>
          </w:tcPr>
          <w:p>
            <w:pPr>
              <w:widowControl w:val="0"/>
              <w:spacing w:before="94"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et 58 + annexe V</w:t>
            </w:r>
          </w:p>
          <w:p>
            <w:pPr>
              <w:widowControl w:val="0"/>
              <w:spacing w:after="0" w:line="240" w:lineRule="auto"/>
              <w:jc w:val="center"/>
              <w:rPr>
                <w:rFonts w:ascii="Times New Roman" w:eastAsia="Times New Roman" w:hAnsi="Times New Roman" w:cs="Times New Roman"/>
                <w:noProof/>
                <w:sz w:val="12"/>
                <w:szCs w:val="12"/>
              </w:rPr>
            </w:pPr>
          </w:p>
        </w:tc>
        <w:tc>
          <w:tcPr>
            <w:tcW w:w="2551" w:type="dxa"/>
            <w:vMerge w:val="restart"/>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Congés annuels et congés spéciaux</w:t>
            </w:r>
          </w:p>
        </w:tc>
        <w:tc>
          <w:tcPr>
            <w:tcW w:w="3029" w:type="dxa"/>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C(2013) 9051 final – Décision de la Commission relative aux congés</w:t>
            </w:r>
            <w:r>
              <w:rPr>
                <w:rFonts w:ascii="Times New Roman" w:hAnsi="Times New Roman"/>
                <w:noProof/>
                <w:sz w:val="12"/>
              </w:rPr>
              <w:br/>
              <w:t xml:space="preserve">[modifiée en dernier lieu par la décision C(2020) 1559 final] </w:t>
            </w:r>
          </w:p>
        </w:tc>
        <w:tc>
          <w:tcPr>
            <w:tcW w:w="1511" w:type="dxa"/>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25"/>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shd w:val="clear" w:color="auto" w:fill="DA9694"/>
            <w:vAlign w:val="center"/>
          </w:tcPr>
          <w:p>
            <w:pPr>
              <w:widowControl w:val="0"/>
              <w:spacing w:before="112" w:after="0" w:line="240" w:lineRule="auto"/>
              <w:jc w:val="center"/>
              <w:rPr>
                <w:rFonts w:ascii="Times New Roman" w:eastAsia="Calibri" w:hAnsi="Times New Roman" w:cs="Times New Roman"/>
                <w:b/>
                <w:noProof/>
                <w:sz w:val="16"/>
              </w:rPr>
            </w:pPr>
          </w:p>
        </w:tc>
        <w:tc>
          <w:tcPr>
            <w:tcW w:w="3029" w:type="dxa"/>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C(2013) 9035 final – Décision de la Commission</w:t>
            </w:r>
            <w:r>
              <w:rPr>
                <w:rFonts w:ascii="Times New Roman" w:hAnsi="Times New Roman"/>
                <w:noProof/>
                <w:sz w:val="12"/>
              </w:rPr>
              <w:br/>
              <w:t xml:space="preserve">relative au congé dans le foyer pour les fonctionnaires, les agents temporaires et les agents contractuels affectés dans les pays tiers </w:t>
            </w:r>
            <w:r>
              <w:rPr>
                <w:rFonts w:ascii="Times New Roman" w:hAnsi="Times New Roman"/>
                <w:noProof/>
                <w:sz w:val="12"/>
              </w:rPr>
              <w:br/>
              <w:t>[art. 7, deuxième alinéa, de l’annexe V du statut]</w:t>
            </w:r>
            <w:r>
              <w:rPr>
                <w:rFonts w:ascii="Times New Roman" w:hAnsi="Times New Roman"/>
                <w:noProof/>
                <w:sz w:val="12"/>
              </w:rPr>
              <w:br/>
            </w:r>
          </w:p>
        </w:tc>
        <w:tc>
          <w:tcPr>
            <w:tcW w:w="1511" w:type="dxa"/>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val="restart"/>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48"/>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noProof/>
              </w:rPr>
            </w:pPr>
          </w:p>
        </w:tc>
        <w:tc>
          <w:tcPr>
            <w:tcW w:w="2551" w:type="dxa"/>
            <w:vMerge/>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C(2022) 1715 final – Décision de la Commission</w:t>
            </w:r>
            <w:r>
              <w:rPr>
                <w:rFonts w:ascii="Times New Roman" w:hAnsi="Times New Roman"/>
                <w:noProof/>
                <w:sz w:val="12"/>
              </w:rPr>
              <w:br/>
              <w:t>relative au congé dans le foyer pour les fonctionnaires, les agents temporaires et les agents contractuels affectés dans les pays tiers</w:t>
            </w:r>
            <w:r>
              <w:rPr>
                <w:rFonts w:ascii="Times New Roman" w:hAnsi="Times New Roman"/>
                <w:noProof/>
                <w:sz w:val="12"/>
              </w:rPr>
              <w:br/>
              <w:t>[art. 7, deuxième alinéa, de l’annexe V du statut]</w:t>
            </w:r>
            <w:r>
              <w:rPr>
                <w:rFonts w:ascii="Times New Roman" w:hAnsi="Times New Roman"/>
                <w:noProof/>
                <w:sz w:val="12"/>
              </w:rPr>
              <w:br/>
            </w:r>
          </w:p>
        </w:tc>
        <w:tc>
          <w:tcPr>
            <w:tcW w:w="1511" w:type="dxa"/>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1.1.2022</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53"/>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noProof/>
              </w:rPr>
            </w:pPr>
          </w:p>
        </w:tc>
        <w:tc>
          <w:tcPr>
            <w:tcW w:w="2551" w:type="dxa"/>
            <w:vMerge/>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shd w:val="clear" w:color="auto" w:fill="DA9694"/>
            <w:vAlign w:val="center"/>
          </w:tcPr>
          <w:p>
            <w:pPr>
              <w:widowControl w:val="0"/>
              <w:spacing w:before="62" w:after="0" w:line="254" w:lineRule="auto"/>
              <w:ind w:right="114"/>
              <w:jc w:val="center"/>
              <w:rPr>
                <w:rFonts w:ascii="Times New Roman" w:eastAsia="Calibri" w:hAnsi="Times New Roman" w:cs="Times New Roman"/>
                <w:strike/>
                <w:noProof/>
                <w:sz w:val="12"/>
                <w:szCs w:val="12"/>
              </w:rPr>
            </w:pPr>
            <w:r>
              <w:rPr>
                <w:rFonts w:ascii="Times New Roman" w:hAnsi="Times New Roman"/>
                <w:noProof/>
                <w:sz w:val="12"/>
              </w:rPr>
              <w:t>C(2023) 622 final – Décision de la Commission relative aux conditions particulières d’emploi applicables au personnel affecté au bureau de la Commission à Nuuk (Groenland)</w:t>
            </w:r>
          </w:p>
        </w:tc>
        <w:tc>
          <w:tcPr>
            <w:tcW w:w="1511"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27.1.2023</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91"/>
        </w:trPr>
        <w:tc>
          <w:tcPr>
            <w:tcW w:w="1156" w:type="dxa"/>
            <w:vAlign w:val="center"/>
          </w:tcPr>
          <w:p>
            <w:pPr>
              <w:widowControl w:val="0"/>
              <w:spacing w:before="107" w:after="0" w:line="240" w:lineRule="auto"/>
              <w:jc w:val="center"/>
              <w:rPr>
                <w:rFonts w:ascii="Times New Roman" w:eastAsia="Times New Roman" w:hAnsi="Times New Roman" w:cs="Times New Roman"/>
                <w:noProof/>
                <w:sz w:val="12"/>
                <w:szCs w:val="12"/>
              </w:rPr>
            </w:pPr>
            <w:bookmarkStart w:id="10" w:name="_Hlk164080119"/>
            <w:r>
              <w:rPr>
                <w:rFonts w:ascii="Times New Roman" w:hAnsi="Times New Roman"/>
                <w:b/>
                <w:noProof/>
                <w:sz w:val="12"/>
              </w:rPr>
              <w:t>57 et 58</w:t>
            </w:r>
          </w:p>
        </w:tc>
        <w:tc>
          <w:tcPr>
            <w:tcW w:w="2551" w:type="dxa"/>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 de maternité</w:t>
            </w:r>
          </w:p>
        </w:tc>
        <w:tc>
          <w:tcPr>
            <w:tcW w:w="3029" w:type="dxa"/>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C(2013) 9051 final – Décision de la Commission relative aux congés</w:t>
            </w:r>
            <w:r>
              <w:rPr>
                <w:rFonts w:ascii="Times New Roman" w:hAnsi="Times New Roman"/>
                <w:noProof/>
                <w:sz w:val="12"/>
              </w:rPr>
              <w:br/>
              <w:t>[modifiée en dernier lieu par la décision C(2020) 1559 final]</w:t>
            </w:r>
          </w:p>
        </w:tc>
        <w:tc>
          <w:tcPr>
            <w:tcW w:w="1511" w:type="dxa"/>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bookmarkEnd w:id="10"/>
      <w:tr>
        <w:trPr>
          <w:trHeight w:hRule="exact" w:val="443"/>
        </w:trPr>
        <w:tc>
          <w:tcPr>
            <w:tcW w:w="1156" w:type="dxa"/>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à 60</w:t>
            </w:r>
          </w:p>
        </w:tc>
        <w:tc>
          <w:tcPr>
            <w:tcW w:w="2551" w:type="dxa"/>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Congé de maladie</w:t>
            </w:r>
          </w:p>
        </w:tc>
        <w:tc>
          <w:tcPr>
            <w:tcW w:w="3029" w:type="dxa"/>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C(2004) 1597/11 – Décision de la Commission portant création des dispositions d’application en matière d’absence pour maladie ou accident</w:t>
            </w:r>
          </w:p>
        </w:tc>
        <w:tc>
          <w:tcPr>
            <w:tcW w:w="1511" w:type="dxa"/>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1.5.2004</w:t>
            </w:r>
          </w:p>
        </w:tc>
        <w:tc>
          <w:tcPr>
            <w:tcW w:w="1498" w:type="dxa"/>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83"/>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10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annexe VII (art. 1</w:t>
            </w:r>
            <w:r>
              <w:rPr>
                <w:rFonts w:ascii="Times New Roman" w:hAnsi="Times New Roman"/>
                <w:b/>
                <w:noProof/>
                <w:sz w:val="12"/>
                <w:vertAlign w:val="superscript"/>
              </w:rPr>
              <w:t>er</w:t>
            </w:r>
            <w:r>
              <w:rPr>
                <w:rFonts w:ascii="Times New Roman" w:hAnsi="Times New Roman"/>
                <w:b/>
                <w:noProof/>
                <w:sz w:val="12"/>
              </w:rPr>
              <w:t xml:space="preserve"> à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Allocations familiales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C(2004) 1364 final/4 – Décision de la Commission – Dispositions générales d’exécution relatives à l’application des articles 67 et 68 du statut des fonctionnaires et des articles 1</w:t>
            </w:r>
            <w:r>
              <w:rPr>
                <w:rFonts w:ascii="Times New Roman" w:hAnsi="Times New Roman"/>
                <w:noProof/>
                <w:sz w:val="12"/>
                <w:vertAlign w:val="superscript"/>
              </w:rPr>
              <w:t>er</w:t>
            </w:r>
            <w:r>
              <w:rPr>
                <w:rFonts w:ascii="Times New Roman" w:hAnsi="Times New Roman"/>
                <w:noProof/>
                <w:sz w:val="12"/>
              </w:rPr>
              <w:t>, 2 et 3 de son annexe 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99"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Allocation de foyer par décision spéciale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C(2004) 1364 final/1 – Dispositions générales d’exécution relatives à l’allocation de foyer par décision spéciale</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b/>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Personnes assimilées à un enfant à charge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C(2004) 1364 final/2 – Décision de la Commission portant dispositions générales d’exécution en matière de personne assimilée à l’enfant à charge (article 2, paragraphe 4, de l’annexe VII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noProof/>
                <w:sz w:val="12"/>
                <w:szCs w:val="12"/>
              </w:rPr>
            </w:pPr>
            <w:r>
              <w:rPr>
                <w:rFonts w:ascii="Times New Roman" w:hAnsi="Times New Roman"/>
                <w:b/>
                <w:noProof/>
                <w:sz w:val="12"/>
              </w:rPr>
              <w:t>67 </w:t>
            </w:r>
            <w:r>
              <w:rPr>
                <w:rFonts w:ascii="Times New Roman" w:hAnsi="Times New Roman"/>
                <w:b/>
                <w:i/>
                <w:iCs/>
                <w:noProof/>
                <w:sz w:val="12"/>
              </w:rPr>
              <w:t>ter</w:t>
            </w:r>
            <w:r>
              <w:rPr>
                <w:rFonts w:ascii="Times New Roman" w:hAnsi="Times New Roman"/>
                <w:b/>
                <w:noProof/>
                <w:sz w:val="12"/>
              </w:rPr>
              <w:t xml:space="preserve">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(article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C(2013) 8971 final – Décision de la Commission portant dispositions générales d’exécution relatives à l’octroi de l’allocation scolaire (article 3 de l’annexe VII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w:t>
            </w:r>
            <w:r>
              <w:rPr>
                <w:rFonts w:ascii="Times New Roman" w:hAnsi="Times New Roman"/>
                <w:b/>
                <w:noProof/>
                <w:sz w:val="12"/>
              </w:rPr>
              <w:br/>
              <w:t xml:space="preserve">annexe VII </w:t>
            </w:r>
            <w:r>
              <w:rPr>
                <w:rFonts w:ascii="Times New Roman" w:hAnsi="Times New Roman"/>
                <w:b/>
                <w:noProof/>
                <w:sz w:val="12"/>
              </w:rPr>
              <w:br/>
              <w:t>(art.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 8987 final – Décision de la Commission portant dispositions générales d’exécution de l’article 8 de l’annexe VII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w:t>
            </w:r>
            <w:r>
              <w:rPr>
                <w:rFonts w:ascii="Times New Roman" w:hAnsi="Times New Roman"/>
                <w:b/>
                <w:noProof/>
                <w:sz w:val="12"/>
              </w:rPr>
              <w:br/>
              <w:t>annexe VII</w:t>
            </w:r>
            <w:r>
              <w:rPr>
                <w:rFonts w:ascii="Times New Roman" w:hAnsi="Times New Roman"/>
                <w:b/>
                <w:noProof/>
                <w:sz w:val="12"/>
              </w:rPr>
              <w:br/>
              <w:t>(art. 7, par. 4)</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Lieu d’origine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C(2013) 8982 final – Décision de la Commission portant dispositions générales d’exécution de l’article 7, paragraphe 4, de l’annexe VII du statut relatif à la fixation du lieu d’origine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w:t>
            </w:r>
            <w:r>
              <w:rPr>
                <w:rFonts w:ascii="Times New Roman" w:hAnsi="Times New Roman"/>
                <w:b/>
                <w:noProof/>
                <w:sz w:val="12"/>
              </w:rPr>
              <w:br/>
              <w:t>annexe VII</w:t>
            </w:r>
            <w:r>
              <w:rPr>
                <w:rFonts w:ascii="Times New Roman" w:hAnsi="Times New Roman"/>
                <w:b/>
                <w:noProof/>
                <w:sz w:val="12"/>
              </w:rPr>
              <w:br/>
              <w:t xml:space="preserve"> (art.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C(2013) 9040 final – Dispositions générales d’exécution relatives aux frais de déménagement</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60"/>
        </w:trPr>
        <w:tc>
          <w:tcPr>
            <w:tcW w:w="1156" w:type="dxa"/>
            <w:vMerge w:val="restart"/>
            <w:tcBorders>
              <w:top w:val="single" w:sz="3" w:space="0" w:color="000000"/>
              <w:left w:val="single" w:sz="4"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w:t>
            </w:r>
            <w:r>
              <w:rPr>
                <w:rFonts w:ascii="Times New Roman" w:hAnsi="Times New Roman"/>
                <w:b/>
                <w:noProof/>
                <w:sz w:val="12"/>
              </w:rPr>
              <w:br/>
              <w:t xml:space="preserve">annexe VII </w:t>
            </w:r>
            <w:r>
              <w:rPr>
                <w:rFonts w:ascii="Times New Roman" w:hAnsi="Times New Roman"/>
                <w:b/>
                <w:noProof/>
                <w:sz w:val="12"/>
              </w:rPr>
              <w:br/>
              <w:t>(art. 11 à 13)</w:t>
            </w:r>
          </w:p>
        </w:tc>
        <w:tc>
          <w:tcPr>
            <w:tcW w:w="2551" w:type="dxa"/>
            <w:vMerge w:val="restart"/>
            <w:tcBorders>
              <w:top w:val="single" w:sz="3" w:space="0" w:color="000000"/>
              <w:left w:val="single" w:sz="3"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C(2002) 98 – Décision fixant les taux des indemnités journalières et les plafonds de remboursement de frais d’hôtel pour les missions effectuées en dehors du territoire européen des États membres de l’Union européenne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24.1.2002</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93"/>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noProof/>
                <w:sz w:val="12"/>
              </w:rPr>
              <w:t>C(2017)</w:t>
            </w:r>
            <w:r>
              <w:rPr>
                <w:rFonts w:ascii="Times New Roman"/>
                <w:noProof/>
                <w:sz w:val="12"/>
              </w:rPr>
              <w:t> </w:t>
            </w:r>
            <w:r>
              <w:rPr>
                <w:rFonts w:ascii="Times New Roman"/>
                <w:noProof/>
                <w:sz w:val="12"/>
              </w:rPr>
              <w:t>5323</w:t>
            </w:r>
            <w:r>
              <w:rPr>
                <w:rFonts w:ascii="Times New Roman"/>
                <w:noProof/>
                <w:sz w:val="12"/>
              </w:rPr>
              <w:t> </w:t>
            </w:r>
            <w:r>
              <w:rPr>
                <w:rFonts w:ascii="Times New Roman"/>
                <w:noProof/>
                <w:sz w:val="12"/>
              </w:rPr>
              <w:t>final</w:t>
            </w:r>
            <w:r>
              <w:rPr>
                <w:rFonts w:ascii="Times New Roman"/>
                <w:noProof/>
                <w:sz w:val="12"/>
              </w:rPr>
              <w:t> –</w:t>
            </w:r>
            <w:r>
              <w:rPr>
                <w:rFonts w:ascii="Times New Roman"/>
                <w:noProof/>
                <w:sz w:val="12"/>
              </w:rPr>
              <w:t xml:space="preserve"> D</w:t>
            </w:r>
            <w:r>
              <w:rPr>
                <w:rFonts w:ascii="Times New Roman"/>
                <w:noProof/>
                <w:sz w:val="12"/>
              </w:rPr>
              <w:t>é</w:t>
            </w:r>
            <w:r>
              <w:rPr>
                <w:rFonts w:ascii="Times New Roman"/>
                <w:noProof/>
                <w:sz w:val="12"/>
              </w:rPr>
              <w:t>cision de la Commission relative aux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des articles</w:t>
            </w:r>
            <w:r>
              <w:rPr>
                <w:rFonts w:ascii="Times New Roman"/>
                <w:noProof/>
                <w:sz w:val="12"/>
              </w:rPr>
              <w:t> </w:t>
            </w:r>
            <w:r>
              <w:rPr>
                <w:rFonts w:ascii="Times New Roman"/>
                <w:noProof/>
                <w:sz w:val="12"/>
              </w:rPr>
              <w:t>11, 12 et</w:t>
            </w:r>
            <w:r>
              <w:rPr>
                <w:rFonts w:ascii="Times New Roman"/>
                <w:noProof/>
                <w:sz w:val="12"/>
              </w:rPr>
              <w:t> </w:t>
            </w:r>
            <w:r>
              <w:rPr>
                <w:rFonts w:ascii="Times New Roman"/>
                <w:noProof/>
                <w:sz w:val="12"/>
              </w:rPr>
              <w:t>13 de l</w:t>
            </w:r>
            <w:r>
              <w:rPr>
                <w:rFonts w:ascii="Times New Roman"/>
                <w:noProof/>
                <w:sz w:val="12"/>
              </w:rPr>
              <w:t>’</w:t>
            </w:r>
            <w:r>
              <w:rPr>
                <w:rFonts w:ascii="Times New Roman"/>
                <w:noProof/>
                <w:sz w:val="12"/>
              </w:rPr>
              <w:t>annexe</w:t>
            </w:r>
            <w:r>
              <w:rPr>
                <w:rFonts w:ascii="Times New Roman"/>
                <w:noProof/>
                <w:sz w:val="12"/>
              </w:rPr>
              <w:t> </w:t>
            </w:r>
            <w:r>
              <w:rPr>
                <w:rFonts w:ascii="Times New Roman"/>
                <w:noProof/>
                <w:sz w:val="12"/>
              </w:rPr>
              <w:t>VII du statut des fonctionnaires (d</w:t>
            </w:r>
            <w:r>
              <w:rPr>
                <w:rFonts w:ascii="Times New Roman"/>
                <w:noProof/>
                <w:sz w:val="12"/>
              </w:rPr>
              <w:t>é</w:t>
            </w:r>
            <w:r>
              <w:rPr>
                <w:rFonts w:ascii="Times New Roman"/>
                <w:noProof/>
                <w:sz w:val="12"/>
              </w:rPr>
              <w:t>penses mission) et relative aux d</w:t>
            </w:r>
            <w:r>
              <w:rPr>
                <w:rFonts w:ascii="Times New Roman"/>
                <w:noProof/>
                <w:sz w:val="12"/>
              </w:rPr>
              <w:t>é</w:t>
            </w:r>
            <w:r>
              <w:rPr>
                <w:rFonts w:ascii="Times New Roman"/>
                <w:noProof/>
                <w:sz w:val="12"/>
              </w:rPr>
              <w:t>placements autoris</w:t>
            </w:r>
            <w:r>
              <w:rPr>
                <w:rFonts w:ascii="Times New Roman"/>
                <w:noProof/>
                <w:sz w:val="12"/>
              </w:rPr>
              <w:t>é</w:t>
            </w:r>
            <w:r>
              <w:rPr>
                <w:rFonts w:ascii="Times New Roman"/>
                <w:noProof/>
                <w:sz w:val="12"/>
              </w:rPr>
              <w:t>s</w:t>
            </w:r>
            <w:r>
              <w:rPr>
                <w:rFonts w:ascii="Times New Roman"/>
                <w:noProof/>
                <w:sz w:val="12"/>
              </w:rPr>
              <w:t> –</w:t>
            </w:r>
            <w:r>
              <w:rPr>
                <w:rFonts w:ascii="Times New Roman"/>
                <w:noProof/>
                <w:sz w:val="12"/>
              </w:rPr>
              <w:br/>
              <w:t xml:space="preserve"> Guide des missions et des d</w:t>
            </w:r>
            <w:r>
              <w:rPr>
                <w:rFonts w:ascii="Times New Roman"/>
                <w:noProof/>
                <w:sz w:val="12"/>
              </w:rPr>
              <w:t>é</w:t>
            </w:r>
            <w:r>
              <w:rPr>
                <w:rFonts w:ascii="Times New Roman"/>
                <w:noProof/>
                <w:sz w:val="12"/>
              </w:rPr>
              <w:t>placements autoris</w:t>
            </w:r>
            <w:r>
              <w:rPr>
                <w:rFonts w:ascii="Times New Roman"/>
                <w:noProof/>
                <w:sz w:val="12"/>
              </w:rPr>
              <w:t>é</w:t>
            </w:r>
            <w:r>
              <w:rPr>
                <w:rFonts w:ascii="Times New Roman"/>
                <w:noProof/>
                <w:sz w:val="12"/>
              </w:rPr>
              <w:t>s</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28.9.2017</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rPr>
            </w:pPr>
            <w:r>
              <w:rPr>
                <w:rFonts w:ascii="Times New Roman" w:hAnsi="Times New Roman"/>
                <w:b/>
                <w:noProof/>
                <w:sz w:val="19"/>
              </w:rPr>
              <w:t>Chapitre 2 – Sécurité sociale</w:t>
            </w:r>
          </w:p>
        </w:tc>
      </w:tr>
      <w:tr>
        <w:trPr>
          <w:trHeight w:hRule="exact" w:val="946"/>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83" w:after="20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72</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5" w:after="200" w:line="240" w:lineRule="auto"/>
              <w:jc w:val="center"/>
              <w:rPr>
                <w:rFonts w:ascii="Times New Roman" w:eastAsia="Calibri" w:hAnsi="Times New Roman" w:cs="Times New Roman"/>
                <w:noProof/>
                <w:sz w:val="16"/>
                <w:szCs w:val="16"/>
              </w:rPr>
            </w:pPr>
            <w:r>
              <w:rPr>
                <w:rFonts w:ascii="Times New Roman" w:hAnsi="Times New Roman"/>
                <w:b/>
                <w:noProof/>
                <w:sz w:val="16"/>
              </w:rPr>
              <w:t>Remboursement des frais médicaux</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9" w:after="200" w:line="254" w:lineRule="auto"/>
              <w:ind w:right="121"/>
              <w:jc w:val="center"/>
              <w:rPr>
                <w:rFonts w:ascii="Times New Roman" w:eastAsia="Calibri" w:hAnsi="Times New Roman" w:cs="Times New Roman"/>
                <w:noProof/>
                <w:sz w:val="12"/>
                <w:szCs w:val="12"/>
              </w:rPr>
            </w:pPr>
            <w:r>
              <w:rPr>
                <w:rFonts w:ascii="Times New Roman" w:hAnsi="Times New Roman"/>
                <w:noProof/>
                <w:sz w:val="12"/>
              </w:rPr>
              <w:t xml:space="preserve">C(2007) 3195 final – Décision de la Commission portant fixation des dispositions générales d’exécution relatives au remboursement des frais médicaux </w:t>
            </w:r>
            <w:r>
              <w:rPr>
                <w:rFonts w:ascii="Times New Roman" w:hAnsi="Times New Roman"/>
                <w:noProof/>
                <w:sz w:val="12"/>
              </w:rPr>
              <w:br/>
            </w:r>
            <w:r>
              <w:rPr>
                <w:rFonts w:ascii="Times New Roman"/>
                <w:noProof/>
                <w:sz w:val="12"/>
              </w:rPr>
              <w:t>modifi</w:t>
            </w:r>
            <w:r>
              <w:rPr>
                <w:rFonts w:ascii="Times New Roman"/>
                <w:noProof/>
                <w:sz w:val="12"/>
              </w:rPr>
              <w:t>é</w:t>
            </w:r>
            <w:r>
              <w:rPr>
                <w:rFonts w:ascii="Times New Roman"/>
                <w:noProof/>
                <w:sz w:val="12"/>
              </w:rPr>
              <w:t>e par la d</w:t>
            </w:r>
            <w:r>
              <w:rPr>
                <w:rFonts w:ascii="Times New Roman"/>
                <w:noProof/>
                <w:sz w:val="12"/>
              </w:rPr>
              <w:t>é</w:t>
            </w:r>
            <w:r>
              <w:rPr>
                <w:rFonts w:ascii="Times New Roman"/>
                <w:noProof/>
                <w:sz w:val="12"/>
              </w:rPr>
              <w:t>cision C(2019)</w:t>
            </w:r>
            <w:r>
              <w:rPr>
                <w:rFonts w:ascii="Times New Roman"/>
                <w:noProof/>
                <w:sz w:val="12"/>
              </w:rPr>
              <w:t> </w:t>
            </w:r>
            <w:r>
              <w:rPr>
                <w:rFonts w:ascii="Times New Roman"/>
                <w:noProof/>
                <w:sz w:val="12"/>
              </w:rPr>
              <w:t>2084</w:t>
            </w:r>
            <w:r>
              <w:rPr>
                <w:rFonts w:ascii="Times New Roman"/>
                <w:noProof/>
                <w:sz w:val="12"/>
              </w:rPr>
              <w:t> </w:t>
            </w:r>
            <w:r>
              <w:rPr>
                <w:rFonts w:ascii="Times New Roman"/>
                <w:noProof/>
                <w:sz w:val="12"/>
              </w:rPr>
              <w:t>final du 25.3.2019</w:t>
            </w:r>
            <w:r>
              <w:rPr>
                <w:rFonts w:ascii="Times New Roman"/>
                <w:noProof/>
                <w:sz w:val="12"/>
              </w:rPr>
              <w:br/>
              <w:t>modifi</w:t>
            </w:r>
            <w:r>
              <w:rPr>
                <w:rFonts w:ascii="Times New Roman"/>
                <w:noProof/>
                <w:sz w:val="12"/>
              </w:rPr>
              <w:t>é</w:t>
            </w:r>
            <w:r>
              <w:rPr>
                <w:rFonts w:ascii="Times New Roman"/>
                <w:noProof/>
                <w:sz w:val="12"/>
              </w:rPr>
              <w:t>e par la d</w:t>
            </w:r>
            <w:r>
              <w:rPr>
                <w:rFonts w:ascii="Times New Roman"/>
                <w:noProof/>
                <w:sz w:val="12"/>
              </w:rPr>
              <w:t>é</w:t>
            </w:r>
            <w:r>
              <w:rPr>
                <w:rFonts w:ascii="Times New Roman"/>
                <w:noProof/>
                <w:sz w:val="12"/>
              </w:rPr>
              <w:t>cision C(2020)</w:t>
            </w:r>
            <w:r>
              <w:rPr>
                <w:rFonts w:ascii="Times New Roman"/>
                <w:noProof/>
                <w:sz w:val="12"/>
              </w:rPr>
              <w:t> </w:t>
            </w:r>
            <w:r>
              <w:rPr>
                <w:rFonts w:ascii="Times New Roman"/>
                <w:noProof/>
                <w:sz w:val="12"/>
              </w:rPr>
              <w:t>3002</w:t>
            </w:r>
            <w:r>
              <w:rPr>
                <w:rFonts w:ascii="Times New Roman"/>
                <w:noProof/>
                <w:sz w:val="12"/>
              </w:rPr>
              <w:t> </w:t>
            </w:r>
            <w:r>
              <w:rPr>
                <w:rFonts w:ascii="Times New Roman"/>
                <w:noProof/>
                <w:sz w:val="12"/>
              </w:rPr>
              <w:t>final du 12.5.2020</w:t>
            </w:r>
            <w:r>
              <w:rPr>
                <w:rFonts w:ascii="Times New Roman"/>
                <w:noProof/>
                <w:sz w:val="12"/>
              </w:rPr>
              <w:br/>
              <w:t>modifi</w:t>
            </w:r>
            <w:r>
              <w:rPr>
                <w:rFonts w:ascii="Times New Roman"/>
                <w:noProof/>
                <w:sz w:val="12"/>
              </w:rPr>
              <w:t>é</w:t>
            </w:r>
            <w:r>
              <w:rPr>
                <w:rFonts w:ascii="Times New Roman"/>
                <w:noProof/>
                <w:sz w:val="12"/>
              </w:rPr>
              <w:t>e en dernier lieu par la 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C(2023)</w:t>
            </w:r>
            <w:r>
              <w:rPr>
                <w:rFonts w:ascii="Times New Roman"/>
                <w:noProof/>
                <w:sz w:val="12"/>
              </w:rPr>
              <w:t> </w:t>
            </w:r>
            <w:r>
              <w:rPr>
                <w:rFonts w:ascii="Times New Roman"/>
                <w:noProof/>
                <w:sz w:val="12"/>
              </w:rPr>
              <w:t>7673</w:t>
            </w:r>
            <w:r>
              <w:rPr>
                <w:rFonts w:ascii="Times New Roman"/>
                <w:noProof/>
                <w:sz w:val="12"/>
              </w:rPr>
              <w:t> </w:t>
            </w:r>
            <w:r>
              <w:rPr>
                <w:rFonts w:ascii="Times New Roman"/>
                <w:noProof/>
                <w:sz w:val="12"/>
              </w:rPr>
              <w:t>final du</w:t>
            </w:r>
            <w:r>
              <w:rPr>
                <w:rFonts w:ascii="Times New Roman"/>
                <w:noProof/>
                <w:sz w:val="12"/>
              </w:rPr>
              <w:t> </w:t>
            </w:r>
            <w:r>
              <w:rPr>
                <w:rFonts w:ascii="Times New Roman"/>
                <w:noProof/>
                <w:sz w:val="12"/>
              </w:rPr>
              <w:t>17.11.2023</w:t>
            </w:r>
            <w:r>
              <w:rPr>
                <w:rFonts w:ascii="Times New Roman"/>
                <w:noProof/>
                <w:sz w:val="12"/>
              </w:rPr>
              <w:br/>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200" w:line="240" w:lineRule="auto"/>
              <w:jc w:val="center"/>
              <w:rPr>
                <w:rFonts w:ascii="Times New Roman" w:eastAsia="Calibri" w:hAnsi="Times New Roman" w:cs="Times New Roman"/>
                <w:noProof/>
                <w:sz w:val="12"/>
                <w:szCs w:val="12"/>
              </w:rPr>
            </w:pPr>
            <w:r>
              <w:rPr>
                <w:rFonts w:ascii="Times New Roman" w:hAnsi="Times New Roman"/>
                <w:noProof/>
                <w:sz w:val="12"/>
              </w:rPr>
              <w:t>1.7.2007</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20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1090"/>
        </w:trPr>
        <w:tc>
          <w:tcPr>
            <w:tcW w:w="1156" w:type="dxa"/>
            <w:tcBorders>
              <w:top w:val="single" w:sz="6" w:space="0" w:color="000000"/>
              <w:left w:val="single" w:sz="4" w:space="0" w:color="000000"/>
              <w:bottom w:val="single" w:sz="6" w:space="0" w:color="000000"/>
              <w:right w:val="single" w:sz="3" w:space="0" w:color="000000"/>
            </w:tcBorders>
            <w:vAlign w:val="center"/>
          </w:tcPr>
          <w:p>
            <w:pPr>
              <w:widowControl w:val="0"/>
              <w:spacing w:before="83" w:after="20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76</w:t>
            </w:r>
          </w:p>
        </w:tc>
        <w:tc>
          <w:tcPr>
            <w:tcW w:w="2551"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135" w:after="200" w:line="240" w:lineRule="auto"/>
              <w:jc w:val="center"/>
              <w:rPr>
                <w:rFonts w:ascii="Times New Roman" w:eastAsia="Calibri" w:hAnsi="Times New Roman" w:cs="Times New Roman"/>
                <w:noProof/>
                <w:sz w:val="16"/>
                <w:szCs w:val="16"/>
              </w:rPr>
            </w:pPr>
            <w:r>
              <w:rPr>
                <w:rFonts w:ascii="Times New Roman" w:hAnsi="Times New Roman"/>
                <w:b/>
                <w:noProof/>
                <w:sz w:val="16"/>
              </w:rPr>
              <w:t>Prestations sociales et prêts</w:t>
            </w:r>
          </w:p>
        </w:tc>
        <w:tc>
          <w:tcPr>
            <w:tcW w:w="3029"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9" w:after="200" w:line="254" w:lineRule="auto"/>
              <w:ind w:right="121"/>
              <w:jc w:val="center"/>
              <w:rPr>
                <w:rFonts w:ascii="Times New Roman" w:eastAsia="Calibri" w:hAnsi="Times New Roman" w:cs="Times New Roman"/>
                <w:noProof/>
                <w:sz w:val="12"/>
                <w:szCs w:val="12"/>
              </w:rPr>
            </w:pPr>
            <w:r>
              <w:rPr>
                <w:rFonts w:ascii="Times New Roman"/>
                <w:noProof/>
                <w:sz w:val="12"/>
              </w:rPr>
              <w:t>C(2008) 6610 final</w:t>
            </w:r>
            <w:r>
              <w:rPr>
                <w:noProof/>
                <w:sz w:val="12"/>
              </w:rPr>
              <w:t xml:space="preserve"> </w:t>
            </w:r>
            <w:r>
              <w:rPr>
                <w:rFonts w:ascii="Times New Roman" w:hAnsi="Times New Roman"/>
                <w:noProof/>
                <w:sz w:val="12"/>
              </w:rPr>
              <w:t>– Décision de la Commission relative à la réorganisation du Comité consultatif paritaire pour l’octroi de prêts et secours pour raison sociale (CCOPS) – anciennement dénommé «Commission Consultative pour l’Octroi de Prêts et Secours pour Raison Sociale» – et à la révision des règles sur les conditions et procédures d’octroi de ces aides extraordinaires</w:t>
            </w:r>
          </w:p>
        </w:tc>
        <w:tc>
          <w:tcPr>
            <w:tcW w:w="1322"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12.11.2008</w:t>
            </w:r>
          </w:p>
        </w:tc>
        <w:tc>
          <w:tcPr>
            <w:tcW w:w="1687"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3" w:space="0" w:color="000000"/>
              <w:bottom w:val="single" w:sz="6"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annexes VIII et XIII – Pensions et allocation d’invalidité</w:t>
            </w:r>
          </w:p>
        </w:tc>
      </w:tr>
      <w:tr>
        <w:trPr>
          <w:trHeight w:hRule="exact" w:val="93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w:t>
            </w:r>
            <w:r>
              <w:rPr>
                <w:rFonts w:ascii="Times New Roman" w:hAnsi="Times New Roman"/>
                <w:b/>
                <w:noProof/>
                <w:sz w:val="12"/>
              </w:rPr>
              <w:br/>
              <w:t>annexe VIII (art. 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Calcul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C(2004) 1364 final/6 – Décision de la Commission portant dispositions générales d’exécution de l’article 4 de l’annexe VIII du statut concernant la prise en compte, pour le calcul des droits à pension, des périodes de services accomplies précédemment à la remise en activité</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99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w:t>
            </w:r>
            <w:r>
              <w:rPr>
                <w:rFonts w:ascii="Times New Roman" w:hAnsi="Times New Roman"/>
                <w:b/>
                <w:noProof/>
                <w:sz w:val="12"/>
              </w:rPr>
              <w:br/>
              <w:t>annexe VIII (art. 9)</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Préretraite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C(2004) 1588 final/5 – Décision de la Commission relative aux dispositions générales d’exécution du régime de retraite anticipée des fonctionnaires et agents temporaires sans réduction des droits à pension</w:t>
            </w:r>
            <w:r>
              <w:rPr>
                <w:rFonts w:ascii="Times New Roman" w:hAnsi="Times New Roman"/>
                <w:noProof/>
                <w:sz w:val="12"/>
              </w:rPr>
              <w:br/>
              <w:t xml:space="preserve"> [modifiée en dernier lieu par la décision C(2006) 3581 final du 10.8.2006]</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13"/>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w:t>
            </w:r>
            <w:r>
              <w:rPr>
                <w:rFonts w:ascii="Times New Roman" w:hAnsi="Times New Roman"/>
                <w:b/>
                <w:noProof/>
                <w:sz w:val="12"/>
              </w:rPr>
              <w:br/>
              <w:t xml:space="preserve">annexe XIII </w:t>
            </w:r>
            <w:r>
              <w:rPr>
                <w:rFonts w:ascii="Times New Roman" w:hAnsi="Times New Roman"/>
                <w:b/>
                <w:noProof/>
                <w:sz w:val="12"/>
              </w:rPr>
              <w:br/>
              <w:t>(art. 26)</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Transfert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C(2004)</w:t>
            </w:r>
            <w:r>
              <w:rPr>
                <w:rFonts w:ascii="Times New Roman"/>
                <w:noProof/>
                <w:sz w:val="12"/>
              </w:rPr>
              <w:t> </w:t>
            </w:r>
            <w:r>
              <w:rPr>
                <w:rFonts w:ascii="Times New Roman"/>
                <w:noProof/>
                <w:sz w:val="12"/>
              </w:rPr>
              <w:t>1588</w:t>
            </w:r>
            <w:r>
              <w:rPr>
                <w:rFonts w:ascii="Times New Roman"/>
                <w:noProof/>
                <w:sz w:val="12"/>
              </w:rPr>
              <w:t> </w:t>
            </w:r>
            <w:r>
              <w:rPr>
                <w:rFonts w:ascii="Times New Roman"/>
                <w:noProof/>
                <w:sz w:val="12"/>
              </w:rPr>
              <w:t>final/2</w:t>
            </w:r>
            <w:r>
              <w:rPr>
                <w:rFonts w:ascii="Times New Roman"/>
                <w:noProof/>
                <w:sz w:val="12"/>
              </w:rPr>
              <w:t> –</w:t>
            </w:r>
            <w:r>
              <w:rPr>
                <w:rFonts w:ascii="Times New Roman"/>
                <w:noProof/>
                <w:sz w:val="12"/>
              </w:rPr>
              <w:t xml:space="preserve"> D</w:t>
            </w:r>
            <w:r>
              <w:rPr>
                <w:rFonts w:ascii="Times New Roman"/>
                <w:noProof/>
                <w:sz w:val="12"/>
              </w:rPr>
              <w:t>é</w:t>
            </w:r>
            <w:r>
              <w:rPr>
                <w:rFonts w:ascii="Times New Roman"/>
                <w:noProof/>
                <w:sz w:val="12"/>
              </w:rPr>
              <w:t>cision de la Commission relative aux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26 de l</w:t>
            </w:r>
            <w:r>
              <w:rPr>
                <w:rFonts w:ascii="Times New Roman"/>
                <w:noProof/>
                <w:sz w:val="12"/>
              </w:rPr>
              <w:t>’</w:t>
            </w:r>
            <w:r>
              <w:rPr>
                <w:rFonts w:ascii="Times New Roman"/>
                <w:noProof/>
                <w:sz w:val="12"/>
              </w:rPr>
              <w:t>annexe</w:t>
            </w:r>
            <w:r>
              <w:rPr>
                <w:rFonts w:ascii="Times New Roman"/>
                <w:noProof/>
                <w:sz w:val="12"/>
              </w:rPr>
              <w:t> </w:t>
            </w:r>
            <w:r>
              <w:rPr>
                <w:rFonts w:ascii="Times New Roman"/>
                <w:noProof/>
                <w:sz w:val="12"/>
              </w:rPr>
              <w:t xml:space="preserve">XIII du statut relatif au transfert de droits </w:t>
            </w:r>
            <w:r>
              <w:rPr>
                <w:rFonts w:ascii="Times New Roman"/>
                <w:noProof/>
                <w:sz w:val="12"/>
              </w:rPr>
              <w:t>à</w:t>
            </w:r>
            <w:r>
              <w:rPr>
                <w:rFonts w:ascii="Times New Roman"/>
                <w:noProof/>
                <w:sz w:val="12"/>
              </w:rPr>
              <w:t xml:space="preserve"> pension</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993"/>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w:t>
            </w:r>
            <w:r>
              <w:rPr>
                <w:rFonts w:ascii="Times New Roman" w:hAnsi="Times New Roman"/>
                <w:b/>
                <w:noProof/>
                <w:sz w:val="12"/>
              </w:rPr>
              <w:br/>
              <w:t xml:space="preserve">annexe VIII </w:t>
            </w:r>
            <w:r>
              <w:rPr>
                <w:rFonts w:ascii="Times New Roman" w:hAnsi="Times New Roman"/>
                <w:b/>
                <w:noProof/>
                <w:sz w:val="12"/>
              </w:rPr>
              <w:br/>
              <w:t>(art. 11 et 12)</w:t>
            </w: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C(2011) 1278 final – Décision de la Commission relative aux dispositions générales d’exécution des articles 11 et 12 de l’annexe VIII du statut relatifs au transfert de droits à pension</w:t>
            </w:r>
            <w:r>
              <w:rPr>
                <w:rFonts w:ascii="Times New Roman" w:hAnsi="Times New Roman"/>
                <w:noProof/>
                <w:sz w:val="12"/>
              </w:rPr>
              <w:br/>
              <w:t>[modifiée en dernier lieu par la décision C(2020) 4818 final du 20.7.2020]</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w:t>
            </w:r>
            <w:r>
              <w:rPr>
                <w:rFonts w:ascii="Times New Roman" w:hAnsi="Times New Roman"/>
                <w:b/>
                <w:noProof/>
                <w:sz w:val="12"/>
              </w:rPr>
              <w:br/>
              <w:t>annexe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Procédures disciplinaires et enquêtes administratives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 xml:space="preserve">C(2019) 4231 final </w:t>
            </w:r>
            <w:r>
              <w:rPr>
                <w:rFonts w:ascii="Times New Roman"/>
                <w:noProof/>
                <w:sz w:val="12"/>
              </w:rPr>
              <w:t>–</w:t>
            </w:r>
            <w:r>
              <w:rPr>
                <w:rFonts w:ascii="Times New Roman"/>
                <w:noProof/>
                <w:sz w:val="12"/>
              </w:rPr>
              <w:t xml:space="preserve"> D</w:t>
            </w:r>
            <w:r>
              <w:rPr>
                <w:rFonts w:ascii="Times New Roman"/>
                <w:noProof/>
                <w:sz w:val="12"/>
              </w:rPr>
              <w:t>é</w:t>
            </w:r>
            <w:r>
              <w:rPr>
                <w:rFonts w:ascii="Times New Roman"/>
                <w:noProof/>
                <w:sz w:val="12"/>
              </w:rPr>
              <w:t xml:space="preserve">cision de la Commission </w:t>
            </w:r>
            <w:r>
              <w:rPr>
                <w:rFonts w:ascii="Times New Roman"/>
                <w:noProof/>
                <w:sz w:val="12"/>
              </w:rPr>
              <w:t>é</w:t>
            </w:r>
            <w:r>
              <w:rPr>
                <w:rFonts w:ascii="Times New Roman"/>
                <w:noProof/>
                <w:sz w:val="12"/>
              </w:rPr>
              <w:t>tablissant les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concernant la conduite des enqu</w:t>
            </w:r>
            <w:r>
              <w:rPr>
                <w:rFonts w:ascii="Times New Roman"/>
                <w:noProof/>
                <w:sz w:val="12"/>
              </w:rPr>
              <w:t>ê</w:t>
            </w:r>
            <w:r>
              <w:rPr>
                <w:rFonts w:ascii="Times New Roman"/>
                <w:noProof/>
                <w:sz w:val="12"/>
              </w:rPr>
              <w:t>tes administratives et des proc</w:t>
            </w:r>
            <w:r>
              <w:rPr>
                <w:rFonts w:ascii="Times New Roman"/>
                <w:noProof/>
                <w:sz w:val="12"/>
              </w:rPr>
              <w:t>é</w:t>
            </w:r>
            <w:r>
              <w:rPr>
                <w:rFonts w:ascii="Times New Roman"/>
                <w:noProof/>
                <w:sz w:val="12"/>
              </w:rPr>
              <w:t>dures disciplinaires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12.6.2019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Titre VIII </w:t>
            </w:r>
            <w:r>
              <w:rPr>
                <w:rFonts w:ascii="Times New Roman" w:hAnsi="Times New Roman"/>
                <w:b/>
                <w:i/>
                <w:iCs/>
                <w:noProof/>
                <w:sz w:val="25"/>
              </w:rPr>
              <w:t>bis</w:t>
            </w:r>
            <w:r>
              <w:rPr>
                <w:rFonts w:ascii="Times New Roman" w:hAnsi="Times New Roman"/>
                <w:b/>
                <w:noProof/>
                <w:sz w:val="25"/>
              </w:rPr>
              <w:t> – Dispositions particulières applicables au SEAE</w:t>
            </w:r>
          </w:p>
        </w:tc>
      </w:tr>
      <w:tr>
        <w:trPr>
          <w:trHeight w:hRule="exact" w:val="774"/>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96</w:t>
            </w:r>
          </w:p>
        </w:tc>
        <w:tc>
          <w:tcPr>
            <w:tcW w:w="2551"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Gestion des délégations de l’UE</w:t>
            </w:r>
          </w:p>
        </w:tc>
        <w:tc>
          <w:tcPr>
            <w:tcW w:w="3029"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JOIN(2012) 8 final – Décision conjointe de la Commission et du haut représentant de l’Union pour les affaires étrangères et la politique de sécurité du 28 mars 2012 relative aux mécanismes de coopération en matière de gestion des délégations de l’Union européenne</w:t>
            </w:r>
          </w:p>
        </w:tc>
        <w:tc>
          <w:tcPr>
            <w:tcW w:w="1322"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28.3.2012</w:t>
            </w:r>
          </w:p>
        </w:tc>
        <w:tc>
          <w:tcPr>
            <w:tcW w:w="1687"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VIII </w:t>
            </w:r>
            <w:r>
              <w:rPr>
                <w:rFonts w:ascii="Times New Roman" w:hAnsi="Times New Roman"/>
                <w:b/>
                <w:i/>
                <w:iCs/>
                <w:noProof/>
                <w:sz w:val="25"/>
              </w:rPr>
              <w:t>ter</w:t>
            </w:r>
            <w:r>
              <w:rPr>
                <w:rFonts w:ascii="Times New Roman" w:hAnsi="Times New Roman"/>
                <w:b/>
                <w:noProof/>
                <w:sz w:val="25"/>
              </w:rPr>
              <w:t xml:space="preserve"> + annexe X – Dispositions particulières et dérogatoires applicables aux fonctionnaires affectés</w:t>
            </w:r>
            <w:r>
              <w:rPr>
                <w:rFonts w:ascii="Times New Roman" w:hAnsi="Times New Roman"/>
                <w:b/>
                <w:noProof/>
                <w:sz w:val="25"/>
              </w:rPr>
              <w:br/>
              <w:t xml:space="preserve"> dans un pays tiers </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Annexe X</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1 – Dispositions générales</w:t>
            </w:r>
          </w:p>
        </w:tc>
      </w:tr>
      <w:tr>
        <w:trPr>
          <w:trHeight w:hRule="exact" w:val="980"/>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 xml:space="preserve">Annexe X </w:t>
            </w:r>
            <w:r>
              <w:rPr>
                <w:rFonts w:ascii="Times New Roman" w:hAnsi="Times New Roman"/>
                <w:b/>
                <w:noProof/>
                <w:sz w:val="12"/>
              </w:rPr>
              <w:br/>
              <w:t>(art. 1</w:t>
            </w:r>
            <w:r>
              <w:rPr>
                <w:rFonts w:ascii="Times New Roman" w:hAnsi="Times New Roman"/>
                <w:b/>
                <w:noProof/>
                <w:sz w:val="12"/>
                <w:vertAlign w:val="superscript"/>
              </w:rPr>
              <w:t>er</w:t>
            </w:r>
            <w:r>
              <w:rPr>
                <w:rFonts w:ascii="Times New Roman" w:hAnsi="Times New Roman"/>
                <w:b/>
                <w:noProof/>
                <w:sz w:val="12"/>
              </w:rPr>
              <w:t xml:space="preserve"> et 25)</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Dispositions générales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C(2005) 1871 – Décision de la Commission relative aux dispositions générales d’exécution concernant les risques d’accident pour les conjoints, les enfants et d’autres personnes à charge du fonctionnaire, de l’agent temporaire ou contractuel dans un pays tiers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16.5.2005</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981"/>
        </w:trPr>
        <w:tc>
          <w:tcPr>
            <w:tcW w:w="1156" w:type="dxa"/>
            <w:vMerge w:val="restart"/>
            <w:tcBorders>
              <w:top w:val="single" w:sz="4" w:space="0" w:color="000000"/>
              <w:left w:val="single" w:sz="4"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 xml:space="preserve">Annexe X </w:t>
            </w:r>
            <w:r>
              <w:rPr>
                <w:rFonts w:ascii="Times New Roman" w:hAnsi="Times New Roman"/>
                <w:b/>
                <w:noProof/>
                <w:sz w:val="13"/>
              </w:rPr>
              <w:br/>
              <w:t>(art. 2 et 3)</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Mobilité</w:t>
            </w:r>
          </w:p>
        </w:tc>
        <w:tc>
          <w:tcPr>
            <w:tcW w:w="3029" w:type="dxa"/>
            <w:tcBorders>
              <w:top w:val="single" w:sz="3" w:space="0" w:color="000000"/>
              <w:left w:val="single" w:sz="3" w:space="0" w:color="000000"/>
              <w:right w:val="single" w:sz="3" w:space="0" w:color="000000"/>
            </w:tcBorders>
            <w:shd w:val="clear" w:color="auto" w:fill="DA9694"/>
          </w:tcPr>
          <w:p>
            <w:pPr>
              <w:widowControl w:val="0"/>
              <w:spacing w:before="6" w:after="0" w:line="240" w:lineRule="auto"/>
              <w:jc w:val="center"/>
              <w:rPr>
                <w:rFonts w:ascii="Times New Roman" w:eastAsia="Times New Roman" w:hAnsi="Times New Roman" w:cs="Times New Roman"/>
                <w:noProof/>
                <w:sz w:val="12"/>
                <w:szCs w:val="12"/>
              </w:rPr>
            </w:pPr>
          </w:p>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noProof/>
                <w:sz w:val="12"/>
              </w:rPr>
              <w:t xml:space="preserve">C(2016) 5378 final </w:t>
            </w:r>
            <w:r>
              <w:rPr>
                <w:rFonts w:ascii="Times New Roman"/>
                <w:noProof/>
                <w:sz w:val="12"/>
              </w:rPr>
              <w:t>–</w:t>
            </w:r>
            <w:r>
              <w:rPr>
                <w:rFonts w:ascii="Times New Roman"/>
                <w:noProof/>
                <w:sz w:val="12"/>
              </w:rPr>
              <w:t xml:space="preserve"> D</w:t>
            </w:r>
            <w:r>
              <w:rPr>
                <w:rFonts w:ascii="Times New Roman"/>
                <w:noProof/>
                <w:sz w:val="12"/>
              </w:rPr>
              <w:t>é</w:t>
            </w:r>
            <w:r>
              <w:rPr>
                <w:rFonts w:ascii="Times New Roman"/>
                <w:noProof/>
                <w:sz w:val="12"/>
              </w:rPr>
              <w:t>cision de la Commission sur la mobilit</w:t>
            </w:r>
            <w:r>
              <w:rPr>
                <w:rFonts w:ascii="Times New Roman"/>
                <w:noProof/>
                <w:sz w:val="12"/>
              </w:rPr>
              <w:t>é</w:t>
            </w:r>
            <w:r>
              <w:rPr>
                <w:rFonts w:ascii="Times New Roman"/>
                <w:noProof/>
                <w:sz w:val="12"/>
              </w:rPr>
              <w:t xml:space="preserve"> des agents de la Commission europ</w:t>
            </w:r>
            <w:r>
              <w:rPr>
                <w:rFonts w:ascii="Times New Roman"/>
                <w:noProof/>
                <w:sz w:val="12"/>
              </w:rPr>
              <w:t>é</w:t>
            </w:r>
            <w:r>
              <w:rPr>
                <w:rFonts w:ascii="Times New Roman"/>
                <w:noProof/>
                <w:sz w:val="12"/>
              </w:rPr>
              <w:t>enne en poste dans les d</w:t>
            </w:r>
            <w:r>
              <w:rPr>
                <w:rFonts w:ascii="Times New Roman"/>
                <w:noProof/>
                <w:sz w:val="12"/>
              </w:rPr>
              <w:t>é</w:t>
            </w:r>
            <w:r>
              <w:rPr>
                <w:rFonts w:ascii="Times New Roman"/>
                <w:noProof/>
                <w:sz w:val="12"/>
              </w:rPr>
              <w:t>l</w:t>
            </w:r>
            <w:r>
              <w:rPr>
                <w:rFonts w:ascii="Times New Roman"/>
                <w:noProof/>
                <w:sz w:val="12"/>
              </w:rPr>
              <w:t>é</w:t>
            </w:r>
            <w:r>
              <w:rPr>
                <w:rFonts w:ascii="Times New Roman"/>
                <w:noProof/>
                <w:sz w:val="12"/>
              </w:rPr>
              <w:t>gations de l</w:t>
            </w:r>
            <w:r>
              <w:rPr>
                <w:rFonts w:ascii="Times New Roman"/>
                <w:noProof/>
                <w:sz w:val="12"/>
              </w:rPr>
              <w:t>’</w:t>
            </w:r>
            <w:r>
              <w:rPr>
                <w:rFonts w:ascii="Times New Roman"/>
                <w:noProof/>
                <w:sz w:val="12"/>
              </w:rPr>
              <w:t>Union europ</w:t>
            </w:r>
            <w:r>
              <w:rPr>
                <w:rFonts w:ascii="Times New Roman"/>
                <w:noProof/>
                <w:sz w:val="12"/>
              </w:rPr>
              <w:t>é</w:t>
            </w:r>
            <w:r>
              <w:rPr>
                <w:rFonts w:ascii="Times New Roman"/>
                <w:noProof/>
                <w:sz w:val="12"/>
              </w:rPr>
              <w:t>enne</w:t>
            </w:r>
            <w:r>
              <w:rPr>
                <w:rFonts w:ascii="Times New Roman"/>
                <w:noProof/>
                <w:sz w:val="12"/>
              </w:rPr>
              <w:br/>
              <w:t>[modifi</w:t>
            </w:r>
            <w:r>
              <w:rPr>
                <w:rFonts w:ascii="Times New Roman"/>
                <w:noProof/>
                <w:sz w:val="12"/>
              </w:rPr>
              <w:t>é</w:t>
            </w:r>
            <w:r>
              <w:rPr>
                <w:rFonts w:ascii="Times New Roman"/>
                <w:noProof/>
                <w:sz w:val="12"/>
              </w:rPr>
              <w:t>e en dernier lieu par la d</w:t>
            </w:r>
            <w:r>
              <w:rPr>
                <w:rFonts w:ascii="Times New Roman"/>
                <w:noProof/>
                <w:sz w:val="12"/>
              </w:rPr>
              <w:t>é</w:t>
            </w:r>
            <w:r>
              <w:rPr>
                <w:rFonts w:ascii="Times New Roman"/>
                <w:noProof/>
                <w:sz w:val="12"/>
              </w:rPr>
              <w:t>cision C(2018)</w:t>
            </w:r>
            <w:r>
              <w:rPr>
                <w:rFonts w:ascii="Times New Roman"/>
                <w:noProof/>
                <w:sz w:val="12"/>
              </w:rPr>
              <w:t> </w:t>
            </w:r>
            <w:r>
              <w:rPr>
                <w:rFonts w:ascii="Times New Roman"/>
                <w:noProof/>
                <w:sz w:val="12"/>
              </w:rPr>
              <w:t>4765</w:t>
            </w:r>
            <w:r>
              <w:rPr>
                <w:rFonts w:ascii="Times New Roman"/>
                <w:noProof/>
                <w:sz w:val="12"/>
              </w:rPr>
              <w:t> </w:t>
            </w:r>
            <w:r>
              <w:rPr>
                <w:rFonts w:ascii="Times New Roman"/>
                <w:noProof/>
                <w:sz w:val="12"/>
              </w:rPr>
              <w:t>final du 24.7.2018]</w:t>
            </w:r>
          </w:p>
        </w:tc>
        <w:tc>
          <w:tcPr>
            <w:tcW w:w="1322" w:type="dxa"/>
            <w:tcBorders>
              <w:top w:val="single" w:sz="3" w:space="0" w:color="000000"/>
              <w:left w:val="single" w:sz="3" w:space="0" w:color="000000"/>
              <w:right w:val="single" w:sz="3" w:space="0" w:color="000000"/>
            </w:tcBorders>
            <w:shd w:val="clear" w:color="auto" w:fill="DA9694"/>
          </w:tcPr>
          <w:p>
            <w:pPr>
              <w:widowControl w:val="0"/>
              <w:spacing w:after="0" w:line="240" w:lineRule="auto"/>
              <w:jc w:val="center"/>
              <w:rPr>
                <w:rFonts w:ascii="Times New Roman" w:eastAsia="Times New Roman" w:hAnsi="Times New Roman" w:cs="Times New Roman"/>
                <w:noProof/>
                <w:sz w:val="12"/>
                <w:szCs w:val="12"/>
              </w:rPr>
            </w:pPr>
          </w:p>
          <w:p>
            <w:pPr>
              <w:widowControl w:val="0"/>
              <w:spacing w:after="0" w:line="240" w:lineRule="auto"/>
              <w:jc w:val="center"/>
              <w:rPr>
                <w:rFonts w:ascii="Times New Roman" w:eastAsia="Times New Roman" w:hAnsi="Times New Roman" w:cs="Times New Roman"/>
                <w:noProof/>
                <w:sz w:val="12"/>
                <w:szCs w:val="12"/>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30.8.2016 </w:t>
            </w:r>
          </w:p>
        </w:tc>
        <w:tc>
          <w:tcPr>
            <w:tcW w:w="1687"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26.2.2020</w:t>
            </w:r>
          </w:p>
        </w:tc>
        <w:tc>
          <w:tcPr>
            <w:tcW w:w="936" w:type="dxa"/>
            <w:vMerge w:val="restart"/>
            <w:tcBorders>
              <w:top w:val="single" w:sz="3"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C(2020) 997 final – Décision de la Commission sur la mobilité des agents contractuels de la Commission européenne en poste dans les délégations de l’Union européenne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26.2.2020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6" w:space="0" w:color="000000"/>
            </w:tcBorders>
            <w:shd w:val="clear" w:color="auto" w:fill="DA9694"/>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690"/>
        </w:trPr>
        <w:tc>
          <w:tcPr>
            <w:tcW w:w="1156" w:type="dxa"/>
            <w:vMerge/>
            <w:tcBorders>
              <w:left w:val="single" w:sz="4" w:space="0" w:color="000000"/>
              <w:bottom w:val="single" w:sz="6"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C(2019) 8633 final – Décision de la Commission fixant les modalités des transferts périodiques de fonctionnaires affectés en délégation par voie d’une procédure spécifique (procédure de mobilité) + rectificatif C(2020) 1813</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2 – Obligations</w:t>
            </w:r>
          </w:p>
        </w:tc>
      </w:tr>
      <w:tr>
        <w:trPr>
          <w:trHeight w:hRule="exact" w:val="567"/>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 101 </w:t>
            </w:r>
            <w:r>
              <w:rPr>
                <w:rFonts w:ascii="Times New Roman" w:hAnsi="Times New Roman"/>
                <w:b/>
                <w:i/>
                <w:iCs/>
                <w:noProof/>
                <w:sz w:val="12"/>
              </w:rPr>
              <w:t>bis</w:t>
            </w:r>
            <w:r>
              <w:rPr>
                <w:rFonts w:ascii="Times New Roman" w:hAnsi="Times New Roman"/>
                <w:b/>
                <w:noProof/>
                <w:sz w:val="12"/>
              </w:rPr>
              <w:t xml:space="preserve"> + annexe X (art. 5 et 23)</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Logement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 8965 final – Décision de la Commission relative aux règles de mise en œuvre de la politique de logement dans les délégations de l’Union européenne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Annexe X</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Dispositions particulières s’appliquant au Groenland</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C(2023) 622 final – Décision de la Commission relative aux conditions particulières d’emploi applicables au personnel affecté au bureau de la Commission à Nuuk (Groenland)</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27.1.2023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3 – Conditions de travail</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 Annexe X</w:t>
            </w:r>
            <w:r>
              <w:rPr>
                <w:rFonts w:ascii="Times New Roman" w:hAnsi="Times New Roman"/>
                <w:b/>
                <w:noProof/>
                <w:sz w:val="12"/>
              </w:rPr>
              <w:br/>
              <w:t xml:space="preserve"> (art. 8)</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Congé de détente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 9027 final – Décision de la Commission relative à la gestion du congé de détente au titre de l’article 8 de l’annexe X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4 – Régime pécuniaire et avantages sociaux</w:t>
            </w:r>
          </w:p>
        </w:tc>
      </w:tr>
      <w:tr>
        <w:trPr>
          <w:trHeight w:hRule="exact" w:val="28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hAnsi="Times New Roman" w:cs="Times New Roman"/>
                <w:b/>
                <w:noProof/>
                <w:spacing w:val="-1"/>
                <w:w w:val="105"/>
                <w:sz w:val="19"/>
              </w:rPr>
            </w:pPr>
            <w:r>
              <w:rPr>
                <w:rFonts w:ascii="Times New Roman" w:hAnsi="Times New Roman"/>
                <w:b/>
                <w:noProof/>
                <w:sz w:val="17"/>
              </w:rPr>
              <w:t>Section 1 – Régime pécuniaire et allocations familiales</w:t>
            </w:r>
          </w:p>
        </w:tc>
      </w:tr>
      <w:tr>
        <w:trPr>
          <w:trHeight w:hRule="exact" w:val="711"/>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Annexe X</w:t>
            </w:r>
            <w:r>
              <w:rPr>
                <w:rFonts w:ascii="Times New Roman" w:hAnsi="Times New Roman"/>
                <w:b/>
                <w:noProof/>
                <w:sz w:val="12"/>
              </w:rPr>
              <w:br/>
              <w:t xml:space="preserve"> (art. 10)</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Indemnité de conditions de vie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 9032 final – Décision de la Commission relative à l’indemnité de conditions de vie et à l’indemnité complémentaire visées à l’article 10 de l’annexe X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Annexe X</w:t>
            </w:r>
            <w:r>
              <w:rPr>
                <w:rFonts w:ascii="Times New Roman" w:hAnsi="Times New Roman"/>
                <w:b/>
                <w:noProof/>
                <w:sz w:val="12"/>
              </w:rPr>
              <w:br/>
              <w:t xml:space="preserve"> (art. 12 et 13)</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Monnaie et pondération</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bookmarkStart w:id="11" w:name="_Hlk164159118"/>
            <w:r>
              <w:rPr>
                <w:rFonts w:ascii="Times New Roman" w:hAnsi="Times New Roman"/>
                <w:noProof/>
                <w:sz w:val="12"/>
              </w:rPr>
              <w:t>C(2004) 1597/1 – Décision relative à l’adaptation des correcteurs et des taux de change associés visés aux articles 12 et 13 de l’annexe X du statut des fonctionnaires</w:t>
            </w:r>
            <w:bookmarkEnd w:id="11"/>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266"/>
        </w:trPr>
        <w:tc>
          <w:tcPr>
            <w:tcW w:w="1156" w:type="dxa"/>
            <w:tcBorders>
              <w:top w:val="single" w:sz="4" w:space="0" w:color="000000"/>
              <w:left w:val="single" w:sz="4" w:space="0" w:color="000000"/>
              <w:bottom w:val="single" w:sz="6" w:space="0" w:color="000000"/>
              <w:right w:val="single" w:sz="4"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Annexe X</w:t>
            </w:r>
            <w:r>
              <w:rPr>
                <w:rFonts w:ascii="Times New Roman" w:hAnsi="Times New Roman"/>
                <w:b/>
                <w:noProof/>
                <w:sz w:val="12"/>
              </w:rPr>
              <w:br/>
              <w:t>(art. 3 et 15)</w:t>
            </w:r>
          </w:p>
        </w:tc>
        <w:tc>
          <w:tcPr>
            <w:tcW w:w="2551" w:type="dxa"/>
            <w:tcBorders>
              <w:top w:val="single" w:sz="3" w:space="0" w:color="000000"/>
              <w:left w:val="single" w:sz="4" w:space="0" w:color="000000"/>
              <w:bottom w:val="single" w:sz="6"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Versement de l’allocation scolaire</w:t>
            </w:r>
            <w:r>
              <w:rPr>
                <w:rFonts w:ascii="Times New Roman" w:hAnsi="Times New Roman"/>
                <w:b/>
                <w:noProof/>
                <w:sz w:val="12"/>
              </w:rPr>
              <w:t xml:space="preserve"> </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C(2021) 8179 final – Décision de la Commission</w:t>
            </w:r>
          </w:p>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fixant les dispositions générales d’exécution relatives au versement de l’allocation scolaire prévue à l’article 15 de l’annexe X du statut aux</w:t>
            </w:r>
          </w:p>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membres du personnel pour la durée de leur affectation temporaire au siège de l’institution ou à tout autre lieu d’affectation</w:t>
            </w:r>
            <w:r>
              <w:rPr>
                <w:rFonts w:ascii="Times New Roman" w:hAnsi="Times New Roman"/>
                <w:noProof/>
                <w:sz w:val="12"/>
              </w:rPr>
              <w:br/>
              <w:t xml:space="preserve"> dans l’Union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17.11.2021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Annexe X</w:t>
            </w:r>
            <w:r>
              <w:rPr>
                <w:rFonts w:ascii="Times New Roman" w:hAnsi="Times New Roman"/>
                <w:b/>
                <w:noProof/>
                <w:sz w:val="12"/>
              </w:rPr>
              <w:br/>
              <w:t xml:space="preserve"> (art. 16)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Remboursements aux fonctionnaires affectés dans les pays tiers</w:t>
            </w:r>
          </w:p>
        </w:tc>
        <w:tc>
          <w:tcPr>
            <w:tcW w:w="3029" w:type="dxa"/>
            <w:tcBorders>
              <w:top w:val="single" w:sz="4" w:space="0" w:color="000000"/>
              <w:left w:val="single" w:sz="6"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C(2013) 8990 final – Décision relative aux remboursements dus aux fonctionnaires affectés dans des pays tiers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Section 2 – Règles relatives au remboursement des frais</w:t>
            </w:r>
          </w:p>
        </w:tc>
      </w:tr>
      <w:tr>
        <w:trPr>
          <w:trHeight w:hRule="exact" w:val="799"/>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Annexe X </w:t>
            </w:r>
            <w:r>
              <w:rPr>
                <w:rFonts w:ascii="Times New Roman" w:hAnsi="Times New Roman"/>
                <w:b/>
                <w:noProof/>
                <w:sz w:val="12"/>
              </w:rPr>
              <w:br/>
              <w:t>(art. 22)</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Indemnité de logement provisoire et frais de transport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bookmarkStart w:id="12" w:name="_Hlk164159178"/>
            <w:r>
              <w:rPr>
                <w:rFonts w:ascii="Times New Roman" w:hAnsi="Times New Roman"/>
                <w:noProof/>
                <w:sz w:val="12"/>
              </w:rPr>
              <w:t>C(2004) 1597/2 – Décision de la Commission relative à l’application de l’article 22 de l’annexe X du statut des fonctionnaires concernant la récupération de l’indemnité de logement provisoire et des frais de transport des effets personnels du conjoint et des personnes à charge</w:t>
            </w:r>
            <w:bookmarkEnd w:id="12"/>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Section 3 – Sécurité sociale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Annexe X</w:t>
            </w:r>
            <w:r>
              <w:rPr>
                <w:rFonts w:ascii="Times New Roman" w:hAnsi="Times New Roman"/>
                <w:b/>
                <w:noProof/>
                <w:sz w:val="12"/>
              </w:rPr>
              <w:br/>
              <w:t xml:space="preserve"> (art. 24)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Assurance maladie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Information administrative nº 642 – Décision de la Commission relative aux dispositions générales d’exécution de l’article 24, premier et deuxième alinéas, de l’annexe X</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17.9.1990</w:t>
            </w:r>
          </w:p>
        </w:tc>
        <w:tc>
          <w:tcPr>
            <w:tcW w:w="1687" w:type="dxa"/>
            <w:tcBorders>
              <w:top w:val="single" w:sz="5" w:space="0" w:color="000000"/>
              <w:left w:val="single" w:sz="3" w:space="0" w:color="000000"/>
              <w:bottom w:val="single" w:sz="5"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109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Annexe X</w:t>
            </w:r>
            <w:r>
              <w:rPr>
                <w:rFonts w:ascii="Times New Roman" w:hAnsi="Times New Roman"/>
                <w:b/>
                <w:noProof/>
                <w:sz w:val="12"/>
              </w:rPr>
              <w:br/>
              <w:t xml:space="preserve"> (art. 25)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Assurance accidents</w:t>
            </w:r>
          </w:p>
        </w:tc>
        <w:tc>
          <w:tcPr>
            <w:tcW w:w="3029" w:type="dxa"/>
            <w:tcBorders>
              <w:top w:val="single" w:sz="5" w:space="0" w:color="000000"/>
              <w:left w:val="single" w:sz="4" w:space="0" w:color="auto"/>
              <w:bottom w:val="single" w:sz="3" w:space="0" w:color="000000"/>
              <w:right w:val="single" w:sz="3" w:space="0" w:color="000000"/>
            </w:tcBorders>
            <w:shd w:val="clear" w:color="auto" w:fill="FFFF65"/>
            <w:vAlign w:val="center"/>
          </w:tcPr>
          <w:p>
            <w:pPr>
              <w:spacing w:before="103" w:after="0" w:line="268" w:lineRule="auto"/>
              <w:ind w:right="34"/>
              <w:jc w:val="center"/>
              <w:rPr>
                <w:rFonts w:ascii="Times New Roman" w:hAnsi="Times New Roman" w:cs="Times New Roman"/>
                <w:noProof/>
                <w:w w:val="105"/>
                <w:sz w:val="12"/>
              </w:rPr>
            </w:pPr>
            <w:r>
              <w:rPr>
                <w:rFonts w:ascii="Times New Roman" w:hAnsi="Times New Roman"/>
                <w:noProof/>
                <w:sz w:val="12"/>
              </w:rPr>
              <w:t>C(2005) 1871 – Décision de la Commission relative aux dispositions générales d’exécution portant sur la couverture des risques d’accident du conjoint, des enfants et des autres personnes à charge du fonctionnaire, de l’agent temporaire ou contractuel des Communautés européennes affecté dans un pays tiers</w:t>
            </w:r>
          </w:p>
          <w:p>
            <w:pPr>
              <w:widowControl w:val="0"/>
              <w:spacing w:before="35" w:after="0" w:line="254" w:lineRule="auto"/>
              <w:ind w:right="71"/>
              <w:jc w:val="center"/>
              <w:rPr>
                <w:rFonts w:ascii="Times New Roman" w:eastAsia="Calibri" w:hAnsi="Times New Roman" w:cs="Times New Roman"/>
                <w:noProof/>
                <w:spacing w:val="-2"/>
                <w:sz w:val="12"/>
                <w:szCs w:val="12"/>
              </w:rPr>
            </w:pP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16.5.2005</w:t>
            </w:r>
          </w:p>
        </w:tc>
        <w:tc>
          <w:tcPr>
            <w:tcW w:w="1687" w:type="dxa"/>
            <w:tcBorders>
              <w:top w:val="single" w:sz="5" w:space="0" w:color="000000"/>
              <w:left w:val="single" w:sz="3" w:space="0" w:color="000000"/>
              <w:bottom w:val="single" w:sz="3"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65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IX – DISPOSITIONS TRANSITOIRES ET FINALES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1" w:after="0" w:line="240" w:lineRule="auto"/>
              <w:ind w:right="974"/>
              <w:jc w:val="center"/>
              <w:rPr>
                <w:rFonts w:ascii="Times New Roman" w:hAnsi="Times New Roman" w:cs="Times New Roman"/>
                <w:b/>
                <w:noProof/>
                <w:spacing w:val="-1"/>
                <w:w w:val="105"/>
                <w:sz w:val="19"/>
              </w:rPr>
            </w:pPr>
            <w:r>
              <w:rPr>
                <w:rFonts w:ascii="Times New Roman" w:hAnsi="Times New Roman"/>
                <w:b/>
                <w:noProof/>
                <w:sz w:val="19"/>
              </w:rPr>
              <w:t>Annexe XIII – Mesures de transition applicables aux fonctionnaires (article 107 </w:t>
            </w:r>
            <w:r>
              <w:rPr>
                <w:rFonts w:ascii="Times New Roman" w:hAnsi="Times New Roman"/>
                <w:b/>
                <w:i/>
                <w:iCs/>
                <w:noProof/>
                <w:sz w:val="19"/>
              </w:rPr>
              <w:t>bis</w:t>
            </w:r>
            <w:r>
              <w:rPr>
                <w:rFonts w:ascii="Times New Roman" w:hAnsi="Times New Roman"/>
                <w:b/>
                <w:noProof/>
                <w:sz w:val="19"/>
              </w:rPr>
              <w:t>)</w:t>
            </w:r>
          </w:p>
          <w:p>
            <w:pPr>
              <w:widowControl w:val="0"/>
              <w:spacing w:before="75" w:after="0" w:line="240" w:lineRule="auto"/>
              <w:jc w:val="center"/>
              <w:rPr>
                <w:rFonts w:ascii="Times New Roman" w:eastAsia="Times New Roman" w:hAnsi="Times New Roman" w:cs="Times New Roman"/>
                <w:noProof/>
                <w:sz w:val="19"/>
                <w:szCs w:val="19"/>
              </w:rPr>
            </w:pPr>
          </w:p>
        </w:tc>
      </w:tr>
      <w:tr>
        <w:trPr>
          <w:trHeight w:hRule="exact" w:val="634"/>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Annexe XIII</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Paiement compensatoire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68" w:lineRule="auto"/>
              <w:ind w:right="87"/>
              <w:jc w:val="center"/>
              <w:rPr>
                <w:rFonts w:ascii="Times New Roman" w:eastAsia="Times New Roman" w:hAnsi="Times New Roman" w:cs="Times New Roman"/>
                <w:noProof/>
                <w:sz w:val="12"/>
                <w:szCs w:val="12"/>
              </w:rPr>
            </w:pPr>
            <w:r>
              <w:rPr>
                <w:rFonts w:ascii="Times New Roman" w:hAnsi="Times New Roman"/>
                <w:noProof/>
                <w:sz w:val="12"/>
              </w:rPr>
              <w:t>C(2008) 6236 – Décision de la Commission relative à l’introduction d’un paiement compensatoire pour les fonctionnaires ayant changé de catégorie avant le 1</w:t>
            </w:r>
            <w:r>
              <w:rPr>
                <w:rFonts w:ascii="Times New Roman" w:hAnsi="Times New Roman"/>
                <w:noProof/>
                <w:sz w:val="12"/>
                <w:vertAlign w:val="superscript"/>
              </w:rPr>
              <w:t>er </w:t>
            </w:r>
            <w:r>
              <w:rPr>
                <w:rFonts w:ascii="Times New Roman" w:hAnsi="Times New Roman"/>
                <w:noProof/>
                <w:sz w:val="12"/>
              </w:rPr>
              <w:t>mai 2004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1.11.2008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000000"/>
              <w:left w:val="single" w:sz="4" w:space="0" w:color="000000"/>
              <w:bottom w:val="single" w:sz="4" w:space="0" w:color="auto"/>
              <w:right w:val="single" w:sz="4"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lastRenderedPageBreak/>
              <w:t>Annexe XIII</w:t>
            </w:r>
            <w:r>
              <w:rPr>
                <w:rFonts w:ascii="Times New Roman" w:hAnsi="Times New Roman"/>
                <w:b/>
                <w:noProof/>
                <w:sz w:val="12"/>
              </w:rPr>
              <w:br/>
              <w:t>(art. 22 et 26)</w:t>
            </w:r>
          </w:p>
        </w:tc>
        <w:tc>
          <w:tcPr>
            <w:tcW w:w="2551" w:type="dxa"/>
            <w:tcBorders>
              <w:top w:val="single" w:sz="3" w:space="0" w:color="000000"/>
              <w:left w:val="single" w:sz="4" w:space="0" w:color="000000"/>
              <w:bottom w:val="single" w:sz="4" w:space="0" w:color="auto"/>
              <w:right w:val="single" w:sz="4"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Droits à pension</w:t>
            </w:r>
          </w:p>
        </w:tc>
        <w:tc>
          <w:tcPr>
            <w:tcW w:w="3029"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after="0" w:line="268" w:lineRule="auto"/>
              <w:ind w:right="87"/>
              <w:jc w:val="center"/>
              <w:rPr>
                <w:rFonts w:ascii="Times New Roman" w:eastAsia="Times New Roman" w:hAnsi="Times New Roman" w:cs="Times New Roman"/>
                <w:noProof/>
                <w:sz w:val="12"/>
                <w:szCs w:val="12"/>
              </w:rPr>
            </w:pPr>
            <w:r>
              <w:rPr>
                <w:rFonts w:ascii="Times New Roman" w:hAnsi="Times New Roman"/>
                <w:noProof/>
                <w:sz w:val="12"/>
              </w:rPr>
              <w:t>C(2004) 1588 final/6 – Décision de la Commission</w:t>
            </w:r>
          </w:p>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portant dispositions générales d’exécution de l’article 22, paragraphe 4, de l’annexe XIII du statut</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 applicables aux autres agents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2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Programme «Professionnels Juniors»</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 xml:space="preserve">C(2022) 9068 final – Décision de la Commission </w:t>
            </w:r>
          </w:p>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établissant le programme «Professionnels Juniors»</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1.1.2023</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4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Durée du recours au personnel non permanent</w:t>
            </w:r>
          </w:p>
        </w:tc>
        <w:tc>
          <w:tcPr>
            <w:tcW w:w="3029" w:type="dxa"/>
            <w:tcBorders>
              <w:top w:val="single" w:sz="6" w:space="0" w:color="000000"/>
              <w:left w:val="single" w:sz="4" w:space="0" w:color="auto"/>
              <w:bottom w:val="single" w:sz="4"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 xml:space="preserve">C(2004) 1597/6 final – Décision de la Commission relative à la durée maximale du recours au personnel non permanent dans les services de la Commission </w:t>
            </w:r>
            <w:r>
              <w:rPr>
                <w:rFonts w:ascii="Times New Roman" w:hAnsi="Times New Roman"/>
                <w:noProof/>
                <w:sz w:val="12"/>
              </w:rPr>
              <w:br/>
              <w:t xml:space="preserve">modifiée par la décision C(2011) 7071 final du 5.10.2011, </w:t>
            </w:r>
            <w:r>
              <w:rPr>
                <w:rFonts w:ascii="Times New Roman" w:hAnsi="Times New Roman"/>
                <w:noProof/>
                <w:sz w:val="12"/>
              </w:rPr>
              <w:br/>
              <w:t xml:space="preserve">la décision C(2013) 9028 final du 16.12.2013, </w:t>
            </w:r>
            <w:r>
              <w:rPr>
                <w:rFonts w:ascii="Times New Roman" w:hAnsi="Times New Roman"/>
                <w:noProof/>
                <w:sz w:val="12"/>
              </w:rPr>
              <w:br/>
              <w:t>modifiée en dernier lieu par la décision C(2019) 2548 final du 5.4.2019</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779"/>
        </w:trPr>
        <w:tc>
          <w:tcPr>
            <w:tcW w:w="1156" w:type="dxa"/>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2 + +8</w:t>
            </w:r>
          </w:p>
        </w:tc>
        <w:tc>
          <w:tcPr>
            <w:tcW w:w="2551" w:type="dxa"/>
            <w:tcBorders>
              <w:left w:val="single" w:sz="4" w:space="0" w:color="000000"/>
              <w:bottom w:val="single" w:sz="4" w:space="0" w:color="000000"/>
              <w:right w:val="single" w:sz="4" w:space="0" w:color="000000"/>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Politique générale d’engagement et d’emploi des agents temporaires</w:t>
            </w:r>
          </w:p>
        </w:tc>
        <w:tc>
          <w:tcPr>
            <w:tcW w:w="3029" w:type="dxa"/>
            <w:tcBorders>
              <w:top w:val="single" w:sz="6" w:space="0" w:color="000000"/>
              <w:left w:val="single" w:sz="4" w:space="0" w:color="000000"/>
              <w:bottom w:val="single" w:sz="4" w:space="0" w:color="000000"/>
              <w:right w:val="single" w:sz="4" w:space="0" w:color="000000"/>
            </w:tcBorders>
            <w:shd w:val="clear" w:color="auto" w:fill="D99594"/>
            <w:vAlign w:val="center"/>
          </w:tcPr>
          <w:p>
            <w:pPr>
              <w:widowControl w:val="0"/>
              <w:spacing w:before="35" w:after="0" w:line="254" w:lineRule="auto"/>
              <w:ind w:right="258"/>
              <w:jc w:val="center"/>
              <w:rPr>
                <w:noProof/>
              </w:rPr>
            </w:pPr>
            <w:r>
              <w:rPr>
                <w:rFonts w:ascii="Times New Roman" w:hAnsi="Times New Roman"/>
                <w:noProof/>
                <w:sz w:val="12"/>
              </w:rPr>
              <w:t>C(2013) 9049 final – Décision relative à la politique d’engagement et d’emploi des agents temporaires</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6" w:space="0" w:color="000000"/>
              <w:left w:val="single" w:sz="4" w:space="0" w:color="000000"/>
              <w:bottom w:val="single" w:sz="4" w:space="0" w:color="auto"/>
              <w:right w:val="single" w:sz="6"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4 – Conditions de travail</w:t>
            </w:r>
          </w:p>
        </w:tc>
      </w:tr>
      <w:tr>
        <w:trPr>
          <w:trHeight w:hRule="exact" w:val="6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de maternité et son paiement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 xml:space="preserve">C(2013) 9020 final – Décision de la Commission relative au congé de maternité et à son paiement pour les femmes dont le congé de maternité débute avant la fin de leur contrat </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08"/>
        </w:trPr>
        <w:tc>
          <w:tcPr>
            <w:tcW w:w="10681" w:type="dxa"/>
            <w:gridSpan w:val="6"/>
            <w:tcBorders>
              <w:top w:val="single" w:sz="4" w:space="0" w:color="auto"/>
              <w:left w:val="single" w:sz="4" w:space="0" w:color="auto"/>
              <w:bottom w:val="single" w:sz="4" w:space="0" w:color="auto"/>
              <w:right w:val="single" w:sz="4" w:space="0" w:color="auto"/>
            </w:tcBorders>
            <w:shd w:val="clear" w:color="auto" w:fill="DAEEF3"/>
            <w:vAlign w:val="center"/>
          </w:tcPr>
          <w:p>
            <w:pPr>
              <w:widowControl w:val="0"/>
              <w:spacing w:after="0" w:line="240" w:lineRule="auto"/>
              <w:rPr>
                <w:rFonts w:ascii="Times New Roman" w:eastAsia="Calibri" w:hAnsi="Times New Roman" w:cs="Times New Roman"/>
                <w:b/>
                <w:noProof/>
                <w:spacing w:val="1"/>
                <w:w w:val="105"/>
                <w:sz w:val="16"/>
                <w:szCs w:val="16"/>
              </w:rPr>
            </w:pPr>
            <w:r>
              <w:rPr>
                <w:rFonts w:ascii="Times New Roman" w:hAnsi="Times New Roman"/>
                <w:b/>
                <w:noProof/>
                <w:sz w:val="19"/>
              </w:rPr>
              <w:t xml:space="preserve">                                                                                      Chapitre 6 – Sécurité sociale</w:t>
            </w:r>
          </w:p>
        </w:tc>
      </w:tr>
      <w:tr>
        <w:trPr>
          <w:trHeight w:hRule="exact" w:val="111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39</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Calibri" w:hAnsi="Times New Roman" w:cs="Times New Roman"/>
                <w:b/>
                <w:bCs/>
                <w:noProof/>
                <w:sz w:val="16"/>
                <w:szCs w:val="16"/>
              </w:rPr>
            </w:pPr>
            <w:r>
              <w:rPr>
                <w:rFonts w:ascii="Times New Roman" w:hAnsi="Times New Roman"/>
                <w:b/>
                <w:noProof/>
                <w:sz w:val="16"/>
              </w:rPr>
              <w:t>Préretraite</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13"/>
              <w:jc w:val="center"/>
              <w:rPr>
                <w:rFonts w:ascii="Times New Roman" w:hAnsi="Times New Roman" w:cs="Times New Roman"/>
                <w:noProof/>
                <w:w w:val="105"/>
                <w:sz w:val="12"/>
              </w:rPr>
            </w:pPr>
          </w:p>
          <w:p>
            <w:pPr>
              <w:widowControl w:val="0"/>
              <w:spacing w:after="0" w:line="271" w:lineRule="auto"/>
              <w:ind w:right="13"/>
              <w:jc w:val="center"/>
              <w:rPr>
                <w:rFonts w:ascii="Times New Roman" w:hAnsi="Times New Roman" w:cs="Times New Roman"/>
                <w:noProof/>
                <w:w w:val="105"/>
                <w:sz w:val="12"/>
              </w:rPr>
            </w:pPr>
            <w:r>
              <w:rPr>
                <w:rFonts w:ascii="Times New Roman" w:hAnsi="Times New Roman"/>
                <w:noProof/>
                <w:sz w:val="12"/>
              </w:rPr>
              <w:t xml:space="preserve">C(2004) 1588 final/5 – Décision de la Commission relative aux dispositions générales d’exécution du régime de retraite anticipée des fonctionnaires et agents temporaires sans réduction des droits à pension </w:t>
            </w:r>
            <w:r>
              <w:rPr>
                <w:rFonts w:ascii="Times New Roman" w:hAnsi="Times New Roman"/>
                <w:noProof/>
                <w:sz w:val="12"/>
              </w:rPr>
              <w:br/>
              <w:t>[modifiée en dernier lieu par la décision C(2006) 3581 final du 10.8.2006]</w:t>
            </w:r>
          </w:p>
          <w:p>
            <w:pPr>
              <w:widowControl w:val="0"/>
              <w:spacing w:before="83" w:after="0" w:line="254" w:lineRule="auto"/>
              <w:ind w:right="123"/>
              <w:jc w:val="center"/>
              <w:rPr>
                <w:rFonts w:ascii="Times New Roman" w:eastAsia="Calibri" w:hAnsi="Times New Roman" w:cs="Times New Roman"/>
                <w:noProof/>
                <w:sz w:val="12"/>
                <w:szCs w:val="12"/>
              </w:rPr>
            </w:pP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1122"/>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noProof/>
                <w:sz w:val="12"/>
              </w:rPr>
              <w:t>79</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Recours aux agents contractuels</w:t>
            </w:r>
          </w:p>
        </w:tc>
        <w:tc>
          <w:tcPr>
            <w:tcW w:w="3029"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sz w:val="12"/>
              </w:rPr>
            </w:pPr>
            <w:r>
              <w:rPr>
                <w:rFonts w:ascii="Times New Roman" w:hAnsi="Times New Roman"/>
                <w:noProof/>
                <w:sz w:val="12"/>
              </w:rPr>
              <w:t xml:space="preserve">C(2004) 1597/6 final – Décision de la Commission relative à la durée maximale du recours au personnel non permanent dans les services de la Commission </w:t>
            </w:r>
            <w:r>
              <w:rPr>
                <w:rFonts w:ascii="Times New Roman" w:hAnsi="Times New Roman"/>
                <w:noProof/>
                <w:sz w:val="12"/>
              </w:rPr>
              <w:br/>
              <w:t xml:space="preserve">modifiée par la décision C(2011) 7071 final du 5.10.2011, </w:t>
            </w:r>
            <w:r>
              <w:rPr>
                <w:rFonts w:ascii="Times New Roman" w:hAnsi="Times New Roman"/>
                <w:noProof/>
                <w:sz w:val="12"/>
              </w:rPr>
              <w:br/>
              <w:t xml:space="preserve">la décision C(2013) 9028 final du 16.12.2013, </w:t>
            </w:r>
          </w:p>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modifiée en dernier lieu par la décision C(2019) 2548 final du 5.4.2019</w:t>
            </w:r>
          </w:p>
        </w:tc>
        <w:tc>
          <w:tcPr>
            <w:tcW w:w="1322"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93"/>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noProof/>
                <w:sz w:val="12"/>
              </w:rPr>
              <w:t xml:space="preserve">C(2017) 6760 final </w:t>
            </w:r>
            <w:r>
              <w:rPr>
                <w:rFonts w:ascii="Times New Roman"/>
                <w:noProof/>
                <w:sz w:val="12"/>
              </w:rPr>
              <w:t>–</w:t>
            </w:r>
            <w:r>
              <w:rPr>
                <w:rFonts w:ascii="Times New Roman"/>
                <w:noProof/>
                <w:sz w:val="12"/>
              </w:rPr>
              <w:t xml:space="preserve"> D</w:t>
            </w:r>
            <w:r>
              <w:rPr>
                <w:rFonts w:ascii="Times New Roman"/>
                <w:noProof/>
                <w:sz w:val="12"/>
              </w:rPr>
              <w:t>é</w:t>
            </w:r>
            <w:r>
              <w:rPr>
                <w:rFonts w:ascii="Times New Roman"/>
                <w:noProof/>
                <w:sz w:val="12"/>
              </w:rPr>
              <w:t>cision relative aux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79, paragraphe</w:t>
            </w:r>
            <w:r>
              <w:rPr>
                <w:rFonts w:ascii="Times New Roman"/>
                <w:noProof/>
                <w:sz w:val="12"/>
              </w:rPr>
              <w:t> </w:t>
            </w:r>
            <w:r>
              <w:rPr>
                <w:rFonts w:ascii="Times New Roman"/>
                <w:noProof/>
                <w:sz w:val="12"/>
              </w:rPr>
              <w:t>2, du r</w:t>
            </w:r>
            <w:r>
              <w:rPr>
                <w:rFonts w:ascii="Times New Roman"/>
                <w:noProof/>
                <w:sz w:val="12"/>
              </w:rPr>
              <w:t>é</w:t>
            </w:r>
            <w:r>
              <w:rPr>
                <w:rFonts w:ascii="Times New Roman"/>
                <w:noProof/>
                <w:sz w:val="12"/>
              </w:rPr>
              <w:t>gime applicable aux autres agents de l</w:t>
            </w:r>
            <w:r>
              <w:rPr>
                <w:rFonts w:ascii="Times New Roman"/>
                <w:noProof/>
                <w:sz w:val="12"/>
              </w:rPr>
              <w:t>’</w:t>
            </w:r>
            <w:r>
              <w:rPr>
                <w:rFonts w:ascii="Times New Roman"/>
                <w:noProof/>
                <w:sz w:val="12"/>
              </w:rPr>
              <w:t>Union europ</w:t>
            </w:r>
            <w:r>
              <w:rPr>
                <w:rFonts w:ascii="Times New Roman"/>
                <w:noProof/>
                <w:sz w:val="12"/>
              </w:rPr>
              <w:t>é</w:t>
            </w:r>
            <w:r>
              <w:rPr>
                <w:rFonts w:ascii="Times New Roman"/>
                <w:noProof/>
                <w:sz w:val="12"/>
              </w:rPr>
              <w:t>enne, r</w:t>
            </w:r>
            <w:r>
              <w:rPr>
                <w:rFonts w:ascii="Times New Roman"/>
                <w:noProof/>
                <w:sz w:val="12"/>
              </w:rPr>
              <w:t>é</w:t>
            </w:r>
            <w:r>
              <w:rPr>
                <w:rFonts w:ascii="Times New Roman"/>
                <w:noProof/>
                <w:sz w:val="12"/>
              </w:rPr>
              <w:t>gissant les conditions d</w:t>
            </w:r>
            <w:r>
              <w:rPr>
                <w:rFonts w:ascii="Times New Roman"/>
                <w:noProof/>
                <w:sz w:val="12"/>
              </w:rPr>
              <w:t>’</w:t>
            </w:r>
            <w:r>
              <w:rPr>
                <w:rFonts w:ascii="Times New Roman"/>
                <w:noProof/>
                <w:sz w:val="12"/>
              </w:rPr>
              <w:t>emploi des agents contractuels engag</w:t>
            </w:r>
            <w:r>
              <w:rPr>
                <w:rFonts w:ascii="Times New Roman"/>
                <w:noProof/>
                <w:sz w:val="12"/>
              </w:rPr>
              <w:t>é</w:t>
            </w:r>
            <w:r>
              <w:rPr>
                <w:rFonts w:ascii="Times New Roman"/>
                <w:noProof/>
                <w:sz w:val="12"/>
              </w:rPr>
              <w:t xml:space="preserve">s par la Commission en vertu </w:t>
            </w:r>
            <w:r>
              <w:rPr>
                <w:rFonts w:ascii="Times New Roman"/>
                <w:noProof/>
                <w:sz w:val="12"/>
              </w:rPr>
              <w:br/>
              <w:t>des articles</w:t>
            </w:r>
            <w:r>
              <w:rPr>
                <w:rFonts w:ascii="Times New Roman"/>
                <w:noProof/>
                <w:sz w:val="12"/>
              </w:rPr>
              <w:t> </w:t>
            </w:r>
            <w:r>
              <w:rPr>
                <w:rFonts w:ascii="Times New Roman"/>
                <w:noProof/>
                <w:sz w:val="12"/>
              </w:rPr>
              <w:t>3</w:t>
            </w:r>
            <w:r>
              <w:rPr>
                <w:rFonts w:ascii="Times New Roman"/>
                <w:noProof/>
                <w:sz w:val="12"/>
              </w:rPr>
              <w:t> </w:t>
            </w:r>
            <w:r>
              <w:rPr>
                <w:rFonts w:ascii="Times New Roman"/>
                <w:i/>
                <w:iCs/>
                <w:noProof/>
                <w:sz w:val="12"/>
              </w:rPr>
              <w:t>bis</w:t>
            </w:r>
            <w:r>
              <w:rPr>
                <w:rFonts w:ascii="Times New Roman"/>
                <w:noProof/>
                <w:sz w:val="12"/>
              </w:rPr>
              <w:t xml:space="preserve"> et 3</w:t>
            </w:r>
            <w:r>
              <w:rPr>
                <w:rFonts w:ascii="Times New Roman"/>
                <w:noProof/>
                <w:sz w:val="12"/>
              </w:rPr>
              <w:t> </w:t>
            </w:r>
            <w:r>
              <w:rPr>
                <w:rFonts w:ascii="Times New Roman"/>
                <w:i/>
                <w:iCs/>
                <w:noProof/>
                <w:sz w:val="12"/>
              </w:rPr>
              <w:t>ter</w:t>
            </w:r>
            <w:r>
              <w:rPr>
                <w:rFonts w:ascii="Times New Roman"/>
                <w:noProof/>
                <w:sz w:val="12"/>
              </w:rPr>
              <w:t xml:space="preserve"> dudit r</w:t>
            </w:r>
            <w:r>
              <w:rPr>
                <w:rFonts w:ascii="Times New Roman"/>
                <w:noProof/>
                <w:sz w:val="12"/>
              </w:rPr>
              <w:t>é</w:t>
            </w:r>
            <w:r>
              <w:rPr>
                <w:rFonts w:ascii="Times New Roman"/>
                <w:noProof/>
                <w:sz w:val="12"/>
              </w:rPr>
              <w:t>gime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1.11.2017</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1148"/>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lastRenderedPageBreak/>
              <w:t>82</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de recrutement des</w:t>
            </w:r>
          </w:p>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agents contractuels</w:t>
            </w: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after="0" w:line="271" w:lineRule="auto"/>
              <w:ind w:right="65"/>
              <w:jc w:val="center"/>
              <w:rPr>
                <w:noProof/>
              </w:rPr>
            </w:pPr>
            <w:r>
              <w:rPr>
                <w:rFonts w:ascii="Times New Roman" w:hAnsi="Times New Roman"/>
                <w:noProof/>
                <w:sz w:val="12"/>
              </w:rPr>
              <w:t xml:space="preserve">C(2004) 1597/6 final – Décision de la Commission relative à la durée maximale du recours au personnel non permanent dans les services de la Commission </w:t>
            </w:r>
            <w:r>
              <w:rPr>
                <w:rFonts w:ascii="Times New Roman" w:hAnsi="Times New Roman"/>
                <w:noProof/>
                <w:sz w:val="12"/>
              </w:rPr>
              <w:br/>
              <w:t xml:space="preserve">modifiée par la décision C(2011) 7071 final du 5.10.2011, </w:t>
            </w:r>
            <w:r>
              <w:rPr>
                <w:rFonts w:ascii="Times New Roman" w:hAnsi="Times New Roman"/>
                <w:noProof/>
                <w:sz w:val="12"/>
              </w:rPr>
              <w:br/>
              <w:t xml:space="preserve">la décision C(2013) 9028 final du 16.12.2013, </w:t>
            </w:r>
            <w:r>
              <w:rPr>
                <w:rFonts w:ascii="Times New Roman" w:hAnsi="Times New Roman"/>
                <w:noProof/>
                <w:sz w:val="12"/>
              </w:rPr>
              <w:br/>
              <w:t>modifiée en dernier lieu par la décision C(2019) 2548 final du 5.4.2019</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1173"/>
        </w:trPr>
        <w:tc>
          <w:tcPr>
            <w:tcW w:w="1156"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3" w:space="0" w:color="000000"/>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noProof/>
                <w:sz w:val="12"/>
              </w:rPr>
              <w:t xml:space="preserve">C(2017) 6760 final </w:t>
            </w:r>
            <w:r>
              <w:rPr>
                <w:rFonts w:ascii="Times New Roman"/>
                <w:noProof/>
                <w:sz w:val="12"/>
              </w:rPr>
              <w:t>–</w:t>
            </w:r>
            <w:r>
              <w:rPr>
                <w:rFonts w:ascii="Times New Roman"/>
                <w:noProof/>
                <w:sz w:val="12"/>
              </w:rPr>
              <w:t xml:space="preserve"> D</w:t>
            </w:r>
            <w:r>
              <w:rPr>
                <w:rFonts w:ascii="Times New Roman"/>
                <w:noProof/>
                <w:sz w:val="12"/>
              </w:rPr>
              <w:t>é</w:t>
            </w:r>
            <w:r>
              <w:rPr>
                <w:rFonts w:ascii="Times New Roman"/>
                <w:noProof/>
                <w:sz w:val="12"/>
              </w:rPr>
              <w:t>cision relative aux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79, paragraphe</w:t>
            </w:r>
            <w:r>
              <w:rPr>
                <w:rFonts w:ascii="Times New Roman"/>
                <w:noProof/>
                <w:sz w:val="12"/>
              </w:rPr>
              <w:t> </w:t>
            </w:r>
            <w:r>
              <w:rPr>
                <w:rFonts w:ascii="Times New Roman"/>
                <w:noProof/>
                <w:sz w:val="12"/>
              </w:rPr>
              <w:t>2, du r</w:t>
            </w:r>
            <w:r>
              <w:rPr>
                <w:rFonts w:ascii="Times New Roman"/>
                <w:noProof/>
                <w:sz w:val="12"/>
              </w:rPr>
              <w:t>é</w:t>
            </w:r>
            <w:r>
              <w:rPr>
                <w:rFonts w:ascii="Times New Roman"/>
                <w:noProof/>
                <w:sz w:val="12"/>
              </w:rPr>
              <w:t>gime applicable aux autres agents de l</w:t>
            </w:r>
            <w:r>
              <w:rPr>
                <w:rFonts w:ascii="Times New Roman"/>
                <w:noProof/>
                <w:sz w:val="12"/>
              </w:rPr>
              <w:t>’</w:t>
            </w:r>
            <w:r>
              <w:rPr>
                <w:rFonts w:ascii="Times New Roman"/>
                <w:noProof/>
                <w:sz w:val="12"/>
              </w:rPr>
              <w:t>Union europ</w:t>
            </w:r>
            <w:r>
              <w:rPr>
                <w:rFonts w:ascii="Times New Roman"/>
                <w:noProof/>
                <w:sz w:val="12"/>
              </w:rPr>
              <w:t>é</w:t>
            </w:r>
            <w:r>
              <w:rPr>
                <w:rFonts w:ascii="Times New Roman"/>
                <w:noProof/>
                <w:sz w:val="12"/>
              </w:rPr>
              <w:t>enne, r</w:t>
            </w:r>
            <w:r>
              <w:rPr>
                <w:rFonts w:ascii="Times New Roman"/>
                <w:noProof/>
                <w:sz w:val="12"/>
              </w:rPr>
              <w:t>é</w:t>
            </w:r>
            <w:r>
              <w:rPr>
                <w:rFonts w:ascii="Times New Roman"/>
                <w:noProof/>
                <w:sz w:val="12"/>
              </w:rPr>
              <w:t>gissant les conditions d</w:t>
            </w:r>
            <w:r>
              <w:rPr>
                <w:rFonts w:ascii="Times New Roman"/>
                <w:noProof/>
                <w:sz w:val="12"/>
              </w:rPr>
              <w:t>’</w:t>
            </w:r>
            <w:r>
              <w:rPr>
                <w:rFonts w:ascii="Times New Roman"/>
                <w:noProof/>
                <w:sz w:val="12"/>
              </w:rPr>
              <w:t>emploi des agents contractuels engag</w:t>
            </w:r>
            <w:r>
              <w:rPr>
                <w:rFonts w:ascii="Times New Roman"/>
                <w:noProof/>
                <w:sz w:val="12"/>
              </w:rPr>
              <w:t>é</w:t>
            </w:r>
            <w:r>
              <w:rPr>
                <w:rFonts w:ascii="Times New Roman"/>
                <w:noProof/>
                <w:sz w:val="12"/>
              </w:rPr>
              <w:t xml:space="preserve">s par la Commission en vertu </w:t>
            </w:r>
            <w:r>
              <w:rPr>
                <w:rFonts w:ascii="Times New Roman"/>
                <w:noProof/>
                <w:sz w:val="12"/>
              </w:rPr>
              <w:br/>
              <w:t>des articles</w:t>
            </w:r>
            <w:r>
              <w:rPr>
                <w:rFonts w:ascii="Times New Roman"/>
                <w:noProof/>
                <w:sz w:val="12"/>
              </w:rPr>
              <w:t> </w:t>
            </w:r>
            <w:r>
              <w:rPr>
                <w:rFonts w:ascii="Times New Roman"/>
                <w:noProof/>
                <w:sz w:val="12"/>
              </w:rPr>
              <w:t>3</w:t>
            </w:r>
            <w:r>
              <w:rPr>
                <w:rFonts w:ascii="Times New Roman"/>
                <w:noProof/>
                <w:sz w:val="12"/>
              </w:rPr>
              <w:t> </w:t>
            </w:r>
            <w:r>
              <w:rPr>
                <w:rFonts w:ascii="Times New Roman"/>
                <w:i/>
                <w:iCs/>
                <w:noProof/>
                <w:sz w:val="12"/>
              </w:rPr>
              <w:t>bis</w:t>
            </w:r>
            <w:r>
              <w:rPr>
                <w:rFonts w:ascii="Times New Roman"/>
                <w:noProof/>
                <w:sz w:val="12"/>
              </w:rPr>
              <w:t xml:space="preserve"> et 3</w:t>
            </w:r>
            <w:r>
              <w:rPr>
                <w:rFonts w:ascii="Times New Roman"/>
                <w:noProof/>
                <w:sz w:val="12"/>
              </w:rPr>
              <w:t> </w:t>
            </w:r>
            <w:r>
              <w:rPr>
                <w:rFonts w:ascii="Times New Roman"/>
                <w:i/>
                <w:iCs/>
                <w:noProof/>
                <w:sz w:val="12"/>
              </w:rPr>
              <w:t>ter</w:t>
            </w:r>
            <w:r>
              <w:rPr>
                <w:rFonts w:ascii="Times New Roman"/>
                <w:noProof/>
                <w:sz w:val="12"/>
              </w:rPr>
              <w:t xml:space="preserve"> dudit r</w:t>
            </w:r>
            <w:r>
              <w:rPr>
                <w:rFonts w:ascii="Times New Roman"/>
                <w:noProof/>
                <w:sz w:val="12"/>
              </w:rPr>
              <w:t>é</w:t>
            </w:r>
            <w:r>
              <w:rPr>
                <w:rFonts w:ascii="Times New Roman"/>
                <w:noProof/>
                <w:sz w:val="12"/>
              </w:rPr>
              <w:t>gime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Chapitre 4 – Dispositions particulières applicables aux agents contractuels visés à l’article 3 </w:t>
            </w:r>
            <w:r>
              <w:rPr>
                <w:rFonts w:ascii="Times New Roman" w:hAnsi="Times New Roman"/>
                <w:b/>
                <w:i/>
                <w:iCs/>
                <w:noProof/>
                <w:sz w:val="19"/>
              </w:rPr>
              <w:t>bis</w:t>
            </w:r>
          </w:p>
        </w:tc>
      </w:tr>
      <w:tr>
        <w:trPr>
          <w:trHeight w:hRule="exact" w:val="976"/>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85</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rPr>
            </w:pPr>
            <w:r>
              <w:rPr>
                <w:rFonts w:ascii="Times New Roman" w:hAnsi="Times New Roman"/>
                <w:b/>
                <w:noProof/>
                <w:sz w:val="16"/>
              </w:rPr>
              <w:t>Personnel engagé en vertu du droit national ne pouvant pas devenir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w w:val="105"/>
                <w:sz w:val="12"/>
              </w:rPr>
            </w:pPr>
            <w:r>
              <w:rPr>
                <w:rFonts w:ascii="Times New Roman" w:hAnsi="Times New Roman"/>
                <w:noProof/>
                <w:sz w:val="12"/>
              </w:rPr>
              <w:t>C(2008) 4593 final – Décision de la Commission</w:t>
            </w:r>
          </w:p>
          <w:p>
            <w:pPr>
              <w:widowControl w:val="0"/>
              <w:spacing w:after="0" w:line="271" w:lineRule="auto"/>
              <w:ind w:right="65"/>
              <w:jc w:val="center"/>
              <w:rPr>
                <w:rFonts w:ascii="Times New Roman" w:hAnsi="Times New Roman" w:cs="Times New Roman"/>
                <w:noProof/>
                <w:w w:val="105"/>
                <w:sz w:val="12"/>
              </w:rPr>
            </w:pPr>
            <w:r>
              <w:rPr>
                <w:rFonts w:ascii="Times New Roman" w:hAnsi="Times New Roman"/>
                <w:noProof/>
                <w:sz w:val="12"/>
              </w:rPr>
              <w:t xml:space="preserve">concernant certaines catégories de personnel employé par la Commission européenne au sein de </w:t>
            </w:r>
          </w:p>
          <w:p>
            <w:pPr>
              <w:widowControl w:val="0"/>
              <w:spacing w:after="0" w:line="271" w:lineRule="auto"/>
              <w:ind w:right="65"/>
              <w:jc w:val="center"/>
              <w:rPr>
                <w:rFonts w:ascii="Times New Roman" w:hAnsi="Times New Roman" w:cs="Times New Roman"/>
                <w:noProof/>
                <w:w w:val="105"/>
                <w:sz w:val="12"/>
              </w:rPr>
            </w:pPr>
            <w:r>
              <w:rPr>
                <w:rFonts w:ascii="Times New Roman" w:hAnsi="Times New Roman"/>
                <w:noProof/>
                <w:sz w:val="12"/>
              </w:rPr>
              <w:t xml:space="preserve">l’Union européenne dans le cadre d’un contrat à durée indéterminée en vertu du droit national de </w:t>
            </w:r>
          </w:p>
          <w:p>
            <w:pPr>
              <w:widowControl w:val="0"/>
              <w:spacing w:after="0" w:line="271" w:lineRule="auto"/>
              <w:ind w:right="65"/>
              <w:jc w:val="center"/>
              <w:rPr>
                <w:noProof/>
              </w:rPr>
            </w:pPr>
            <w:r>
              <w:rPr>
                <w:rFonts w:ascii="Times New Roman" w:hAnsi="Times New Roman"/>
                <w:noProof/>
                <w:sz w:val="12"/>
              </w:rPr>
              <w:t>l’un des États membres</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28.8.2008</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43"/>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86</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C(2004) 1597/6 final – Décision de la Commission relative à la durée maximale du recours au personnel non permanent dans les services de la Commission </w:t>
            </w:r>
            <w:r>
              <w:rPr>
                <w:rFonts w:ascii="Times New Roman" w:hAnsi="Times New Roman"/>
                <w:noProof/>
                <w:sz w:val="12"/>
              </w:rPr>
              <w:br/>
              <w:t xml:space="preserve">modifiée par la décision C(2011) 7071 final du 5.10.2011, </w:t>
            </w:r>
            <w:r>
              <w:rPr>
                <w:rFonts w:ascii="Times New Roman" w:hAnsi="Times New Roman"/>
                <w:noProof/>
                <w:sz w:val="12"/>
              </w:rPr>
              <w:br/>
              <w:t xml:space="preserve">la décision C(2013) 9028 final du 16.12.2013, </w:t>
            </w:r>
            <w:r>
              <w:rPr>
                <w:rFonts w:ascii="Times New Roman" w:hAnsi="Times New Roman"/>
                <w:noProof/>
                <w:sz w:val="12"/>
              </w:rPr>
              <w:br/>
              <w:t>modifiée en dernier lieu par la décision C(2019) 2548 final du 5.4.2019</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1145"/>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noProof/>
                <w:sz w:val="12"/>
              </w:rPr>
              <w:t xml:space="preserve">C(2017) 6760 final </w:t>
            </w:r>
            <w:r>
              <w:rPr>
                <w:rFonts w:ascii="Times New Roman"/>
                <w:noProof/>
                <w:sz w:val="12"/>
              </w:rPr>
              <w:t>–</w:t>
            </w:r>
            <w:r>
              <w:rPr>
                <w:rFonts w:ascii="Times New Roman"/>
                <w:noProof/>
                <w:sz w:val="12"/>
              </w:rPr>
              <w:t xml:space="preserve"> D</w:t>
            </w:r>
            <w:r>
              <w:rPr>
                <w:rFonts w:ascii="Times New Roman"/>
                <w:noProof/>
                <w:sz w:val="12"/>
              </w:rPr>
              <w:t>é</w:t>
            </w:r>
            <w:r>
              <w:rPr>
                <w:rFonts w:ascii="Times New Roman"/>
                <w:noProof/>
                <w:sz w:val="12"/>
              </w:rPr>
              <w:t>cision relative aux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79, paragraphe</w:t>
            </w:r>
            <w:r>
              <w:rPr>
                <w:rFonts w:ascii="Times New Roman"/>
                <w:noProof/>
                <w:sz w:val="12"/>
              </w:rPr>
              <w:t> </w:t>
            </w:r>
            <w:r>
              <w:rPr>
                <w:rFonts w:ascii="Times New Roman"/>
                <w:noProof/>
                <w:sz w:val="12"/>
              </w:rPr>
              <w:t>2, du r</w:t>
            </w:r>
            <w:r>
              <w:rPr>
                <w:rFonts w:ascii="Times New Roman"/>
                <w:noProof/>
                <w:sz w:val="12"/>
              </w:rPr>
              <w:t>é</w:t>
            </w:r>
            <w:r>
              <w:rPr>
                <w:rFonts w:ascii="Times New Roman"/>
                <w:noProof/>
                <w:sz w:val="12"/>
              </w:rPr>
              <w:t>gime applicable aux autres agents de l</w:t>
            </w:r>
            <w:r>
              <w:rPr>
                <w:rFonts w:ascii="Times New Roman"/>
                <w:noProof/>
                <w:sz w:val="12"/>
              </w:rPr>
              <w:t>’</w:t>
            </w:r>
            <w:r>
              <w:rPr>
                <w:rFonts w:ascii="Times New Roman"/>
                <w:noProof/>
                <w:sz w:val="12"/>
              </w:rPr>
              <w:t>Union europ</w:t>
            </w:r>
            <w:r>
              <w:rPr>
                <w:rFonts w:ascii="Times New Roman"/>
                <w:noProof/>
                <w:sz w:val="12"/>
              </w:rPr>
              <w:t>é</w:t>
            </w:r>
            <w:r>
              <w:rPr>
                <w:rFonts w:ascii="Times New Roman"/>
                <w:noProof/>
                <w:sz w:val="12"/>
              </w:rPr>
              <w:t>enne, r</w:t>
            </w:r>
            <w:r>
              <w:rPr>
                <w:rFonts w:ascii="Times New Roman"/>
                <w:noProof/>
                <w:sz w:val="12"/>
              </w:rPr>
              <w:t>é</w:t>
            </w:r>
            <w:r>
              <w:rPr>
                <w:rFonts w:ascii="Times New Roman"/>
                <w:noProof/>
                <w:sz w:val="12"/>
              </w:rPr>
              <w:t>gissant les conditions d</w:t>
            </w:r>
            <w:r>
              <w:rPr>
                <w:rFonts w:ascii="Times New Roman"/>
                <w:noProof/>
                <w:sz w:val="12"/>
              </w:rPr>
              <w:t>’</w:t>
            </w:r>
            <w:r>
              <w:rPr>
                <w:rFonts w:ascii="Times New Roman"/>
                <w:noProof/>
                <w:sz w:val="12"/>
              </w:rPr>
              <w:t>emploi des agents contractuels engag</w:t>
            </w:r>
            <w:r>
              <w:rPr>
                <w:rFonts w:ascii="Times New Roman"/>
                <w:noProof/>
                <w:sz w:val="12"/>
              </w:rPr>
              <w:t>é</w:t>
            </w:r>
            <w:r>
              <w:rPr>
                <w:rFonts w:ascii="Times New Roman"/>
                <w:noProof/>
                <w:sz w:val="12"/>
              </w:rPr>
              <w:t xml:space="preserve">s par la Commission en vertu </w:t>
            </w:r>
            <w:r>
              <w:rPr>
                <w:rFonts w:ascii="Times New Roman"/>
                <w:noProof/>
                <w:sz w:val="12"/>
              </w:rPr>
              <w:br/>
              <w:t>des articles</w:t>
            </w:r>
            <w:r>
              <w:rPr>
                <w:rFonts w:ascii="Times New Roman"/>
                <w:noProof/>
                <w:sz w:val="12"/>
              </w:rPr>
              <w:t> </w:t>
            </w:r>
            <w:r>
              <w:rPr>
                <w:rFonts w:ascii="Times New Roman"/>
                <w:noProof/>
                <w:sz w:val="12"/>
              </w:rPr>
              <w:t>3</w:t>
            </w:r>
            <w:r>
              <w:rPr>
                <w:rFonts w:ascii="Times New Roman"/>
                <w:noProof/>
                <w:sz w:val="12"/>
              </w:rPr>
              <w:t> </w:t>
            </w:r>
            <w:r>
              <w:rPr>
                <w:rFonts w:ascii="Times New Roman"/>
                <w:i/>
                <w:iCs/>
                <w:noProof/>
                <w:sz w:val="12"/>
              </w:rPr>
              <w:t>bis</w:t>
            </w:r>
            <w:r>
              <w:rPr>
                <w:rFonts w:ascii="Times New Roman"/>
                <w:noProof/>
                <w:sz w:val="12"/>
              </w:rPr>
              <w:t xml:space="preserve"> et 3</w:t>
            </w:r>
            <w:r>
              <w:rPr>
                <w:rFonts w:ascii="Times New Roman"/>
                <w:noProof/>
                <w:sz w:val="12"/>
              </w:rPr>
              <w:t> </w:t>
            </w:r>
            <w:r>
              <w:rPr>
                <w:rFonts w:ascii="Times New Roman"/>
                <w:i/>
                <w:iCs/>
                <w:noProof/>
                <w:sz w:val="12"/>
              </w:rPr>
              <w:t>ter</w:t>
            </w:r>
            <w:r>
              <w:rPr>
                <w:rFonts w:ascii="Times New Roman"/>
                <w:noProof/>
                <w:sz w:val="12"/>
              </w:rPr>
              <w:t xml:space="preserve"> dudit r</w:t>
            </w:r>
            <w:r>
              <w:rPr>
                <w:rFonts w:ascii="Times New Roman"/>
                <w:noProof/>
                <w:sz w:val="12"/>
              </w:rPr>
              <w:t>é</w:t>
            </w:r>
            <w:r>
              <w:rPr>
                <w:rFonts w:ascii="Times New Roman"/>
                <w:noProof/>
                <w:sz w:val="12"/>
              </w:rPr>
              <w:t>gime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4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Évaluation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C(2014) 2226 final – Décision de la Commission relative aux dispositions générales d’exécution de l’article 87, paragraphe 1, du régime applicable aux autres agents de l’Union européenne et aux modalités d’application de l’article 44, premier alinéa, du statut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7.4.2014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4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 paragraphe 3</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Reclassement des agents contractuels</w:t>
            </w:r>
          </w:p>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C(2013) 2529 final – Décision de la Commission relative aux dispositions générales d’exécution de l’article 87, paragraphe 3, du régime applicable aux autres agents de l’Union européenne </w:t>
            </w:r>
            <w:r>
              <w:rPr>
                <w:rFonts w:ascii="Times New Roman" w:hAnsi="Times New Roman"/>
                <w:noProof/>
                <w:sz w:val="12"/>
              </w:rPr>
              <w:br/>
              <w:t>[modifiée en dernier lieu par la décision C(2014) 2222 final du 7.4.2014]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3.5.2013</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4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90</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Interprètes de conférence</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 xml:space="preserve">C(2006) 6975 – Règles de la Commission applicables aux interprètes de conférence engagés selon les dispositions des articles 78 et 90 du régime applicable aux autres agents </w:t>
            </w:r>
            <w:r>
              <w:rPr>
                <w:rFonts w:ascii="Times New Roman" w:hAnsi="Times New Roman"/>
                <w:noProof/>
                <w:sz w:val="12"/>
              </w:rPr>
              <w:br/>
              <w:t>des Communautés européennes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22.12.2006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Chapitre 11 – Dispositions particulières et dérogatoires applicables aux agents contractuels affectés dans un pays tiers</w:t>
            </w:r>
          </w:p>
        </w:tc>
      </w:tr>
      <w:tr>
        <w:trPr>
          <w:trHeight w:hRule="exact" w:val="680"/>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118</w:t>
            </w:r>
          </w:p>
        </w:tc>
        <w:tc>
          <w:tcPr>
            <w:tcW w:w="2551" w:type="dxa"/>
            <w:vMerge w:val="restart"/>
            <w:tcBorders>
              <w:top w:val="single" w:sz="4" w:space="0" w:color="auto"/>
              <w:left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rPr>
            </w:pPr>
            <w:r>
              <w:rPr>
                <w:rFonts w:ascii="Times New Roman" w:hAnsi="Times New Roman"/>
                <w:b/>
                <w:noProof/>
                <w:sz w:val="16"/>
              </w:rPr>
              <w:t>Mobilité</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noProof/>
              </w:rPr>
            </w:pPr>
            <w:r>
              <w:rPr>
                <w:rFonts w:ascii="Times New Roman"/>
                <w:noProof/>
                <w:sz w:val="12"/>
              </w:rPr>
              <w:t xml:space="preserve">C(2016) 5378 final </w:t>
            </w:r>
            <w:r>
              <w:rPr>
                <w:rFonts w:ascii="Times New Roman"/>
                <w:noProof/>
                <w:sz w:val="12"/>
              </w:rPr>
              <w:t>–</w:t>
            </w:r>
            <w:r>
              <w:rPr>
                <w:rFonts w:ascii="Times New Roman"/>
                <w:noProof/>
                <w:sz w:val="12"/>
              </w:rPr>
              <w:t xml:space="preserve"> D</w:t>
            </w:r>
            <w:r>
              <w:rPr>
                <w:rFonts w:ascii="Times New Roman"/>
                <w:noProof/>
                <w:sz w:val="12"/>
              </w:rPr>
              <w:t>é</w:t>
            </w:r>
            <w:r>
              <w:rPr>
                <w:rFonts w:ascii="Times New Roman"/>
                <w:noProof/>
                <w:sz w:val="12"/>
              </w:rPr>
              <w:t>cision de la Commission sur la mobilit</w:t>
            </w:r>
            <w:r>
              <w:rPr>
                <w:rFonts w:ascii="Times New Roman"/>
                <w:noProof/>
                <w:sz w:val="12"/>
              </w:rPr>
              <w:t>é</w:t>
            </w:r>
            <w:r>
              <w:rPr>
                <w:rFonts w:ascii="Times New Roman"/>
                <w:noProof/>
                <w:sz w:val="12"/>
              </w:rPr>
              <w:t xml:space="preserve"> des agents de la Commission europ</w:t>
            </w:r>
            <w:r>
              <w:rPr>
                <w:rFonts w:ascii="Times New Roman"/>
                <w:noProof/>
                <w:sz w:val="12"/>
              </w:rPr>
              <w:t>é</w:t>
            </w:r>
            <w:r>
              <w:rPr>
                <w:rFonts w:ascii="Times New Roman"/>
                <w:noProof/>
                <w:sz w:val="12"/>
              </w:rPr>
              <w:t>enne en poste dans les d</w:t>
            </w:r>
            <w:r>
              <w:rPr>
                <w:rFonts w:ascii="Times New Roman"/>
                <w:noProof/>
                <w:sz w:val="12"/>
              </w:rPr>
              <w:t>é</w:t>
            </w:r>
            <w:r>
              <w:rPr>
                <w:rFonts w:ascii="Times New Roman"/>
                <w:noProof/>
                <w:sz w:val="12"/>
              </w:rPr>
              <w:t>l</w:t>
            </w:r>
            <w:r>
              <w:rPr>
                <w:rFonts w:ascii="Times New Roman"/>
                <w:noProof/>
                <w:sz w:val="12"/>
              </w:rPr>
              <w:t>é</w:t>
            </w:r>
            <w:r>
              <w:rPr>
                <w:rFonts w:ascii="Times New Roman"/>
                <w:noProof/>
                <w:sz w:val="12"/>
              </w:rPr>
              <w:t>gations de l</w:t>
            </w:r>
            <w:r>
              <w:rPr>
                <w:rFonts w:ascii="Times New Roman"/>
                <w:noProof/>
                <w:sz w:val="12"/>
              </w:rPr>
              <w:t>’</w:t>
            </w:r>
            <w:r>
              <w:rPr>
                <w:rFonts w:ascii="Times New Roman"/>
                <w:noProof/>
                <w:sz w:val="12"/>
              </w:rPr>
              <w:t>Union europ</w:t>
            </w:r>
            <w:r>
              <w:rPr>
                <w:rFonts w:ascii="Times New Roman"/>
                <w:noProof/>
                <w:sz w:val="12"/>
              </w:rPr>
              <w:t>é</w:t>
            </w:r>
            <w:r>
              <w:rPr>
                <w:rFonts w:ascii="Times New Roman"/>
                <w:noProof/>
                <w:sz w:val="12"/>
              </w:rPr>
              <w:t>enne</w:t>
            </w:r>
            <w:r>
              <w:rPr>
                <w:rFonts w:ascii="Times New Roman"/>
                <w:noProof/>
                <w:sz w:val="12"/>
              </w:rPr>
              <w:br/>
              <w:t>[modifi</w:t>
            </w:r>
            <w:r>
              <w:rPr>
                <w:rFonts w:ascii="Times New Roman"/>
                <w:noProof/>
                <w:sz w:val="12"/>
              </w:rPr>
              <w:t>é</w:t>
            </w:r>
            <w:r>
              <w:rPr>
                <w:rFonts w:ascii="Times New Roman"/>
                <w:noProof/>
                <w:sz w:val="12"/>
              </w:rPr>
              <w:t>e en dernier lieu par la d</w:t>
            </w:r>
            <w:r>
              <w:rPr>
                <w:rFonts w:ascii="Times New Roman"/>
                <w:noProof/>
                <w:sz w:val="12"/>
              </w:rPr>
              <w:t>é</w:t>
            </w:r>
            <w:r>
              <w:rPr>
                <w:rFonts w:ascii="Times New Roman"/>
                <w:noProof/>
                <w:sz w:val="12"/>
              </w:rPr>
              <w:t>cision C(2018)</w:t>
            </w:r>
            <w:r>
              <w:rPr>
                <w:rFonts w:ascii="Times New Roman"/>
                <w:noProof/>
                <w:sz w:val="12"/>
              </w:rPr>
              <w:t> </w:t>
            </w:r>
            <w:r>
              <w:rPr>
                <w:rFonts w:ascii="Times New Roman"/>
                <w:noProof/>
                <w:sz w:val="12"/>
              </w:rPr>
              <w:t>4765</w:t>
            </w:r>
            <w:r>
              <w:rPr>
                <w:rFonts w:ascii="Times New Roman"/>
                <w:noProof/>
                <w:sz w:val="12"/>
              </w:rPr>
              <w:t> </w:t>
            </w:r>
            <w:r>
              <w:rPr>
                <w:rFonts w:ascii="Times New Roman"/>
                <w:noProof/>
                <w:sz w:val="12"/>
              </w:rPr>
              <w:t>final du 24.7.2018]</w:t>
            </w:r>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30.8.2016</w:t>
            </w:r>
          </w:p>
        </w:tc>
        <w:tc>
          <w:tcPr>
            <w:tcW w:w="1687" w:type="dxa"/>
            <w:tcBorders>
              <w:top w:val="single" w:sz="6" w:space="0" w:color="000000"/>
              <w:left w:val="single" w:sz="4" w:space="0" w:color="000000"/>
              <w:bottom w:val="single" w:sz="6"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936" w:type="dxa"/>
            <w:vMerge w:val="restart"/>
            <w:tcBorders>
              <w:top w:val="single" w:sz="4" w:space="0" w:color="auto"/>
              <w:left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auto"/>
              <w:bottom w:val="single" w:sz="4" w:space="0" w:color="auto"/>
              <w:right w:val="single" w:sz="4" w:space="0" w:color="000000"/>
            </w:tcBorders>
            <w:shd w:val="clear" w:color="auto" w:fill="D99594"/>
            <w:vAlign w:val="center"/>
          </w:tcPr>
          <w:p>
            <w:pPr>
              <w:widowControl w:val="0"/>
              <w:spacing w:before="6"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C(2020) 997 final – Décision de la Commission sur la mobilité des agents contractuels de la Commission européenne en poste dans les délégations de l’Union européenne</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Des agents locaux</w:t>
            </w:r>
          </w:p>
        </w:tc>
      </w:tr>
      <w:tr>
        <w:trPr>
          <w:trHeight w:hRule="exact" w:val="567"/>
        </w:trPr>
        <w:tc>
          <w:tcPr>
            <w:tcW w:w="1156" w:type="dxa"/>
            <w:vMerge w:val="restart"/>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4 + +120</w:t>
            </w:r>
          </w:p>
        </w:tc>
        <w:tc>
          <w:tcPr>
            <w:tcW w:w="2551" w:type="dxa"/>
            <w:vMerge w:val="restart"/>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Conditions d’emploi</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Réglementation-cadre de la Commission fixant les conditions d’emploi des agents locaux en service dans les bureaux et délégations dans l’Union européenne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30.9.2002</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07"/>
        </w:trPr>
        <w:tc>
          <w:tcPr>
            <w:tcW w:w="1156" w:type="dxa"/>
            <w:vMerge/>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Réglementation-cadre fixant les conditions d’emploi des agents locaux de la Commission des Communautés européennes en service dans un pays tiers, adoptée par la Commission le 21 novembre 1989</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hAnsi="Times New Roman" w:cs="Times New Roman"/>
                <w:noProof/>
                <w:w w:val="105"/>
                <w:sz w:val="12"/>
              </w:rPr>
            </w:pPr>
            <w:r>
              <w:rPr>
                <w:rFonts w:ascii="Times New Roman" w:hAnsi="Times New Roman"/>
                <w:noProof/>
                <w:sz w:val="12"/>
              </w:rPr>
              <w:t>1.1.1990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990"/>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C(2019) 5686 final – Décision conjointe de la Commission et du haut représentant de l’Union pour les affaires étrangères et la politique de sécurité relative aux conditions d’emploi des agents locaux de l’Union européenne engagés dans des lieux situés en dehors de l’Union européenne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90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lastRenderedPageBreak/>
              <w:t>120 + 121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Comités paritaires pour les agents locaux</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JOIN(2020) 1 final – Décision conjointe de la Commission et du haut représentant de l’Union pour les affaires étrangères et la politique de sécurité relative aux comités paritaires interinstitutionnels pour certaines politiques concernant les agents locaux</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14.1.2020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31"/>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121</w:t>
            </w:r>
          </w:p>
        </w:tc>
        <w:tc>
          <w:tcPr>
            <w:tcW w:w="2551"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Sécurité sociale</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bookmarkStart w:id="13" w:name="_Hlk164259635"/>
            <w:r>
              <w:rPr>
                <w:rFonts w:ascii="Times New Roman" w:hAnsi="Times New Roman"/>
                <w:noProof/>
                <w:sz w:val="12"/>
              </w:rPr>
              <w:t>C(2015) 3461 final – Décision conjointe de la Commission</w:t>
            </w:r>
            <w:bookmarkEnd w:id="13"/>
            <w:r>
              <w:rPr>
                <w:rFonts w:ascii="Times New Roman" w:hAnsi="Times New Roman"/>
                <w:noProof/>
                <w:sz w:val="12"/>
              </w:rPr>
              <w:t xml:space="preserve"> et de la haute représentante de l’Union pour les affaires étrangères et la politique de sécurité relative à la gestion administrative et financière des actifs des régimes mis en place pour fournir des systèmes autonomes ou complémentaires de sécurité sociale aux agents locaux dans les délégations de l’Union</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28.5.2015</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056"/>
        </w:trPr>
        <w:tc>
          <w:tcPr>
            <w:tcW w:w="1156" w:type="dxa"/>
            <w:vMerge/>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C(2019) 5684 final – Décision conjointe de la Commission et de la haute représentante de l’Union pour les affaires étrangères et la politique de sécurité relative à la couverture médicale autonome ou complémentaire des agents locaux des délégations de l’Union dans les pays où la couverture par le système local n’existe pas ou est insuffisante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128"/>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C(2019) 5685 final – Décision conjointe de la Commission et de la haute représentante de l’Union pour les affaires étrangères et la politique de sécurité relative aux prestations de retraite autonomes ou complémentaires des agents locaux des délégations de l’Union dans les pays où la couverture par le système local n’existe pas ou est insuffisante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4" w:space="0" w:color="auto"/>
              <w:left w:val="single" w:sz="4" w:space="0" w:color="auto"/>
              <w:bottom w:val="single" w:sz="4" w:space="0" w:color="auto"/>
              <w:right w:val="single" w:sz="4" w:space="0" w:color="auto"/>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VI – Des conseillers spéciaux</w:t>
            </w:r>
          </w:p>
        </w:tc>
      </w:tr>
      <w:tr>
        <w:trPr>
          <w:trHeight w:hRule="exact" w:val="462"/>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5 +123 +124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Conseillers spéciaux</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C(2007) 6655 – Réglementation relative aux conseillers spéciaux de la Commission</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19.12.2007</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C(2016) 1962 final – Décision de la Commission relative à la nomination des conseillers spéciaux</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1.4.2016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bookmarkStart w:id="14" w:name="_Hlk160015025"/>
      <w:r>
        <w:rPr>
          <w:rFonts w:ascii="Times New Roman" w:hAnsi="Times New Roman"/>
          <w:b/>
          <w:i/>
          <w:noProof/>
          <w:sz w:val="24"/>
          <w:u w:val="single"/>
        </w:rPr>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58240"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78.4pt;margin-top:17.9pt;width:156.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0YtAIAAPwFAAAOAAAAZHJzL2Uyb0RvYy54bWysVNtu2zAMfR+wfxD0vjrJkrU16hRBiw4D&#10;urZoO/RZkaXYgCxqkhI7+/pRku30sgsw7MUWb4fkkciz865RZCesq0EXdHo0oURoDmWtNwX99nj1&#10;4YQS55kumQItCroXjp4v3787a00uZlCBKoUlCKJd3pqCVt6bPMscr0TD3BEYodEowTbMo2g3WWlZ&#10;i+iNymaTyaesBVsaC1w4h9rLZKTLiC+l4P5WSic8UQXF2nz82vhdh2+2PGP5xjJT1bwvg/1DFQ2r&#10;NSYdoS6ZZ2Rr6zdQTc0tOJD+iEOTgZQ1F7EH7GY6edXNQ8WMiL0gOc6MNLn/B8tvdneW1CXeHSWa&#10;NXhF90ga0xslyDTQ0xqXo9eDubO95PAYeu2kbcIfuyBdpHQ/Uio6Tzgqp6cnHxfzBSUcbfPFMd5Z&#10;AM0O0cY6/1lAQ8KhoBazRybZ7tr55Dq4hGQOVF1e1UpFITwTcaEs2TG8YN/NYqjaNl+hTDpMmFKy&#10;HNX4GJL6ZFBjJfGxBZRY14sESpMWm5gdI8bfs0e+AuChRpSURtzAYuItnvxeiYCn9L2QSD8ylUof&#10;a0llMs6F9tOUu2KlSOrFb6uPgAFZIkUjdg/wkq0BO3Hc+4dQEedmDO47/1PwGBEzg/ZjcFNrsKn8&#10;lwAKu+ozJ/+BpERNYMl36w5dwnEN5R7fqYU0wM7wqxqfyzVz/o5ZnFicbdxC/hY/UgHeGfQnSiqw&#10;P36lD/44SGilpMUNUFD3fcusoER90Thip9P5PKyMKMSnS4l9blk/t+htcwH4BnGMsLp4xGDr1XCU&#10;FponXFarkBVNTHPMXVDu7SBc+LSZcN1xsVpFN1wThvlr/WB4AA8Eh3F47J6YNf3MeJy2Gxi2Bctf&#10;jU7yDZEaVlsPso5zdeC1px5XTJyAfh2GHfZcjl6Hpb38CQAA//8DAFBLAwQUAAYACAAAACEAtXD7&#10;Ut8AAAAKAQAADwAAAGRycy9kb3ducmV2LnhtbEyPwU7DMAyG70i8Q2QkbixlaGErTSc0DQG7IMZQ&#10;r25j2oomqZqsK2+Pd4KTbfnT78/ZerKdGGkIrXcabmcJCHKVN62rNRw+nm6WIEJEZ7DzjjT8UIB1&#10;fnmRYWr8yb3TuI+14BAXUtTQxNinUoaqIYth5ntyvPvyg8XI41BLM+CJw20n50mipMXW8YUGe9o0&#10;VH3vj1YDbl6L510zvqjF51tR1WpblGGr9fXV9PgAItIU/2A467M65OxU+qMzQXQa7haK1eO54cqA&#10;Uqs5iJLJ5H4JMs/k/xfyXwAAAP//AwBQSwECLQAUAAYACAAAACEAtoM4kv4AAADhAQAAEwAAAAAA&#10;AAAAAAAAAAAAAAAAW0NvbnRlbnRfVHlwZXNdLnhtbFBLAQItABQABgAIAAAAIQA4/SH/1gAAAJQB&#10;AAALAAAAAAAAAAAAAAAAAC8BAABfcmVscy8ucmVsc1BLAQItABQABgAIAAAAIQCSqS0YtAIAAPwF&#10;AAAOAAAAAAAAAAAAAAAAAC4CAABkcnMvZTJvRG9jLnhtbFBLAQItABQABgAIAAAAIQC1cPtS3wAA&#10;AAoBAAAPAAAAAAAAAAAAAAAAAA4FAABkcnMvZG93bnJldi54bWxQSwUGAAAAAAQABADzAAAAGgYA&#10;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bookmarkEnd w:id="14"/>
    </w:tbl>
    <w:p>
      <w:pPr>
        <w:rPr>
          <w:noProof/>
        </w:rPr>
      </w:pPr>
    </w:p>
    <w:p>
      <w:pPr>
        <w:rPr>
          <w:noProof/>
        </w:rPr>
      </w:pPr>
    </w:p>
    <w:p>
      <w:pPr>
        <w:rPr>
          <w:noProof/>
        </w:rPr>
      </w:pPr>
    </w:p>
    <w:p>
      <w:pPr>
        <w:rPr>
          <w:noProof/>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95"/>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lastRenderedPageBreak/>
              <w:t xml:space="preserve">COUR DE JUSTICE </w:t>
            </w:r>
            <w:r>
              <w:rPr>
                <w:rFonts w:ascii="Times New Roman" w:hAnsi="Times New Roman"/>
                <w:b/>
                <w:noProof/>
                <w:sz w:val="50"/>
              </w:rPr>
              <w:br/>
              <w:t xml:space="preserve">DE L’UNION EUROPÉENNE </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paragraphe 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Décision du greffier de la Cour de justice du 17 octobre 2022 sur les aménagements raisonnables permettant à une personne </w:t>
            </w:r>
            <w:r>
              <w:rPr>
                <w:rFonts w:ascii="Times New Roman" w:hAnsi="Times New Roman"/>
                <w:noProof/>
                <w:sz w:val="12"/>
              </w:rPr>
              <w:br/>
              <w:t xml:space="preserve">handicapée d’accéder à un emploi et </w:t>
            </w:r>
            <w:r>
              <w:rPr>
                <w:rFonts w:ascii="Times New Roman" w:hAnsi="Times New Roman"/>
                <w:noProof/>
                <w:sz w:val="12"/>
              </w:rPr>
              <w:br/>
              <w:t>de l’exercer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Télétravail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juillet 2021 établissant un régime de télétravail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80"/>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Santé et sécurité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du greffier de la Cour de justice</w:t>
            </w:r>
            <w:r>
              <w:rPr>
                <w:rFonts w:ascii="Times New Roman" w:hAnsi="Times New Roman"/>
                <w:noProof/>
                <w:sz w:val="12"/>
              </w:rPr>
              <w:br/>
              <w:t xml:space="preserve"> du 15 novembre 2016 relative à la nomination des travailleurs chargés de la protection et de la prévention des risques professionnels </w:t>
            </w:r>
            <w:r>
              <w:rPr>
                <w:rFonts w:ascii="Times New Roman" w:hAnsi="Times New Roman"/>
                <w:noProof/>
                <w:sz w:val="12"/>
              </w:rPr>
              <w:br/>
              <w:t>(modifiée par la décision du 12 juillet 2021)</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Mesures sociales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5" w:name="_Hlk187219716"/>
            <w:r>
              <w:rPr>
                <w:rFonts w:ascii="Times New Roman" w:hAnsi="Times New Roman"/>
                <w:noProof/>
                <w:sz w:val="12"/>
              </w:rPr>
              <w:t>Décision du greffier de la Cour de justice</w:t>
            </w:r>
            <w:r>
              <w:rPr>
                <w:rFonts w:ascii="Times New Roman" w:hAnsi="Times New Roman"/>
                <w:noProof/>
                <w:sz w:val="12"/>
              </w:rPr>
              <w:br/>
              <w:t xml:space="preserve"> du 15 décembre 2017 relative à l’octroi d’une aide sociale aux agents de l’institution dont la rémunération est inférieure</w:t>
            </w:r>
            <w:r>
              <w:rPr>
                <w:rFonts w:ascii="Times New Roman" w:hAnsi="Times New Roman"/>
                <w:noProof/>
                <w:sz w:val="12"/>
              </w:rPr>
              <w:br/>
              <w:t xml:space="preserve"> au salaire social minimum luxembourgeois</w:t>
            </w:r>
            <w:r>
              <w:rPr>
                <w:rFonts w:ascii="Times New Roman" w:hAnsi="Times New Roman"/>
                <w:noProof/>
                <w:sz w:val="12"/>
              </w:rPr>
              <w:br/>
              <w:t xml:space="preserve"> (modifiée par la décision du 11 janvier 2024)</w:t>
            </w:r>
            <w:bookmarkEnd w:id="15"/>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981"/>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Pouvoirs de l’AIPN – Cour de justice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de la Cour de justice du 4 mai 2004 relative à l’exercice des pouvoirs dévolus à l’autorité investie du pouvoir de nomination par le statut des fonctionnaires et à l’autorité habilitée à conclure les contrats</w:t>
            </w:r>
            <w:r>
              <w:rPr>
                <w:rFonts w:ascii="Times New Roman" w:hAnsi="Times New Roman"/>
                <w:noProof/>
                <w:sz w:val="12"/>
              </w:rPr>
              <w:br/>
              <w:t xml:space="preserve"> d’engagement par le régime applicable aux autres agents</w:t>
            </w:r>
            <w:r>
              <w:rPr>
                <w:rFonts w:ascii="Times New Roman" w:hAnsi="Times New Roman"/>
                <w:noProof/>
                <w:sz w:val="12"/>
              </w:rPr>
              <w:br/>
              <w:t xml:space="preserve"> (modifiée en dernier lieu par la décision du 5 février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Pouvoirs de l’AIPN – Tribunal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du Tribunal général du 22 septembre 2014 </w:t>
            </w:r>
            <w:r>
              <w:rPr>
                <w:rFonts w:ascii="Times New Roman" w:hAnsi="Times New Roman"/>
                <w:noProof/>
                <w:sz w:val="12"/>
              </w:rPr>
              <w:br/>
              <w:t xml:space="preserve">relative aux pouvoirs de l’AIPN </w:t>
            </w:r>
            <w:r>
              <w:rPr>
                <w:rFonts w:ascii="Times New Roman" w:hAnsi="Times New Roman"/>
                <w:noProof/>
                <w:sz w:val="12"/>
              </w:rPr>
              <w:br/>
              <w:t>(modifiée en dernier lieu par la décision du 14 décembre 2016)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22.9.2014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Tribunal établissant un comité</w:t>
            </w:r>
            <w:r>
              <w:rPr>
                <w:rFonts w:ascii="Times New Roman" w:hAnsi="Times New Roman"/>
                <w:noProof/>
                <w:sz w:val="12"/>
              </w:rPr>
              <w:br/>
              <w:t xml:space="preserve"> pour certains pouvoirs de l’AIPN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22.9.2014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855"/>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Tribunal du 11 décembre 2019 modifiant la décision du Tribunal du 22 septembre 2014 portant détermination de l’autorité investie du pouvoir de nomination et de l’autorité habilitée à conclure les contrats d’engagement des fonctionnaires et autres agents affectés au Tribunal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11.12.2019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936" w:type="dxa"/>
            <w:vMerge/>
            <w:tcBorders>
              <w:left w:val="single" w:sz="4" w:space="0" w:color="auto"/>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841"/>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Tribunal du 15 décembre 2021 relative à l’exercice des pouvoirs de l’autorité investie du pouvoir de nomination et de l’autorité habilitée à conclure les contrats d’engagement des fonctionnaires et autres agents affectés au Tribunal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du Tribunal du 1</w:t>
            </w:r>
            <w:r>
              <w:rPr>
                <w:rFonts w:ascii="Times New Roman" w:hAnsi="Times New Roman"/>
                <w:noProof/>
                <w:sz w:val="12"/>
                <w:vertAlign w:val="superscript"/>
              </w:rPr>
              <w:t>er</w:t>
            </w:r>
            <w:r>
              <w:rPr>
                <w:rFonts w:ascii="Times New Roman" w:hAnsi="Times New Roman"/>
                <w:noProof/>
                <w:sz w:val="12"/>
              </w:rPr>
              <w:t> février 2022 déléguant son pouvoir de signature pour les contrats d’engagement et les avenants à ces contrats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48"/>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du Tribunal du 1</w:t>
            </w:r>
            <w:r>
              <w:rPr>
                <w:rFonts w:ascii="Times New Roman" w:hAnsi="Times New Roman"/>
                <w:noProof/>
                <w:sz w:val="12"/>
                <w:vertAlign w:val="superscript"/>
              </w:rPr>
              <w:t>er</w:t>
            </w:r>
            <w:r>
              <w:rPr>
                <w:rFonts w:ascii="Times New Roman" w:hAnsi="Times New Roman"/>
                <w:noProof/>
                <w:sz w:val="12"/>
              </w:rPr>
              <w:t> février 2022 déléguant les pouvoirs de l’autorité investie du pouvoir de nomination et de l’autorité habilitée à conclure les contrats d’engagement des fonctionnaires et autres agents affectés au Tribunal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62"/>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 xml:space="preserve">5 + annexe I et annexe XIII </w:t>
            </w:r>
            <w:r>
              <w:rPr>
                <w:rFonts w:ascii="Times New Roman" w:hAnsi="Times New Roman"/>
                <w:b/>
                <w:noProof/>
                <w:sz w:val="12"/>
              </w:rPr>
              <w:br/>
              <w:t>(art. 30 et 31)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Emplois types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comité administratif de la Cour de justice du 12 mai 2004 portant dispositions générales d’exécution relatives à la correspondance entre les emplois types et les catégories et grades et décrivant les fonctions et responsabilités y afférentes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00"/>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du greffier de la Cour de justice </w:t>
            </w:r>
            <w:r>
              <w:rPr>
                <w:rFonts w:ascii="Times New Roman" w:hAnsi="Times New Roman"/>
                <w:noProof/>
                <w:sz w:val="12"/>
              </w:rPr>
              <w:br/>
              <w:t xml:space="preserve">du 17 novembre 2014 portant classement des fonctionnaires en service </w:t>
            </w:r>
            <w:r>
              <w:rPr>
                <w:rFonts w:ascii="Times New Roman" w:hAnsi="Times New Roman"/>
                <w:noProof/>
                <w:sz w:val="12"/>
              </w:rPr>
              <w:br/>
              <w:t>au 31 décembre 2013 au sein du groupe de fonctions AD dans des emplois types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0"/>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du greffier de la Cour de justice </w:t>
            </w:r>
            <w:r>
              <w:rPr>
                <w:rFonts w:ascii="Times New Roman" w:hAnsi="Times New Roman"/>
                <w:noProof/>
                <w:sz w:val="12"/>
              </w:rPr>
              <w:br/>
              <w:t xml:space="preserve">du 3 décembre 2014 portant classement des fonctionnaires en service </w:t>
            </w:r>
            <w:r>
              <w:rPr>
                <w:rFonts w:ascii="Times New Roman" w:hAnsi="Times New Roman"/>
                <w:noProof/>
                <w:sz w:val="12"/>
              </w:rPr>
              <w:br/>
              <w:t>au 31 décembre 2013 au sein du groupe de fonctions AST dans des emplois types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I RE</w:t>
            </w:r>
          </w:p>
        </w:tc>
      </w:tr>
      <w:tr>
        <w:trPr>
          <w:trHeight w:hRule="exact" w:val="989"/>
        </w:trPr>
        <w:tc>
          <w:tcPr>
            <w:tcW w:w="1156" w:type="dxa"/>
            <w:vMerge/>
            <w:tcBorders>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de la Cour de justice</w:t>
            </w:r>
            <w:r>
              <w:rPr>
                <w:rFonts w:ascii="Times New Roman" w:hAnsi="Times New Roman"/>
                <w:noProof/>
                <w:sz w:val="12"/>
              </w:rPr>
              <w:br/>
              <w:t xml:space="preserve"> du 17 novembre 2014 déterminant les critères généraux de classement des fonctionnaires des grades AD 9 et AD 14 investis de responsabilités particulières, concernant les emplois types</w:t>
            </w:r>
            <w:r>
              <w:rPr>
                <w:rFonts w:ascii="Times New Roman" w:hAnsi="Times New Roman"/>
                <w:noProof/>
                <w:sz w:val="12"/>
              </w:rPr>
              <w:br/>
              <w:t xml:space="preserve"> «chef d’unité» ou équivalent et «conseiller» ou équivalent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17.11.2014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 xml:space="preserve">9 + </w:t>
            </w:r>
            <w:r>
              <w:rPr>
                <w:rFonts w:ascii="Times New Roman" w:hAnsi="Times New Roman"/>
                <w:b/>
                <w:noProof/>
                <w:sz w:val="12"/>
                <w:shd w:val="clear" w:color="auto" w:fill="DA9694"/>
              </w:rPr>
              <w:t>annexe II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31 octobre 1974 portant adoption de dispositions relatives à l’institution d’un comité du personnel</w:t>
            </w:r>
            <w:r>
              <w:rPr>
                <w:rFonts w:ascii="Times New Roman" w:hAnsi="Times New Roman"/>
                <w:noProof/>
                <w:sz w:val="12"/>
              </w:rPr>
              <w:br/>
              <w:t xml:space="preserve"> (modifiée en dernier lieu par la décision du 10 décembre 2012)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1.11.1974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 xml:space="preserve">9 + </w:t>
            </w:r>
            <w:r>
              <w:rPr>
                <w:rFonts w:ascii="Times New Roman" w:hAnsi="Times New Roman"/>
                <w:b/>
                <w:noProof/>
                <w:sz w:val="12"/>
                <w:shd w:val="clear" w:color="auto" w:fill="DA9694"/>
              </w:rPr>
              <w:t>annexe II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de la Cour de justice</w:t>
            </w:r>
            <w:r>
              <w:rPr>
                <w:rFonts w:ascii="Times New Roman" w:hAnsi="Times New Roman"/>
                <w:noProof/>
                <w:sz w:val="12"/>
              </w:rPr>
              <w:br/>
              <w:t xml:space="preserve"> du 8 décembre 1987 instituant un comité paritaire sur la sécurité et la santé au travail</w:t>
            </w:r>
            <w:r>
              <w:rPr>
                <w:rFonts w:ascii="Times New Roman" w:hAnsi="Times New Roman"/>
                <w:noProof/>
                <w:sz w:val="12"/>
              </w:rPr>
              <w:br/>
              <w:t xml:space="preserve"> (modifiée par la décision du 30 avril 1996)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8.12.1987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de la Cour de justice du 9 janvier 2006 instituant un comité paritaire sur les activités sociales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10.1.2006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de la Cour de justice du 10 juillet 1995 instituant un comité paritaire sur l’égalité des chances entre les femmes et les hommes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1.9.1995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567"/>
        </w:trPr>
        <w:tc>
          <w:tcPr>
            <w:tcW w:w="1156" w:type="dxa"/>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3"/>
              </w:rPr>
              <w:t>12 </w:t>
            </w:r>
            <w:r>
              <w:rPr>
                <w:rFonts w:ascii="Times New Roman" w:hAnsi="Times New Roman"/>
                <w:b/>
                <w:i/>
                <w:iCs/>
                <w:noProof/>
                <w:sz w:val="13"/>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Harcèlement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 xml:space="preserve">Communication au personnel nº 18/06 du 20 novembre 2006 </w:t>
            </w:r>
            <w:r>
              <w:rPr>
                <w:rFonts w:ascii="Times New Roman" w:hAnsi="Times New Roman"/>
                <w:noProof/>
                <w:sz w:val="12"/>
              </w:rPr>
              <w:br/>
              <w:t>(respect de la dignité humaine)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20.11.2006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3"/>
              </w:rPr>
              <w:t>22 </w:t>
            </w:r>
            <w:r>
              <w:rPr>
                <w:rFonts w:ascii="Times New Roman" w:hAnsi="Times New Roman"/>
                <w:b/>
                <w:i/>
                <w:iCs/>
                <w:noProof/>
                <w:sz w:val="13"/>
              </w:rPr>
              <w:t>bis</w:t>
            </w:r>
            <w:r>
              <w:rPr>
                <w:rFonts w:ascii="Times New Roman" w:hAnsi="Times New Roman"/>
                <w:b/>
                <w:noProof/>
                <w:sz w:val="13"/>
              </w:rPr>
              <w:t xml:space="preserve"> à 22 </w:t>
            </w:r>
            <w:r>
              <w:rPr>
                <w:rFonts w:ascii="Times New Roman" w:hAnsi="Times New Roman"/>
                <w:b/>
                <w:i/>
                <w:iCs/>
                <w:noProof/>
                <w:sz w:val="13"/>
              </w:rPr>
              <w:t>quater</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7"/>
              </w:rPr>
              <w:t>Dénonciation des dysfonctionnements</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22 février 2016 portant adoption de lignes directrices relatives à l’information et à la protection des lanceurs d’alerte</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22.2.2016</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25 septembre 2017 portant adoption d’un cadre général pour le signalement des irrégularités graves</w:t>
            </w:r>
            <w:r>
              <w:rPr>
                <w:rFonts w:ascii="Times New Roman" w:hAnsi="Times New Roman"/>
                <w:noProof/>
                <w:sz w:val="12"/>
              </w:rPr>
              <w:br/>
              <w:t xml:space="preserve"> (modifiée par la décision du 11 juin 2018)</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25.9.2017</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de la Cour de justice du 12 juillet 2011 relative aux conditions et modalités des enquêtes internes en matière de lutte contre la fraude, la corruption et toute activité illégale préjudiciable aux intérêts de l’Union européenne </w:t>
            </w:r>
            <w:r>
              <w:rPr>
                <w:rFonts w:ascii="Times New Roman" w:hAnsi="Times New Roman"/>
                <w:noProof/>
                <w:sz w:val="12"/>
              </w:rPr>
              <w:br/>
              <w:t>(modifiée par la décision du 6 mars 2018)</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12.7.2011</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67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3"/>
              </w:rPr>
              <w:t>24b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Syndicats</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23 septembre 2013 fixant les règles relatives à la reconnaissance et à la représentativité des organisations syndicales et professionnelles (OSP)</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23.9.2013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926"/>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3"/>
              </w:rPr>
              <w:t>27 à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mai 2004 portant dispositions générales d’exécution relatives au classement en échelon lors du recrutement de fonctionnaires ou de l’engagement d’agents temporaires</w:t>
            </w:r>
            <w:r>
              <w:rPr>
                <w:rFonts w:ascii="Times New Roman" w:hAnsi="Times New Roman"/>
                <w:noProof/>
                <w:sz w:val="12"/>
              </w:rPr>
              <w:br/>
              <w:t xml:space="preserve"> (modifiée en dernier lieu par la décision du 24 mars 2014)</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567"/>
        </w:trPr>
        <w:tc>
          <w:tcPr>
            <w:tcW w:w="1156" w:type="dxa"/>
            <w:tcBorders>
              <w:left w:val="single" w:sz="4" w:space="0" w:color="000000"/>
              <w:bottom w:val="single" w:sz="4" w:space="0" w:color="000000"/>
              <w:right w:val="single" w:sz="4" w:space="0" w:color="000000"/>
            </w:tcBorders>
            <w:shd w:val="clear" w:color="auto" w:fill="FFFF65"/>
          </w:tcPr>
          <w:p>
            <w:pPr>
              <w:widowControl w:val="0"/>
              <w:spacing w:before="8" w:after="0" w:line="240" w:lineRule="auto"/>
              <w:jc w:val="center"/>
              <w:rPr>
                <w:rFonts w:ascii="Times New Roman" w:eastAsia="Times New Roman" w:hAnsi="Times New Roman" w:cs="Times New Roman"/>
                <w:noProof/>
                <w:sz w:val="11"/>
                <w:szCs w:val="11"/>
              </w:rPr>
            </w:pPr>
          </w:p>
          <w:p>
            <w:pPr>
              <w:widowControl w:val="0"/>
              <w:spacing w:before="107" w:after="0" w:line="240" w:lineRule="auto"/>
              <w:ind w:right="2"/>
              <w:jc w:val="center"/>
              <w:rPr>
                <w:rFonts w:ascii="Times New Roman" w:eastAsia="Calibri" w:hAnsi="Times New Roman" w:cs="Times New Roman"/>
                <w:b/>
                <w:noProof/>
                <w:sz w:val="12"/>
              </w:rPr>
            </w:pPr>
            <w:r>
              <w:rPr>
                <w:rFonts w:ascii="Times New Roman" w:hAnsi="Calibri"/>
                <w:b/>
                <w:noProof/>
                <w:sz w:val="13"/>
              </w:rPr>
              <w:t>42</w:t>
            </w:r>
            <w:r>
              <w:rPr>
                <w:rFonts w:ascii="Times New Roman" w:hAnsi="Calibri"/>
                <w:b/>
                <w:noProof/>
                <w:sz w:val="13"/>
              </w:rPr>
              <w:t> </w:t>
            </w:r>
            <w:r>
              <w:rPr>
                <w:rFonts w:ascii="Times New Roman" w:hAnsi="Calibri"/>
                <w:b/>
                <w:i/>
                <w:iCs/>
                <w:noProof/>
                <w:sz w:val="13"/>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Calibri"/>
                <w:b/>
                <w:noProof/>
                <w:sz w:val="17"/>
              </w:rPr>
              <w:t>Cong</w:t>
            </w:r>
            <w:r>
              <w:rPr>
                <w:rFonts w:ascii="Times New Roman" w:hAnsi="Calibri"/>
                <w:b/>
                <w:noProof/>
                <w:sz w:val="17"/>
              </w:rPr>
              <w:t>é</w:t>
            </w:r>
            <w:r>
              <w:rPr>
                <w:rFonts w:ascii="Times New Roman" w:hAnsi="Calibri"/>
                <w:b/>
                <w:noProof/>
                <w:sz w:val="17"/>
              </w:rPr>
              <w:t xml:space="preserve">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3"/>
              </w:rPr>
              <w:t>Décision du comité administratif de la Cour de justice</w:t>
            </w:r>
            <w:r>
              <w:rPr>
                <w:rFonts w:ascii="Times New Roman" w:hAnsi="Times New Roman"/>
                <w:noProof/>
                <w:sz w:val="12"/>
              </w:rPr>
              <w:br/>
              <w:t xml:space="preserve"> </w:t>
            </w:r>
            <w:r>
              <w:rPr>
                <w:rFonts w:ascii="Times New Roman" w:hAnsi="Times New Roman"/>
                <w:noProof/>
                <w:sz w:val="13"/>
              </w:rPr>
              <w:t>du 12 mai 2004 portant dispositions générales d’exécution relatives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3" w:after="0" w:line="240" w:lineRule="auto"/>
              <w:jc w:val="center"/>
              <w:rPr>
                <w:rFonts w:ascii="Times New Roman" w:eastAsia="Times New Roman" w:hAnsi="Times New Roman" w:cs="Times New Roman"/>
                <w:noProof/>
                <w:sz w:val="11"/>
                <w:szCs w:val="11"/>
              </w:rPr>
            </w:pPr>
          </w:p>
          <w:p>
            <w:pPr>
              <w:widowControl w:val="0"/>
              <w:spacing w:before="105" w:after="0" w:line="240" w:lineRule="auto"/>
              <w:jc w:val="center"/>
              <w:rPr>
                <w:rFonts w:ascii="Times New Roman" w:eastAsia="Calibri" w:hAnsi="Times New Roman" w:cs="Times New Roman"/>
                <w:noProof/>
                <w:sz w:val="12"/>
                <w:szCs w:val="12"/>
              </w:rPr>
            </w:pPr>
            <w:r>
              <w:rPr>
                <w:rFonts w:ascii="Times New Roman" w:hAnsi="Calibri"/>
                <w:noProof/>
                <w:sz w:val="13"/>
              </w:rPr>
              <w:t>12.5.2004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8" w:after="0" w:line="240" w:lineRule="auto"/>
              <w:jc w:val="center"/>
              <w:rPr>
                <w:rFonts w:ascii="Times New Roman" w:eastAsia="Times New Roman" w:hAnsi="Times New Roman" w:cs="Times New Roman"/>
                <w:noProof/>
                <w:sz w:val="11"/>
                <w:szCs w:val="11"/>
              </w:rPr>
            </w:pPr>
          </w:p>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731"/>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3"/>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18 octobre 2000 portant dispositions générales d’exécution relatives à la notation du personnel</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3"/>
              </w:rPr>
              <w:t>18.10.2000</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7" w:type="dxa"/>
            <w:tcBorders>
              <w:top w:val="single" w:sz="6" w:space="0" w:color="000000"/>
              <w:left w:val="single" w:sz="6" w:space="0" w:color="000000"/>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3"/>
              </w:rPr>
              <w:t>45</w:t>
            </w:r>
          </w:p>
        </w:tc>
        <w:tc>
          <w:tcPr>
            <w:tcW w:w="2551"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du comité administratif de la Cour de justice du 19 octobre 2005 relative aux promotions </w:t>
            </w:r>
            <w:r>
              <w:rPr>
                <w:rFonts w:ascii="Times New Roman" w:hAnsi="Times New Roman"/>
                <w:noProof/>
                <w:sz w:val="12"/>
              </w:rPr>
              <w:br/>
              <w:t>(modifiée en dernier lieu par la décision du 6 mai 2009)</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3"/>
              </w:rPr>
              <w:t>19.10.2005</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42"/>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3"/>
              </w:rPr>
              <w:t>45 </w:t>
            </w:r>
            <w:r>
              <w:rPr>
                <w:rFonts w:ascii="Times New Roman" w:hAnsi="Times New Roman"/>
                <w:b/>
                <w:i/>
                <w:iCs/>
                <w:noProof/>
                <w:sz w:val="13"/>
              </w:rPr>
              <w:t>bis</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15 juin 2005 portant dispositions générales d’exécution relatives à l’application de l’article 45 </w:t>
            </w:r>
            <w:r>
              <w:rPr>
                <w:rFonts w:ascii="Times New Roman" w:hAnsi="Times New Roman"/>
                <w:i/>
                <w:iCs/>
                <w:noProof/>
                <w:sz w:val="12"/>
              </w:rPr>
              <w:t>bis</w:t>
            </w:r>
            <w:r>
              <w:rPr>
                <w:rFonts w:ascii="Times New Roman" w:hAnsi="Times New Roman"/>
                <w:noProof/>
                <w:sz w:val="12"/>
              </w:rPr>
              <w:t xml:space="preserve"> du statut</w:t>
            </w:r>
            <w:r>
              <w:rPr>
                <w:rFonts w:ascii="Times New Roman" w:hAnsi="Times New Roman"/>
                <w:noProof/>
                <w:sz w:val="12"/>
              </w:rPr>
              <w:br/>
              <w:t xml:space="preserve"> (modifiée par la décision du 26 octobre 2006)</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3"/>
              </w:rPr>
              <w:t>15.6.2005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Chapitre 4 – Cessation définitive des fonctions</w:t>
            </w:r>
          </w:p>
        </w:tc>
      </w:tr>
      <w:tr>
        <w:trPr>
          <w:trHeight w:hRule="exact" w:val="32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lastRenderedPageBreak/>
              <w:t>Section 4 – Procédures de traitement de l’insuffisance professionnelle</w:t>
            </w:r>
          </w:p>
        </w:tc>
      </w:tr>
      <w:tr>
        <w:trPr>
          <w:trHeight w:hRule="exact" w:val="620"/>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3"/>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Insuffisance professionnelle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9 décembre 2013 relative aux procédures de traitement de l’insuffisance professionnelle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632"/>
        </w:trPr>
        <w:tc>
          <w:tcPr>
            <w:tcW w:w="1156" w:type="dxa"/>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Temps de 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25 janvier 2006 relative au temps de travail</w:t>
            </w:r>
            <w:r>
              <w:rPr>
                <w:rFonts w:ascii="Times New Roman" w:hAnsi="Times New Roman"/>
                <w:noProof/>
                <w:sz w:val="12"/>
              </w:rPr>
              <w:br/>
              <w:t xml:space="preserve"> (modifiée en dernier lieu par la décision du 9 décembre 2013)</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30.9.2009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679"/>
        </w:trPr>
        <w:tc>
          <w:tcPr>
            <w:tcW w:w="1156" w:type="dxa"/>
            <w:vMerge w:val="restart"/>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w:t>
            </w:r>
            <w:r>
              <w:rPr>
                <w:rFonts w:ascii="Times New Roman" w:hAnsi="Times New Roman"/>
                <w:b/>
                <w:noProof/>
                <w:sz w:val="12"/>
              </w:rPr>
              <w:br/>
              <w:t>annexe IV </w:t>
            </w:r>
            <w:r>
              <w:rPr>
                <w:rFonts w:ascii="Times New Roman" w:hAnsi="Times New Roman"/>
                <w:b/>
                <w:i/>
                <w:iCs/>
                <w:noProof/>
                <w:sz w:val="12"/>
              </w:rPr>
              <w:t>bis</w:t>
            </w:r>
          </w:p>
        </w:tc>
        <w:tc>
          <w:tcPr>
            <w:tcW w:w="2551"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Bold" w:hAnsi="Times New Roman Bold"/>
                <w:b/>
                <w:noProof/>
                <w:sz w:val="16"/>
              </w:rPr>
              <w:t>Modalités de l’activité à temps partiel</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11 mai 2005 établissant des modalités d’application relatives à l’activité à temps partiel </w:t>
            </w:r>
            <w:r>
              <w:rPr>
                <w:rFonts w:ascii="Times New Roman" w:hAnsi="Times New Roman"/>
                <w:noProof/>
                <w:sz w:val="12"/>
              </w:rPr>
              <w:br/>
              <w:t>(modifiée en dernier lieu par la décision du 9 décembre 2013)</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1.6.2006</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608"/>
        </w:trPr>
        <w:tc>
          <w:tcPr>
            <w:tcW w:w="1156"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greffier de la Cour de justice du 3 mai 2014 déterminant les conditions dans lesquelles l’article 55 </w:t>
            </w:r>
            <w:r>
              <w:rPr>
                <w:rFonts w:ascii="Times New Roman" w:hAnsi="Times New Roman"/>
                <w:i/>
                <w:iCs/>
                <w:noProof/>
                <w:sz w:val="12"/>
              </w:rPr>
              <w:t>bis</w:t>
            </w:r>
            <w:r>
              <w:rPr>
                <w:rFonts w:ascii="Times New Roman" w:hAnsi="Times New Roman"/>
                <w:noProof/>
                <w:sz w:val="12"/>
              </w:rPr>
              <w:t xml:space="preserve">, paragraphe 2, point d), </w:t>
            </w:r>
            <w:r>
              <w:rPr>
                <w:rFonts w:ascii="Times New Roman" w:hAnsi="Times New Roman"/>
                <w:noProof/>
                <w:sz w:val="12"/>
              </w:rPr>
              <w:br/>
              <w:t>du statut s’applique</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4.5.2014</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val="restart"/>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w:t>
            </w:r>
            <w:r>
              <w:rPr>
                <w:rFonts w:ascii="Times New Roman" w:hAnsi="Times New Roman"/>
                <w:b/>
                <w:noProof/>
                <w:sz w:val="12"/>
              </w:rPr>
              <w:br/>
              <w:t>annexe IV </w:t>
            </w:r>
            <w:r>
              <w:rPr>
                <w:rFonts w:ascii="Times New Roman" w:hAnsi="Times New Roman"/>
                <w:b/>
                <w:i/>
                <w:iCs/>
                <w:noProof/>
                <w:sz w:val="12"/>
              </w:rPr>
              <w:t>bis</w:t>
            </w: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Télétravail</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du comité administratif du 27 janvier 2010 sur la mise en œuvre du télétravail</w:t>
            </w:r>
            <w:r>
              <w:rPr>
                <w:rFonts w:ascii="Times New Roman" w:hAnsi="Times New Roman"/>
                <w:noProof/>
                <w:sz w:val="12"/>
              </w:rPr>
              <w:br/>
              <w:t xml:space="preserve"> (modifiée en dernier lieu par la décision du 20 mai 2019)</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27.1.2010</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Décision du greffier de la Cour de justice </w:t>
            </w:r>
            <w:r>
              <w:rPr>
                <w:rFonts w:ascii="Times New Roman" w:hAnsi="Times New Roman"/>
                <w:noProof/>
                <w:sz w:val="12"/>
              </w:rPr>
              <w:br/>
              <w:t>du 19 décembre 2017 établissant les services et/ou catégories de personnel habilités à participer au régime de télétravail</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19.12.2017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du greffier de la Cour de justice</w:t>
            </w:r>
            <w:r>
              <w:rPr>
                <w:rFonts w:ascii="Times New Roman" w:hAnsi="Times New Roman"/>
                <w:noProof/>
                <w:sz w:val="12"/>
              </w:rPr>
              <w:br/>
              <w:t xml:space="preserve"> du 19 décembre 2017 sur la délégation des pouvoirs dans le cadre du télétravail</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19.12.2017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du directeur général de l’administration sur la délégation des pouvoirs dans le cadre du télétravail</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14.2.2018</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tcBorders>
              <w:top w:val="single" w:sz="4" w:space="0" w:color="auto"/>
              <w:left w:val="single" w:sz="3"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Calibri"/>
                <w:b/>
                <w:noProof/>
                <w:sz w:val="16"/>
              </w:rPr>
              <w:t>T</w:t>
            </w:r>
            <w:r>
              <w:rPr>
                <w:rFonts w:ascii="Times New Roman" w:hAnsi="Calibri"/>
                <w:b/>
                <w:noProof/>
                <w:sz w:val="16"/>
              </w:rPr>
              <w:t>é</w:t>
            </w:r>
            <w:r>
              <w:rPr>
                <w:rFonts w:ascii="Times New Roman" w:hAnsi="Calibri"/>
                <w:b/>
                <w:noProof/>
                <w:sz w:val="16"/>
              </w:rPr>
              <w:t>l</w:t>
            </w:r>
            <w:r>
              <w:rPr>
                <w:rFonts w:ascii="Times New Roman" w:hAnsi="Calibri"/>
                <w:b/>
                <w:noProof/>
                <w:sz w:val="16"/>
              </w:rPr>
              <w:t>é</w:t>
            </w:r>
            <w:r>
              <w:rPr>
                <w:rFonts w:ascii="Times New Roman" w:hAnsi="Calibri"/>
                <w:b/>
                <w:noProof/>
                <w:sz w:val="16"/>
              </w:rPr>
              <w:t>travail circonstanciel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du 20 mai 2019 établissant le régime de télétravail circonstanciel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20.5.2019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1.5.2022</w:t>
            </w: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1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Télétravail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juillet 2021 établissant un régime de télétravail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56 </w:t>
            </w:r>
            <w:r>
              <w:rPr>
                <w:rFonts w:ascii="Times New Roman" w:hAnsi="Times New Roman"/>
                <w:b/>
                <w:i/>
                <w:iCs/>
                <w:noProof/>
                <w:sz w:val="12"/>
              </w:rPr>
              <w:t>ter</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Bold" w:hAnsi="Times New Roman Bold"/>
                <w:b/>
                <w:noProof/>
                <w:sz w:val="16"/>
              </w:rPr>
              <w:t>Astreintes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Décision du greffier de la Cour de justice</w:t>
            </w:r>
            <w:r>
              <w:rPr>
                <w:rFonts w:ascii="Times New Roman" w:hAnsi="Times New Roman"/>
                <w:noProof/>
                <w:sz w:val="12"/>
              </w:rPr>
              <w:br/>
              <w:t xml:space="preserve"> du 7 décembre 2013 fixant les règles applicables aux fonctionnaires et autres agents régulièrement astreints à se tenir à disposition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Calibri"/>
                <w:noProof/>
                <w:sz w:val="12"/>
              </w:rPr>
              <w:t>1.1.2013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485"/>
        </w:trPr>
        <w:tc>
          <w:tcPr>
            <w:tcW w:w="1156" w:type="dxa"/>
            <w:tcBorders>
              <w:left w:val="single" w:sz="4" w:space="0" w:color="000000"/>
              <w:right w:val="single" w:sz="4" w:space="0" w:color="auto"/>
            </w:tcBorders>
            <w:shd w:val="clear" w:color="auto" w:fill="C6D9F1"/>
            <w:vAlign w:val="center"/>
          </w:tcPr>
          <w:p>
            <w:pPr>
              <w:widowControl w:val="0"/>
              <w:spacing w:after="0" w:line="240" w:lineRule="auto"/>
              <w:jc w:val="center"/>
              <w:rPr>
                <w:rFonts w:ascii="Times New Roman" w:eastAsia="Calibri" w:hAnsi="Times New Roman" w:cs="Times New Roman"/>
                <w:noProof/>
                <w:sz w:val="10"/>
                <w:szCs w:val="10"/>
              </w:rPr>
            </w:pPr>
            <w:r>
              <w:rPr>
                <w:rFonts w:ascii="Times New Roman" w:hAnsi="Times New Roman"/>
                <w:b/>
                <w:noProof/>
                <w:sz w:val="12"/>
              </w:rPr>
              <w:t>57 + annexe V</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Congés annuels et congés spéciaux</w:t>
            </w:r>
          </w:p>
        </w:tc>
        <w:tc>
          <w:tcPr>
            <w:tcW w:w="3029" w:type="dxa"/>
            <w:vMerge w:val="restart"/>
            <w:tcBorders>
              <w:top w:val="single" w:sz="3" w:space="0" w:color="000000"/>
              <w:left w:val="single" w:sz="4" w:space="0" w:color="auto"/>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Décision du greffier de la Cour de justice du 26 mai 2005 fixant les règles relatives aux congés</w:t>
            </w:r>
            <w:r>
              <w:rPr>
                <w:rFonts w:ascii="Times New Roman" w:hAnsi="Times New Roman"/>
                <w:noProof/>
                <w:sz w:val="12"/>
              </w:rPr>
              <w:br/>
              <w:t xml:space="preserve"> (modifiée par la décision du 23 janvier 2015)</w:t>
            </w:r>
          </w:p>
        </w:tc>
        <w:tc>
          <w:tcPr>
            <w:tcW w:w="151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26.5.2005</w:t>
            </w:r>
          </w:p>
        </w:tc>
        <w:tc>
          <w:tcPr>
            <w:tcW w:w="1498"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val="restart"/>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443"/>
        </w:trPr>
        <w:tc>
          <w:tcPr>
            <w:tcW w:w="1156" w:type="dxa"/>
            <w:tcBorders>
              <w:top w:val="single" w:sz="6" w:space="0" w:color="000000"/>
              <w:left w:val="single" w:sz="6" w:space="0" w:color="000000"/>
              <w:bottom w:val="single" w:sz="6" w:space="0" w:color="000000"/>
              <w:right w:val="single" w:sz="4" w:space="0" w:color="auto"/>
            </w:tcBorders>
            <w:vAlign w:val="center"/>
          </w:tcPr>
          <w:p>
            <w:pPr>
              <w:widowControl w:val="0"/>
              <w:spacing w:after="0" w:line="240" w:lineRule="auto"/>
              <w:ind w:right="2"/>
              <w:jc w:val="center"/>
              <w:rPr>
                <w:rFonts w:ascii="Times New Roman" w:eastAsia="Calibri" w:hAnsi="Times New Roman" w:cs="Times New Roman"/>
                <w:b/>
                <w:noProof/>
                <w:sz w:val="10"/>
                <w:szCs w:val="10"/>
              </w:rPr>
            </w:pPr>
            <w:r>
              <w:rPr>
                <w:rFonts w:ascii="Times New Roman" w:hAnsi="Times New Roman"/>
                <w:b/>
                <w:noProof/>
                <w:sz w:val="12"/>
              </w:rPr>
              <w:t>58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Congé de maternité</w:t>
            </w:r>
          </w:p>
        </w:tc>
        <w:tc>
          <w:tcPr>
            <w:tcW w:w="3029" w:type="dxa"/>
            <w:vMerge/>
            <w:tcBorders>
              <w:left w:val="single" w:sz="4" w:space="0" w:color="auto"/>
              <w:bottom w:val="single" w:sz="6" w:space="0" w:color="000000"/>
              <w:right w:val="single" w:sz="4"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p>
        </w:tc>
        <w:tc>
          <w:tcPr>
            <w:tcW w:w="151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p>
        </w:tc>
        <w:tc>
          <w:tcPr>
            <w:tcW w:w="1498" w:type="dxa"/>
            <w:vMerge/>
            <w:tcBorders>
              <w:left w:val="single" w:sz="4"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616"/>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et 60</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 xml:space="preserve">Congé de maladie </w:t>
            </w:r>
            <w:r>
              <w:rPr>
                <w:rFonts w:ascii="Times New Roman" w:hAnsi="Times New Roman"/>
                <w:b/>
                <w:noProof/>
                <w:sz w:val="17"/>
              </w:rPr>
              <w:br/>
              <w:t>(y compris activité à mi-temps pour raison d’ordre médical)</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du greffier de la Cour de justice</w:t>
            </w:r>
            <w:r>
              <w:rPr>
                <w:rFonts w:ascii="Times New Roman" w:hAnsi="Times New Roman"/>
                <w:noProof/>
                <w:sz w:val="12"/>
              </w:rPr>
              <w:br/>
              <w:t xml:space="preserve"> du 29 novembre 2021 relative à l’activité à mi-temps pour raison d’ordre médical</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1.12.2021</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811"/>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et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3"/>
              </w:rPr>
              <w:t>annexe VII</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Allocations familiales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12 mai 2004 portant dispositions générales d’exécution des articles 67 et 68 du statut et des articles 1</w:t>
            </w:r>
            <w:r>
              <w:rPr>
                <w:rFonts w:ascii="Times New Roman" w:hAnsi="Times New Roman"/>
                <w:noProof/>
                <w:sz w:val="12"/>
                <w:vertAlign w:val="superscript"/>
              </w:rPr>
              <w:t>er</w:t>
            </w:r>
            <w:r>
              <w:rPr>
                <w:rFonts w:ascii="Times New Roman" w:hAnsi="Times New Roman"/>
                <w:noProof/>
                <w:sz w:val="12"/>
              </w:rPr>
              <w:t>, 2 et 3 de son annexe 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90"/>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annexe VII (art.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scolaire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12 mai 2004 portant dispositions générales d’exécution relatives à l’octroi de l’allocation scolaire (modifiée par la décision du 27 janvier 2014)</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52"/>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annexe VII</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Personnes assimilées à un enfant à charge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mai 2004 portant dispositions générales d’exécution de l’article 2, paragraphe 4, de l’annexe VII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13"/>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lastRenderedPageBreak/>
              <w:t>67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annexe VII</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Allocation de foyer par décision spéciale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12 mai 2004 portant dispositions générales d’exécution relatives à l’octroi de l’allocation de foyer par décision spéciale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680"/>
        </w:trPr>
        <w:tc>
          <w:tcPr>
            <w:tcW w:w="1156" w:type="dxa"/>
            <w:tcBorders>
              <w:left w:val="single" w:sz="4" w:space="0" w:color="000000"/>
              <w:bottom w:val="single" w:sz="4" w:space="0" w:color="000000"/>
              <w:right w:val="single" w:sz="4" w:space="0" w:color="000000"/>
            </w:tcBorders>
            <w:vAlign w:val="center"/>
          </w:tcPr>
          <w:p>
            <w:pPr>
              <w:widowControl w:val="0"/>
              <w:spacing w:before="45"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71 + annexe</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3"/>
              </w:rPr>
              <w:t>VII (art.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Lieu d’origine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mai 2004 portant dispositions générales d’exécution de l’article 7, paragraphe 3, de l’annexe VII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3"/>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80"/>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67"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71 + annexe</w:t>
            </w:r>
          </w:p>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3"/>
              </w:rPr>
              <w:t>VII (art.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Frais de déménagement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27 janvier 2014 portant dispositions générales d’exécution relatives aux frais de déménagement</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8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3"/>
              </w:rPr>
              <w:t>71 + annexe VII (art. 11 à 13 </w:t>
            </w:r>
            <w:r>
              <w:rPr>
                <w:rFonts w:ascii="Times New Roman" w:hAnsi="Times New Roman"/>
                <w:b/>
                <w:i/>
                <w:iCs/>
                <w:noProof/>
                <w:sz w:val="13"/>
              </w:rPr>
              <w:t>bis</w:t>
            </w:r>
            <w:r>
              <w:rPr>
                <w:rFonts w:ascii="Times New Roman" w:hAnsi="Times New Roman"/>
                <w:b/>
                <w:noProof/>
                <w:sz w:val="13"/>
              </w:rPr>
              <w:t>)</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Missions </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mai 2004 portant dispositions générales d’exécution relatives au remboursement des frais de mission</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12.5.2004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annexes VIII et XIII – Pensions et allocation d’invalidité</w:t>
            </w:r>
          </w:p>
        </w:tc>
      </w:tr>
      <w:tr>
        <w:trPr>
          <w:trHeight w:hRule="exact" w:val="1071"/>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3"/>
              </w:rPr>
              <w:t>77 + annexe VIII (art. 11 et 12)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Calcul des droits à pension — Transfert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12 mai 2004 portant dispositions générales d’exécution relatives à la prise en compte, pour le calcul des droits à pension, des périodes de services accomplies précédemment à la remise en activité</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12.5.2004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14"/>
        </w:trPr>
        <w:tc>
          <w:tcPr>
            <w:tcW w:w="1156" w:type="dxa"/>
            <w:vMerge/>
            <w:tcBorders>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12 mai 2004 portant dispositions générales d’exécution des articles 11 et 12 de l’annexe VII du statut concernant le transfert des droits à pension</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3"/>
              </w:rPr>
              <w:t>86 + annexe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Procédures disciplinaires et enquêtes administratives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de la Cour de justice du 19 septembre 2011 portant dispositions générales d’exécution relatives aux enquêtes administratives (modifiée par la décision du 9 décembre 2019)</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20.9.2011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3"/>
              </w:rPr>
              <w:t>79, paragraphe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du comité administratif de la Cour de justice</w:t>
            </w:r>
            <w:r>
              <w:rPr>
                <w:rFonts w:ascii="Times New Roman" w:hAnsi="Times New Roman"/>
                <w:noProof/>
                <w:sz w:val="12"/>
              </w:rPr>
              <w:br/>
              <w:t xml:space="preserve"> du 15 juin 2005 portant dispositions générales d’exécution relatives à l’engagement et à l’emploi d’agents contractuels</w:t>
            </w:r>
            <w:r>
              <w:rPr>
                <w:rFonts w:ascii="Times New Roman" w:hAnsi="Times New Roman"/>
                <w:noProof/>
                <w:sz w:val="12"/>
              </w:rPr>
              <w:br/>
              <w:t xml:space="preserve"> (modifiée en dernier lieu par la décision du 24 mars 2014)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15.6.2005</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3"/>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7"/>
              </w:rPr>
              <w:t>Procédures de recrutement des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 xml:space="preserve">Décision du comité administratif de la Cour de justice </w:t>
            </w:r>
            <w:r>
              <w:rPr>
                <w:rFonts w:ascii="Times New Roman" w:hAnsi="Times New Roman"/>
                <w:noProof/>
                <w:sz w:val="12"/>
              </w:rPr>
              <w:br/>
              <w:t>du 15 juin 2005 portant dispositions générales d’exécution relatives à l’engagement et à l’emploi d’agents contractuels (modifiée en dernier lieu par la décision du 24 mars 2014)</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3"/>
              </w:rPr>
              <w:t>15.6.2005</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15 juin 2005 portant dispositions générales d’exécution relatives à l’engagement et à l’emploi d’agents contractuels (modifiée en dernier lieu par la décision du 24 mars 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15.6.2005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87, paragraphe 3</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Classement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Décision du comité administratif de la Cour de justice </w:t>
            </w:r>
            <w:r>
              <w:rPr>
                <w:rFonts w:ascii="Times New Roman" w:hAnsi="Times New Roman"/>
                <w:noProof/>
                <w:sz w:val="12"/>
              </w:rPr>
              <w:br/>
              <w:t>du 17 octobre 2007 relative au reclassement des agents contractuels engagés en application de l’article 3 </w:t>
            </w:r>
            <w:r>
              <w:rPr>
                <w:rFonts w:ascii="Times New Roman" w:hAnsi="Times New Roman"/>
                <w:i/>
                <w:iCs/>
                <w:noProof/>
                <w:sz w:val="12"/>
              </w:rPr>
              <w:t>bis</w:t>
            </w:r>
            <w:r>
              <w:rPr>
                <w:rFonts w:ascii="Times New Roman" w:hAnsi="Times New Roman"/>
                <w:noProof/>
                <w:sz w:val="12"/>
              </w:rPr>
              <w:t xml:space="preserve"> du régime applicable aux autres agents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18.10.2007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60288"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080561149" name="Rectangle 1080561149"/>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80561149" o:spid="_x0000_s1027" style="position:absolute;margin-left:178.4pt;margin-top:17.9pt;width:156.2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9MQwAIAABUGAAAOAAAAZHJzL2Uyb0RvYy54bWysVNtu2zAMfR+wfxD0vjrOkjY16hRBiw4D&#10;ujZoO/RZkaXYgG6TlNjZ14+SbDftbsCwF1vi5ZA8FHlx2UmB9sy6RqsS5ycTjJiiumrUtsRfn24+&#10;LDBynqiKCK1YiQ/M4cvl+3cXrSnYVNdaVMwiAFGuaE2Ja+9NkWWO1kwSd6INU6Dk2kri4Wq3WWVJ&#10;C+hSZNPJ5DRrta2M1ZQ5B9LrpMTLiM85o/6ec8c8EiWG3Hz82vjdhG+2vCDF1hJTN7RPg/xDFpI0&#10;CoKOUNfEE7SzzU9QsqFWO839CdUy05w3lMUaoJp88qaax5oYFmsBcpwZaXL/D5be7dcWNRX0brKY&#10;zE/zfHaOkSISevUA7BG1FQwd6YCw1rgC/B7N2vY3B8dQfcetDH+oC3WR5MNIMus8oiDMzxcf57M5&#10;RhR0s/kZdDF0IXvxNtb5T0xLFA4ltpBG5Jbsb51PpoNJCOa0aKqbRoh4CQ+HXQmL9gRa7rtpdBU7&#10;+UVXSQYBU0hSgBieRxIvBjFkEp9fQIl5vQogFGqhiOkZYPw9et6XdgQB8EIBbmAx8RZP/iBYwBPq&#10;gXFoCDCVUh9zSWkSSpnyeYpdk4ol8fy32UfAgMyBohG7B3jN1oCdOO7tgyuLkzQ695X/yXn0iJG1&#10;8qOzbJS2Kf3XAAKq6iMn+4GkRE1gyXebLj3WYBkkG10d4AFbnSbbGXrTwKu5Jc6viYVRhqGH9eTv&#10;4cOFhtbp/oRRre33X8mDPUwYaDFqYTWU2H3bEcswEp8VzN55PpuFXRIv8QVjZI81m2ON2skrDU8x&#10;h0VoaDyCs/ViOHKr5TNssVWICiqiKMQuMfV2uFz5tLJgD1K2WkUz2B+G+Fv1aGgADzyHqXjqnok1&#10;/eh4GLo7PawRUryZoGQbPJVe7bzmTRyvF177DsDuiYPQ78mw3I7v0eplmy9/AAAA//8DAFBLAwQU&#10;AAYACAAAACEAtXD7Ut8AAAAKAQAADwAAAGRycy9kb3ducmV2LnhtbEyPwU7DMAyG70i8Q2Qkbixl&#10;aGErTSc0DQG7IMZQr25j2oomqZqsK2+Pd4KTbfnT78/ZerKdGGkIrXcabmcJCHKVN62rNRw+nm6W&#10;IEJEZ7DzjjT8UIB1fnmRYWr8yb3TuI+14BAXUtTQxNinUoaqIYth5ntyvPvyg8XI41BLM+CJw20n&#10;50mipMXW8YUGe9o0VH3vj1YDbl6L510zvqjF51tR1WpblGGr9fXV9PgAItIU/2A467M65OxU+qMz&#10;QXQa7haK1eO54cqAUqs5iJLJ5H4JMs/k/xfyXwAAAP//AwBQSwECLQAUAAYACAAAACEAtoM4kv4A&#10;AADhAQAAEwAAAAAAAAAAAAAAAAAAAAAAW0NvbnRlbnRfVHlwZXNdLnhtbFBLAQItABQABgAIAAAA&#10;IQA4/SH/1gAAAJQBAAALAAAAAAAAAAAAAAAAAC8BAABfcmVscy8ucmVsc1BLAQItABQABgAIAAAA&#10;IQCHu9MQwAIAABUGAAAOAAAAAAAAAAAAAAAAAC4CAABkcnMvZTJvRG9jLnhtbFBLAQItABQABgAI&#10;AAAAIQC1cPtS3wAAAAoBAAAPAAAAAAAAAAAAAAAAABoFAABkcnMvZG93bnJldi54bWxQSwUGAAAA&#10;AAQABADzAAAAJgYA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8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noProof/>
              </w:rPr>
              <w:lastRenderedPageBreak/>
              <w:br w:type="page"/>
            </w:r>
            <w:r>
              <w:rPr>
                <w:rFonts w:ascii="Times New Roman" w:hAnsi="Times New Roman"/>
                <w:b/>
                <w:noProof/>
                <w:sz w:val="50"/>
              </w:rPr>
              <w:t>COUR DES COMPTES EUROPÉENNE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733"/>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Pouvoirs de l’AIPN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Décision 71 relative à l’exercice des pouvoirs dévolus </w:t>
            </w:r>
            <w:r>
              <w:rPr>
                <w:rFonts w:ascii="Times New Roman" w:hAnsi="Times New Roman"/>
                <w:noProof/>
                <w:sz w:val="12"/>
              </w:rPr>
              <w:br/>
              <w:t>à l’autorité investie du pouvoir de nomination par le statut et à l’autorité habilitée à conclure les contrats d’engagement par le RAA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4.9.2015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8.11.2023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85"/>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6" w:name="_Hlk162620425"/>
            <w:r>
              <w:rPr>
                <w:rFonts w:ascii="Times New Roman" w:hAnsi="Times New Roman"/>
                <w:noProof/>
                <w:sz w:val="12"/>
              </w:rPr>
              <w:t xml:space="preserve">Décision 56-2023 relative à l’exercice des pouvoirs dévolus à l’autorité investie du pouvoir de nomination par le statut des fonctionnaires et à l’autorité habilitée à conclure les contrats d’engagement par le régime applicable aux </w:t>
            </w:r>
            <w:r>
              <w:rPr>
                <w:rFonts w:ascii="Times New Roman" w:hAnsi="Times New Roman"/>
                <w:noProof/>
                <w:sz w:val="12"/>
              </w:rPr>
              <w:br/>
              <w:t>autres agents</w:t>
            </w:r>
            <w:bookmarkEnd w:id="16"/>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8.11.2023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853"/>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40-2017 relative à la délégation de certains pouvoirs dévolus à l’AIPN/AHCC</w:t>
            </w:r>
            <w:r>
              <w:rPr>
                <w:rFonts w:ascii="Times New Roman" w:hAnsi="Times New Roman"/>
                <w:noProof/>
                <w:sz w:val="12"/>
              </w:rPr>
              <w:br/>
              <w:t xml:space="preserve"> en vue de la mise en œuvre du contrat de prestation de service entre la Cour des comptes et l’Office </w:t>
            </w:r>
            <w:r>
              <w:rPr>
                <w:rFonts w:ascii="Times New Roman" w:hAnsi="Times New Roman"/>
                <w:noProof/>
                <w:sz w:val="12"/>
              </w:rPr>
              <w:br/>
              <w:t>de gestion et de liquidation des droits individuels (PMO)</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18.12.2017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24.6.2021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51"/>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7" w:name="_Hlk162620437"/>
            <w:r>
              <w:rPr>
                <w:rFonts w:ascii="Times New Roman" w:hAnsi="Times New Roman"/>
                <w:noProof/>
                <w:sz w:val="12"/>
              </w:rPr>
              <w:t>Décision 52-2021</w:t>
            </w:r>
            <w:bookmarkEnd w:id="17"/>
            <w:r>
              <w:rPr>
                <w:rFonts w:ascii="Times New Roman" w:hAnsi="Times New Roman"/>
                <w:noProof/>
                <w:sz w:val="12"/>
              </w:rPr>
              <w:t xml:space="preserve"> relative à la délégation de certains pouvoirs dévolus à l’AIPN/AHCC</w:t>
            </w:r>
            <w:r>
              <w:rPr>
                <w:rFonts w:ascii="Times New Roman" w:hAnsi="Times New Roman"/>
                <w:noProof/>
                <w:sz w:val="12"/>
              </w:rPr>
              <w:br/>
              <w:t xml:space="preserve"> en vue de la mise en œuvre du contrat de prestation de service entre la Cour des comptes et l’Office </w:t>
            </w:r>
            <w:r>
              <w:rPr>
                <w:rFonts w:ascii="Times New Roman" w:hAnsi="Times New Roman"/>
                <w:noProof/>
                <w:sz w:val="12"/>
              </w:rPr>
              <w:br/>
              <w:t>de gestion et de liquidation des droits individuels (PMO)</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24.6.2021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0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112" w:lineRule="exact"/>
              <w:ind w:left="162"/>
              <w:jc w:val="center"/>
              <w:rPr>
                <w:rFonts w:ascii="Times New Roman" w:eastAsia="Times New Roman" w:hAnsi="Times New Roman" w:cs="Times New Roman"/>
                <w:noProof/>
                <w:sz w:val="12"/>
                <w:szCs w:val="12"/>
              </w:rPr>
            </w:pPr>
            <w:r>
              <w:rPr>
                <w:rFonts w:ascii="Times New Roman" w:hAnsi="Times New Roman"/>
                <w:b/>
                <w:noProof/>
                <w:sz w:val="12"/>
              </w:rPr>
              <w:t>5 + annexe I et</w:t>
            </w:r>
          </w:p>
          <w:p>
            <w:pPr>
              <w:widowControl w:val="0"/>
              <w:spacing w:after="0" w:line="112" w:lineRule="exact"/>
              <w:ind w:left="162"/>
              <w:jc w:val="center"/>
              <w:rPr>
                <w:rFonts w:ascii="Times New Roman" w:eastAsia="Times New Roman" w:hAnsi="Times New Roman" w:cs="Times New Roman"/>
                <w:noProof/>
                <w:sz w:val="12"/>
                <w:szCs w:val="12"/>
              </w:rPr>
            </w:pPr>
            <w:r>
              <w:rPr>
                <w:rFonts w:ascii="Times New Roman" w:hAnsi="Times New Roman"/>
                <w:b/>
                <w:noProof/>
                <w:sz w:val="12"/>
              </w:rPr>
              <w:t>annexe XIII</w:t>
            </w:r>
            <w:r>
              <w:rPr>
                <w:rFonts w:ascii="Times New Roman" w:hAnsi="Times New Roman"/>
                <w:b/>
                <w:noProof/>
                <w:sz w:val="12"/>
              </w:rPr>
              <w:br/>
              <w:t xml:space="preserve"> (art. 30 et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Emplois types et intitulés d’emploi</w:t>
            </w:r>
          </w:p>
        </w:tc>
        <w:tc>
          <w:tcPr>
            <w:tcW w:w="3029"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21-2015 relative aux emplois types et aux intitulés d’emploi</w:t>
            </w:r>
          </w:p>
        </w:tc>
        <w:tc>
          <w:tcPr>
            <w:tcW w:w="1322"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1.1.2016</w:t>
            </w:r>
          </w:p>
        </w:tc>
        <w:tc>
          <w:tcPr>
            <w:tcW w:w="1687"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1211"/>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7" w:lineRule="auto"/>
              <w:ind w:left="99" w:right="100" w:firstLine="129"/>
              <w:jc w:val="center"/>
              <w:rPr>
                <w:rFonts w:ascii="Times New Roman" w:eastAsia="Times New Roman" w:hAnsi="Times New Roman" w:cs="Times New Roman"/>
                <w:noProof/>
                <w:sz w:val="16"/>
                <w:szCs w:val="16"/>
              </w:rPr>
            </w:pPr>
            <w:r>
              <w:rPr>
                <w:rFonts w:ascii="Times New Roman" w:hAnsi="Times New Roman"/>
                <w:b/>
                <w:noProof/>
                <w:sz w:val="16"/>
              </w:rPr>
              <w:t>Classement des fonctionnaires investis de responsabilités particulières en tant que «chef</w:t>
            </w:r>
          </w:p>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d’unité ou équivalent» ou «conseiller ou équivalent» avant le 31 décembre 2015</w:t>
            </w:r>
          </w:p>
        </w:tc>
        <w:tc>
          <w:tcPr>
            <w:tcW w:w="3029" w:type="dxa"/>
            <w:vMerge/>
            <w:tcBorders>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p>
        </w:tc>
        <w:tc>
          <w:tcPr>
            <w:tcW w:w="1322" w:type="dxa"/>
            <w:vMerge/>
            <w:tcBorders>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p>
        </w:tc>
        <w:tc>
          <w:tcPr>
            <w:tcW w:w="1687"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r>
      <w:tr>
        <w:trPr>
          <w:trHeight w:hRule="exact" w:val="567"/>
        </w:trPr>
        <w:tc>
          <w:tcPr>
            <w:tcW w:w="1156" w:type="dxa"/>
            <w:vMerge w:val="restart"/>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9 + annexe II</w:t>
            </w:r>
            <w:r>
              <w:rPr>
                <w:rFonts w:ascii="Times New Roman" w:hAnsi="Times New Roman"/>
                <w:b/>
                <w:noProof/>
                <w:sz w:val="12"/>
              </w:rPr>
              <w:br/>
              <w:t>Annexe IX, section 2</w:t>
            </w:r>
          </w:p>
        </w:tc>
        <w:tc>
          <w:tcPr>
            <w:tcW w:w="2551" w:type="dxa"/>
            <w:vMerge w:val="restart"/>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17-2016 instituant un comité mixte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31-2017 instituant un comité mixte sur la santé, la sécurité, la restauration et le bien-être au travail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10.5.2017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26-2018 relative au mandat et à la composition</w:t>
            </w:r>
            <w:r>
              <w:rPr>
                <w:rFonts w:ascii="Times New Roman" w:hAnsi="Times New Roman"/>
                <w:noProof/>
                <w:sz w:val="12"/>
              </w:rPr>
              <w:br/>
              <w:t xml:space="preserve"> du comité mixte pour l’égalité des chances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18.6.2018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24-2018 instituant un Conseil de discipline élargi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18.4.2018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24.4.2020</w:t>
            </w:r>
          </w:p>
        </w:tc>
        <w:tc>
          <w:tcPr>
            <w:tcW w:w="936" w:type="dxa"/>
            <w:vMerge w:val="restart"/>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7-2020 instituant un Conseil de discipline élargi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24.4.2020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18.1.2023</w:t>
            </w:r>
          </w:p>
        </w:tc>
        <w:tc>
          <w:tcPr>
            <w:tcW w:w="936" w:type="dxa"/>
            <w:vMerge/>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4-2023 instituant un Conseil de discipline élargi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6.9.2023</w:t>
            </w:r>
          </w:p>
        </w:tc>
        <w:tc>
          <w:tcPr>
            <w:tcW w:w="936" w:type="dxa"/>
            <w:vMerge/>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45-2023 instituant un Conseil de discipline élargi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6.9.2023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567"/>
        </w:trPr>
        <w:tc>
          <w:tcPr>
            <w:tcW w:w="1156" w:type="dxa"/>
            <w:vMerge w:val="restart"/>
            <w:tcBorders>
              <w:top w:val="single" w:sz="5"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br/>
              <w:t>12 </w:t>
            </w:r>
            <w:r>
              <w:rPr>
                <w:rFonts w:ascii="Times New Roman" w:hAnsi="Times New Roman"/>
                <w:b/>
                <w:i/>
                <w:iCs/>
                <w:noProof/>
                <w:sz w:val="12"/>
              </w:rPr>
              <w:t>bis</w:t>
            </w:r>
            <w:r>
              <w:rPr>
                <w:rFonts w:ascii="Times New Roman" w:hAnsi="Times New Roman"/>
                <w:b/>
                <w:noProof/>
                <w:sz w:val="12"/>
              </w:rPr>
              <w:t xml:space="preserve"> et 24</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Harcèlement moral et sexuel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Décision 26-2017 sur la politique de préservation d’un climat de travail serein et de lutte contre le harcèlement moral et le harcèlement sexuel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6.4.2017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17.12.2022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Décision 50-2022 relative à la politique de la Cour des comptes européenne</w:t>
            </w:r>
          </w:p>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visant à assurer un environnement de travail respectueux et sans harcèlement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20</w:t>
            </w:r>
          </w:p>
        </w:tc>
        <w:tc>
          <w:tcPr>
            <w:tcW w:w="2551" w:type="dxa"/>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Lieu de résidence</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Décision 61-2021 relative à l’application de l’article 20 du statut des fonctionnaires de l’Union européenne, applicable par analogie aux agents temporaires et contractuels et aux experts nationaux détachés</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13.9.2021</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lastRenderedPageBreak/>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bookmarkStart w:id="18" w:name="_Hlk177238038"/>
            <w:r>
              <w:rPr>
                <w:rFonts w:ascii="Times New Roman" w:hAnsi="Times New Roman"/>
                <w:b/>
                <w:noProof/>
                <w:sz w:val="16"/>
              </w:rPr>
              <w:t>Dénonciation des dysfonctionnements</w:t>
            </w:r>
            <w:bookmarkEnd w:id="18"/>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Règles de la procédure d’information en cas d’irrégularités graves («dénonciation des dysfonctionnements»)</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31.10.2014</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14.7.2023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36-2023 portant adoption des règles internes relatives au signalement d’irrégularités graves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14.7.2023</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67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24 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Formation</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Décision 71-2016 portant règles internes relatives à la formation professionnelle (modifiée en dernier lieu par la décision 33-2022 du 27.7.2022)</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15.11.2016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bookmarkStart w:id="19" w:name="_Hlk182300883"/>
            <w:r>
              <w:rPr>
                <w:rFonts w:ascii="Times New Roman" w:hAnsi="Times New Roman"/>
                <w:b/>
                <w:noProof/>
                <w:sz w:val="12"/>
              </w:rPr>
              <w:t>27 à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6-2014 portant dispositions générales d’exécution relatives aux critères applicables au classement en échelon lors de la nomination ou de l’engagement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bookmarkEnd w:id="19"/>
      <w:tr>
        <w:trPr>
          <w:trHeight w:hRule="exact" w:val="681"/>
        </w:trPr>
        <w:tc>
          <w:tcPr>
            <w:tcW w:w="1156" w:type="dxa"/>
            <w:vMerge w:val="restart"/>
            <w:tcBorders>
              <w:top w:val="single" w:sz="6" w:space="0" w:color="000000"/>
              <w:left w:val="single" w:sz="4" w:space="0" w:color="000000"/>
              <w:right w:val="single" w:sz="4"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 par. 2, 34, 46</w:t>
            </w:r>
          </w:p>
        </w:tc>
        <w:tc>
          <w:tcPr>
            <w:tcW w:w="2551" w:type="dxa"/>
            <w:tcBorders>
              <w:top w:val="single" w:sz="6" w:space="0" w:color="000000"/>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Période d’essai</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Calibri" w:hAnsi="Times New Roman" w:cs="Times New Roman"/>
                <w:noProof/>
                <w:spacing w:val="-2"/>
                <w:sz w:val="12"/>
              </w:rPr>
            </w:pPr>
            <w:r>
              <w:rPr>
                <w:rFonts w:ascii="Times New Roman" w:hAnsi="Times New Roman"/>
                <w:noProof/>
                <w:sz w:val="12"/>
              </w:rPr>
              <w:t xml:space="preserve">Décision 23-2011 de la Cour des comptes fixant les critères d’établissement des rapports d’évaluation de période d’essai pour le personnel d’encadrement nouvellement nommé </w:t>
            </w:r>
          </w:p>
          <w:p>
            <w:pPr>
              <w:widowControl w:val="0"/>
              <w:spacing w:before="76" w:after="0" w:line="254" w:lineRule="auto"/>
              <w:ind w:right="165"/>
              <w:jc w:val="center"/>
              <w:rPr>
                <w:rFonts w:ascii="Times New Roman" w:eastAsia="Calibri" w:hAnsi="Times New Roman" w:cs="Times New Roman"/>
                <w:noProof/>
                <w:spacing w:val="-2"/>
                <w:sz w:val="12"/>
              </w:rPr>
            </w:pPr>
            <w:r>
              <w:rPr>
                <w:rFonts w:ascii="Times New Roman" w:hAnsi="Times New Roman"/>
                <w:noProof/>
                <w:sz w:val="12"/>
              </w:rPr>
              <w:t>(chefs d’unité et directeurs)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28.3.2011</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rPr>
            </w:pP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Recrutement de personnel d’encadrement supérieur </w:t>
            </w:r>
            <w:r>
              <w:rPr>
                <w:rFonts w:ascii="Times New Roman" w:hAnsi="Times New Roman"/>
                <w:b/>
                <w:noProof/>
                <w:sz w:val="16"/>
              </w:rPr>
              <w:br/>
              <w:t>(AD et AST)</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30-2015 relative à la nomination d’administrateurs confirmés</w:t>
            </w:r>
            <w:r>
              <w:rPr>
                <w:rFonts w:ascii="Times New Roman" w:hAnsi="Times New Roman"/>
                <w:noProof/>
                <w:sz w:val="12"/>
              </w:rPr>
              <w:br/>
              <w:t xml:space="preserve"> (modifiée en dernier lieu par la décision 43-2021 du 20.5.2021)</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2"/>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Décision 32-2015 relative à la nomination d’assistants confirmés </w:t>
            </w:r>
            <w:r>
              <w:rPr>
                <w:rFonts w:ascii="Times New Roman" w:hAnsi="Times New Roman"/>
                <w:noProof/>
                <w:sz w:val="12"/>
              </w:rPr>
              <w:br/>
              <w:t>(modifiée en dernier lieu par la décision 43-2021 du 20.5.2021)</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31-2015 relative aux procédures de sélection des managers principaux et des directeurs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9.11.2023</w:t>
            </w: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58-2023 relative à la procédure de sélection des managers principaux de la Cour des comptes européenne</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9.11.2023</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6"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Décision 57-2023 </w:t>
            </w:r>
            <w:bookmarkStart w:id="20" w:name="_Hlk162620370"/>
            <w:r>
              <w:rPr>
                <w:rFonts w:ascii="Times New Roman" w:hAnsi="Times New Roman"/>
                <w:noProof/>
                <w:sz w:val="12"/>
              </w:rPr>
              <w:t>relative aux procédures de sélection des directeurs à la Cour des comptes européenne</w:t>
            </w:r>
            <w:bookmarkEnd w:id="20"/>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9.11.2023</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b/>
                <w:bCs/>
                <w:noProof/>
                <w:sz w:val="17"/>
                <w:szCs w:val="17"/>
              </w:rPr>
            </w:pPr>
            <w:r>
              <w:rPr>
                <w:rFonts w:ascii="Times New Roman" w:hAnsi="Times New Roman"/>
                <w:b/>
                <w:noProof/>
                <w:sz w:val="17"/>
              </w:rPr>
              <w:t xml:space="preserve">Section 2 – Détachement </w:t>
            </w:r>
          </w:p>
        </w:tc>
      </w:tr>
      <w:tr>
        <w:trPr>
          <w:trHeight w:hRule="exact" w:val="567"/>
        </w:trPr>
        <w:tc>
          <w:tcPr>
            <w:tcW w:w="1156" w:type="dxa"/>
            <w:tcBorders>
              <w:top w:val="single" w:sz="4" w:space="0" w:color="auto"/>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szCs w:val="12"/>
              </w:rPr>
            </w:pPr>
            <w:r>
              <w:rPr>
                <w:rFonts w:ascii="Times New Roman" w:hAnsi="Times New Roman"/>
                <w:b/>
                <w:noProof/>
                <w:sz w:val="12"/>
              </w:rPr>
              <w:t>37 à 39</w:t>
            </w:r>
          </w:p>
        </w:tc>
        <w:tc>
          <w:tcPr>
            <w:tcW w:w="2551" w:type="dxa"/>
            <w:tcBorders>
              <w:top w:val="single" w:sz="4" w:space="0" w:color="auto"/>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z w:val="16"/>
                <w:szCs w:val="16"/>
              </w:rPr>
            </w:pPr>
            <w:r>
              <w:rPr>
                <w:rFonts w:ascii="Times New Roman" w:hAnsi="Times New Roman"/>
                <w:b/>
                <w:noProof/>
                <w:sz w:val="16"/>
              </w:rPr>
              <w:t>Détachement</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z w:val="12"/>
                <w:szCs w:val="12"/>
              </w:rPr>
            </w:pPr>
            <w:r>
              <w:rPr>
                <w:rFonts w:ascii="Times New Roman" w:hAnsi="Times New Roman"/>
                <w:noProof/>
                <w:sz w:val="12"/>
              </w:rPr>
              <w:t>Décision 44-2010 de la Cour des comptes européenne relative aux conditions de détachement des fonctionnaires de la Cour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rPr>
            </w:pPr>
            <w:r>
              <w:rPr>
                <w:rFonts w:ascii="Times New Roman" w:hAnsi="Times New Roman"/>
                <w:noProof/>
                <w:sz w:val="12"/>
              </w:rPr>
              <w:t>15.7.2010</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rPr>
            </w:pPr>
          </w:p>
        </w:tc>
        <w:tc>
          <w:tcPr>
            <w:tcW w:w="936"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 xml:space="preserve">37 + 10 RAA + </w:t>
            </w:r>
            <w:r>
              <w:rPr>
                <w:rFonts w:ascii="Times New Roman" w:hAnsi="Times New Roman"/>
                <w:b/>
                <w:noProof/>
                <w:sz w:val="12"/>
              </w:rPr>
              <w:br/>
              <w:t>15 RAA</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bookmarkStart w:id="21" w:name="_Hlk177238373"/>
            <w:r>
              <w:rPr>
                <w:rFonts w:ascii="Times New Roman" w:hAnsi="Times New Roman"/>
                <w:b/>
                <w:noProof/>
                <w:sz w:val="16"/>
              </w:rPr>
              <w:t>Détachement au cabinet</w:t>
            </w:r>
            <w:bookmarkEnd w:id="21"/>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 xml:space="preserve">Décision 6-2004 relative à la procédure de recrutement </w:t>
            </w:r>
            <w:r>
              <w:rPr>
                <w:rFonts w:ascii="Times New Roman" w:hAnsi="Times New Roman"/>
                <w:noProof/>
                <w:sz w:val="12"/>
              </w:rPr>
              <w:br/>
              <w:t>des agents pour les cabinets des membres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15.1.2004</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bookmarkStart w:id="22" w:name="_Hlk162620489"/>
            <w:r>
              <w:rPr>
                <w:rFonts w:ascii="Times New Roman" w:hAnsi="Times New Roman"/>
                <w:noProof/>
                <w:sz w:val="12"/>
              </w:rPr>
              <w:t>Décision 57-2019 relative au recrutement des agents pour les cabinets des membres et du secrétaire général de la Cour des comptes</w:t>
            </w:r>
            <w:bookmarkEnd w:id="22"/>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71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59-2004 de la Cour établissant les critères applicables au classement en grade et en échelon des agents affectés aux cabinets des membres de la CCE (abrogée par la décision 56-2019 du 1.1.2020)</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16.7.2004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val="restart"/>
            <w:tcBorders>
              <w:top w:val="single" w:sz="4" w:space="0" w:color="auto"/>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612"/>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1"/>
              <w:jc w:val="center"/>
              <w:rPr>
                <w:rFonts w:ascii="Times New Roman" w:eastAsia="Calibri" w:hAnsi="Times New Roman" w:cs="Times New Roman"/>
                <w:noProof/>
                <w:spacing w:val="-2"/>
                <w:sz w:val="12"/>
                <w:szCs w:val="12"/>
              </w:rPr>
            </w:pPr>
            <w:r>
              <w:rPr>
                <w:rFonts w:ascii="Times New Roman" w:hAnsi="Times New Roman"/>
                <w:noProof/>
                <w:sz w:val="12"/>
              </w:rPr>
              <w:t xml:space="preserve">Décision 27-2015 relative aux prestations pour les secrétaires travaillant directement pour les membres de la Cour des comptes </w:t>
            </w:r>
            <w:r>
              <w:rPr>
                <w:rFonts w:ascii="Times New Roman" w:hAnsi="Times New Roman"/>
                <w:noProof/>
                <w:sz w:val="12"/>
              </w:rPr>
              <w:br/>
              <w:t xml:space="preserve">(abrogée par la décision 56-2019 du 1.1.2020)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718"/>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56-2019 établissant les critères applicables</w:t>
            </w:r>
            <w:r>
              <w:rPr>
                <w:rFonts w:ascii="Times New Roman" w:hAnsi="Times New Roman"/>
                <w:noProof/>
                <w:sz w:val="12"/>
              </w:rPr>
              <w:br/>
              <w:t xml:space="preserve"> au classement en grade et en échelon des agents affectés</w:t>
            </w:r>
            <w:r>
              <w:rPr>
                <w:rFonts w:ascii="Times New Roman" w:hAnsi="Times New Roman"/>
                <w:noProof/>
                <w:sz w:val="12"/>
              </w:rPr>
              <w:br/>
              <w:t xml:space="preserve"> aux cabinets des membres et du secrétaire général </w:t>
            </w:r>
            <w:r>
              <w:rPr>
                <w:rFonts w:ascii="Times New Roman" w:hAnsi="Times New Roman"/>
                <w:noProof/>
                <w:sz w:val="12"/>
              </w:rPr>
              <w:br/>
              <w:t>de la Cour des comptes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701"/>
        </w:trPr>
        <w:tc>
          <w:tcPr>
            <w:tcW w:w="1156" w:type="dxa"/>
            <w:vMerge/>
            <w:tcBorders>
              <w:left w:val="single" w:sz="4" w:space="0" w:color="auto"/>
              <w:bottom w:val="single" w:sz="4" w:space="0" w:color="000000"/>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p>
        </w:tc>
        <w:tc>
          <w:tcPr>
            <w:tcW w:w="2551" w:type="dxa"/>
            <w:vMerge/>
            <w:tcBorders>
              <w:left w:val="single" w:sz="4" w:space="0" w:color="auto"/>
              <w:bottom w:val="single" w:sz="3" w:space="0" w:color="000000"/>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bookmarkStart w:id="23" w:name="_Hlk162620499"/>
            <w:r>
              <w:rPr>
                <w:rFonts w:ascii="Times New Roman" w:hAnsi="Times New Roman"/>
                <w:noProof/>
                <w:sz w:val="12"/>
              </w:rPr>
              <w:t xml:space="preserve">Décision 22-2023 établissant les critères applicables </w:t>
            </w:r>
            <w:r>
              <w:rPr>
                <w:rFonts w:ascii="Times New Roman" w:hAnsi="Times New Roman"/>
                <w:noProof/>
                <w:sz w:val="12"/>
              </w:rPr>
              <w:br/>
              <w:t>au classement en grade et en échelon des agents affectés</w:t>
            </w:r>
            <w:r>
              <w:rPr>
                <w:rFonts w:ascii="Times New Roman" w:hAnsi="Times New Roman"/>
                <w:noProof/>
                <w:sz w:val="12"/>
              </w:rPr>
              <w:br/>
              <w:t xml:space="preserve"> aux cabinets des membres et du secrétaire général de la Cour des comptes</w:t>
            </w:r>
            <w:bookmarkEnd w:id="23"/>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4" w:space="0" w:color="auto"/>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31-2016 portant dispositions générales d’exécution de l’article 42 </w:t>
            </w:r>
            <w:r>
              <w:rPr>
                <w:rFonts w:ascii="Times New Roman" w:hAnsi="Times New Roman"/>
                <w:i/>
                <w:iCs/>
                <w:noProof/>
                <w:sz w:val="12"/>
              </w:rPr>
              <w:t>bis</w:t>
            </w:r>
            <w:r>
              <w:rPr>
                <w:rFonts w:ascii="Times New Roman" w:hAnsi="Times New Roman"/>
                <w:noProof/>
                <w:sz w:val="12"/>
              </w:rPr>
              <w:t xml:space="preserve"> relatif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3.6.2016</w:t>
            </w:r>
          </w:p>
        </w:tc>
        <w:tc>
          <w:tcPr>
            <w:tcW w:w="1687" w:type="dxa"/>
            <w:tcBorders>
              <w:top w:val="single" w:sz="3" w:space="0" w:color="000000"/>
              <w:left w:val="single" w:sz="3" w:space="0" w:color="000000"/>
              <w:bottom w:val="single" w:sz="3" w:space="0" w:color="000000"/>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familial</w:t>
            </w:r>
          </w:p>
        </w:tc>
        <w:tc>
          <w:tcPr>
            <w:tcW w:w="3029" w:type="dxa"/>
            <w:tcBorders>
              <w:top w:val="single" w:sz="4" w:space="0" w:color="auto"/>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32-2016 sur l’article 42 </w:t>
            </w:r>
            <w:r>
              <w:rPr>
                <w:rFonts w:ascii="Times New Roman" w:hAnsi="Times New Roman"/>
                <w:i/>
                <w:iCs/>
                <w:noProof/>
                <w:sz w:val="12"/>
              </w:rPr>
              <w:t>ter</w:t>
            </w:r>
            <w:r>
              <w:rPr>
                <w:rFonts w:ascii="Times New Roman" w:hAnsi="Times New Roman"/>
                <w:noProof/>
                <w:sz w:val="12"/>
              </w:rPr>
              <w:t xml:space="preserve"> relatif au congé familial</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3.6.2016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442"/>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39-2014 portant dispositions générales d’exécution des articles 43, 44, premier alinéa, et 52 – Procédure d’évaluation périodique du personnel – COMPASS («Competence and performance appraisal system») – Procédures de traitement de l’insuffisance professionnelle</w:t>
            </w:r>
          </w:p>
        </w:tc>
        <w:tc>
          <w:tcPr>
            <w:tcW w:w="1322"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9.10.2014</w:t>
            </w:r>
          </w:p>
        </w:tc>
        <w:tc>
          <w:tcPr>
            <w:tcW w:w="1687"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val="restart"/>
            <w:tcBorders>
              <w:top w:val="single" w:sz="6" w:space="0" w:color="000000"/>
              <w:left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51"/>
        </w:trPr>
        <w:tc>
          <w:tcPr>
            <w:tcW w:w="1157"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44, par. 1</w:t>
            </w:r>
          </w:p>
        </w:tc>
        <w:tc>
          <w:tcPr>
            <w:tcW w:w="2551"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Avancement d’échelon</w:t>
            </w:r>
          </w:p>
        </w:tc>
        <w:tc>
          <w:tcPr>
            <w:tcW w:w="3029"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p>
        </w:tc>
        <w:tc>
          <w:tcPr>
            <w:tcW w:w="1322"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1687"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413"/>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53-2014 relative aux promotions</w:t>
            </w:r>
          </w:p>
        </w:tc>
        <w:tc>
          <w:tcPr>
            <w:tcW w:w="1322"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11.12.2014</w:t>
            </w:r>
          </w:p>
        </w:tc>
        <w:tc>
          <w:tcPr>
            <w:tcW w:w="1687"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14.12.2020</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418"/>
        </w:trPr>
        <w:tc>
          <w:tcPr>
            <w:tcW w:w="1157" w:type="dxa"/>
            <w:vMerge/>
            <w:tcBorders>
              <w:left w:val="single" w:sz="6" w:space="0" w:color="000000"/>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26-2020 relative aux promotions</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14.12.2020</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Décision 30-2016 portant modalités d’exécution de l’article 45 </w:t>
            </w:r>
            <w:r>
              <w:rPr>
                <w:rFonts w:ascii="Times New Roman" w:hAnsi="Times New Roman"/>
                <w:i/>
                <w:iCs/>
                <w:noProof/>
                <w:sz w:val="12"/>
              </w:rPr>
              <w:t>bis</w:t>
            </w:r>
            <w:r>
              <w:rPr>
                <w:rFonts w:ascii="Times New Roman" w:hAnsi="Times New Roman"/>
                <w:noProof/>
                <w:sz w:val="12"/>
              </w:rPr>
              <w:t xml:space="preserve"> (procédure de certification pour le passage d’un groupe de fonctions à un autre)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Chapitre 4 – Cessation définitive des fonctions</w:t>
            </w:r>
          </w:p>
        </w:tc>
      </w:tr>
      <w:tr>
        <w:trPr>
          <w:trHeight w:hRule="exact" w:val="32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Section 4 – Procédures de traitement de l’insuffisance professionnelle</w:t>
            </w:r>
          </w:p>
        </w:tc>
      </w:tr>
      <w:tr>
        <w:trPr>
          <w:trHeight w:hRule="exact" w:val="818"/>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Insuffisance professionnelle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39-2014 portant dispositions générales d’exécution des articles 43, 44, premier alinéa, et 52 – Procédure d’évaluation périodique du personnel – COMPASS («Competence and performance appraisal system») – Procédures de traitement de l’insuffisance professionnelle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9.10.2014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567"/>
        </w:trPr>
        <w:tc>
          <w:tcPr>
            <w:tcW w:w="1156" w:type="dxa"/>
            <w:vMerge w:val="restart"/>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Temps de travail et télétravail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 xml:space="preserve">Décision 40-2018 relative au temps de travail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11-2017 relative au télétravail dans les services linguistiques et de traduction</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9.2.2017</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41-2018 relative au télétravail</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1.6.2019</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74-2021 relative au travail hybride</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1687" w:type="dxa"/>
            <w:tcBorders>
              <w:top w:val="single" w:sz="4" w:space="0" w:color="000000"/>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Activité à temps partiel</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23-2014 portant modalités d’exécution de l’article 55 </w:t>
            </w:r>
            <w:r>
              <w:rPr>
                <w:rFonts w:ascii="Times New Roman" w:hAnsi="Times New Roman"/>
                <w:i/>
                <w:iCs/>
                <w:noProof/>
                <w:sz w:val="12"/>
              </w:rPr>
              <w:t>bis</w:t>
            </w:r>
            <w:r>
              <w:rPr>
                <w:rFonts w:ascii="Times New Roman" w:hAnsi="Times New Roman"/>
                <w:noProof/>
                <w:sz w:val="12"/>
              </w:rPr>
              <w:t xml:space="preserve"> et de l’annexe IV </w:t>
            </w:r>
            <w:r>
              <w:rPr>
                <w:rFonts w:ascii="Times New Roman" w:hAnsi="Times New Roman"/>
                <w:i/>
                <w:iCs/>
                <w:noProof/>
                <w:sz w:val="12"/>
              </w:rPr>
              <w:t>bis</w:t>
            </w:r>
            <w:r>
              <w:rPr>
                <w:rFonts w:ascii="Times New Roman" w:hAnsi="Times New Roman"/>
                <w:noProof/>
                <w:sz w:val="12"/>
              </w:rPr>
              <w:t xml:space="preserve"> du statut relatifs au travail à temps partiel</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56b</w:t>
            </w:r>
          </w:p>
        </w:tc>
        <w:tc>
          <w:tcPr>
            <w:tcW w:w="2551" w:type="dxa"/>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rPr>
            </w:pPr>
            <w:r>
              <w:rPr>
                <w:rFonts w:ascii="Times New Roman" w:hAnsi="Times New Roman"/>
                <w:b/>
                <w:noProof/>
                <w:sz w:val="16"/>
              </w:rPr>
              <w:t>Astreintes</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Calibri" w:hAnsi="Times New Roman" w:cs="Times New Roman"/>
                <w:noProof/>
                <w:spacing w:val="-2"/>
                <w:sz w:val="12"/>
              </w:rPr>
            </w:pPr>
            <w:r>
              <w:rPr>
                <w:rFonts w:ascii="Times New Roman" w:hAnsi="Times New Roman"/>
                <w:noProof/>
                <w:sz w:val="12"/>
              </w:rPr>
              <w:t>Décision 38-2021 relative aux règles applicables au personnel appelé à effectuer des astreintes à domicile</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rPr>
            </w:pPr>
            <w:r>
              <w:rPr>
                <w:rFonts w:ascii="Times New Roman" w:hAnsi="Times New Roman"/>
                <w:noProof/>
                <w:sz w:val="12"/>
              </w:rPr>
              <w:t>2.6.2021</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val="restart"/>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56 + annexe VI</w:t>
            </w: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Heures supplémentaires</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Décision 27-2015 relative aux prestations pour les secrétaires travaillant directement </w:t>
            </w:r>
            <w:r>
              <w:rPr>
                <w:rFonts w:ascii="Times New Roman" w:hAnsi="Times New Roman"/>
                <w:noProof/>
                <w:sz w:val="12"/>
              </w:rPr>
              <w:br/>
              <w:t>pour les membres de la Cour des comptes (abrogée par la décision 56-2019 du 1.1.2020)</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56-2019 fixant les critères applicables</w:t>
            </w:r>
            <w:r>
              <w:rPr>
                <w:rFonts w:ascii="Times New Roman" w:hAnsi="Times New Roman"/>
                <w:noProof/>
                <w:sz w:val="12"/>
              </w:rPr>
              <w:br/>
            </w:r>
            <w:r>
              <w:rPr>
                <w:noProof/>
              </w:rPr>
              <w:t xml:space="preserve"> </w:t>
            </w:r>
            <w:r>
              <w:rPr>
                <w:rFonts w:ascii="Times New Roman" w:hAnsi="Times New Roman"/>
                <w:noProof/>
                <w:sz w:val="12"/>
              </w:rPr>
              <w:t>au classement en grade et en échelon des agents affectés aux cabinets des membres et du secrétaire général de la Cour</w:t>
            </w:r>
            <w:r>
              <w:rPr>
                <w:rFonts w:ascii="Times New Roman" w:hAnsi="Times New Roman"/>
                <w:noProof/>
                <w:sz w:val="12"/>
              </w:rPr>
              <w:br/>
              <w:t xml:space="preserve"> des comptes</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22-2023 établissant les critères applicables</w:t>
            </w:r>
            <w:r>
              <w:rPr>
                <w:rFonts w:ascii="Times New Roman" w:hAnsi="Times New Roman"/>
                <w:noProof/>
                <w:sz w:val="12"/>
              </w:rPr>
              <w:br/>
              <w:t xml:space="preserve"> au classement en grade et en échelon des agents affectés</w:t>
            </w:r>
            <w:r>
              <w:rPr>
                <w:rFonts w:ascii="Times New Roman" w:hAnsi="Times New Roman"/>
                <w:noProof/>
                <w:sz w:val="12"/>
              </w:rPr>
              <w:br/>
              <w:t xml:space="preserve"> aux cabinets des membres et du secrétaire général </w:t>
            </w:r>
            <w:r>
              <w:rPr>
                <w:rFonts w:ascii="Times New Roman" w:hAnsi="Times New Roman"/>
                <w:noProof/>
                <w:sz w:val="12"/>
              </w:rPr>
              <w:br/>
              <w:t>de la Cour des comptes</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7-2019 relative au paiement des indemnités forfaitaires pour les conditions de travail particulières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1.6.2019</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1.4.2023</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bookmarkStart w:id="24" w:name="_Hlk162620609"/>
            <w:r>
              <w:rPr>
                <w:rFonts w:ascii="Times New Roman" w:hAnsi="Times New Roman"/>
                <w:noProof/>
                <w:sz w:val="12"/>
              </w:rPr>
              <w:t>Décision 21-2023 relative au paiement des indemnités forfaitaires pour les conditions de travail particulières</w:t>
            </w:r>
            <w:bookmarkEnd w:id="24"/>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1.4.2023</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616"/>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bCs/>
                <w:noProof/>
                <w:sz w:val="12"/>
              </w:rPr>
            </w:pPr>
            <w:r>
              <w:rPr>
                <w:rFonts w:ascii="Times New Roman" w:hAnsi="Times New Roman"/>
                <w:b/>
                <w:bCs/>
                <w:noProof/>
                <w:sz w:val="12"/>
              </w:rPr>
              <w:t>59, paragraphe 6</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Visite médicale annuelle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48-2017 relative aux examens ophtalmologiques effectués dans le cadre d’une politique de médecine préventive et au remboursement des lunettes de travail</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15.10.2017</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before="98"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(art.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Allocation scolaire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 xml:space="preserve">Décision 4-2014 portant dispositions générales d’exécution relatives à l’octroi de l’allocation scolaire </w:t>
            </w:r>
            <w:r>
              <w:rPr>
                <w:rFonts w:ascii="Times New Roman" w:hAnsi="Times New Roman"/>
                <w:noProof/>
                <w:sz w:val="12"/>
              </w:rPr>
              <w:br/>
              <w:t>(article 3 de l’annexe VII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annexe VII </w:t>
            </w:r>
            <w:r>
              <w:rPr>
                <w:rFonts w:ascii="Times New Roman" w:hAnsi="Times New Roman"/>
                <w:b/>
                <w:noProof/>
                <w:sz w:val="12"/>
              </w:rPr>
              <w:br/>
              <w:t>(art. 7 et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Décision 2-2014 portant dispositions générales d’exécution de l’article 8 de l’annexe 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Lieu d’origine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Décision 3-2014 portant dispositions générales d’exécution de l’article 7, paragraphe 4, de l’annexe VII relatif à la fixation</w:t>
            </w:r>
            <w:r>
              <w:rPr>
                <w:rFonts w:ascii="Times New Roman" w:hAnsi="Times New Roman"/>
                <w:noProof/>
                <w:sz w:val="12"/>
              </w:rPr>
              <w:br/>
              <w:t xml:space="preserve"> du lieu d’origine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9)</w:t>
            </w:r>
          </w:p>
        </w:tc>
        <w:tc>
          <w:tcPr>
            <w:tcW w:w="2551"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Décision 5-2014 portant dispositions générales d’exécution</w:t>
            </w:r>
            <w:r>
              <w:rPr>
                <w:rFonts w:ascii="Times New Roman" w:hAnsi="Times New Roman"/>
                <w:noProof/>
                <w:sz w:val="12"/>
              </w:rPr>
              <w:br/>
              <w:t xml:space="preserve"> relatives aux frais de déménagement</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11 à 13 </w:t>
            </w:r>
            <w:r>
              <w:rPr>
                <w:rFonts w:ascii="Times New Roman" w:hAnsi="Times New Roman"/>
                <w:b/>
                <w:i/>
                <w:iCs/>
                <w:noProof/>
                <w:sz w:val="12"/>
              </w:rPr>
              <w:t>bis</w:t>
            </w:r>
            <w:r>
              <w:rPr>
                <w:rFonts w:ascii="Times New Roman" w:hAnsi="Times New Roman"/>
                <w:b/>
                <w:noProof/>
                <w:sz w:val="12"/>
              </w:rPr>
              <w:t>)</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Décision 60-2004 portant dispositions générales d’exécution relatives au remboursement des frais de mission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54"/>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Décision 50-2019 portant réglementation pour le remboursement des frais de voyage et de séjour des candidats invités à prendre part aux tests organisés dans le cadre d’un concours ou d’une vacance d’emploi,</w:t>
            </w:r>
            <w:r>
              <w:rPr>
                <w:rFonts w:ascii="Times New Roman" w:hAnsi="Times New Roman"/>
                <w:noProof/>
                <w:sz w:val="12"/>
              </w:rPr>
              <w:br/>
              <w:t xml:space="preserve"> ou convoqués pour entretien et/ou visite médicale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1.11.2019</w:t>
            </w:r>
          </w:p>
        </w:tc>
        <w:tc>
          <w:tcPr>
            <w:tcW w:w="1687"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annexes VIII et XIII – Pensions et allocation d’invalidité</w:t>
            </w:r>
          </w:p>
        </w:tc>
      </w:tr>
      <w:tr>
        <w:trPr>
          <w:trHeight w:hRule="exact" w:val="584"/>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annexe VIII </w:t>
            </w:r>
            <w:r>
              <w:rPr>
                <w:rFonts w:ascii="Times New Roman" w:hAnsi="Times New Roman"/>
                <w:b/>
                <w:noProof/>
                <w:sz w:val="12"/>
              </w:rPr>
              <w:br/>
              <w:t>(art. 11 et 12)</w:t>
            </w:r>
          </w:p>
        </w:tc>
        <w:tc>
          <w:tcPr>
            <w:tcW w:w="2551"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Transfert des droits à pension</w:t>
            </w:r>
          </w:p>
        </w:tc>
        <w:tc>
          <w:tcPr>
            <w:tcW w:w="3029"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69-2011 portant dispositions générales d’exécution</w:t>
            </w:r>
            <w:r>
              <w:rPr>
                <w:rFonts w:ascii="Times New Roman" w:hAnsi="Times New Roman"/>
                <w:noProof/>
                <w:sz w:val="12"/>
              </w:rPr>
              <w:br/>
              <w:t xml:space="preserve"> des articles 11 et 12 de l’annexe VIII relatifs au transfert </w:t>
            </w:r>
            <w:r>
              <w:rPr>
                <w:rFonts w:ascii="Times New Roman" w:hAnsi="Times New Roman"/>
                <w:noProof/>
                <w:sz w:val="12"/>
              </w:rPr>
              <w:br/>
              <w:t>des droits à pension</w:t>
            </w:r>
          </w:p>
        </w:tc>
        <w:tc>
          <w:tcPr>
            <w:tcW w:w="1322"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30.11.2011</w:t>
            </w:r>
          </w:p>
        </w:tc>
        <w:tc>
          <w:tcPr>
            <w:tcW w:w="1687"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4" w:space="0" w:color="000000"/>
              <w:bottom w:val="single" w:sz="5"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               Titre VI – Du régime disciplinaire</w:t>
            </w:r>
          </w:p>
        </w:tc>
      </w:tr>
      <w:tr>
        <w:trPr>
          <w:trHeight w:hRule="exact" w:val="567"/>
        </w:trPr>
        <w:tc>
          <w:tcPr>
            <w:tcW w:w="1156" w:type="dxa"/>
            <w:vMerge w:val="restart"/>
            <w:tcBorders>
              <w:left w:val="single" w:sz="4"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86 + annexe IX</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disciplinaires et enquêtes administratives</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78-2006 de la Cour des comptes portant modalités d’exécution de l’annexe IX du statut relative aux procédures disciplinaires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8.11.2006</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99-2007 de la Cour des comptes portant dispositions générales d’exécution relatives à la conduite des enquêtes administratives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rPr>
            </w:pPr>
            <w:r>
              <w:rPr>
                <w:rFonts w:ascii="Times New Roman" w:hAnsi="Times New Roman"/>
                <w:noProof/>
                <w:sz w:val="12"/>
              </w:rPr>
              <w:t>12.12.2007</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II – Agents temporaires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 paragraphe 5</w:t>
            </w:r>
          </w:p>
        </w:tc>
        <w:tc>
          <w:tcPr>
            <w:tcW w:w="2551" w:type="dxa"/>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de recrutement des agents temporaires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34-2014 instituant les règles applicables à la sélection et au recrutement des agents temporaires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18.9.2014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b/>
                <w:bCs/>
                <w:noProof/>
                <w:sz w:val="12"/>
                <w:szCs w:val="12"/>
              </w:rPr>
            </w:pPr>
            <w:r>
              <w:rPr>
                <w:rFonts w:ascii="Times New Roman" w:hAnsi="Times New Roman"/>
                <w:b/>
                <w:bCs/>
                <w:noProof/>
                <w:sz w:val="12"/>
              </w:rPr>
              <w:t>15</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6-2014 portant dispositions générales d’exécution relatives aux critères applicables au classement en échelon lors de la nomination ou de l’engagement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lastRenderedPageBreak/>
              <w:t xml:space="preserve">                                                                                        Chapitre 1 – Dispositions générales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19-2014 de la Cour des comptes portant dispositions générales d’exécution relatives aux procédures régissant l’engagement et l’emploi des agents contractuels à la Cour des comptes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Procédures de recrutement des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Décision 19-2014 de la Cour des comptes portant dispositions générales d’exécution relatives aux procédures régissant l’engagement et l’emploi des agents contractuels à la Cour des comptes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19-2014 de la Cour des comptes portant dispositions générales d’exécution relatives aux procédures régissant l’engagement et l’emploi des agents contractuels à la Cour des comptes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4624"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831448739" name="Rectangle 831448739"/>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31448739" o:spid="_x0000_s1028" style="position:absolute;margin-left:178.4pt;margin-top:17.9pt;width:156.2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DjQwAIAABMGAAAOAAAAZHJzL2Uyb0RvYy54bWysVNtu2zAMfR+wfxD0vjpOkzU16hRBiw4D&#10;urZoO/RZkaXYgG6TlNjZ14+SbCftbsCwF1vi5ZA8Inlx2UmBdsy6RqsS5ycTjJiiumrUpsRfn28+&#10;LDBynqiKCK1YiffM4cvl+3cXrSnYVNdaVMwiAFGuaE2Ja+9NkWWO1kwSd6INU6Dk2kri4Wo3WWVJ&#10;C+hSZNPJ5GPWalsZqylzDqTXSYmXEZ9zRv095455JEoMufn4tfG7Dt9seUGKjSWmbmifBvmHLCRp&#10;FAQdoa6JJ2hrm5+gZEOtdpr7E6plpjlvKIs1QDX55E01TzUxLNYC5Dgz0uT+Hyy92z1Y1FQlXpzm&#10;s9ni7PQcI0UkPNUjkEfURjB0UAFdrXEFeD2ZB9vfHBxD7R23MvyhKtRFivcjxazziIIwP1+czmdz&#10;jCjoZvMzeMPwBtnB21jnPzEtUTiU2EIWkVmyu3U+mQ4mIZjToqluGiHiJbQNuxIW7Qg8uO+m0VVs&#10;5RddJRkETCFJAWJojiReDGLIJDZfQIl5vQogFGqhiOkZYPw9et6XdgQB8EIBbmAx8RZPfi9YwBPq&#10;kXF4DmAqpT7mktIklDLl8xS7JhVL4vlvs4+AAZkDRSN2D/CarQE7cdzbB1cW52h07iv/k/PoESNr&#10;5Udn2ShtU/qvAQRU1UdO9gNJiZrAku/WXWzVabAMkrWu9tC+Vqe5dobeNNA1t8T5B2JhkGHkYTn5&#10;e/hwoeHpdH/CqNb2+6/kwR7mC7QYtbAYSuy+bYllGInPCibvHMYkbJJ4iR2MkT3WrI81aiuvNLRi&#10;DmvQ0HgEZ+vFcORWyxfYYasQFVREUYhdYurtcLnyaWHBFqRstYpmsD0M8bfqydAAHngOU/HcvRBr&#10;+tHxMHR3elgipHgzQck2eCq92nrNmzheB177F4DNEweh35JhtR3fo9Vhly9/AAAA//8DAFBLAwQU&#10;AAYACAAAACEAtXD7Ut8AAAAKAQAADwAAAGRycy9kb3ducmV2LnhtbEyPwU7DMAyG70i8Q2Qkbixl&#10;aGErTSc0DQG7IMZQr25j2oomqZqsK2+Pd4KTbfnT78/ZerKdGGkIrXcabmcJCHKVN62rNRw+nm6W&#10;IEJEZ7DzjjT8UIB1fnmRYWr8yb3TuI+14BAXUtTQxNinUoaqIYth5ntyvPvyg8XI41BLM+CJw20n&#10;50mipMXW8YUGe9o0VH3vj1YDbl6L510zvqjF51tR1WpblGGr9fXV9PgAItIU/2A467M65OxU+qMz&#10;QXQa7haK1eO54cqAUqs5iJLJ5H4JMs/k/xfyXwAAAP//AwBQSwECLQAUAAYACAAAACEAtoM4kv4A&#10;AADhAQAAEwAAAAAAAAAAAAAAAAAAAAAAW0NvbnRlbnRfVHlwZXNdLnhtbFBLAQItABQABgAIAAAA&#10;IQA4/SH/1gAAAJQBAAALAAAAAAAAAAAAAAAAAC8BAABfcmVscy8ucmVsc1BLAQItABQABgAIAAAA&#10;IQD0wDjQwAIAABMGAAAOAAAAAAAAAAAAAAAAAC4CAABkcnMvZTJvRG9jLnhtbFBLAQItABQABgAI&#10;AAAAIQC1cPtS3wAAAAoBAAAPAAAAAAAAAAAAAAAAABoFAABkcnMvZG93bnJldi54bWxQSwUGAAAA&#10;AAQABADzAAAAJgYA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widowControl w:val="0"/>
        <w:spacing w:after="0" w:line="240" w:lineRule="auto"/>
        <w:jc w:val="center"/>
        <w:rPr>
          <w:rFonts w:ascii="Times New Roman" w:eastAsia="Times New Roman" w:hAnsi="Times New Roman" w:cs="Times New Roman"/>
          <w:noProof/>
          <w:sz w:val="20"/>
          <w:szCs w:val="20"/>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8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lastRenderedPageBreak/>
              <w:t>SERVICE EUROPÉEN</w:t>
            </w:r>
            <w:r>
              <w:rPr>
                <w:rFonts w:ascii="Times New Roman" w:hAnsi="Times New Roman"/>
                <w:b/>
                <w:noProof/>
                <w:sz w:val="50"/>
              </w:rPr>
              <w:br/>
              <w:t xml:space="preserve"> POUR L’ACTION EXTÉRIEURE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paragraphe 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013 – Décision du Conseil du 29 avril 2004 portant adoption des dispositions générales d’exécution relatives à l’article 1</w:t>
            </w:r>
            <w:r>
              <w:rPr>
                <w:rFonts w:ascii="Times New Roman" w:hAnsi="Times New Roman"/>
                <w:noProof/>
                <w:sz w:val="12"/>
                <w:vertAlign w:val="superscript"/>
              </w:rPr>
              <w:t>er</w:t>
            </w:r>
            <w:r>
              <w:rPr>
                <w:rFonts w:ascii="Times New Roman" w:hAnsi="Times New Roman"/>
                <w:noProof/>
                <w:sz w:val="12"/>
              </w:rPr>
              <w:t> </w:t>
            </w:r>
            <w:r>
              <w:rPr>
                <w:rFonts w:ascii="Times New Roman" w:hAnsi="Times New Roman"/>
                <w:i/>
                <w:iCs/>
                <w:noProof/>
                <w:sz w:val="12"/>
              </w:rPr>
              <w:t>quinquies</w:t>
            </w:r>
            <w:r>
              <w:rPr>
                <w:rFonts w:ascii="Times New Roman" w:hAnsi="Times New Roman"/>
                <w:noProof/>
                <w:sz w:val="12"/>
              </w:rPr>
              <w:t>, paragraphe 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Mesures à caractère social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C(2013) 4876 final – Décision de la Commission relative aux orientations concernant l’aide à la dépendance et la surveillance d’enfant malade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25.4.2013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Pouvoirs de l’AIPN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HR DEC(2012) 012 – Décision relative à la délégation et à la subdélégation </w:t>
            </w:r>
            <w:r>
              <w:rPr>
                <w:rFonts w:ascii="Times New Roman" w:hAnsi="Times New Roman"/>
                <w:noProof/>
                <w:sz w:val="12"/>
              </w:rPr>
              <w:br/>
              <w:t>des pouvoirs de l’AIPN/AHCC au sein du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18.10.2012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EEAS DEC(2014) 001 – Décision relative à la subdélégation </w:t>
            </w:r>
            <w:r>
              <w:rPr>
                <w:rFonts w:ascii="Times New Roman" w:hAnsi="Times New Roman"/>
                <w:noProof/>
                <w:sz w:val="12"/>
              </w:rPr>
              <w:br/>
              <w:t>des pouvoirs de l’AIPN/AHCC au sein du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7.1.2014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ADMIN(2015) 33 – Décision relative à l’exercice, à la délégation et à la subdélégation des pouvoirs concernant les questions de personnel et les affaires financières et administratives au sein du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14.9.2015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ADMIN(2015) 35 – Décision relative à l’exercice et à la subdélégation des pouvoirs dévolus à l’AIPN et à l’AHCC</w:t>
            </w:r>
            <w:r>
              <w:rPr>
                <w:rFonts w:ascii="Times New Roman" w:hAnsi="Times New Roman"/>
                <w:noProof/>
                <w:sz w:val="12"/>
              </w:rPr>
              <w:br/>
              <w:t xml:space="preserve"> par le statut et par le RAA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15.11.2019</w:t>
            </w:r>
          </w:p>
        </w:tc>
        <w:tc>
          <w:tcPr>
            <w:tcW w:w="936" w:type="dxa"/>
            <w:vMerge w:val="restart"/>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 xml:space="preserve">ADMIN(2019) 31 </w:t>
            </w:r>
            <w:r>
              <w:rPr>
                <w:rFonts w:ascii="Times New Roman" w:hAnsi="Calibri"/>
                <w:noProof/>
                <w:sz w:val="12"/>
              </w:rPr>
              <w:t>–</w:t>
            </w:r>
            <w:r>
              <w:rPr>
                <w:rFonts w:ascii="Times New Roman" w:hAnsi="Calibri"/>
                <w:noProof/>
                <w:sz w:val="12"/>
              </w:rPr>
              <w:t xml:space="preserve"> D</w:t>
            </w:r>
            <w:r>
              <w:rPr>
                <w:rFonts w:ascii="Times New Roman" w:hAnsi="Calibri"/>
                <w:noProof/>
                <w:sz w:val="12"/>
              </w:rPr>
              <w:t>é</w:t>
            </w:r>
            <w:r>
              <w:rPr>
                <w:rFonts w:ascii="Times New Roman" w:hAnsi="Calibri"/>
                <w:noProof/>
                <w:sz w:val="12"/>
              </w:rPr>
              <w:t>cision du secr</w:t>
            </w:r>
            <w:r>
              <w:rPr>
                <w:rFonts w:ascii="Times New Roman" w:hAnsi="Calibri"/>
                <w:noProof/>
                <w:sz w:val="12"/>
              </w:rPr>
              <w:t>é</w:t>
            </w:r>
            <w:r>
              <w:rPr>
                <w:rFonts w:ascii="Times New Roman" w:hAnsi="Calibri"/>
                <w:noProof/>
                <w:sz w:val="12"/>
              </w:rPr>
              <w:t>taire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 xml:space="preserve">ral </w:t>
            </w:r>
            <w:r>
              <w:rPr>
                <w:rFonts w:ascii="Times New Roman" w:hAnsi="Calibri"/>
                <w:noProof/>
                <w:sz w:val="12"/>
              </w:rPr>
              <w:br/>
              <w:t xml:space="preserve">du SEAE relative </w:t>
            </w:r>
            <w:r>
              <w:rPr>
                <w:rFonts w:ascii="Times New Roman" w:hAnsi="Calibri"/>
                <w:noProof/>
                <w:sz w:val="12"/>
              </w:rPr>
              <w:t>à</w:t>
            </w:r>
            <w:r>
              <w:rPr>
                <w:rFonts w:ascii="Times New Roman" w:hAnsi="Calibri"/>
                <w:noProof/>
                <w:sz w:val="12"/>
              </w:rPr>
              <w:t xml:space="preserve"> la subd</w:t>
            </w:r>
            <w:r>
              <w:rPr>
                <w:rFonts w:ascii="Times New Roman" w:hAnsi="Calibri"/>
                <w:noProof/>
                <w:sz w:val="12"/>
              </w:rPr>
              <w:t>é</w:t>
            </w:r>
            <w:r>
              <w:rPr>
                <w:rFonts w:ascii="Times New Roman" w:hAnsi="Calibri"/>
                <w:noProof/>
                <w:sz w:val="12"/>
              </w:rPr>
              <w:t>l</w:t>
            </w:r>
            <w:r>
              <w:rPr>
                <w:rFonts w:ascii="Times New Roman" w:hAnsi="Calibri"/>
                <w:noProof/>
                <w:sz w:val="12"/>
              </w:rPr>
              <w:t>é</w:t>
            </w:r>
            <w:r>
              <w:rPr>
                <w:rFonts w:ascii="Times New Roman" w:hAnsi="Calibri"/>
                <w:noProof/>
                <w:sz w:val="12"/>
              </w:rPr>
              <w:t>gation des pouvoirs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15.11.2019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Cs/>
                <w:noProof/>
                <w:w w:val="105"/>
                <w:sz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bCs/>
                <w:noProof/>
                <w:spacing w:val="-1"/>
                <w:w w:val="105"/>
                <w:sz w:val="12"/>
              </w:rPr>
            </w:pPr>
            <w:r>
              <w:rPr>
                <w:rFonts w:ascii="Times New Roman" w:hAnsi="Calibri"/>
                <w:noProof/>
                <w:sz w:val="12"/>
              </w:rPr>
              <w:t>D</w:t>
            </w:r>
            <w:r>
              <w:rPr>
                <w:rFonts w:ascii="Times New Roman" w:hAnsi="Calibri"/>
                <w:noProof/>
                <w:sz w:val="12"/>
              </w:rPr>
              <w:t>é</w:t>
            </w:r>
            <w:r>
              <w:rPr>
                <w:rFonts w:ascii="Times New Roman" w:hAnsi="Calibri"/>
                <w:noProof/>
                <w:sz w:val="12"/>
              </w:rPr>
              <w:t>cision du secr</w:t>
            </w:r>
            <w:r>
              <w:rPr>
                <w:rFonts w:ascii="Times New Roman" w:hAnsi="Calibri"/>
                <w:noProof/>
                <w:sz w:val="12"/>
              </w:rPr>
              <w:t>é</w:t>
            </w:r>
            <w:r>
              <w:rPr>
                <w:rFonts w:ascii="Times New Roman" w:hAnsi="Calibri"/>
                <w:noProof/>
                <w:sz w:val="12"/>
              </w:rPr>
              <w:t>taire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SEAE du 9.12.2022 relative aux pouvoirs de l</w:t>
            </w:r>
            <w:r>
              <w:rPr>
                <w:rFonts w:ascii="Times New Roman" w:hAnsi="Calibri"/>
                <w:noProof/>
                <w:sz w:val="12"/>
              </w:rPr>
              <w:t>’</w:t>
            </w:r>
            <w:r>
              <w:rPr>
                <w:rFonts w:ascii="Times New Roman" w:hAnsi="Calibri"/>
                <w:noProof/>
                <w:sz w:val="12"/>
              </w:rPr>
              <w:t xml:space="preserve">AIPN/AHCC </w:t>
            </w:r>
            <w:r>
              <w:rPr>
                <w:rFonts w:ascii="Times New Roman" w:hAnsi="Calibri"/>
                <w:noProof/>
                <w:sz w:val="12"/>
              </w:rPr>
              <w:t>–</w:t>
            </w:r>
            <w:r>
              <w:rPr>
                <w:rFonts w:ascii="Times New Roman" w:hAnsi="Calibri"/>
                <w:noProof/>
                <w:sz w:val="12"/>
              </w:rPr>
              <w:t xml:space="preserve"> Dispositions transitoires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bCs/>
                <w:noProof/>
                <w:w w:val="105"/>
                <w:sz w:val="12"/>
              </w:rPr>
            </w:pPr>
            <w:r>
              <w:rPr>
                <w:rFonts w:ascii="Times New Roman" w:hAnsi="Times New Roman"/>
                <w:noProof/>
                <w:sz w:val="12"/>
              </w:rPr>
              <w:t>9.12.2022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 consultatif des nominations (CCN)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ADMIN(2023) 25 – Décision relative au comité consultatif des nominations au Service européen pour l’action extérieure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11.7.2023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5 + annexe 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Emplois types et intitulés d’emploi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 002 – Décision C(2008) 5028 de la Commission concernant le personnel d’encadrement intermédiaire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 002 – Décision C(2008) 5029 de la Commission relative à la fonction de conseiller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7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45" w:after="0" w:line="271" w:lineRule="auto"/>
              <w:ind w:right="28"/>
              <w:jc w:val="center"/>
              <w:rPr>
                <w:rFonts w:ascii="Times New Roman" w:eastAsia="Calibri" w:hAnsi="Calibri" w:cs="Times New Roman"/>
                <w:noProof/>
                <w:spacing w:val="-1"/>
                <w:w w:val="105"/>
                <w:sz w:val="12"/>
              </w:rPr>
            </w:pPr>
            <w:r>
              <w:rPr>
                <w:rFonts w:ascii="Times New Roman" w:hAnsi="Calibri"/>
                <w:noProof/>
                <w:sz w:val="12"/>
              </w:rPr>
              <w:t xml:space="preserve">ADMIN(2018) 2 </w:t>
            </w:r>
            <w:r>
              <w:rPr>
                <w:rFonts w:ascii="Times New Roman" w:hAnsi="Calibri"/>
                <w:noProof/>
                <w:sz w:val="12"/>
              </w:rPr>
              <w:t>–</w:t>
            </w:r>
            <w:r>
              <w:rPr>
                <w:rFonts w:ascii="Times New Roman" w:hAnsi="Calibri"/>
                <w:noProof/>
                <w:sz w:val="12"/>
              </w:rPr>
              <w:t xml:space="preserve"> D</w:t>
            </w:r>
            <w:r>
              <w:rPr>
                <w:rFonts w:ascii="Times New Roman" w:hAnsi="Calibri"/>
                <w:noProof/>
                <w:sz w:val="12"/>
              </w:rPr>
              <w:t>é</w:t>
            </w:r>
            <w:r>
              <w:rPr>
                <w:rFonts w:ascii="Times New Roman" w:hAnsi="Calibri"/>
                <w:noProof/>
                <w:sz w:val="12"/>
              </w:rPr>
              <w:t>cision de la haute repr</w:t>
            </w:r>
            <w:r>
              <w:rPr>
                <w:rFonts w:ascii="Times New Roman" w:hAnsi="Calibri"/>
                <w:noProof/>
                <w:sz w:val="12"/>
              </w:rPr>
              <w:t>é</w:t>
            </w:r>
            <w:r>
              <w:rPr>
                <w:rFonts w:ascii="Times New Roman" w:hAnsi="Calibri"/>
                <w:noProof/>
                <w:sz w:val="12"/>
              </w:rPr>
              <w:t>sentante</w:t>
            </w:r>
            <w:r>
              <w:rPr>
                <w:rFonts w:ascii="Times New Roman" w:hAnsi="Calibri"/>
                <w:noProof/>
                <w:sz w:val="12"/>
              </w:rPr>
              <w:br/>
              <w:t xml:space="preserve"> de l</w:t>
            </w:r>
            <w:r>
              <w:rPr>
                <w:rFonts w:ascii="Times New Roman" w:hAnsi="Calibri"/>
                <w:noProof/>
                <w:sz w:val="12"/>
              </w:rPr>
              <w:t>’</w:t>
            </w:r>
            <w:r>
              <w:rPr>
                <w:rFonts w:ascii="Times New Roman" w:hAnsi="Calibri"/>
                <w:noProof/>
                <w:sz w:val="12"/>
              </w:rPr>
              <w:t xml:space="preserve">Union pour les affaires </w:t>
            </w:r>
            <w:r>
              <w:rPr>
                <w:rFonts w:ascii="Times New Roman" w:hAnsi="Calibri"/>
                <w:noProof/>
                <w:sz w:val="12"/>
              </w:rPr>
              <w:t>é</w:t>
            </w:r>
            <w:r>
              <w:rPr>
                <w:rFonts w:ascii="Times New Roman" w:hAnsi="Calibri"/>
                <w:noProof/>
                <w:sz w:val="12"/>
              </w:rPr>
              <w:t>trang</w:t>
            </w:r>
            <w:r>
              <w:rPr>
                <w:rFonts w:ascii="Times New Roman" w:hAnsi="Calibri"/>
                <w:noProof/>
                <w:sz w:val="12"/>
              </w:rPr>
              <w:t>è</w:t>
            </w:r>
            <w:r>
              <w:rPr>
                <w:rFonts w:ascii="Times New Roman" w:hAnsi="Calibri"/>
                <w:noProof/>
                <w:sz w:val="12"/>
              </w:rPr>
              <w:t>res et la politique de s</w:t>
            </w:r>
            <w:r>
              <w:rPr>
                <w:rFonts w:ascii="Times New Roman" w:hAnsi="Calibri"/>
                <w:noProof/>
                <w:sz w:val="12"/>
              </w:rPr>
              <w:t>é</w:t>
            </w:r>
            <w:r>
              <w:rPr>
                <w:rFonts w:ascii="Times New Roman" w:hAnsi="Calibri"/>
                <w:noProof/>
                <w:sz w:val="12"/>
              </w:rPr>
              <w:t>curit</w:t>
            </w:r>
            <w:r>
              <w:rPr>
                <w:rFonts w:ascii="Times New Roman" w:hAnsi="Calibri"/>
                <w:noProof/>
                <w:sz w:val="12"/>
              </w:rPr>
              <w:t>é</w:t>
            </w:r>
            <w:r>
              <w:rPr>
                <w:rFonts w:ascii="Times New Roman" w:hAnsi="Calibri"/>
                <w:noProof/>
                <w:sz w:val="12"/>
              </w:rPr>
              <w:t xml:space="preserve"> </w:t>
            </w:r>
            <w:r>
              <w:rPr>
                <w:rFonts w:ascii="Times New Roman" w:hAnsi="Calibri"/>
                <w:noProof/>
                <w:sz w:val="12"/>
              </w:rPr>
              <w:br/>
              <w:t>relative aux emplois types et aux intitul</w:t>
            </w:r>
            <w:r>
              <w:rPr>
                <w:rFonts w:ascii="Times New Roman" w:hAnsi="Calibri"/>
                <w:noProof/>
                <w:sz w:val="12"/>
              </w:rPr>
              <w:t>é</w:t>
            </w:r>
            <w:r>
              <w:rPr>
                <w:rFonts w:ascii="Times New Roman" w:hAnsi="Calibri"/>
                <w:noProof/>
                <w:sz w:val="12"/>
              </w:rPr>
              <w:t>s d</w:t>
            </w:r>
            <w:r>
              <w:rPr>
                <w:rFonts w:ascii="Times New Roman" w:hAnsi="Calibri"/>
                <w:noProof/>
                <w:sz w:val="12"/>
              </w:rPr>
              <w:t>’</w:t>
            </w:r>
            <w:r>
              <w:rPr>
                <w:rFonts w:ascii="Times New Roman" w:hAnsi="Calibri"/>
                <w:noProof/>
                <w:sz w:val="12"/>
              </w:rPr>
              <w:t>emploi</w:t>
            </w:r>
            <w:r>
              <w:rPr>
                <w:rFonts w:ascii="Times New Roman" w:hAnsi="Calibri"/>
                <w:noProof/>
                <w:sz w:val="12"/>
              </w:rPr>
              <w:br/>
              <w:t xml:space="preserve">ADMIN(2023) 26 </w:t>
            </w:r>
            <w:r>
              <w:rPr>
                <w:rFonts w:ascii="Times New Roman" w:hAnsi="Calibri"/>
                <w:noProof/>
                <w:sz w:val="12"/>
              </w:rPr>
              <w:t>–</w:t>
            </w:r>
            <w:r>
              <w:rPr>
                <w:rFonts w:ascii="Times New Roman" w:hAnsi="Calibri"/>
                <w:noProof/>
                <w:sz w:val="12"/>
              </w:rPr>
              <w:t xml:space="preserve"> D</w:t>
            </w:r>
            <w:r>
              <w:rPr>
                <w:rFonts w:ascii="Times New Roman" w:hAnsi="Calibri"/>
                <w:noProof/>
                <w:sz w:val="12"/>
              </w:rPr>
              <w:t>é</w:t>
            </w:r>
            <w:r>
              <w:rPr>
                <w:rFonts w:ascii="Times New Roman" w:hAnsi="Calibri"/>
                <w:noProof/>
                <w:sz w:val="12"/>
              </w:rPr>
              <w:t>cision du secr</w:t>
            </w:r>
            <w:r>
              <w:rPr>
                <w:rFonts w:ascii="Times New Roman" w:hAnsi="Calibri"/>
                <w:noProof/>
                <w:sz w:val="12"/>
              </w:rPr>
              <w:t>é</w:t>
            </w:r>
            <w:r>
              <w:rPr>
                <w:rFonts w:ascii="Times New Roman" w:hAnsi="Calibri"/>
                <w:noProof/>
                <w:sz w:val="12"/>
              </w:rPr>
              <w:t>taire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 du Service europ</w:t>
            </w:r>
            <w:r>
              <w:rPr>
                <w:rFonts w:ascii="Times New Roman" w:hAnsi="Calibri"/>
                <w:noProof/>
                <w:sz w:val="12"/>
              </w:rPr>
              <w:t>é</w:t>
            </w:r>
            <w:r>
              <w:rPr>
                <w:rFonts w:ascii="Times New Roman" w:hAnsi="Calibri"/>
                <w:noProof/>
                <w:sz w:val="12"/>
              </w:rPr>
              <w:t>en pour l</w:t>
            </w:r>
            <w:r>
              <w:rPr>
                <w:rFonts w:ascii="Times New Roman" w:hAnsi="Calibri"/>
                <w:noProof/>
                <w:sz w:val="12"/>
              </w:rPr>
              <w:t>’</w:t>
            </w:r>
            <w:r>
              <w:rPr>
                <w:rFonts w:ascii="Times New Roman" w:hAnsi="Calibri"/>
                <w:noProof/>
                <w:sz w:val="12"/>
              </w:rPr>
              <w:t>action ext</w:t>
            </w:r>
            <w:r>
              <w:rPr>
                <w:rFonts w:ascii="Times New Roman" w:hAnsi="Calibri"/>
                <w:noProof/>
                <w:sz w:val="12"/>
              </w:rPr>
              <w:t>é</w:t>
            </w:r>
            <w:r>
              <w:rPr>
                <w:rFonts w:ascii="Times New Roman" w:hAnsi="Calibri"/>
                <w:noProof/>
                <w:sz w:val="12"/>
              </w:rPr>
              <w:t>rieure du 20.7.2023 rempla</w:t>
            </w:r>
            <w:r>
              <w:rPr>
                <w:rFonts w:ascii="Times New Roman" w:hAnsi="Calibri"/>
                <w:noProof/>
                <w:sz w:val="12"/>
              </w:rPr>
              <w:t>ç</w:t>
            </w:r>
            <w:r>
              <w:rPr>
                <w:rFonts w:ascii="Times New Roman" w:hAnsi="Calibri"/>
                <w:noProof/>
                <w:sz w:val="12"/>
              </w:rPr>
              <w:t>ant l</w:t>
            </w:r>
            <w:r>
              <w:rPr>
                <w:rFonts w:ascii="Times New Roman" w:hAnsi="Calibri"/>
                <w:noProof/>
                <w:sz w:val="12"/>
              </w:rPr>
              <w:t>’</w:t>
            </w:r>
            <w:r>
              <w:rPr>
                <w:rFonts w:ascii="Times New Roman" w:hAnsi="Calibri"/>
                <w:noProof/>
                <w:sz w:val="12"/>
              </w:rPr>
              <w:t>annexe de la d</w:t>
            </w:r>
            <w:r>
              <w:rPr>
                <w:rFonts w:ascii="Times New Roman" w:hAnsi="Calibri"/>
                <w:noProof/>
                <w:sz w:val="12"/>
              </w:rPr>
              <w:t>é</w:t>
            </w:r>
            <w:r>
              <w:rPr>
                <w:rFonts w:ascii="Times New Roman" w:hAnsi="Calibri"/>
                <w:noProof/>
                <w:sz w:val="12"/>
              </w:rPr>
              <w:t>cision ADMIN(2018) 2 de la haute repr</w:t>
            </w:r>
            <w:r>
              <w:rPr>
                <w:rFonts w:ascii="Times New Roman" w:hAnsi="Calibri"/>
                <w:noProof/>
                <w:sz w:val="12"/>
              </w:rPr>
              <w:t>é</w:t>
            </w:r>
            <w:r>
              <w:rPr>
                <w:rFonts w:ascii="Times New Roman" w:hAnsi="Calibri"/>
                <w:noProof/>
                <w:sz w:val="12"/>
              </w:rPr>
              <w:t>sentante de l</w:t>
            </w:r>
            <w:r>
              <w:rPr>
                <w:rFonts w:ascii="Times New Roman" w:hAnsi="Calibri"/>
                <w:noProof/>
                <w:sz w:val="12"/>
              </w:rPr>
              <w:t>’</w:t>
            </w:r>
            <w:r>
              <w:rPr>
                <w:rFonts w:ascii="Times New Roman" w:hAnsi="Calibri"/>
                <w:noProof/>
                <w:sz w:val="12"/>
              </w:rPr>
              <w:t xml:space="preserve">Union pour les affaires </w:t>
            </w:r>
            <w:r>
              <w:rPr>
                <w:rFonts w:ascii="Times New Roman" w:hAnsi="Calibri"/>
                <w:noProof/>
                <w:sz w:val="12"/>
              </w:rPr>
              <w:t>é</w:t>
            </w:r>
            <w:r>
              <w:rPr>
                <w:rFonts w:ascii="Times New Roman" w:hAnsi="Calibri"/>
                <w:noProof/>
                <w:sz w:val="12"/>
              </w:rPr>
              <w:t>trang</w:t>
            </w:r>
            <w:r>
              <w:rPr>
                <w:rFonts w:ascii="Times New Roman" w:hAnsi="Calibri"/>
                <w:noProof/>
                <w:sz w:val="12"/>
              </w:rPr>
              <w:t>è</w:t>
            </w:r>
            <w:r>
              <w:rPr>
                <w:rFonts w:ascii="Times New Roman" w:hAnsi="Calibri"/>
                <w:noProof/>
                <w:sz w:val="12"/>
              </w:rPr>
              <w:t>res et la politique de s</w:t>
            </w:r>
            <w:r>
              <w:rPr>
                <w:rFonts w:ascii="Times New Roman" w:hAnsi="Calibri"/>
                <w:noProof/>
                <w:sz w:val="12"/>
              </w:rPr>
              <w:t>é</w:t>
            </w:r>
            <w:r>
              <w:rPr>
                <w:rFonts w:ascii="Times New Roman" w:hAnsi="Calibri"/>
                <w:noProof/>
                <w:sz w:val="12"/>
              </w:rPr>
              <w:t>curit</w:t>
            </w:r>
            <w:r>
              <w:rPr>
                <w:rFonts w:ascii="Times New Roman" w:hAnsi="Calibri"/>
                <w:noProof/>
                <w:sz w:val="12"/>
              </w:rPr>
              <w:t>é</w:t>
            </w:r>
            <w:r>
              <w:rPr>
                <w:rFonts w:ascii="Times New Roman" w:hAnsi="Calibri"/>
                <w:noProof/>
                <w:sz w:val="12"/>
              </w:rPr>
              <w:t xml:space="preserve"> relative aux emplois types et aux intitul</w:t>
            </w:r>
            <w:r>
              <w:rPr>
                <w:rFonts w:ascii="Times New Roman" w:hAnsi="Calibri"/>
                <w:noProof/>
                <w:sz w:val="12"/>
              </w:rPr>
              <w:t>é</w:t>
            </w:r>
            <w:r>
              <w:rPr>
                <w:rFonts w:ascii="Times New Roman" w:hAnsi="Calibri"/>
                <w:noProof/>
                <w:sz w:val="12"/>
              </w:rPr>
              <w:t>s d</w:t>
            </w:r>
            <w:r>
              <w:rPr>
                <w:rFonts w:ascii="Times New Roman" w:hAnsi="Calibri"/>
                <w:noProof/>
                <w:sz w:val="12"/>
              </w:rPr>
              <w:t>’</w:t>
            </w:r>
            <w:r>
              <w:rPr>
                <w:rFonts w:ascii="Times New Roman" w:hAnsi="Calibri"/>
                <w:noProof/>
                <w:sz w:val="12"/>
              </w:rPr>
              <w:t>emploi</w:t>
            </w:r>
            <w:r>
              <w:rPr>
                <w:rFonts w:ascii="Times New Roman" w:hAnsi="Calibri"/>
                <w:noProof/>
                <w:sz w:val="12"/>
              </w:rPr>
              <w:br/>
            </w:r>
          </w:p>
          <w:p>
            <w:pPr>
              <w:widowControl w:val="0"/>
              <w:spacing w:before="45" w:after="0" w:line="271" w:lineRule="auto"/>
              <w:ind w:right="28"/>
              <w:jc w:val="center"/>
              <w:rPr>
                <w:rFonts w:ascii="Times New Roman" w:eastAsia="Calibri" w:hAnsi="Calibri" w:cs="Times New Roman"/>
                <w:noProof/>
                <w:spacing w:val="-1"/>
                <w:w w:val="105"/>
                <w:sz w:val="12"/>
              </w:rPr>
            </w:pPr>
          </w:p>
          <w:p>
            <w:pPr>
              <w:widowControl w:val="0"/>
              <w:spacing w:before="9" w:after="0" w:line="240" w:lineRule="auto"/>
              <w:jc w:val="center"/>
              <w:rPr>
                <w:rFonts w:ascii="Times New Roman" w:eastAsia="Calibri" w:hAnsi="Times New Roman" w:cs="Times New Roman"/>
                <w:noProof/>
                <w:sz w:val="12"/>
                <w:szCs w:val="12"/>
              </w:rPr>
            </w:pP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9.2.2018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szCs w:val="12"/>
              </w:rPr>
            </w:pPr>
            <w:r>
              <w:rPr>
                <w:rFonts w:ascii="Times New Roman" w:hAnsi="Times New Roman"/>
                <w:b/>
                <w:noProof/>
                <w:sz w:val="12"/>
              </w:rPr>
              <w:t>7</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Mobilité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 002 – Décision C(94) 3895 final de la Commission relative à la mobilité</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 002 – Décision C(2009) 7839 final de la Commission relative aux modalités de mise en œuvre</w:t>
            </w:r>
            <w:r>
              <w:rPr>
                <w:rFonts w:ascii="Times New Roman" w:hAnsi="Times New Roman"/>
                <w:noProof/>
                <w:sz w:val="12"/>
              </w:rPr>
              <w:br/>
              <w:t xml:space="preserve"> de l’occupation par intérim de postes d’encadrement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05"/>
        </w:trPr>
        <w:tc>
          <w:tcPr>
            <w:tcW w:w="1156" w:type="dxa"/>
            <w:vMerge/>
            <w:tcBorders>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ADMIN(2015) 14 – Décision du directeur général administratif ad interim du SEAE relative à l’organisation</w:t>
            </w:r>
            <w:r>
              <w:rPr>
                <w:rFonts w:ascii="Times New Roman" w:hAnsi="Times New Roman"/>
                <w:noProof/>
                <w:sz w:val="12"/>
              </w:rPr>
              <w:br/>
              <w:t xml:space="preserve"> d’un exercice annuel de mobilité interne du personnel des groupes de fonctions AD et AST au siège du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auto"/>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ADMIN(2021) 221 – Décision RH relative à l’affectation périodique des fonctionnaires et agents temporaires dans les délégations de l’Union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1.7.2021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0"/>
        </w:trPr>
        <w:tc>
          <w:tcPr>
            <w:tcW w:w="115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9 + annexe II (art. 1</w:t>
            </w:r>
            <w:r>
              <w:rPr>
                <w:rFonts w:ascii="Times New Roman" w:hAnsi="Times New Roman"/>
                <w:b/>
                <w:noProof/>
                <w:sz w:val="12"/>
                <w:vertAlign w:val="superscript"/>
              </w:rPr>
              <w:t>er</w:t>
            </w:r>
            <w:r>
              <w:rPr>
                <w:rFonts w:ascii="Times New Roman" w:hAnsi="Times New Roman"/>
                <w:b/>
                <w:noProof/>
                <w:sz w:val="12"/>
              </w:rPr>
              <w:t>)</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Élections du comité du personnel</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ADMIN(2018) 7 – Décision du directeur général pour le budget et l’administration du service européen pour l’action extérieure – Règles relatives à l’organisation d’un référendum sur la procédure pour l’élection du comité du personnel du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4.4.2018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8"/>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ADMIN(2018) 17 – Décision du directeur général pour le budget et l’administration du service européen pour l’action extérieure concernant l’adoption de la nouvelle procédure pour les élections du comité du personnel du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9.8.2018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01"/>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ADMIN(2019) 29 – Décision du haut représentant de l’Union pour les affaires étrangères et la politique de sécurité concernant les règles relatives à la composition et la procédure du comité du personnel du service européen pour l’action extérieure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567"/>
        </w:trPr>
        <w:tc>
          <w:tcPr>
            <w:tcW w:w="1156" w:type="dxa"/>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Harcèlement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PROC EEAS(2011) 002 – Décision C(2006) 1624/3 relative à la politique en matière de lutte contre le harcèlement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ter</w:t>
            </w:r>
            <w:r>
              <w:rPr>
                <w:rFonts w:ascii="Times New Roman" w:hAnsi="Times New Roman"/>
                <w:b/>
                <w:noProof/>
                <w:sz w:val="12"/>
              </w:rPr>
              <w:t>, 16, 17</w:t>
            </w:r>
          </w:p>
        </w:tc>
        <w:tc>
          <w:tcPr>
            <w:tcW w:w="2551" w:type="dxa"/>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Activités extérieures</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ADMIN(2018) 23 – Décision C(2018) 4048 final de la Commission relative aux activités extérieures et aux mandats ainsi qu’aux activités professionnelles après la cessation de fonctions</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1.9.2018</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45"/>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Dénonciation des dysfonctionnements</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 008 – Décision relative aux conditions et modalités des enquêtes internes en matière de lutte contre la fraude, la corruption et toute activité illégale préjudiciable aux intérêts de l’Union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1.1.2011</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794"/>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et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HR DEC(2014) 02 – Décision C(2013)8970 final portant dispositions générales d’exécution relatives aux critères applicables au classement en échelon lors de la nomination </w:t>
            </w:r>
            <w:r>
              <w:rPr>
                <w:rFonts w:ascii="Times New Roman" w:hAnsi="Times New Roman"/>
                <w:noProof/>
                <w:sz w:val="12"/>
              </w:rPr>
              <w:br/>
              <w:t>ou de l’engagement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720"/>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convenance personnelle</w:t>
            </w:r>
          </w:p>
        </w:tc>
        <w:tc>
          <w:tcPr>
            <w:tcW w:w="3029"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EEAS DEC(2014) 009 – Décision C(2013) 9054 de la Commission relative aux mesures concernant le congé de convenance personnelle des fonctionnaires et le congé sans rémunération des agents temporaires et agents contractuels</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PROC EEAS(2011) 013 – Décision C(2010) 7572 final relative aux dispositions générales d’exécution de l’article 42 </w:t>
            </w:r>
            <w:r>
              <w:rPr>
                <w:rFonts w:ascii="Times New Roman" w:hAnsi="Times New Roman"/>
                <w:i/>
                <w:iCs/>
                <w:noProof/>
                <w:sz w:val="12"/>
              </w:rPr>
              <w:t>bis</w:t>
            </w:r>
            <w:r>
              <w:rPr>
                <w:rFonts w:ascii="Times New Roman" w:hAnsi="Times New Roman"/>
                <w:noProof/>
                <w:sz w:val="12"/>
              </w:rPr>
              <w:t xml:space="preserve"> du statut relatif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familial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PROC EEAS(2011) 002 – Décision C(2010) 7494 final relative à l’article 42 </w:t>
            </w:r>
            <w:r>
              <w:rPr>
                <w:rFonts w:ascii="Times New Roman" w:hAnsi="Times New Roman"/>
                <w:i/>
                <w:iCs/>
                <w:noProof/>
                <w:sz w:val="12"/>
              </w:rPr>
              <w:t>ter</w:t>
            </w:r>
            <w:r>
              <w:rPr>
                <w:rFonts w:ascii="Times New Roman" w:hAnsi="Times New Roman"/>
                <w:noProof/>
                <w:sz w:val="12"/>
              </w:rPr>
              <w:t xml:space="preserve"> du statut relatif au congé familial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83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ADMIN(2015) 1 – Décision portant dispositions générales d’exécution de l’article 43 et de l’article 44, premier alinéa</w:t>
            </w:r>
            <w:r>
              <w:rPr>
                <w:rFonts w:ascii="Times New Roman" w:hAnsi="Times New Roman"/>
                <w:noProof/>
                <w:sz w:val="12"/>
              </w:rPr>
              <w:br/>
              <w:t xml:space="preserve"> [modifiée en dernier lieu par la décision ADMIN(2015) 1 REV 1 du 16 décembre 2015] </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15.1.2015 </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48"/>
        </w:trPr>
        <w:tc>
          <w:tcPr>
            <w:tcW w:w="1157" w:type="dxa"/>
            <w:vMerge/>
            <w:tcBorders>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ADMIN(2022) 3 – Décision portant dispositions générales d’exécution de l’article 43 et de l’article 44, premier alinéa,</w:t>
            </w:r>
            <w:r>
              <w:rPr>
                <w:rFonts w:ascii="Times New Roman" w:hAnsi="Times New Roman"/>
                <w:noProof/>
                <w:sz w:val="12"/>
              </w:rPr>
              <w:br/>
              <w:t xml:space="preserve"> du statut relatifs aux rapports d’évaluation des fonctionnaires et des agents temporaires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tcBorders>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ADMIN(2022) 9 – Décision déterminant les critères d’évaluation communs pour l’évaluation des titulaires de poste au sein du SEAE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31.1.2022</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0"/>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44</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Avancement en échelon et en grade</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91" w:after="0" w:line="271" w:lineRule="auto"/>
              <w:ind w:right="36"/>
              <w:jc w:val="center"/>
              <w:rPr>
                <w:rFonts w:ascii="Times New Roman" w:eastAsia="Times New Roman" w:hAnsi="Times New Roman" w:cs="Times New Roman"/>
                <w:noProof/>
                <w:sz w:val="12"/>
                <w:szCs w:val="12"/>
              </w:rPr>
            </w:pPr>
            <w:r>
              <w:rPr>
                <w:rFonts w:ascii="Times New Roman" w:hAnsi="Times New Roman"/>
                <w:noProof/>
                <w:sz w:val="12"/>
              </w:rPr>
              <w:t>ADMIN(2015) 1 – Décision portant adoption des dispositions d’exécution</w:t>
            </w:r>
            <w:r>
              <w:rPr>
                <w:rFonts w:ascii="Times New Roman" w:hAnsi="Times New Roman"/>
                <w:noProof/>
                <w:sz w:val="12"/>
              </w:rPr>
              <w:br/>
              <w:t xml:space="preserve"> des articles 43 et 44</w:t>
            </w:r>
            <w:r>
              <w:rPr>
                <w:rFonts w:ascii="Times New Roman" w:hAnsi="Times New Roman"/>
                <w:noProof/>
                <w:sz w:val="12"/>
              </w:rPr>
              <w:br/>
              <w:t xml:space="preserve"> [modifiée en dernier lieu par la décision ADMIN(2015) 1 REV 1 </w:t>
            </w:r>
            <w:r>
              <w:rPr>
                <w:rFonts w:ascii="Times New Roman" w:hAnsi="Times New Roman"/>
                <w:noProof/>
                <w:sz w:val="12"/>
              </w:rPr>
              <w:br/>
              <w:t>du 16 décembre 2015]</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15.1.2015</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39"/>
        </w:trPr>
        <w:tc>
          <w:tcPr>
            <w:tcW w:w="1157"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ADMIN(2022) 3 – Décision portant dispositions générales d’exécution de l’article 43 et de l’article 44, premier alinéa, du statut relatifs aux rapports d’évaluation des fonctionnaires et des agents temporaires</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1687"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630"/>
        </w:trPr>
        <w:tc>
          <w:tcPr>
            <w:tcW w:w="1157"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lastRenderedPageBreak/>
              <w:t>45</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4" w:after="0" w:line="271" w:lineRule="auto"/>
              <w:ind w:right="43"/>
              <w:jc w:val="center"/>
              <w:rPr>
                <w:rFonts w:ascii="Times New Roman" w:eastAsia="Calibri" w:hAnsi="Times New Roman" w:cs="Times New Roman"/>
                <w:noProof/>
                <w:w w:val="105"/>
                <w:sz w:val="12"/>
              </w:rPr>
            </w:pPr>
            <w:r>
              <w:rPr>
                <w:rFonts w:ascii="Times New Roman" w:hAnsi="Times New Roman"/>
                <w:noProof/>
                <w:sz w:val="12"/>
              </w:rPr>
              <w:t>PROC HR(2011) 013 – Décision du Conseil du 13 juillet 1970 fixant les dispositions générales d’exécution relatives à la date à laquelle l’ancienneté dans le grade prend effet et à la date d’effet des promotions</w:t>
            </w:r>
          </w:p>
          <w:p>
            <w:pPr>
              <w:widowControl w:val="0"/>
              <w:spacing w:after="0" w:line="254" w:lineRule="auto"/>
              <w:ind w:right="183"/>
              <w:jc w:val="center"/>
              <w:rPr>
                <w:rFonts w:ascii="Times New Roman" w:eastAsia="Calibri" w:hAnsi="Times New Roman" w:cs="Times New Roman"/>
                <w:noProof/>
                <w:sz w:val="12"/>
                <w:szCs w:val="12"/>
              </w:rPr>
            </w:pP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val="567"/>
        </w:trPr>
        <w:tc>
          <w:tcPr>
            <w:tcW w:w="1157" w:type="dxa"/>
            <w:vMerge/>
            <w:tcBorders>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ADMIN(2015) 17 – Décision relative à une procédure de promotion en exécution de l’article 45</w:t>
            </w:r>
            <w:r>
              <w:rPr>
                <w:rFonts w:ascii="Times New Roman" w:hAnsi="Times New Roman"/>
                <w:noProof/>
                <w:sz w:val="12"/>
              </w:rPr>
              <w:br/>
              <w:t>[modifiée en dernier lieu par la décision ADMIN(2015) COR 1</w:t>
            </w:r>
            <w:r>
              <w:rPr>
                <w:rFonts w:ascii="Times New Roman" w:hAnsi="Times New Roman"/>
                <w:noProof/>
                <w:sz w:val="12"/>
              </w:rPr>
              <w:br/>
              <w:t xml:space="preserve"> du 21 décembre 2015]</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28.5.2015</w:t>
            </w:r>
          </w:p>
        </w:tc>
        <w:tc>
          <w:tcPr>
            <w:tcW w:w="1687"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tcBorders>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ADMIN(2022) 5 – Décision portant dispositions générales d’exécution de l’article 45 du statut relatif à la promotion des fonctionnaires et fixant les règles relatives au reclassement des agents temporaires à un grade supérieur</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val="539"/>
        </w:trPr>
        <w:tc>
          <w:tcPr>
            <w:tcW w:w="1157" w:type="dxa"/>
            <w:vMerge/>
            <w:tcBorders>
              <w:left w:val="single" w:sz="4" w:space="0" w:color="000000"/>
              <w:bottom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ADMIN(2016) 14 – Décision portant adoption d’une procédure pour la promotion et le reclassement des fonctionnaires d’encadrement supérieur et équivalents aux grades AD 14 et AD 15</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29.8.2016</w:t>
            </w:r>
          </w:p>
        </w:tc>
        <w:tc>
          <w:tcPr>
            <w:tcW w:w="1687" w:type="dxa"/>
            <w:tcBorders>
              <w:top w:val="single" w:sz="6" w:space="0" w:color="000000"/>
              <w:left w:val="single" w:sz="4"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Art. 45 </w:t>
            </w:r>
            <w:r>
              <w:rPr>
                <w:rFonts w:ascii="Times New Roman" w:hAnsi="Times New Roman"/>
                <w:b/>
                <w:i/>
                <w:iCs/>
                <w:noProof/>
                <w:sz w:val="12"/>
              </w:rPr>
              <w:t>bis</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ADMIN(2016) 25 – Décision de la haute représentante de l’Union pour les affaires étrangères et la politique de sécurité portant adoption des dispositions générales d’exécution de l’article 45 </w:t>
            </w:r>
            <w:r>
              <w:rPr>
                <w:rFonts w:ascii="Times New Roman" w:hAnsi="Times New Roman"/>
                <w:i/>
                <w:iCs/>
                <w:noProof/>
                <w:sz w:val="12"/>
              </w:rPr>
              <w:t>bis</w:t>
            </w:r>
            <w:r>
              <w:rPr>
                <w:rFonts w:ascii="Times New Roman" w:hAnsi="Times New Roman"/>
                <w:noProof/>
                <w:sz w:val="12"/>
              </w:rPr>
              <w:t xml:space="preserve"> du statut relatif à la certification</w:t>
            </w:r>
          </w:p>
        </w:tc>
        <w:tc>
          <w:tcPr>
            <w:tcW w:w="1322"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14.12.2016</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Temps de 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noProof/>
                <w:vanish/>
                <w:spacing w:val="-1"/>
                <w:w w:val="105"/>
                <w:sz w:val="12"/>
                <w:specVanish/>
              </w:rPr>
            </w:pPr>
            <w:r>
              <w:rPr>
                <w:rFonts w:ascii="Times New Roman" w:hAnsi="Times New Roman"/>
                <w:noProof/>
                <w:sz w:val="12"/>
              </w:rPr>
              <w:t>EEAS DEC(2014) 032 – Décision C(2014) 2502 relative au temps de travail</w:t>
            </w:r>
          </w:p>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rPr>
            </w:pPr>
            <w:r>
              <w:rPr>
                <w:rFonts w:ascii="Times New Roman" w:hAnsi="Times New Roman"/>
                <w:noProof/>
                <w:sz w:val="12"/>
              </w:rPr>
              <w:t>1.7.2014</w:t>
            </w:r>
          </w:p>
          <w:p>
            <w:pPr>
              <w:widowControl w:val="0"/>
              <w:spacing w:after="0" w:line="240" w:lineRule="auto"/>
              <w:jc w:val="center"/>
              <w:rPr>
                <w:rFonts w:ascii="Times New Roman" w:eastAsia="Times New Roman" w:hAnsi="Times New Roman" w:cs="Times New Roman"/>
                <w:noProof/>
                <w:sz w:val="12"/>
                <w:szCs w:val="12"/>
              </w:rPr>
            </w:pP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EEAS ADMIN(2023) 39 – Décision relative au temps de travail et aux mesures d’aménagement du temps de travail au siège</w:t>
            </w:r>
            <w:r>
              <w:rPr>
                <w:rFonts w:ascii="Times New Roman" w:hAnsi="Times New Roman"/>
                <w:noProof/>
                <w:sz w:val="12"/>
              </w:rPr>
              <w:br/>
              <w:t xml:space="preserve"> du 8 septembre 2023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EEAS ADMIN(2023) 42 – Décision relative au temps de travail et aux mesures d’aménagement du temps de travail dans les délégations</w:t>
            </w:r>
            <w:r>
              <w:rPr>
                <w:rFonts w:ascii="Times New Roman" w:hAnsi="Times New Roman"/>
                <w:noProof/>
                <w:sz w:val="12"/>
              </w:rPr>
              <w:br/>
              <w:t xml:space="preserve"> du 8 septembre 2023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Activité à temps partiel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ADMIN(2016) 12 – Décision C(2015) 9720 final du 8 janvier 2016 relative au travail à temps partiel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Télétravail</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ADMIN(2016) 12 – Décision C(2015) 9151 final du 17 décembre 2015 relative à la mise en œuvre du télétravail</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1.7.2016</w:t>
            </w:r>
          </w:p>
        </w:tc>
        <w:tc>
          <w:tcPr>
            <w:tcW w:w="1687" w:type="dxa"/>
            <w:tcBorders>
              <w:top w:val="single" w:sz="3" w:space="0" w:color="000000"/>
              <w:left w:val="single" w:sz="3"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6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noProof/>
                <w:spacing w:val="-1"/>
                <w:w w:val="105"/>
                <w:sz w:val="12"/>
              </w:rPr>
            </w:pPr>
            <w:r>
              <w:rPr>
                <w:rFonts w:ascii="Times New Roman" w:hAnsi="Times New Roman"/>
                <w:noProof/>
                <w:sz w:val="12"/>
              </w:rPr>
              <w:t>EEAS ADMIN(2023) 39 – Décision relative au temps de travail et aux mesures d’aménagement du temps de travail au siège</w:t>
            </w:r>
            <w:r>
              <w:rPr>
                <w:rFonts w:ascii="Times New Roman" w:hAnsi="Times New Roman"/>
                <w:noProof/>
                <w:sz w:val="12"/>
              </w:rPr>
              <w:br/>
              <w:t xml:space="preserve"> du 8 septembre 2023   </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1687"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bCs/>
                <w:noProof/>
                <w:spacing w:val="-1"/>
                <w:w w:val="105"/>
                <w:sz w:val="12"/>
              </w:rPr>
            </w:pPr>
            <w:r>
              <w:rPr>
                <w:rFonts w:ascii="Times New Roman" w:hAnsi="Times New Roman"/>
                <w:noProof/>
                <w:sz w:val="12"/>
              </w:rPr>
              <w:t>EEAS ADMIN(2023) 42 – Décision relative au temps de travail et aux mesures d’aménagement du temps de travail dans les délégations</w:t>
            </w:r>
            <w:r>
              <w:rPr>
                <w:rFonts w:ascii="Times New Roman" w:hAnsi="Times New Roman"/>
                <w:noProof/>
                <w:sz w:val="12"/>
              </w:rPr>
              <w:br/>
              <w:t xml:space="preserve"> du 8 septembre 2023  </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Cs/>
                <w:noProof/>
                <w:w w:val="105"/>
                <w:sz w:val="12"/>
              </w:rPr>
            </w:pPr>
            <w:r>
              <w:rPr>
                <w:rFonts w:ascii="Times New Roman" w:hAnsi="Times New Roman"/>
                <w:noProof/>
                <w:sz w:val="12"/>
              </w:rPr>
              <w:t>16.10.2023</w:t>
            </w:r>
          </w:p>
        </w:tc>
        <w:tc>
          <w:tcPr>
            <w:tcW w:w="1687"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567"/>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annexe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Congés annuels et congés spéciaux</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EEAS DEC(2014) 009 – Décision C(2013) 9051 final </w:t>
            </w:r>
            <w:r>
              <w:rPr>
                <w:rFonts w:ascii="Times New Roman" w:hAnsi="Times New Roman"/>
                <w:noProof/>
                <w:sz w:val="12"/>
              </w:rPr>
              <w:br/>
              <w:t>du 16 décembre 2013 relative aux congés</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4"/>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ADMIN(2016) 3 – Décision relative au congé spécial accordé en vertu de l’article 57 du statut et de l’article 6 de l’annexe V du statut pour les procédures administratives ou les examens médicaux</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1.3.2016</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13.7.2023</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EEAS ADMIN(2023) 23 REV 1 – Décision relative au congé spécial pour le personnel des délégations de l’Union du 12 juillet 2023</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13.7.2023</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HR DEC(2013) 014 – Décision relative au congé dans le foyer pour les fonctionnaires, les agents temporaires et les agents contractuels affectés dans les pays tiers</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05"/>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EEAS ADMIN(2022) 19 – Décision relative au congé dans le foyer pour les fonctionnaires, les agents temporaires et les agents contractuels affectés dans un pays tiers du 9 mars 2022</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1.1.2022</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Congé de maternité</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EEAS DEC(2014) 009 – Décision C(2013) 9051 final</w:t>
            </w:r>
            <w:r>
              <w:rPr>
                <w:rFonts w:ascii="Times New Roman" w:hAnsi="Times New Roman"/>
                <w:noProof/>
                <w:sz w:val="12"/>
              </w:rPr>
              <w:br/>
              <w:t xml:space="preserve"> du 16 décembre 2013 relative aux congés</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1.1.2014</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42"/>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à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Congé de maladie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9"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002 – Décision C(2004) 1597/11 portant création</w:t>
            </w:r>
          </w:p>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des dispositions d’application en matière d’absence pour maladie ou 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29.11.2011</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lastRenderedPageBreak/>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681"/>
        </w:trPr>
        <w:tc>
          <w:tcPr>
            <w:tcW w:w="1156" w:type="dxa"/>
            <w:tcBorders>
              <w:top w:val="single" w:sz="6" w:space="0" w:color="000000"/>
              <w:left w:val="single" w:sz="4" w:space="0" w:color="000000"/>
              <w:bottom w:val="single" w:sz="4" w:space="0" w:color="auto"/>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1</w:t>
            </w:r>
            <w:r>
              <w:rPr>
                <w:rFonts w:ascii="Times New Roman" w:hAnsi="Times New Roman"/>
                <w:b/>
                <w:noProof/>
                <w:sz w:val="12"/>
                <w:vertAlign w:val="superscript"/>
              </w:rPr>
              <w:t>er</w:t>
            </w:r>
            <w:r>
              <w:rPr>
                <w:rFonts w:ascii="Times New Roman" w:hAnsi="Times New Roman"/>
                <w:b/>
                <w:noProof/>
                <w:sz w:val="12"/>
              </w:rPr>
              <w:t xml:space="preserve"> à 3)</w:t>
            </w:r>
          </w:p>
        </w:tc>
        <w:tc>
          <w:tcPr>
            <w:tcW w:w="2551" w:type="dxa"/>
            <w:tcBorders>
              <w:top w:val="single" w:sz="5" w:space="0" w:color="000000"/>
              <w:left w:val="single" w:sz="4" w:space="0" w:color="000000"/>
              <w:bottom w:val="single" w:sz="4" w:space="0" w:color="auto"/>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Allocations familiales</w:t>
            </w:r>
          </w:p>
        </w:tc>
        <w:tc>
          <w:tcPr>
            <w:tcW w:w="3029"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013 – C(2004) 1364/4 – Dispositions</w:t>
            </w:r>
          </w:p>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générales d’exécution relatives à l’application des articles 67 et 68 du statut des fonctionnaires et des articles 1</w:t>
            </w:r>
            <w:r>
              <w:rPr>
                <w:rFonts w:ascii="Times New Roman" w:hAnsi="Times New Roman"/>
                <w:noProof/>
                <w:sz w:val="12"/>
                <w:vertAlign w:val="superscript"/>
              </w:rPr>
              <w:t>er</w:t>
            </w:r>
            <w:r>
              <w:rPr>
                <w:rFonts w:ascii="Times New Roman" w:hAnsi="Times New Roman"/>
                <w:noProof/>
                <w:sz w:val="12"/>
              </w:rPr>
              <w:t>, 2 et 3 de son annexe VII</w:t>
            </w:r>
          </w:p>
        </w:tc>
        <w:tc>
          <w:tcPr>
            <w:tcW w:w="1322"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4" w:space="0" w:color="auto"/>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90"/>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9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Allocation de foyer par décision spéciale</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8"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013 – C(2004) 1364/1 – Dispositions</w:t>
            </w:r>
          </w:p>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générales d’exécution relatives à l’allocation de foyer par décision spéciale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84"/>
        </w:trPr>
        <w:tc>
          <w:tcPr>
            <w:tcW w:w="1156" w:type="dxa"/>
            <w:tcBorders>
              <w:top w:val="single" w:sz="4" w:space="0" w:color="auto"/>
              <w:left w:val="single" w:sz="4" w:space="0" w:color="000000"/>
              <w:bottom w:val="single" w:sz="4" w:space="0" w:color="000000"/>
              <w:right w:val="single" w:sz="3" w:space="0" w:color="000000"/>
            </w:tcBorders>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w:t>
            </w:r>
            <w:r>
              <w:rPr>
                <w:rFonts w:ascii="Times New Roman" w:hAnsi="Times New Roman"/>
                <w:b/>
                <w:noProof/>
                <w:sz w:val="12"/>
              </w:rPr>
              <w:br/>
              <w:t xml:space="preserve"> (art. 2, par. 4)</w:t>
            </w:r>
          </w:p>
        </w:tc>
        <w:tc>
          <w:tcPr>
            <w:tcW w:w="2551"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Personnes assimilées à un enfant à charge</w:t>
            </w:r>
          </w:p>
        </w:tc>
        <w:tc>
          <w:tcPr>
            <w:tcW w:w="3029"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before="103"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013 – Décision C(2004) 1364/2 – Dispositions générales d’exécution relatives aux personnes assimilées à un enfant à charge</w:t>
            </w:r>
          </w:p>
        </w:tc>
        <w:tc>
          <w:tcPr>
            <w:tcW w:w="1322"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annexe VII </w:t>
            </w:r>
            <w:r>
              <w:rPr>
                <w:rFonts w:ascii="Times New Roman" w:hAnsi="Times New Roman"/>
                <w:b/>
                <w:noProof/>
                <w:sz w:val="12"/>
              </w:rPr>
              <w:br/>
              <w:t>(art.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HR DEC(2014) 02 – C(2013) 8971 – Dispositions générales d’exécution relatives à l’octroi de l’allocation scolaire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567"/>
        </w:trPr>
        <w:tc>
          <w:tcPr>
            <w:tcW w:w="1156" w:type="dxa"/>
            <w:vMerge w:val="restart"/>
            <w:tcBorders>
              <w:left w:val="single" w:sz="4" w:space="0" w:color="000000"/>
              <w:right w:val="single" w:sz="4"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71 + annexe</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VII (art. 7 et 8)</w:t>
            </w:r>
          </w:p>
        </w:tc>
        <w:tc>
          <w:tcPr>
            <w:tcW w:w="2551" w:type="dxa"/>
            <w:vMerge w:val="restart"/>
            <w:tcBorders>
              <w:left w:val="single" w:sz="4"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HR DEC(2014) 02 – C(2013) 8987 final portant dispositions générales d’exécution de l’article 8 de l’annexe VII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1.3.2014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932"/>
        </w:trPr>
        <w:tc>
          <w:tcPr>
            <w:tcW w:w="1156" w:type="dxa"/>
            <w:vMerge/>
            <w:tcBorders>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Calibri"/>
                <w:noProof/>
                <w:sz w:val="12"/>
              </w:rPr>
              <w:t xml:space="preserve">ADMIN(2017) 4 </w:t>
            </w:r>
            <w:r>
              <w:rPr>
                <w:rFonts w:ascii="Times New Roman" w:hAnsi="Calibri"/>
                <w:noProof/>
                <w:sz w:val="12"/>
              </w:rPr>
              <w:t>–</w:t>
            </w:r>
            <w:r>
              <w:rPr>
                <w:rFonts w:ascii="Times New Roman" w:hAnsi="Calibri"/>
                <w:noProof/>
                <w:sz w:val="12"/>
              </w:rPr>
              <w:t xml:space="preserve"> D</w:t>
            </w:r>
            <w:r>
              <w:rPr>
                <w:rFonts w:ascii="Times New Roman" w:hAnsi="Calibri"/>
                <w:noProof/>
                <w:sz w:val="12"/>
              </w:rPr>
              <w:t>é</w:t>
            </w:r>
            <w:r>
              <w:rPr>
                <w:rFonts w:ascii="Times New Roman" w:hAnsi="Calibri"/>
                <w:noProof/>
                <w:sz w:val="12"/>
              </w:rPr>
              <w:t>cision du directeur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w:t>
            </w:r>
            <w:r>
              <w:rPr>
                <w:rFonts w:ascii="Times New Roman" w:hAnsi="Calibri"/>
                <w:noProof/>
                <w:sz w:val="12"/>
              </w:rPr>
              <w:br/>
              <w:t xml:space="preserve"> pour le budget et l</w:t>
            </w:r>
            <w:r>
              <w:rPr>
                <w:rFonts w:ascii="Times New Roman" w:hAnsi="Calibri"/>
                <w:noProof/>
                <w:sz w:val="12"/>
              </w:rPr>
              <w:t>’</w:t>
            </w:r>
            <w:r>
              <w:rPr>
                <w:rFonts w:ascii="Times New Roman" w:hAnsi="Calibri"/>
                <w:noProof/>
                <w:sz w:val="12"/>
              </w:rPr>
              <w:t>administration du service europ</w:t>
            </w:r>
            <w:r>
              <w:rPr>
                <w:rFonts w:ascii="Times New Roman" w:hAnsi="Calibri"/>
                <w:noProof/>
                <w:sz w:val="12"/>
              </w:rPr>
              <w:t>é</w:t>
            </w:r>
            <w:r>
              <w:rPr>
                <w:rFonts w:ascii="Times New Roman" w:hAnsi="Calibri"/>
                <w:noProof/>
                <w:sz w:val="12"/>
              </w:rPr>
              <w:t>en pour l</w:t>
            </w:r>
            <w:r>
              <w:rPr>
                <w:rFonts w:ascii="Times New Roman" w:hAnsi="Calibri"/>
                <w:noProof/>
                <w:sz w:val="12"/>
              </w:rPr>
              <w:t>’</w:t>
            </w:r>
            <w:r>
              <w:rPr>
                <w:rFonts w:ascii="Times New Roman" w:hAnsi="Calibri"/>
                <w:noProof/>
                <w:sz w:val="12"/>
              </w:rPr>
              <w:t>action ext</w:t>
            </w:r>
            <w:r>
              <w:rPr>
                <w:rFonts w:ascii="Times New Roman" w:hAnsi="Calibri"/>
                <w:noProof/>
                <w:sz w:val="12"/>
              </w:rPr>
              <w:t>é</w:t>
            </w:r>
            <w:r>
              <w:rPr>
                <w:rFonts w:ascii="Times New Roman" w:hAnsi="Calibri"/>
                <w:noProof/>
                <w:sz w:val="12"/>
              </w:rPr>
              <w:t xml:space="preserve">rieure sur les lignes directrices </w:t>
            </w:r>
            <w:r>
              <w:rPr>
                <w:rFonts w:ascii="Times New Roman" w:hAnsi="Calibri"/>
                <w:noProof/>
                <w:sz w:val="12"/>
              </w:rPr>
              <w:t>é</w:t>
            </w:r>
            <w:r>
              <w:rPr>
                <w:rFonts w:ascii="Times New Roman" w:hAnsi="Calibri"/>
                <w:noProof/>
                <w:sz w:val="12"/>
              </w:rPr>
              <w:t>tablissant la m</w:t>
            </w:r>
            <w:r>
              <w:rPr>
                <w:rFonts w:ascii="Times New Roman" w:hAnsi="Calibri"/>
                <w:noProof/>
                <w:sz w:val="12"/>
              </w:rPr>
              <w:t>é</w:t>
            </w:r>
            <w:r>
              <w:rPr>
                <w:rFonts w:ascii="Times New Roman" w:hAnsi="Calibri"/>
                <w:noProof/>
                <w:sz w:val="12"/>
              </w:rPr>
              <w:t>thodologie de fixation du paiement forfaitaire des frais de voyage au sens de l</w:t>
            </w:r>
            <w:r>
              <w:rPr>
                <w:rFonts w:ascii="Times New Roman" w:hAnsi="Calibri"/>
                <w:noProof/>
                <w:sz w:val="12"/>
              </w:rPr>
              <w:t>’</w:t>
            </w:r>
            <w:r>
              <w:rPr>
                <w:rFonts w:ascii="Times New Roman" w:hAnsi="Calibri"/>
                <w:noProof/>
                <w:sz w:val="12"/>
              </w:rPr>
              <w:t>article</w:t>
            </w:r>
            <w:r>
              <w:rPr>
                <w:rFonts w:ascii="Times New Roman" w:hAnsi="Calibri"/>
                <w:noProof/>
                <w:sz w:val="12"/>
              </w:rPr>
              <w:t> </w:t>
            </w:r>
            <w:r>
              <w:rPr>
                <w:rFonts w:ascii="Times New Roman" w:hAnsi="Calibri"/>
                <w:noProof/>
                <w:sz w:val="12"/>
              </w:rPr>
              <w:t>7, paragraphe</w:t>
            </w:r>
            <w:r>
              <w:rPr>
                <w:rFonts w:ascii="Times New Roman" w:hAnsi="Calibri"/>
                <w:noProof/>
                <w:sz w:val="12"/>
              </w:rPr>
              <w:t> </w:t>
            </w:r>
            <w:r>
              <w:rPr>
                <w:rFonts w:ascii="Times New Roman" w:hAnsi="Calibri"/>
                <w:noProof/>
                <w:sz w:val="12"/>
              </w:rPr>
              <w:t>3,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VII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8.5.2017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56"/>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71 + annexe</w:t>
            </w:r>
          </w:p>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VII (art.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Lieu d’origine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HR DEC(2014) 02 – Décision C(2013) 8982 final portant dispositions générales d’exécution de l’article 7, paragraphe 4, de l’annexe VII relatif à la fixation du lieu d’origine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993"/>
        </w:trPr>
        <w:tc>
          <w:tcPr>
            <w:tcW w:w="1156" w:type="dxa"/>
            <w:tcBorders>
              <w:left w:val="single" w:sz="4" w:space="0" w:color="000000"/>
              <w:bottom w:val="single" w:sz="4"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 (art. 9)</w:t>
            </w:r>
          </w:p>
        </w:tc>
        <w:tc>
          <w:tcPr>
            <w:tcW w:w="2551" w:type="dxa"/>
            <w:tcBorders>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Frais de déménagement</w:t>
            </w:r>
          </w:p>
        </w:tc>
        <w:tc>
          <w:tcPr>
            <w:tcW w:w="3029"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ADMIN(2015) 26 – Décision relative au remboursement des frais de déménagement</w:t>
            </w:r>
            <w:r>
              <w:rPr>
                <w:rFonts w:ascii="Times New Roman" w:hAnsi="Times New Roman"/>
                <w:noProof/>
                <w:sz w:val="12"/>
              </w:rPr>
              <w:br/>
              <w:t xml:space="preserve"> pour le personnel provenant des services diplomatiques des États membres et recrutés par le SEAE sans modification du lieu</w:t>
            </w:r>
            <w:r>
              <w:rPr>
                <w:rFonts w:ascii="Times New Roman" w:hAnsi="Times New Roman"/>
                <w:noProof/>
                <w:sz w:val="12"/>
              </w:rPr>
              <w:br/>
              <w:t xml:space="preserve"> de résidence</w:t>
            </w:r>
          </w:p>
        </w:tc>
        <w:tc>
          <w:tcPr>
            <w:tcW w:w="1322"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30.7.2015</w:t>
            </w:r>
          </w:p>
        </w:tc>
        <w:tc>
          <w:tcPr>
            <w:tcW w:w="1687"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3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11 à 13 </w:t>
            </w:r>
            <w:r>
              <w:rPr>
                <w:rFonts w:ascii="Times New Roman" w:hAnsi="Times New Roman"/>
                <w:b/>
                <w:i/>
                <w:iCs/>
                <w:noProof/>
                <w:sz w:val="12"/>
              </w:rPr>
              <w:t>bis</w:t>
            </w:r>
            <w:r>
              <w:rPr>
                <w:rFonts w:ascii="Times New Roman" w:hAnsi="Times New Roman"/>
                <w:b/>
                <w:noProof/>
                <w:sz w:val="12"/>
              </w:rPr>
              <w:t>)</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PROC EEAS(2011) 002 – Décision C(2002) 98 fixant les taux</w:t>
            </w:r>
            <w:r>
              <w:rPr>
                <w:rFonts w:ascii="Times New Roman" w:hAnsi="Times New Roman"/>
                <w:noProof/>
                <w:sz w:val="12"/>
              </w:rPr>
              <w:br/>
              <w:t xml:space="preserve"> des indemnités journalières et les plafonds</w:t>
            </w:r>
            <w:r>
              <w:rPr>
                <w:rFonts w:ascii="Times New Roman" w:hAnsi="Times New Roman"/>
                <w:noProof/>
                <w:sz w:val="12"/>
              </w:rPr>
              <w:br/>
              <w:t xml:space="preserve"> de remboursement de frais d’hôtel pour les missions effectuées en dehors de l’Union européenne</w:t>
            </w:r>
          </w:p>
        </w:tc>
        <w:tc>
          <w:tcPr>
            <w:tcW w:w="1322" w:type="dxa"/>
            <w:tcBorders>
              <w:top w:val="single" w:sz="4" w:space="0" w:color="000000"/>
              <w:left w:val="single" w:sz="4"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005"/>
        </w:trPr>
        <w:tc>
          <w:tcPr>
            <w:tcW w:w="1156" w:type="dxa"/>
            <w:vMerge/>
            <w:tcBorders>
              <w:left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8" w:after="0" w:line="271" w:lineRule="auto"/>
              <w:ind w:right="21"/>
              <w:jc w:val="center"/>
              <w:rPr>
                <w:rFonts w:ascii="Times New Roman" w:eastAsia="Times New Roman" w:hAnsi="Times New Roman" w:cs="Times New Roman"/>
                <w:noProof/>
                <w:sz w:val="12"/>
                <w:szCs w:val="12"/>
              </w:rPr>
            </w:pPr>
            <w:r>
              <w:rPr>
                <w:rFonts w:ascii="Times New Roman" w:hAnsi="Times New Roman"/>
                <w:noProof/>
                <w:sz w:val="12"/>
              </w:rPr>
              <w:t xml:space="preserve">ADMIN(2018) 5 – Décision du secrétaire général du service européen pour l’action extérieure relative aux dispositions générales d’exécution des articles 11, 12 et 13 de l’annexe VII du statut des fonctionnaires (frais de mission) et </w:t>
            </w:r>
            <w:r>
              <w:rPr>
                <w:rFonts w:ascii="Times New Roman" w:hAnsi="Times New Roman"/>
                <w:noProof/>
                <w:sz w:val="12"/>
              </w:rPr>
              <w:br/>
              <w:t>relative aux déplacements autorisés – Guide des missions et des déplacements autorisés</w:t>
            </w:r>
          </w:p>
          <w:p>
            <w:pPr>
              <w:widowControl w:val="0"/>
              <w:spacing w:before="60" w:after="0" w:line="240" w:lineRule="auto"/>
              <w:ind w:left="45" w:right="17"/>
              <w:jc w:val="center"/>
              <w:rPr>
                <w:rFonts w:ascii="Times New Roman" w:eastAsia="Calibri" w:hAnsi="Calibri" w:cs="Times New Roman"/>
                <w:noProof/>
                <w:w w:val="105"/>
                <w:sz w:val="12"/>
              </w:rPr>
            </w:pPr>
          </w:p>
        </w:tc>
        <w:tc>
          <w:tcPr>
            <w:tcW w:w="1322"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27.3.2018</w:t>
            </w:r>
          </w:p>
        </w:tc>
        <w:tc>
          <w:tcPr>
            <w:tcW w:w="1687"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19"/>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18" w:after="0" w:line="271" w:lineRule="auto"/>
              <w:ind w:right="21"/>
              <w:jc w:val="center"/>
              <w:rPr>
                <w:rFonts w:ascii="Times New Roman" w:eastAsia="Times New Roman" w:hAnsi="Times New Roman" w:cs="Times New Roman"/>
                <w:bCs/>
                <w:noProof/>
                <w:sz w:val="12"/>
                <w:szCs w:val="12"/>
              </w:rPr>
            </w:pPr>
            <w:r>
              <w:rPr>
                <w:rFonts w:ascii="Times New Roman" w:hAnsi="Times New Roman"/>
                <w:noProof/>
                <w:sz w:val="12"/>
              </w:rPr>
              <w:t>ADMIN(2019) 35 – Décision du secrétaire général du service européen pour l’action extérieure du 16.12.2019 établissant un périmètre délimitant les «environs du lieu d’affectation» pour Bruxelles et les délégations de l’Union</w:t>
            </w:r>
            <w:r>
              <w:rPr>
                <w:rFonts w:ascii="Times New Roman" w:hAnsi="Times New Roman"/>
                <w:b/>
                <w:noProof/>
                <w:sz w:val="12"/>
              </w:rPr>
              <w:t xml:space="preserve"> </w:t>
            </w:r>
          </w:p>
        </w:tc>
        <w:tc>
          <w:tcPr>
            <w:tcW w:w="1322"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16.12.2019</w:t>
            </w:r>
          </w:p>
        </w:tc>
        <w:tc>
          <w:tcPr>
            <w:tcW w:w="1687"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 VIII – Pensions et allocation d’invalidité</w:t>
            </w:r>
          </w:p>
        </w:tc>
      </w:tr>
      <w:tr>
        <w:trPr>
          <w:trHeight w:hRule="exact" w:val="1013"/>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annexe VIII </w:t>
            </w:r>
            <w:r>
              <w:rPr>
                <w:rFonts w:ascii="Times New Roman" w:hAnsi="Times New Roman"/>
                <w:b/>
                <w:noProof/>
                <w:sz w:val="12"/>
              </w:rPr>
              <w:br/>
              <w:t>(art. 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Calcul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67"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013 – Décision C(2004) 1364 final/6 – Dispositions</w:t>
            </w:r>
          </w:p>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générales d’exécution de l’article 4 de l’annexe VIII concernant la prise en compte, pour </w:t>
            </w:r>
            <w:r>
              <w:rPr>
                <w:rFonts w:ascii="Times New Roman" w:hAnsi="Times New Roman"/>
                <w:noProof/>
                <w:sz w:val="12"/>
              </w:rPr>
              <w:br/>
              <w:t>le calcul des droits à pension, des périodes de services accomplies précédemment à la remise en activité</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15"/>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annexe VIII</w:t>
            </w:r>
            <w:r>
              <w:rPr>
                <w:rFonts w:ascii="Times New Roman" w:hAnsi="Times New Roman"/>
                <w:b/>
                <w:noProof/>
                <w:sz w:val="12"/>
              </w:rPr>
              <w:br/>
              <w:t xml:space="preserve"> (art. 11 et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Articles 11 et 12 de l’annexe VIII</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013 – Décision C(2011) 1278 final – Dispositions</w:t>
            </w:r>
          </w:p>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générales d’exécution des articles 11 et 12 de l’annexe VIII relatifs au transfert de droits à pension</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lastRenderedPageBreak/>
              <w:t xml:space="preserve">Titre VI – Mesures disciplinaires  </w:t>
            </w:r>
          </w:p>
        </w:tc>
      </w:tr>
      <w:tr>
        <w:trPr>
          <w:trHeight w:hRule="exact" w:val="682"/>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b/>
                <w:bCs/>
                <w:noProof/>
                <w:sz w:val="12"/>
                <w:szCs w:val="12"/>
              </w:rPr>
            </w:pPr>
            <w:r>
              <w:rPr>
                <w:rFonts w:ascii="Times New Roman" w:hAnsi="Times New Roman"/>
                <w:b/>
                <w:noProof/>
                <w:sz w:val="12"/>
              </w:rPr>
              <w:t>86 + annexe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Procédures disciplinaires et enquêtes administratives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PROC EEAS(2011) 013 – Décision C(2004) 1588 final/4 – Dispositions </w:t>
            </w:r>
            <w:r>
              <w:rPr>
                <w:rFonts w:ascii="Times New Roman" w:hAnsi="Times New Roman"/>
                <w:noProof/>
                <w:sz w:val="12"/>
              </w:rPr>
              <w:br/>
              <w:t>générales d’exécution concernant la conduite des enquêtes administratives et des procédures disciplinaires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VIII </w:t>
            </w:r>
            <w:r>
              <w:rPr>
                <w:rFonts w:ascii="Times New Roman" w:hAnsi="Times New Roman"/>
                <w:b/>
                <w:i/>
                <w:iCs/>
                <w:noProof/>
                <w:sz w:val="25"/>
              </w:rPr>
              <w:t>bis</w:t>
            </w:r>
            <w:r>
              <w:rPr>
                <w:rFonts w:ascii="Times New Roman" w:hAnsi="Times New Roman"/>
                <w:b/>
                <w:noProof/>
                <w:sz w:val="25"/>
              </w:rPr>
              <w:t> – Dispositions particulières applicables au SEAE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1 – Dispositions générales</w:t>
            </w:r>
          </w:p>
        </w:tc>
      </w:tr>
      <w:tr>
        <w:trPr>
          <w:trHeight w:hRule="exact" w:val="770"/>
        </w:trPr>
        <w:tc>
          <w:tcPr>
            <w:tcW w:w="1156"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96</w:t>
            </w:r>
          </w:p>
        </w:tc>
        <w:tc>
          <w:tcPr>
            <w:tcW w:w="2551"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Gestion des délégations de l’UE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JOIN(2012) 8 final – Décision conjointe de la Commission et du haut représentant de l’Union pour les affaires étrangères et la politique de sécurité du 28 mars 2012 relative aux mécanismes de coopération en matière de gestion des délégations de l’Union européenne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28.3.2012</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65"/>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65"/>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before="94" w:after="0" w:line="247" w:lineRule="auto"/>
              <w:ind w:right="201"/>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 xml:space="preserve">ADMIN(2021) 14 REV 1 – Décision de la DG RM </w:t>
            </w:r>
            <w:r>
              <w:rPr>
                <w:rFonts w:ascii="Times New Roman" w:hAnsi="Times New Roman"/>
                <w:noProof/>
                <w:sz w:val="12"/>
              </w:rPr>
              <w:br/>
              <w:t>relative aux modalités d’application du programme de stages de haut niveau dans les délégations de l’Union européenne en partenariat avec les États membres de l’Union européenne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30.11.2021</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VIII </w:t>
            </w:r>
            <w:r>
              <w:rPr>
                <w:rFonts w:ascii="Times New Roman" w:hAnsi="Times New Roman"/>
                <w:b/>
                <w:i/>
                <w:iCs/>
                <w:noProof/>
                <w:sz w:val="25"/>
              </w:rPr>
              <w:t>ter</w:t>
            </w:r>
            <w:r>
              <w:rPr>
                <w:rFonts w:ascii="Times New Roman" w:hAnsi="Times New Roman"/>
                <w:b/>
                <w:noProof/>
                <w:sz w:val="25"/>
              </w:rPr>
              <w:t xml:space="preserve"> + annexe X – Dispositions particulières et dérogatoires applicables aux fonctionnaires affectés</w:t>
            </w:r>
            <w:r>
              <w:rPr>
                <w:rFonts w:ascii="Times New Roman" w:hAnsi="Times New Roman"/>
                <w:b/>
                <w:noProof/>
                <w:sz w:val="25"/>
              </w:rPr>
              <w:br/>
              <w:t xml:space="preserve"> dans un pays tiers </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1 – Dispositions générales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 xml:space="preserve">Annexe X </w:t>
            </w:r>
            <w:r>
              <w:rPr>
                <w:rFonts w:ascii="Times New Roman" w:hAnsi="Times New Roman"/>
                <w:b/>
                <w:noProof/>
                <w:sz w:val="12"/>
              </w:rPr>
              <w:br/>
              <w:t>(art. 1</w:t>
            </w:r>
            <w:r>
              <w:rPr>
                <w:rFonts w:ascii="Times New Roman" w:hAnsi="Times New Roman"/>
                <w:b/>
                <w:noProof/>
                <w:sz w:val="12"/>
                <w:vertAlign w:val="superscript"/>
              </w:rPr>
              <w:t>er</w:t>
            </w:r>
            <w:r>
              <w:rPr>
                <w:rFonts w:ascii="Times New Roman" w:hAnsi="Times New Roman"/>
                <w:b/>
                <w:noProof/>
                <w:sz w:val="12"/>
              </w:rPr>
              <w:t>)</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Dispositions générales</w:t>
            </w:r>
          </w:p>
        </w:tc>
        <w:tc>
          <w:tcPr>
            <w:tcW w:w="3029" w:type="dxa"/>
            <w:tcBorders>
              <w:top w:val="single" w:sz="5" w:space="0" w:color="000000"/>
              <w:left w:val="single" w:sz="3" w:space="0" w:color="000000"/>
              <w:bottom w:val="single" w:sz="3" w:space="0" w:color="000000"/>
              <w:right w:val="single" w:sz="4"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PROC HR(2011) 013 – Décision SEC(88) 636F de la Commission portant dispositions générales d’exécution</w:t>
            </w:r>
            <w:r>
              <w:rPr>
                <w:rFonts w:ascii="Times New Roman" w:hAnsi="Times New Roman"/>
                <w:noProof/>
                <w:sz w:val="12"/>
              </w:rPr>
              <w:br/>
              <w:t xml:space="preserve"> de l’annexe X du statut [paragraphe 3, points a), c), d) et e)]</w:t>
            </w:r>
          </w:p>
        </w:tc>
        <w:tc>
          <w:tcPr>
            <w:tcW w:w="1322"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71" w:lineRule="auto"/>
              <w:ind w:right="19"/>
              <w:jc w:val="center"/>
              <w:rPr>
                <w:rFonts w:ascii="Times New Roman" w:eastAsia="Calibri" w:hAnsi="Times New Roman" w:cs="Times New Roman"/>
                <w:b/>
                <w:noProof/>
                <w:spacing w:val="-2"/>
                <w:w w:val="105"/>
                <w:sz w:val="12"/>
              </w:rPr>
            </w:pPr>
            <w:r>
              <w:rPr>
                <w:rFonts w:ascii="Times New Roman" w:hAnsi="Times New Roman"/>
                <w:b/>
                <w:noProof/>
                <w:sz w:val="12"/>
              </w:rPr>
              <w:t xml:space="preserve">Annexe X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2)</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Mobilité</w:t>
            </w:r>
          </w:p>
        </w:tc>
        <w:tc>
          <w:tcPr>
            <w:tcW w:w="3029" w:type="dxa"/>
            <w:tcBorders>
              <w:top w:val="single" w:sz="3" w:space="0" w:color="000000"/>
              <w:left w:val="single" w:sz="6" w:space="0" w:color="000000"/>
              <w:bottom w:val="single" w:sz="3" w:space="0" w:color="000000"/>
              <w:right w:val="single" w:sz="3" w:space="0" w:color="000000"/>
            </w:tcBorders>
            <w:shd w:val="clear" w:color="auto" w:fill="DA9694"/>
            <w:vAlign w:val="center"/>
          </w:tcPr>
          <w:p>
            <w:pPr>
              <w:widowControl w:val="0"/>
              <w:spacing w:before="6" w:after="0" w:line="240" w:lineRule="auto"/>
              <w:jc w:val="center"/>
              <w:rPr>
                <w:rFonts w:ascii="Times New Roman" w:eastAsia="Times New Roman" w:hAnsi="Times New Roman" w:cs="Times New Roman"/>
                <w:noProof/>
                <w:sz w:val="12"/>
                <w:szCs w:val="12"/>
              </w:rPr>
            </w:pPr>
            <w:r>
              <w:rPr>
                <w:rFonts w:ascii="Times New Roman" w:hAnsi="Times New Roman"/>
                <w:noProof/>
                <w:sz w:val="12"/>
              </w:rPr>
              <w:t>ADMIN(2021) 221 – Décision RH relative à l’affectation périodique des fonctionnaires et agents temporaires dans les délégations de l’Union</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2 – Obligations</w:t>
            </w:r>
          </w:p>
        </w:tc>
      </w:tr>
      <w:tr>
        <w:trPr>
          <w:trHeight w:hRule="exact" w:val="567"/>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Annexe X </w:t>
            </w:r>
            <w:r>
              <w:rPr>
                <w:rFonts w:ascii="Times New Roman" w:hAnsi="Times New Roman"/>
                <w:b/>
                <w:noProof/>
                <w:sz w:val="12"/>
              </w:rPr>
              <w:br/>
              <w:t>(art. 5 et 23)</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Logement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HR DEC(2013) 011 – Décision relative aux règles de mise en œuvre de la politique de logement dans les délégations de l’Union européenne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17.12.2013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3 – Conditions de travail</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Annexe X</w:t>
            </w:r>
            <w:r>
              <w:rPr>
                <w:rFonts w:ascii="Times New Roman" w:hAnsi="Times New Roman"/>
                <w:b/>
                <w:noProof/>
                <w:sz w:val="12"/>
              </w:rPr>
              <w:br/>
              <w:t xml:space="preserve"> (art.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Congé de détente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Calibri"/>
                <w:noProof/>
                <w:sz w:val="12"/>
              </w:rPr>
              <w:t xml:space="preserve">ADMIN(2018) 34 </w:t>
            </w:r>
            <w:r>
              <w:rPr>
                <w:rFonts w:ascii="Times New Roman" w:hAnsi="Calibri"/>
                <w:noProof/>
                <w:sz w:val="12"/>
              </w:rPr>
              <w:t>–</w:t>
            </w:r>
            <w:r>
              <w:rPr>
                <w:rFonts w:ascii="Times New Roman" w:hAnsi="Calibri"/>
                <w:noProof/>
                <w:sz w:val="12"/>
              </w:rPr>
              <w:t xml:space="preserve"> D</w:t>
            </w:r>
            <w:r>
              <w:rPr>
                <w:rFonts w:ascii="Times New Roman" w:hAnsi="Calibri"/>
                <w:noProof/>
                <w:sz w:val="12"/>
              </w:rPr>
              <w:t>é</w:t>
            </w:r>
            <w:r>
              <w:rPr>
                <w:rFonts w:ascii="Times New Roman" w:hAnsi="Calibri"/>
                <w:noProof/>
                <w:sz w:val="12"/>
              </w:rPr>
              <w:t>cision portant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 xml:space="preserve">cution relatives </w:t>
            </w:r>
            <w:r>
              <w:rPr>
                <w:rFonts w:ascii="Times New Roman" w:hAnsi="Calibri"/>
                <w:noProof/>
                <w:sz w:val="12"/>
              </w:rPr>
              <w:t>à</w:t>
            </w:r>
            <w:r>
              <w:rPr>
                <w:rFonts w:ascii="Times New Roman" w:hAnsi="Calibri"/>
                <w:noProof/>
                <w:sz w:val="12"/>
              </w:rPr>
              <w:t xml:space="preserve"> la gestion du cong</w:t>
            </w:r>
            <w:r>
              <w:rPr>
                <w:rFonts w:ascii="Times New Roman" w:hAnsi="Calibri"/>
                <w:noProof/>
                <w:sz w:val="12"/>
              </w:rPr>
              <w:t>é</w:t>
            </w:r>
            <w:r>
              <w:rPr>
                <w:rFonts w:ascii="Times New Roman" w:hAnsi="Calibri"/>
                <w:noProof/>
                <w:sz w:val="12"/>
              </w:rPr>
              <w:t xml:space="preserve"> de d</w:t>
            </w:r>
            <w:r>
              <w:rPr>
                <w:rFonts w:ascii="Times New Roman" w:hAnsi="Calibri"/>
                <w:noProof/>
                <w:sz w:val="12"/>
              </w:rPr>
              <w:t>é</w:t>
            </w:r>
            <w:r>
              <w:rPr>
                <w:rFonts w:ascii="Times New Roman" w:hAnsi="Calibri"/>
                <w:noProof/>
                <w:sz w:val="12"/>
              </w:rPr>
              <w:t xml:space="preserve">tente au titre </w:t>
            </w:r>
            <w:r>
              <w:rPr>
                <w:rFonts w:ascii="Times New Roman" w:hAnsi="Calibri"/>
                <w:noProof/>
                <w:sz w:val="12"/>
              </w:rPr>
              <w:br/>
              <w:t>de l</w:t>
            </w:r>
            <w:r>
              <w:rPr>
                <w:rFonts w:ascii="Times New Roman" w:hAnsi="Calibri"/>
                <w:noProof/>
                <w:sz w:val="12"/>
              </w:rPr>
              <w:t>’</w:t>
            </w:r>
            <w:r>
              <w:rPr>
                <w:rFonts w:ascii="Times New Roman" w:hAnsi="Calibri"/>
                <w:noProof/>
                <w:sz w:val="12"/>
              </w:rPr>
              <w:t>article</w:t>
            </w:r>
            <w:r>
              <w:rPr>
                <w:rFonts w:ascii="Times New Roman" w:hAnsi="Calibri"/>
                <w:noProof/>
                <w:sz w:val="12"/>
              </w:rPr>
              <w:t> </w:t>
            </w:r>
            <w:r>
              <w:rPr>
                <w:rFonts w:ascii="Times New Roman" w:hAnsi="Calibri"/>
                <w:noProof/>
                <w:sz w:val="12"/>
              </w:rPr>
              <w:t>8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X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20.12.2018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Chapitre 4 – Régime pécuniaire et avantages sociaux</w:t>
            </w:r>
          </w:p>
        </w:tc>
      </w:tr>
      <w:tr>
        <w:trPr>
          <w:trHeight w:hRule="exact" w:val="28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hAnsi="Times New Roman" w:cs="Times New Roman"/>
                <w:b/>
                <w:noProof/>
                <w:spacing w:val="-1"/>
                <w:w w:val="105"/>
                <w:sz w:val="19"/>
              </w:rPr>
            </w:pPr>
            <w:r>
              <w:rPr>
                <w:rFonts w:ascii="Times New Roman" w:hAnsi="Times New Roman"/>
                <w:b/>
                <w:noProof/>
                <w:sz w:val="17"/>
              </w:rPr>
              <w:t>Section 1 – Régime pécuniaire et allocations familiales</w:t>
            </w:r>
          </w:p>
        </w:tc>
      </w:tr>
      <w:tr>
        <w:trPr>
          <w:trHeight w:hRule="exact" w:val="900"/>
        </w:trPr>
        <w:tc>
          <w:tcPr>
            <w:tcW w:w="1156" w:type="dxa"/>
            <w:vMerge w:val="restart"/>
            <w:tcBorders>
              <w:left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Annexe X </w:t>
            </w:r>
            <w:r>
              <w:rPr>
                <w:rFonts w:ascii="Times New Roman" w:hAnsi="Times New Roman"/>
                <w:b/>
                <w:noProof/>
                <w:sz w:val="12"/>
              </w:rPr>
              <w:br/>
              <w:t>(art. 10)</w:t>
            </w:r>
          </w:p>
        </w:tc>
        <w:tc>
          <w:tcPr>
            <w:tcW w:w="2551" w:type="dxa"/>
            <w:vMerge w:val="restart"/>
            <w:tcBorders>
              <w:left w:val="single" w:sz="4"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Indemnité de conditions de vie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ADMIN(2015) 28 – Orientations relatives à la méthode de détermination de la liste annuelle des pays où les conditions de vie peuvent être considérées comme équivalentes aux conditions de vie de l’Union européenne qui ne donnent pas le droit au versement d’une indemnité de condition de vie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31.8.2015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1"/>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Calibri"/>
                <w:noProof/>
                <w:sz w:val="12"/>
              </w:rPr>
              <w:t>ADMIN(2018)</w:t>
            </w:r>
            <w:r>
              <w:rPr>
                <w:rFonts w:ascii="Times New Roman" w:hAnsi="Calibri"/>
                <w:noProof/>
                <w:sz w:val="12"/>
              </w:rPr>
              <w:t> </w:t>
            </w:r>
            <w:r>
              <w:rPr>
                <w:rFonts w:ascii="Times New Roman" w:hAnsi="Calibri"/>
                <w:noProof/>
                <w:sz w:val="12"/>
              </w:rPr>
              <w:t>35</w:t>
            </w:r>
            <w:r>
              <w:rPr>
                <w:rFonts w:ascii="Times New Roman" w:hAnsi="Calibri"/>
                <w:noProof/>
                <w:sz w:val="12"/>
              </w:rPr>
              <w:t> –</w:t>
            </w:r>
            <w:r>
              <w:rPr>
                <w:rFonts w:ascii="Times New Roman" w:hAnsi="Calibri"/>
                <w:noProof/>
                <w:sz w:val="12"/>
              </w:rPr>
              <w:t xml:space="preserve"> D</w:t>
            </w:r>
            <w:r>
              <w:rPr>
                <w:rFonts w:ascii="Times New Roman" w:hAnsi="Calibri"/>
                <w:noProof/>
                <w:sz w:val="12"/>
              </w:rPr>
              <w:t>é</w:t>
            </w:r>
            <w:r>
              <w:rPr>
                <w:rFonts w:ascii="Times New Roman" w:hAnsi="Calibri"/>
                <w:noProof/>
                <w:sz w:val="12"/>
              </w:rPr>
              <w:t>cision portant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concernant l</w:t>
            </w:r>
            <w:r>
              <w:rPr>
                <w:rFonts w:ascii="Times New Roman" w:hAnsi="Calibri"/>
                <w:noProof/>
                <w:sz w:val="12"/>
              </w:rPr>
              <w:t>’</w:t>
            </w:r>
            <w:r>
              <w:rPr>
                <w:rFonts w:ascii="Times New Roman" w:hAnsi="Calibri"/>
                <w:noProof/>
                <w:sz w:val="12"/>
              </w:rPr>
              <w:t>indemnit</w:t>
            </w:r>
            <w:r>
              <w:rPr>
                <w:rFonts w:ascii="Times New Roman" w:hAnsi="Calibri"/>
                <w:noProof/>
                <w:sz w:val="12"/>
              </w:rPr>
              <w:t>é</w:t>
            </w:r>
            <w:r>
              <w:rPr>
                <w:rFonts w:ascii="Times New Roman" w:hAnsi="Calibri"/>
                <w:noProof/>
                <w:sz w:val="12"/>
              </w:rPr>
              <w:t xml:space="preserve"> de conditions de vie et l</w:t>
            </w:r>
            <w:r>
              <w:rPr>
                <w:rFonts w:ascii="Times New Roman" w:hAnsi="Calibri"/>
                <w:noProof/>
                <w:sz w:val="12"/>
              </w:rPr>
              <w:t>’</w:t>
            </w:r>
            <w:r>
              <w:rPr>
                <w:rFonts w:ascii="Times New Roman" w:hAnsi="Calibri"/>
                <w:noProof/>
                <w:sz w:val="12"/>
              </w:rPr>
              <w:t>indemnit</w:t>
            </w:r>
            <w:r>
              <w:rPr>
                <w:rFonts w:ascii="Times New Roman" w:hAnsi="Calibri"/>
                <w:noProof/>
                <w:sz w:val="12"/>
              </w:rPr>
              <w:t>é</w:t>
            </w:r>
            <w:r>
              <w:rPr>
                <w:rFonts w:ascii="Times New Roman" w:hAnsi="Calibri"/>
                <w:noProof/>
                <w:sz w:val="12"/>
              </w:rPr>
              <w:t xml:space="preserve"> compl</w:t>
            </w:r>
            <w:r>
              <w:rPr>
                <w:rFonts w:ascii="Times New Roman" w:hAnsi="Calibri"/>
                <w:noProof/>
                <w:sz w:val="12"/>
              </w:rPr>
              <w:t>é</w:t>
            </w:r>
            <w:r>
              <w:rPr>
                <w:rFonts w:ascii="Times New Roman" w:hAnsi="Calibri"/>
                <w:noProof/>
                <w:sz w:val="12"/>
              </w:rPr>
              <w:t>mentaire vis</w:t>
            </w:r>
            <w:r>
              <w:rPr>
                <w:rFonts w:ascii="Times New Roman" w:hAnsi="Calibri"/>
                <w:noProof/>
                <w:sz w:val="12"/>
              </w:rPr>
              <w:t>é</w:t>
            </w:r>
            <w:r>
              <w:rPr>
                <w:rFonts w:ascii="Times New Roman" w:hAnsi="Calibri"/>
                <w:noProof/>
                <w:sz w:val="12"/>
              </w:rPr>
              <w:t xml:space="preserve">es </w:t>
            </w:r>
            <w:r>
              <w:rPr>
                <w:rFonts w:ascii="Times New Roman" w:hAnsi="Calibri"/>
                <w:noProof/>
                <w:sz w:val="12"/>
              </w:rPr>
              <w:t>à</w:t>
            </w:r>
            <w:r>
              <w:rPr>
                <w:rFonts w:ascii="Times New Roman" w:hAnsi="Calibri"/>
                <w:noProof/>
                <w:sz w:val="12"/>
              </w:rPr>
              <w:t xml:space="preserve"> l</w:t>
            </w:r>
            <w:r>
              <w:rPr>
                <w:rFonts w:ascii="Times New Roman" w:hAnsi="Calibri"/>
                <w:noProof/>
                <w:sz w:val="12"/>
              </w:rPr>
              <w:t>’</w:t>
            </w:r>
            <w:r>
              <w:rPr>
                <w:rFonts w:ascii="Times New Roman" w:hAnsi="Calibri"/>
                <w:noProof/>
                <w:sz w:val="12"/>
              </w:rPr>
              <w:t>article</w:t>
            </w:r>
            <w:r>
              <w:rPr>
                <w:rFonts w:ascii="Times New Roman" w:hAnsi="Calibri"/>
                <w:noProof/>
                <w:sz w:val="12"/>
              </w:rPr>
              <w:t> </w:t>
            </w:r>
            <w:r>
              <w:rPr>
                <w:rFonts w:ascii="Times New Roman" w:hAnsi="Calibri"/>
                <w:noProof/>
                <w:sz w:val="12"/>
              </w:rPr>
              <w:t>10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X du statut des fonctionnaires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20.12.2018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Annexe X</w:t>
            </w:r>
          </w:p>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(art. 12 et 13)</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Monnaie et pondération</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PROC EEAS(2011) 02 – Décision C(2004) 1597/1 relative à l’adaptation des correcteurs et des taux de change associés visés aux articles 12 et 13 de l’annexe X du statut des fonctionnaires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266"/>
        </w:trPr>
        <w:tc>
          <w:tcPr>
            <w:tcW w:w="1156" w:type="dxa"/>
            <w:tcBorders>
              <w:top w:val="single" w:sz="4" w:space="0" w:color="000000"/>
              <w:left w:val="single" w:sz="4" w:space="0" w:color="000000"/>
              <w:bottom w:val="single" w:sz="6" w:space="0" w:color="000000"/>
              <w:right w:val="single" w:sz="4" w:space="0" w:color="000000"/>
            </w:tcBorders>
            <w:shd w:val="clear" w:color="auto" w:fill="FFFF65"/>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Annexe X</w:t>
            </w:r>
          </w:p>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(art. 3 et 15)</w:t>
            </w:r>
          </w:p>
        </w:tc>
        <w:tc>
          <w:tcPr>
            <w:tcW w:w="2551" w:type="dxa"/>
            <w:tcBorders>
              <w:top w:val="single" w:sz="3" w:space="0" w:color="000000"/>
              <w:left w:val="single" w:sz="4" w:space="0" w:color="000000"/>
              <w:bottom w:val="single" w:sz="6"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Allocation scolaire pour la durée des affectations temporaires au siège de l’institution ou à tout autre lieu d’affectation dans l’Union</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ADMIN(2021) 261 – Décision fixant les dispositions générales d’exécution relatives au versement de l’allocation scolaire prévue à l’article 15 de l’annexe X du statut aux membres du personnel pour la durée de leur affectation temporaire au siège de l’institution ou à tout autre lieu d’affectation dans l’Union</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30.11.2021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Annexe X </w:t>
            </w:r>
          </w:p>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(art. 16)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Remboursements aux fonctionnaires affectés dans les pays tiers</w:t>
            </w:r>
          </w:p>
        </w:tc>
        <w:tc>
          <w:tcPr>
            <w:tcW w:w="3029" w:type="dxa"/>
            <w:tcBorders>
              <w:top w:val="single" w:sz="4" w:space="0" w:color="000000"/>
              <w:left w:val="single" w:sz="6"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HR DEC(2013) 015 – Décision relative aux remboursements dus aux fonctionnaires affectés dans des pays tiers</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lastRenderedPageBreak/>
              <w:t>Section 2 – Règles relatives au remboursement des frais</w:t>
            </w:r>
          </w:p>
        </w:tc>
      </w:tr>
      <w:tr>
        <w:trPr>
          <w:trHeight w:hRule="exact" w:val="1109"/>
        </w:trPr>
        <w:tc>
          <w:tcPr>
            <w:tcW w:w="1156" w:type="dxa"/>
            <w:tcBorders>
              <w:left w:val="single" w:sz="4" w:space="0" w:color="000000"/>
              <w:bottom w:val="single" w:sz="4" w:space="0" w:color="000000"/>
              <w:right w:val="single" w:sz="4" w:space="0" w:color="000000"/>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Annexe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 2)</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Indemnité de logement provisoire et frais de transport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PROC EEAS(2011) 002 – Décision C(2004) 1597/2 relative à</w:t>
            </w:r>
            <w:r>
              <w:rPr>
                <w:rFonts w:ascii="Times New Roman" w:hAnsi="Times New Roman"/>
                <w:noProof/>
                <w:sz w:val="12"/>
              </w:rPr>
              <w:br/>
              <w:t xml:space="preserve"> l’application de l’article 22 de l’annexe X du statut concernant la récupération</w:t>
            </w:r>
            <w:r>
              <w:rPr>
                <w:rFonts w:ascii="Times New Roman" w:hAnsi="Times New Roman"/>
                <w:noProof/>
                <w:sz w:val="12"/>
              </w:rPr>
              <w:br/>
              <w:t xml:space="preserve"> de l’indemnité de logement provisoire et des frais de transport des effets personnels du conjoint et des personnes à charge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Section 3 – Sécurité sociale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Annexe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 24)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Assurance maladie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PROC EEAS(2011) 013 – Décision de la Commission</w:t>
            </w:r>
            <w:r>
              <w:rPr>
                <w:rFonts w:ascii="Times New Roman" w:hAnsi="Times New Roman"/>
                <w:noProof/>
                <w:sz w:val="12"/>
              </w:rPr>
              <w:br/>
              <w:t xml:space="preserve"> portant dispositions générales d’exécution de l’article 24, premier et deuxième alinéas, de l’annexe X</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5"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92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Annexe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 25)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Assurance accidents</w:t>
            </w:r>
          </w:p>
        </w:tc>
        <w:tc>
          <w:tcPr>
            <w:tcW w:w="3029" w:type="dxa"/>
            <w:tcBorders>
              <w:top w:val="single" w:sz="5" w:space="0" w:color="000000"/>
              <w:left w:val="single" w:sz="4" w:space="0" w:color="auto"/>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PROC EEAS(2011) 013 – Décision de la Commission portant dispositions générales relatives à la couverture des risques</w:t>
            </w:r>
            <w:r>
              <w:rPr>
                <w:rFonts w:ascii="Times New Roman" w:hAnsi="Times New Roman"/>
                <w:noProof/>
                <w:sz w:val="12"/>
              </w:rPr>
              <w:br/>
              <w:t xml:space="preserve"> d’accident du conjoint, des enfants et des autres personnes à charge du fonctionnaire de la Communauté européenne affecté dans un pays tiers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3"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70"/>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10, paragraphe 5</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Recrutement</w:t>
            </w:r>
          </w:p>
        </w:tc>
        <w:tc>
          <w:tcPr>
            <w:tcW w:w="3029"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ADMIN(2020) 14 – Décision RH relative à des mesures exceptionnelles de recrutement à court terme au sein du service européen pour l’action extérieure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19.5.2020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31.12.2020</w:t>
            </w: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40"/>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ADMIN(2020) 10 – Décision RH relative à la durée maximale d’engagement par le service européen pour l’action extérieure du personnel non permanent dans le cadre de contrats à durée déterminée successifs</w:t>
            </w:r>
            <w:r>
              <w:rPr>
                <w:rFonts w:ascii="Times New Roman" w:hAnsi="Times New Roman"/>
                <w:noProof/>
                <w:sz w:val="12"/>
              </w:rPr>
              <w:br/>
              <w:t xml:space="preserve"> de différents types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16.7.2020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15.7.2023</w:t>
            </w:r>
          </w:p>
        </w:tc>
        <w:tc>
          <w:tcPr>
            <w:tcW w:w="936" w:type="dxa"/>
            <w:vMerge w:val="restart"/>
            <w:tcBorders>
              <w:top w:val="single" w:sz="5" w:space="0" w:color="000000"/>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538"/>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ADMIN(2023) 24 – Décision RH relative à la durée maximale d’engagement par le service européen pour l’action extérieure </w:t>
            </w:r>
            <w:r>
              <w:rPr>
                <w:rFonts w:ascii="Times New Roman" w:hAnsi="Times New Roman"/>
                <w:noProof/>
                <w:sz w:val="12"/>
              </w:rPr>
              <w:br/>
              <w:t>du personnel non permanent dans le cadre de contrats à durée déterminée successifs de différents types et à l’intervalle minimum</w:t>
            </w:r>
            <w:r>
              <w:rPr>
                <w:rFonts w:ascii="Times New Roman" w:hAnsi="Times New Roman"/>
                <w:noProof/>
                <w:sz w:val="12"/>
              </w:rPr>
              <w:br/>
              <w:t xml:space="preserve"> entre des contrats successifs au titre de l’article 2, point e),</w:t>
            </w:r>
            <w:r>
              <w:rPr>
                <w:rFonts w:ascii="Times New Roman" w:hAnsi="Times New Roman"/>
                <w:noProof/>
                <w:sz w:val="12"/>
              </w:rPr>
              <w:br/>
              <w:t xml:space="preserve"> du RAA, et abrogeant la décision ADMIN(2020) 10 du haut représentant de l’Union pour les affaires étrangères et la politique de sécurité du 16.7.2020</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15.7.2023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 paragraphe 5</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7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Procédures de recrutement des</w:t>
            </w:r>
          </w:p>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agents temporaires</w:t>
            </w:r>
          </w:p>
        </w:tc>
        <w:tc>
          <w:tcPr>
            <w:tcW w:w="3029"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ADMIN(2015) 20 – Décision portant adoption des dispositions générales d’exécution de l’article 12, paragraphe 5, relatif à l’engagement et à l’emploi</w:t>
            </w:r>
            <w:r>
              <w:rPr>
                <w:rFonts w:ascii="Times New Roman" w:hAnsi="Times New Roman"/>
                <w:noProof/>
                <w:sz w:val="12"/>
              </w:rPr>
              <w:br/>
              <w:t xml:space="preserve"> des agents temporaires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12.8.2015</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4 – Conditions de travail </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Congé de maternité et son paiement</w:t>
            </w:r>
          </w:p>
        </w:tc>
        <w:tc>
          <w:tcPr>
            <w:tcW w:w="3029"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EEAS DEC(2014) 009 – Décision C(2013) 9020 final du 16.12.2013 relative au congé de maternité et à son paiement pour les femmes dont le congé de maternité débute avant la fin de leur contrat</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4"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Recours aux agents contractuels</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PROC EEAS(2011) 02 – C(2006) 6957 – Réglementation applicable aux interprètes de conférence engagés selon les dispositions des articles 78 et 90 du RAA</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54"/>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13 – C(2011) 1264 final – Dispositions</w:t>
            </w:r>
          </w:p>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générales d’exécution relatives aux procédures régissant l’engagement et l’emploi des agents contractuels, telles que modifiées par les décisions C(2013) 8967 du 16.12.2013 et EEAS DEC(2014) 048</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b/>
                <w:bCs/>
                <w:noProof/>
                <w:sz w:val="12"/>
                <w:szCs w:val="12"/>
              </w:rPr>
            </w:pPr>
            <w:r>
              <w:rPr>
                <w:rFonts w:ascii="Times New Roman" w:hAnsi="Times New Roman"/>
                <w:b/>
                <w:noProof/>
                <w:sz w:val="12"/>
              </w:rPr>
              <w:t xml:space="preserve">118 + annexe X </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Mobilité </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ADMIN(2017) 19 – Décision RH relative à la mobilité</w:t>
            </w:r>
            <w:r>
              <w:rPr>
                <w:rFonts w:ascii="Times New Roman" w:hAnsi="Times New Roman"/>
                <w:noProof/>
                <w:sz w:val="12"/>
              </w:rPr>
              <w:br/>
              <w:t xml:space="preserve"> des agents contractuels du SEAE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18.11.2017</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11.7.2020</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ADMIN(2020) 35 – Décision RH relative à la mobilité des agents contractuels du SEAE </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11.7.2020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164" w:lineRule="exact"/>
              <w:jc w:val="center"/>
              <w:rPr>
                <w:rFonts w:ascii="Times New Roman" w:eastAsia="Times New Roman" w:hAnsi="Times New Roman" w:cs="Times New Roman"/>
                <w:noProof/>
                <w:sz w:val="17"/>
                <w:szCs w:val="17"/>
              </w:rPr>
            </w:pPr>
            <w:r>
              <w:rPr>
                <w:rFonts w:ascii="Times New Roman" w:hAnsi="Times New Roman"/>
                <w:b/>
                <w:noProof/>
                <w:sz w:val="17"/>
              </w:rPr>
              <w:t>Procédures de recrutement des</w:t>
            </w:r>
          </w:p>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DA9694"/>
            <w:vAlign w:val="center"/>
          </w:tcPr>
          <w:p>
            <w:pPr>
              <w:widowControl w:val="0"/>
              <w:spacing w:after="0" w:line="271" w:lineRule="auto"/>
              <w:ind w:right="65"/>
              <w:jc w:val="center"/>
              <w:rPr>
                <w:noProof/>
              </w:rPr>
            </w:pPr>
            <w:r>
              <w:rPr>
                <w:rFonts w:ascii="Times New Roman" w:hAnsi="Times New Roman"/>
                <w:noProof/>
                <w:sz w:val="12"/>
              </w:rPr>
              <w:t>PROC EEAS(2011) 02 – Décision C(2006) 6957 applicable</w:t>
            </w:r>
            <w:r>
              <w:rPr>
                <w:rFonts w:ascii="Times New Roman" w:hAnsi="Times New Roman"/>
                <w:noProof/>
                <w:sz w:val="12"/>
              </w:rPr>
              <w:br/>
              <w:t xml:space="preserve"> aux interprètes de conférence engagés selon les dispositions des articles 78 et 90 du RAA</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88"/>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13 – Décision C(2011) 1264 final – Dispositions</w:t>
            </w:r>
          </w:p>
          <w:p>
            <w:pPr>
              <w:widowControl w:val="0"/>
              <w:spacing w:after="0" w:line="271" w:lineRule="auto"/>
              <w:ind w:right="65"/>
              <w:jc w:val="center"/>
              <w:rPr>
                <w:noProof/>
              </w:rPr>
            </w:pPr>
            <w:r>
              <w:rPr>
                <w:rFonts w:ascii="Times New Roman" w:hAnsi="Times New Roman"/>
                <w:noProof/>
                <w:sz w:val="12"/>
              </w:rPr>
              <w:t>générales d’exécution relatives aux procédures régissant</w:t>
            </w:r>
            <w:r>
              <w:rPr>
                <w:rFonts w:ascii="Times New Roman" w:hAnsi="Times New Roman"/>
                <w:noProof/>
                <w:sz w:val="12"/>
              </w:rPr>
              <w:br/>
              <w:t xml:space="preserve"> l’engagement et l’emploi des agents contractuels, modifiée</w:t>
            </w:r>
            <w:r>
              <w:rPr>
                <w:rFonts w:ascii="Times New Roman" w:hAnsi="Times New Roman"/>
                <w:noProof/>
                <w:sz w:val="12"/>
              </w:rPr>
              <w:br/>
              <w:t xml:space="preserve"> par les décisions C(2013) 8967 du 16.12.2013 et EEAS DEC(2014) 048</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86</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7"/>
              </w:rPr>
              <w:t>Grades au recrutement</w:t>
            </w:r>
          </w:p>
        </w:tc>
        <w:tc>
          <w:tcPr>
            <w:tcW w:w="3029" w:type="dxa"/>
            <w:tcBorders>
              <w:top w:val="single" w:sz="6" w:space="0" w:color="000000"/>
              <w:left w:val="single" w:sz="4" w:space="0" w:color="auto"/>
              <w:bottom w:val="single" w:sz="4" w:space="0" w:color="auto"/>
              <w:right w:val="single" w:sz="4" w:space="0" w:color="000000"/>
            </w:tcBorders>
            <w:shd w:val="clear" w:color="auto" w:fill="DA9694"/>
            <w:vAlign w:val="center"/>
          </w:tcPr>
          <w:p>
            <w:pPr>
              <w:widowControl w:val="0"/>
              <w:spacing w:after="0" w:line="271" w:lineRule="auto"/>
              <w:ind w:right="65"/>
              <w:jc w:val="center"/>
              <w:rPr>
                <w:noProof/>
              </w:rPr>
            </w:pPr>
            <w:r>
              <w:rPr>
                <w:rFonts w:ascii="Times New Roman" w:hAnsi="Times New Roman"/>
                <w:noProof/>
                <w:sz w:val="12"/>
              </w:rPr>
              <w:t>PROC EEAS(2011) 02 – C(2006) 6957 – Réglementation applicable aux interprètes de conférence engagés selon les dispositions des articles 78 et 90 du RAA</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02"/>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PROC EEAS(2011) 13 – Décision C(2011) 1264 – Dispositions générales d’exécution relatives aux procédures régissant </w:t>
            </w:r>
            <w:r>
              <w:rPr>
                <w:rFonts w:ascii="Times New Roman" w:hAnsi="Times New Roman"/>
                <w:noProof/>
                <w:sz w:val="12"/>
              </w:rPr>
              <w:br/>
              <w:t>l’engagement et l’emploi des agents contractuels, modifiée</w:t>
            </w:r>
            <w:r>
              <w:rPr>
                <w:rFonts w:ascii="Times New Roman" w:hAnsi="Times New Roman"/>
                <w:noProof/>
                <w:sz w:val="12"/>
              </w:rPr>
              <w:br/>
              <w:t xml:space="preserve"> par les décisions C(2013) 8967 du 16.12.2013 et EEAS DEC(2014) 048</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Chapitre 4 – Dispositions particulières applicables aux agents contractuels visés à l’article 3 </w:t>
            </w:r>
            <w:r>
              <w:rPr>
                <w:rFonts w:ascii="Times New Roman" w:hAnsi="Times New Roman"/>
                <w:b/>
                <w:i/>
                <w:iCs/>
                <w:noProof/>
                <w:sz w:val="19"/>
              </w:rPr>
              <w:t>bis</w:t>
            </w:r>
          </w:p>
        </w:tc>
      </w:tr>
      <w:tr>
        <w:trPr>
          <w:trHeight w:hRule="exact" w:val="98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Évaluation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ADMIN(2022) 4 – Décision relative aux dispositions générales d’exécution de l’article 87, paragraphe 1, du régime applicable aux autres agents de l’Union européenne et aux modalités d’application de l’article 44, premier alinéa, du statut concernant les rapports d’évaluation des agents contractuels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25"/>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 paragraphe 3</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Reclassement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ADMIN(2015) 23 – Décision portant adoption d’une procédure de reclassement des agents contractuels engagés au titre de l’article 3 </w:t>
            </w:r>
            <w:r>
              <w:rPr>
                <w:rFonts w:ascii="Times New Roman" w:hAnsi="Times New Roman"/>
                <w:i/>
                <w:iCs/>
                <w:noProof/>
                <w:sz w:val="12"/>
              </w:rPr>
              <w:t>bis</w:t>
            </w:r>
            <w:r>
              <w:rPr>
                <w:rFonts w:ascii="Times New Roman" w:hAnsi="Times New Roman"/>
                <w:noProof/>
                <w:sz w:val="12"/>
              </w:rPr>
              <w:t xml:space="preserve"> conformément à l’article 87, paragraphe 3, du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31.7.2015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24.1.2022</w:t>
            </w:r>
          </w:p>
        </w:tc>
        <w:tc>
          <w:tcPr>
            <w:tcW w:w="936" w:type="dxa"/>
            <w:tcBorders>
              <w:top w:val="single" w:sz="4" w:space="0" w:color="auto"/>
              <w:left w:val="single" w:sz="4" w:space="0" w:color="auto"/>
              <w:bottom w:val="single" w:sz="4" w:space="0" w:color="auto"/>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23"/>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ADMIN(2022) 6 – Décision relative aux dispositions générales d’exécution de l’article 87, paragraphe 3, du régime applicable aux autres agents de l’Union européenne relatif au reclassement des agents contractuels engagés en vertu de l’article 3 </w:t>
            </w:r>
            <w:r>
              <w:rPr>
                <w:rFonts w:ascii="Times New Roman" w:hAnsi="Times New Roman"/>
                <w:i/>
                <w:iCs/>
                <w:noProof/>
                <w:sz w:val="12"/>
              </w:rPr>
              <w:t>bis</w:t>
            </w:r>
            <w:r>
              <w:rPr>
                <w:rFonts w:ascii="Times New Roman" w:hAnsi="Times New Roman"/>
                <w:noProof/>
                <w:sz w:val="12"/>
              </w:rPr>
              <w:t xml:space="preserve"> dudit régime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V – Des agents locaux</w:t>
            </w:r>
          </w:p>
        </w:tc>
      </w:tr>
      <w:tr>
        <w:trPr>
          <w:trHeight w:hRule="exact" w:val="960"/>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Agents locaux dans les délégations – Méthode de calcul des salaires</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EEAS DEC(2014) 004 – Décision portant adoption de la méthode de fixation et d’adaptation de la rémunération des agents locaux en poste dans les délégations</w:t>
            </w:r>
            <w:r>
              <w:rPr>
                <w:rFonts w:ascii="Times New Roman" w:hAnsi="Times New Roman"/>
                <w:noProof/>
                <w:sz w:val="12"/>
              </w:rPr>
              <w:br/>
              <w:t xml:space="preserve"> [modifiée par la décision EEAS ADMIN(2019) 14 et</w:t>
            </w:r>
            <w:r>
              <w:rPr>
                <w:rFonts w:ascii="Times New Roman" w:hAnsi="Times New Roman"/>
                <w:noProof/>
                <w:sz w:val="12"/>
              </w:rPr>
              <w:br/>
              <w:t xml:space="preserve"> modifiée en dernier lieu par la décision EEAS ADMIN(2020) 21 du 27.5.2020]</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1.6.2014 </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21"/>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pacing w:val="1"/>
                <w:w w:val="105"/>
                <w:sz w:val="12"/>
              </w:rPr>
            </w:pP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7"/>
              </w:rPr>
              <w:t>Agents locaux – Conditions d’emploi</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Calibri" w:hAnsi="Times New Roman" w:cs="Times New Roman"/>
                <w:noProof/>
                <w:spacing w:val="-2"/>
                <w:w w:val="105"/>
                <w:sz w:val="12"/>
              </w:rPr>
            </w:pPr>
            <w:r>
              <w:rPr>
                <w:rFonts w:ascii="Times New Roman" w:hAnsi="Times New Roman"/>
                <w:noProof/>
                <w:sz w:val="12"/>
              </w:rPr>
              <w:t>Réglementation-cadre fixant les conditions d’emploi des agents locaux de la Commission des Communautés européennes en service dans un pays tiers, adoptée par la Commission le 21 novembre 1989</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rPr>
            </w:pPr>
            <w:r>
              <w:rPr>
                <w:rFonts w:ascii="Times New Roman" w:hAnsi="Times New Roman"/>
                <w:noProof/>
                <w:sz w:val="12"/>
              </w:rPr>
              <w:t>1.1.1990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1.6.2020</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9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pacing w:val="1"/>
                <w:w w:val="105"/>
                <w:sz w:val="12"/>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Calibri" w:hAnsi="Times New Roman" w:cs="Times New Roman"/>
                <w:noProof/>
                <w:spacing w:val="-2"/>
                <w:w w:val="105"/>
                <w:sz w:val="12"/>
              </w:rPr>
            </w:pPr>
            <w:r>
              <w:rPr>
                <w:rFonts w:ascii="Times New Roman" w:hAnsi="Times New Roman"/>
                <w:noProof/>
                <w:sz w:val="12"/>
              </w:rPr>
              <w:t>C(2019) 5686 final – Décision conjointe de la Commission et de la haute représentante de l’Union pour les affaires étrangères et la politique de sécurité du 7.8.2019 relative aux conditions d’emploi des agents locaux de l’Union européenne engagés dans des lieux situés en dehors de l’Union européenne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rPr>
            </w:pPr>
            <w:r>
              <w:rPr>
                <w:rFonts w:ascii="Times New Roman" w:hAnsi="Times New Roman"/>
                <w:noProof/>
                <w:sz w:val="12"/>
              </w:rPr>
              <w:t>1.6.2020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995"/>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121</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rPr>
                <w:rFonts w:ascii="Times New Roman" w:eastAsia="Calibri" w:hAnsi="Times New Roman" w:cs="Times New Roman"/>
                <w:b/>
                <w:bCs/>
                <w:noProof/>
                <w:spacing w:val="-1"/>
                <w:sz w:val="17"/>
                <w:szCs w:val="17"/>
              </w:rPr>
            </w:pPr>
          </w:p>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Régimes de sécurité sociale pour les agents locaux («PFLA» et «CISLA»)</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noProof/>
                <w:spacing w:val="-2"/>
                <w:sz w:val="12"/>
                <w:szCs w:val="12"/>
              </w:rPr>
            </w:pPr>
            <w:r>
              <w:rPr>
                <w:rFonts w:ascii="Times New Roman" w:hAnsi="Times New Roman"/>
                <w:noProof/>
                <w:sz w:val="12"/>
              </w:rPr>
              <w:t>C(2015) 3461 – Décision conjointe de la Commission et de la haute représentante de l’Union pour les affaires étrangères et la politique de sécurité du 28.5.2015 relative à la gestion administrative et financière des actifs des régimes mis en place pour fournir des systèmes autonomes ou complémentaires de sécurité sociale aux agents locaux dans les délégations de l’Union</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29.5.2015</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1.6.2020</w:t>
            </w: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1010"/>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Agents locaux – Fonds de prévoyance</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bCs/>
                <w:noProof/>
                <w:spacing w:val="-2"/>
                <w:sz w:val="12"/>
                <w:szCs w:val="12"/>
              </w:rPr>
            </w:pPr>
            <w:r>
              <w:rPr>
                <w:rFonts w:ascii="Times New Roman" w:hAnsi="Times New Roman"/>
                <w:noProof/>
                <w:sz w:val="12"/>
              </w:rPr>
              <w:t>C(2019) 5685 final – Décision conjointe de la Commission et de la haute représentante de l’Union pour les affaires étrangères et la politique de sécurité du 7.8.2019 relative aux prestations de retraite autonomes ou complémentaires des agents locaux des délégations de l’Union dans les pays où la couverture par le système local n’existe pas ou est insuffisante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004"/>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Agents locaux – Médical </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noProof/>
                <w:spacing w:val="-2"/>
                <w:sz w:val="12"/>
                <w:szCs w:val="12"/>
              </w:rPr>
            </w:pPr>
            <w:r>
              <w:rPr>
                <w:rFonts w:ascii="Times New Roman" w:hAnsi="Times New Roman"/>
                <w:noProof/>
                <w:sz w:val="12"/>
              </w:rPr>
              <w:t>C(2019) 5684 final – Décision conjointe de la Commission et de la haute représentante de l’Union pour les affaires étrangères et la politique de sécurité du 7.8.2019 relative à la couverture médicale autonome ou complémentaire des agents locaux des délégations de l’Union dans les pays où la couverture par le système local n’existe pas ou est insuffisante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64384"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518575802" name="Rectangle 1518575802"/>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18575802" o:spid="_x0000_s1029" style="position:absolute;margin-left:178.4pt;margin-top:17.9pt;width:156.2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3KrwQIAABUGAAAOAAAAZHJzL2Uyb0RvYy54bWysVNtu2zAMfR+wfxD0vjpO4zU16hRBiw4D&#10;ujZoO/RZkaXYgG6TlMTZ14+SbDftbsCwF1vi5ZA8FHlx2UmBdsy6VqsK5ycTjJiium7VpsJfn24+&#10;zDFynqiaCK1YhQ/M4cvF+3cXe1OyqW60qJlFAKJcuTcVbrw3ZZY52jBJ3Ik2TIGSayuJh6vdZLUl&#10;e0CXIptOJh+zvba1sZoy50B6nZR4EfE5Z9Tfc+6YR6LCkJuPXxu/6/DNFhek3Fhimpb2aZB/yEKS&#10;VkHQEeqaeIK2tv0JSrbUaqe5P6FaZprzlrJYA1STT95U89gQw2ItQI4zI03u/8HSu93KoraG3hX5&#10;vDgr5pMpRopI6NUDsEfURjB0pAPC9saV4PdoVra/OTiG6jtuZfhDXaiLJB9GklnnEQVhfj4/LWYF&#10;RhR0s+IMuhi6kL14G+v8J6YlCocKW0gjckt2t84n08EkBHNatPVNK0S8hIfDroRFOwIt9900uoqt&#10;/KLrJIOAKSQpQQzPI4nngxgyic8voMS8XgUQCu2hiOkZYPw9et6XdgQB8EIBbmAx8RZP/iBYwBPq&#10;gXFoCDCVUh9zSWkSSpnyeYrdkJolcfHb7CNgQOZA0YjdA7xma8BOHPf2wZXFSRqd+8r/5Dx6xMha&#10;+dFZtkrblP5rAAFV9ZGT/UBSoiaw5Lt1Fx/rabAMkrWuD/CArU6T7Qy9aeHV3BLnV8TCKMPQw3ry&#10;9/DhQkPrdH/CqNH2+6/kwR4mDLQY7WE1VNh92xLLMBKfFczeeT6bhV0SL/EFY2SPNetjjdrKKw1P&#10;MYdFaGg8grP1Yjhyq+UzbLFliAoqoijErjD1drhc+bSyYA9StlxGM9gfhvhb9WhoAA88h6l46p6J&#10;Nf3oeBi6Oz2sEVK+maBkGzyVXm695m0crxde+w7A7omD0O/JsNyO79HqZZsvfgA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jzNyq8ECAAAV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cs="Times New Roman"/>
                <w:b/>
                <w:noProof/>
                <w:sz w:val="46"/>
              </w:rPr>
              <w:lastRenderedPageBreak/>
              <w:t>Comité économique et social européen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sz w:val="17"/>
              </w:rPr>
              <w:t xml:space="preserve">Mesures </w:t>
            </w:r>
            <w:r>
              <w:rPr>
                <w:rFonts w:ascii="Times New Roman"/>
                <w:b/>
                <w:noProof/>
                <w:sz w:val="17"/>
              </w:rPr>
              <w:t>à</w:t>
            </w:r>
            <w:r>
              <w:rPr>
                <w:rFonts w:ascii="Times New Roman"/>
                <w:b/>
                <w:noProof/>
                <w:sz w:val="17"/>
              </w:rPr>
              <w:t xml:space="preserve"> caract</w:t>
            </w:r>
            <w:r>
              <w:rPr>
                <w:rFonts w:ascii="Times New Roman"/>
                <w:b/>
                <w:noProof/>
                <w:sz w:val="17"/>
              </w:rPr>
              <w:t>è</w:t>
            </w:r>
            <w:r>
              <w:rPr>
                <w:rFonts w:ascii="Times New Roman"/>
                <w:b/>
                <w:noProof/>
                <w:sz w:val="17"/>
              </w:rPr>
              <w:t>re social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207/96 A relative à l’aide aux familles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11.4.1996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121/06 A relative à la fourniture d’une aide psychologique aux membres du personnel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13.3.2006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sexies</w:t>
            </w:r>
            <w:r>
              <w:rPr>
                <w:rFonts w:ascii="Times New Roman" w:hAnsi="Times New Roman"/>
                <w:b/>
                <w:noProof/>
                <w:sz w:val="12"/>
              </w:rPr>
              <w:t>, paragraphe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113" w:after="0" w:line="240" w:lineRule="auto"/>
              <w:jc w:val="center"/>
              <w:rPr>
                <w:rFonts w:ascii="Times New Roman"/>
                <w:b/>
                <w:noProof/>
                <w:color w:val="000000" w:themeColor="text1"/>
                <w:sz w:val="17"/>
                <w:szCs w:val="17"/>
              </w:rPr>
            </w:pPr>
            <w:r>
              <w:rPr>
                <w:rFonts w:ascii="Times New Roman"/>
                <w:b/>
                <w:noProof/>
                <w:color w:val="000000" w:themeColor="text1"/>
                <w:sz w:val="17"/>
              </w:rPr>
              <w:t>Sant</w:t>
            </w:r>
            <w:r>
              <w:rPr>
                <w:rFonts w:ascii="Times New Roman"/>
                <w:b/>
                <w:noProof/>
                <w:color w:val="000000" w:themeColor="text1"/>
                <w:sz w:val="17"/>
              </w:rPr>
              <w:t>é</w:t>
            </w:r>
            <w:r>
              <w:rPr>
                <w:rFonts w:ascii="Times New Roman"/>
                <w:b/>
                <w:noProof/>
                <w:color w:val="000000" w:themeColor="text1"/>
                <w:sz w:val="17"/>
              </w:rPr>
              <w:t xml:space="preserve"> et s</w:t>
            </w:r>
            <w:r>
              <w:rPr>
                <w:rFonts w:ascii="Times New Roman"/>
                <w:b/>
                <w:noProof/>
                <w:color w:val="000000" w:themeColor="text1"/>
                <w:sz w:val="17"/>
              </w:rPr>
              <w:t>é</w:t>
            </w:r>
            <w:r>
              <w:rPr>
                <w:rFonts w:ascii="Times New Roman"/>
                <w:b/>
                <w:noProof/>
                <w:color w:val="000000" w:themeColor="text1"/>
                <w:sz w:val="17"/>
              </w:rPr>
              <w:t>curit</w:t>
            </w:r>
            <w:r>
              <w:rPr>
                <w:rFonts w:ascii="Times New Roman"/>
                <w:b/>
                <w:noProof/>
                <w:color w:val="000000" w:themeColor="text1"/>
                <w:sz w:val="17"/>
              </w:rPr>
              <w:t>é</w:t>
            </w:r>
          </w:p>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015/21 A relative au</w:t>
            </w:r>
            <w:bookmarkStart w:id="25" w:name="_Hlk177637010"/>
            <w:r>
              <w:rPr>
                <w:rFonts w:ascii="Times New Roman" w:hAnsi="Times New Roman"/>
                <w:noProof/>
                <w:color w:val="000000" w:themeColor="text1"/>
                <w:sz w:val="12"/>
              </w:rPr>
              <w:t xml:space="preserve"> paiement d’un montant forfaitaire pour couvrir les coûts extraordinaires supportés par le personnel pendant la période de télétravail obligatoire</w:t>
            </w:r>
            <w:bookmarkEnd w:id="25"/>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color w:val="000000" w:themeColor="text1"/>
                <w:sz w:val="12"/>
              </w:rPr>
              <w:t>15.1.2021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118/22 A relative à l’attribution et à l’utilisation d’un écran supplémentaire pour le télétravail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16.5.2022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Pouvoirs de l</w:t>
            </w:r>
            <w:r>
              <w:rPr>
                <w:rFonts w:ascii="Times New Roman"/>
                <w:b/>
                <w:noProof/>
                <w:sz w:val="17"/>
              </w:rPr>
              <w:t>’</w:t>
            </w:r>
            <w:r>
              <w:rPr>
                <w:rFonts w:ascii="Times New Roman"/>
                <w:b/>
                <w:noProof/>
                <w:sz w:val="17"/>
              </w:rPr>
              <w:t>AIPN</w:t>
            </w: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081/19 A relative à l’exercice des pouvoirs dévolus à l’autorité investie du pouvoir de nomination par le statut</w:t>
            </w:r>
            <w:r>
              <w:rPr>
                <w:rFonts w:ascii="Times New Roman" w:hAnsi="Times New Roman"/>
                <w:noProof/>
                <w:color w:val="000000" w:themeColor="text1"/>
                <w:sz w:val="12"/>
              </w:rPr>
              <w:br/>
              <w:t xml:space="preserve"> et à l’autorité habilitée à conclure les contrats d’engagement par le RAA – Secrétaire général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11.4.2019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28.1.2020 </w:t>
            </w:r>
            <w:r>
              <w:rPr>
                <w:rFonts w:ascii="Times New Roman" w:hAnsi="Times New Roman"/>
                <w:noProof/>
                <w:color w:val="000000" w:themeColor="text1"/>
                <w:sz w:val="12"/>
              </w:rPr>
              <w:br/>
              <w:t>abrogée par la décision 018/20 A</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189/19 A relative à l’exercice des pouvoirs dévolus à l’autorité investie du pouvoir de nomination par le statut</w:t>
            </w:r>
            <w:r>
              <w:rPr>
                <w:rFonts w:ascii="Times New Roman" w:hAnsi="Times New Roman"/>
                <w:noProof/>
                <w:color w:val="000000" w:themeColor="text1"/>
                <w:sz w:val="12"/>
              </w:rPr>
              <w:br/>
              <w:t xml:space="preserve"> et à l’autorité habilitée à conclure les contrats d’engagement par le RAA – Président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18.7.2019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3.12.2020 </w:t>
            </w:r>
            <w:r>
              <w:rPr>
                <w:rFonts w:ascii="Times New Roman" w:hAnsi="Times New Roman"/>
                <w:noProof/>
                <w:color w:val="000000" w:themeColor="text1"/>
                <w:sz w:val="12"/>
              </w:rPr>
              <w:br/>
              <w:t xml:space="preserve">abrogée par la décision 235/20 A </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294/19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5.12.2019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5.2.2020 </w:t>
            </w:r>
            <w:r>
              <w:rPr>
                <w:rFonts w:ascii="Times New Roman" w:hAnsi="Times New Roman"/>
                <w:noProof/>
                <w:color w:val="000000" w:themeColor="text1"/>
                <w:sz w:val="12"/>
              </w:rPr>
              <w:br/>
              <w:t>abrogée par la décision 027/20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018/20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Secrétaire général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28.1.2020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29.7.2022</w:t>
            </w:r>
            <w:r>
              <w:rPr>
                <w:rFonts w:ascii="Times New Roman" w:hAnsi="Times New Roman"/>
                <w:noProof/>
                <w:color w:val="000000" w:themeColor="text1"/>
                <w:sz w:val="12"/>
              </w:rPr>
              <w:br/>
              <w:t>abrogée par la décision 176/22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027/20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5.2.2020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3.12.2020</w:t>
            </w:r>
            <w:r>
              <w:rPr>
                <w:rFonts w:ascii="Times New Roman" w:hAnsi="Times New Roman"/>
                <w:noProof/>
                <w:color w:val="000000" w:themeColor="text1"/>
                <w:sz w:val="12"/>
              </w:rPr>
              <w:br/>
              <w:t>abrogée par la décision 234/20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234/20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r>
              <w:rPr>
                <w:rFonts w:ascii="Times New Roman" w:hAnsi="Times New Roman"/>
                <w:noProof/>
                <w:color w:val="000000" w:themeColor="text1"/>
                <w:sz w:val="12"/>
              </w:rPr>
              <w:br/>
              <w:t>abrogée</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235/20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Président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r>
              <w:rPr>
                <w:rFonts w:ascii="Times New Roman" w:hAnsi="Times New Roman"/>
                <w:noProof/>
                <w:color w:val="000000" w:themeColor="text1"/>
                <w:sz w:val="12"/>
              </w:rPr>
              <w:br/>
              <w:t>abrogée</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024/21 A relative à la subdélégation des pouvoirs – Secrétaire général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26.1.2021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28.7.2022 </w:t>
            </w:r>
            <w:r>
              <w:rPr>
                <w:rFonts w:ascii="Times New Roman" w:hAnsi="Times New Roman"/>
                <w:noProof/>
                <w:color w:val="000000" w:themeColor="text1"/>
                <w:sz w:val="12"/>
              </w:rPr>
              <w:br/>
              <w:t>abrogée par la décision 173/22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159/22 A relative à l’exercice des pouvoirs dévolus à l’autorité investie du pouvoir de nomination par le statut</w:t>
            </w:r>
            <w:r>
              <w:rPr>
                <w:rFonts w:ascii="Times New Roman" w:hAnsi="Times New Roman"/>
                <w:noProof/>
                <w:color w:val="000000" w:themeColor="text1"/>
                <w:sz w:val="12"/>
              </w:rPr>
              <w:br/>
              <w:t xml:space="preserve"> et à l’autorité habilitée à conclure les contrats d’engagement par le RAA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28.7.2023 </w:t>
            </w:r>
            <w:r>
              <w:rPr>
                <w:rFonts w:ascii="Times New Roman" w:hAnsi="Times New Roman"/>
                <w:noProof/>
                <w:color w:val="000000" w:themeColor="text1"/>
                <w:sz w:val="12"/>
              </w:rPr>
              <w:br/>
              <w:t>abrogée par la décision 171/23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160/22 A relative à l’exercice des pouvoirs dévolus à l’autorité investie du pouvoir de nomination par le statut</w:t>
            </w:r>
            <w:r>
              <w:rPr>
                <w:rFonts w:ascii="Times New Roman" w:hAnsi="Times New Roman"/>
                <w:noProof/>
                <w:color w:val="000000" w:themeColor="text1"/>
                <w:sz w:val="12"/>
              </w:rPr>
              <w:br/>
              <w:t xml:space="preserve"> et à l’autorité habilitée à conclure les contrats d’engagement par le RAA – Président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25.8.2023  </w:t>
            </w:r>
            <w:r>
              <w:rPr>
                <w:rFonts w:ascii="Times New Roman" w:hAnsi="Times New Roman"/>
                <w:noProof/>
                <w:color w:val="000000" w:themeColor="text1"/>
                <w:sz w:val="12"/>
              </w:rPr>
              <w:br/>
              <w:t>abrogée par la décision 180/23 A</w:t>
            </w:r>
          </w:p>
        </w:tc>
        <w:tc>
          <w:tcPr>
            <w:tcW w:w="936" w:type="dxa"/>
            <w:vMerge/>
            <w:tcBorders>
              <w:left w:val="single" w:sz="4" w:space="0" w:color="auto"/>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173/22 A relative à la subdélégation de pouvoirs – </w:t>
            </w:r>
            <w:r>
              <w:rPr>
                <w:rFonts w:ascii="Times New Roman" w:hAnsi="Times New Roman"/>
                <w:noProof/>
                <w:color w:val="000000" w:themeColor="text1"/>
                <w:sz w:val="12"/>
              </w:rPr>
              <w:br/>
              <w:t xml:space="preserve">Secrétaire général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28.7.2022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176/22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Secrétaire général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29.7.2022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171/23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Bureau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28.7.2023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Décision 180/23 A relative à l’exercice des pouvoirs dévolus à l’autorité investie du pouvoir de nomination par le statut </w:t>
            </w:r>
            <w:r>
              <w:rPr>
                <w:rFonts w:ascii="Times New Roman" w:hAnsi="Times New Roman"/>
                <w:noProof/>
                <w:color w:val="000000" w:themeColor="text1"/>
                <w:sz w:val="12"/>
              </w:rPr>
              <w:br/>
              <w:t>et à l’autorité habilitée à conclure les contrats d’engagement par le RAA – Président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25.8.2023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before="11" w:after="0" w:line="240" w:lineRule="auto"/>
              <w:jc w:val="center"/>
              <w:rPr>
                <w:rFonts w:ascii="Times New Roman" w:hAnsi="Times New Roman" w:cs="Times New Roman"/>
                <w:b/>
                <w:noProof/>
                <w:w w:val="105"/>
                <w:sz w:val="12"/>
                <w:szCs w:val="12"/>
              </w:rPr>
            </w:pPr>
            <w:r>
              <w:rPr>
                <w:rFonts w:ascii="Times New Roman" w:hAnsi="Times New Roman"/>
                <w:b/>
                <w:noProof/>
                <w:sz w:val="12"/>
              </w:rPr>
              <w:t xml:space="preserve">5 + annexe I </w:t>
            </w: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(art. 30 et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Emplois types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033/17 A relative aux emplois types et aux intitulés d’emploi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2.3.2017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before="11" w:after="0" w:line="240" w:lineRule="auto"/>
              <w:jc w:val="center"/>
              <w:rPr>
                <w:rFonts w:ascii="Times New Roman" w:eastAsia="Times New Roman" w:hAnsi="Times New Roman" w:cs="Times New Roman"/>
                <w:noProof/>
                <w:sz w:val="12"/>
                <w:szCs w:val="12"/>
              </w:rPr>
            </w:pPr>
          </w:p>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Mobilit</w:t>
            </w:r>
            <w:r>
              <w:rPr>
                <w:rFonts w:ascii="Times New Roman"/>
                <w:b/>
                <w:noProof/>
                <w:sz w:val="17"/>
              </w:rPr>
              <w: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Times New Roman" w:hAnsi="Times New Roman" w:cs="Times New Roman"/>
                <w:noProof/>
                <w:sz w:val="12"/>
                <w:szCs w:val="12"/>
              </w:rPr>
            </w:pPr>
          </w:p>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130/15 A instaurant un régime de mobilité</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Times New Roman" w:hAnsi="Times New Roman" w:cs="Times New Roman"/>
                <w:noProof/>
                <w:sz w:val="12"/>
                <w:szCs w:val="12"/>
              </w:rPr>
            </w:pPr>
          </w:p>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11.5.2015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noProof/>
                <w:sz w:val="12"/>
              </w:rPr>
              <w:lastRenderedPageBreak/>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Comit</w:t>
            </w:r>
            <w:r>
              <w:rPr>
                <w:rFonts w:ascii="Times New Roman"/>
                <w:b/>
                <w:noProof/>
                <w:sz w:val="17"/>
              </w:rPr>
              <w:t>é</w:t>
            </w:r>
            <w:r>
              <w:rPr>
                <w:rFonts w:ascii="Times New Roman"/>
                <w:b/>
                <w:noProof/>
                <w:sz w:val="17"/>
              </w:rPr>
              <w:t>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240/19 A instituant le comité des rapports </w:t>
            </w:r>
            <w:r>
              <w:rPr>
                <w:rFonts w:ascii="Times New Roman" w:hAnsi="Times New Roman"/>
                <w:noProof/>
                <w:sz w:val="12"/>
              </w:rPr>
              <w:br/>
              <w:t>(pour les rapports de fin de période d’essai)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27.9.2019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567"/>
        </w:trPr>
        <w:tc>
          <w:tcPr>
            <w:tcW w:w="1156" w:type="dxa"/>
            <w:tcBorders>
              <w:top w:val="single" w:sz="5"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11 à 21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b/>
                <w:noProof/>
                <w:sz w:val="17"/>
              </w:rPr>
              <w:t>É</w:t>
            </w:r>
            <w:r>
              <w:rPr>
                <w:rFonts w:ascii="Times New Roman"/>
                <w:b/>
                <w:noProof/>
                <w:sz w:val="17"/>
              </w:rPr>
              <w:t>thique et int</w:t>
            </w:r>
            <w:r>
              <w:rPr>
                <w:rFonts w:ascii="Times New Roman"/>
                <w:b/>
                <w:noProof/>
                <w:sz w:val="17"/>
              </w:rPr>
              <w:t>é</w:t>
            </w:r>
            <w:r>
              <w:rPr>
                <w:rFonts w:ascii="Times New Roman"/>
                <w:b/>
                <w:noProof/>
                <w:sz w:val="17"/>
              </w:rPr>
              <w:t>grit</w:t>
            </w:r>
            <w:r>
              <w:rPr>
                <w:rFonts w:ascii="Times New Roman"/>
                <w:b/>
                <w:noProof/>
                <w:sz w:val="17"/>
              </w:rPr>
              <w: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510/09</w:t>
            </w:r>
            <w:r>
              <w:rPr>
                <w:rFonts w:ascii="Times New Roman"/>
                <w:noProof/>
                <w:sz w:val="12"/>
              </w:rPr>
              <w:t> </w:t>
            </w:r>
            <w:r>
              <w:rPr>
                <w:rFonts w:ascii="Times New Roman"/>
                <w:noProof/>
                <w:sz w:val="12"/>
              </w:rPr>
              <w:t>A du 6.8.2009 portant adoption du code de bonne conduite administrative du CESE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noProof/>
                <w:spacing w:val="-2"/>
                <w:w w:val="105"/>
                <w:sz w:val="12"/>
                <w:szCs w:val="12"/>
              </w:rPr>
            </w:pPr>
          </w:p>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6.8.2009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tcBorders>
              <w:top w:val="single" w:sz="5"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p>
          <w:p>
            <w:pPr>
              <w:widowControl w:val="0"/>
              <w:spacing w:after="0" w:line="240" w:lineRule="auto"/>
              <w:ind w:right="2"/>
              <w:jc w:val="center"/>
              <w:rPr>
                <w:rFonts w:ascii="Times New Roman" w:eastAsia="Calibri" w:hAnsi="Times New Roman" w:cs="Times New Roman"/>
                <w:noProof/>
                <w:sz w:val="12"/>
                <w:szCs w:val="12"/>
              </w:rPr>
            </w:pPr>
            <w:r>
              <w:rPr>
                <w:rFonts w:ascii="Times New Roman"/>
                <w:b/>
                <w:noProof/>
                <w:sz w:val="12"/>
              </w:rPr>
              <w:t>12</w:t>
            </w:r>
            <w:r>
              <w:rPr>
                <w:rFonts w:ascii="Times New Roman"/>
                <w:b/>
                <w:noProof/>
                <w:sz w:val="12"/>
              </w:rPr>
              <w:t> </w:t>
            </w:r>
            <w:r>
              <w:rPr>
                <w:rFonts w:asci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7"/>
                <w:szCs w:val="17"/>
              </w:rPr>
            </w:pPr>
          </w:p>
          <w:p>
            <w:pPr>
              <w:widowControl w:val="0"/>
              <w:spacing w:after="0" w:line="240" w:lineRule="auto"/>
              <w:jc w:val="center"/>
              <w:rPr>
                <w:rFonts w:ascii="Times New Roman" w:eastAsia="Calibri" w:hAnsi="Times New Roman" w:cs="Times New Roman"/>
                <w:noProof/>
                <w:sz w:val="16"/>
                <w:szCs w:val="16"/>
              </w:rPr>
            </w:pPr>
            <w:r>
              <w:rPr>
                <w:rFonts w:ascii="Times New Roman"/>
                <w:b/>
                <w:noProof/>
                <w:sz w:val="17"/>
              </w:rPr>
              <w:t>Harc</w:t>
            </w:r>
            <w:r>
              <w:rPr>
                <w:rFonts w:ascii="Times New Roman"/>
                <w:b/>
                <w:noProof/>
                <w:sz w:val="17"/>
              </w:rPr>
              <w:t>è</w:t>
            </w:r>
            <w:r>
              <w:rPr>
                <w:rFonts w:ascii="Times New Roman"/>
                <w:b/>
                <w:noProof/>
                <w:sz w:val="17"/>
              </w:rPr>
              <w:t>lement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 xml:space="preserve">Décision 200/14 A concernant les procédures de traitement du harcèlement moral et sexuel au travail </w:t>
            </w:r>
            <w:r>
              <w:rPr>
                <w:rFonts w:ascii="Times New Roman" w:hAnsi="Times New Roman"/>
                <w:noProof/>
                <w:sz w:val="12"/>
              </w:rPr>
              <w:br/>
              <w:t>(modifiée en dernier lieu par la décision 090/22 A du 31.3.2022)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val="restart"/>
            <w:tcBorders>
              <w:top w:val="single" w:sz="5" w:space="0" w:color="000000"/>
              <w:left w:val="single" w:sz="4" w:space="0" w:color="000000"/>
              <w:right w:val="single" w:sz="4" w:space="0" w:color="auto"/>
            </w:tcBorders>
            <w:shd w:val="clear" w:color="auto" w:fill="FFFFFF" w:themeFill="background1"/>
            <w:vAlign w:val="center"/>
          </w:tcPr>
          <w:p>
            <w:pPr>
              <w:widowControl w:val="0"/>
              <w:spacing w:before="6" w:after="0" w:line="240" w:lineRule="auto"/>
              <w:jc w:val="center"/>
              <w:rPr>
                <w:rFonts w:ascii="Times New Roman" w:eastAsia="Times New Roman" w:hAnsi="Times New Roman" w:cs="Times New Roman"/>
                <w:noProof/>
                <w:sz w:val="12"/>
                <w:szCs w:val="12"/>
              </w:rPr>
            </w:pPr>
          </w:p>
          <w:p>
            <w:pPr>
              <w:widowControl w:val="0"/>
              <w:spacing w:after="0" w:line="240" w:lineRule="auto"/>
              <w:ind w:right="2"/>
              <w:jc w:val="center"/>
              <w:rPr>
                <w:rFonts w:ascii="Times New Roman" w:eastAsia="Calibri" w:hAnsi="Times New Roman" w:cs="Times New Roman"/>
                <w:noProof/>
                <w:sz w:val="12"/>
                <w:szCs w:val="12"/>
              </w:rPr>
            </w:pPr>
            <w:r>
              <w:rPr>
                <w:rFonts w:ascii="Times New Roman"/>
                <w:b/>
                <w:noProof/>
                <w:sz w:val="12"/>
              </w:rPr>
              <w:t>12</w:t>
            </w:r>
            <w:r>
              <w:rPr>
                <w:rFonts w:ascii="Times New Roman"/>
                <w:b/>
                <w:noProof/>
                <w:sz w:val="12"/>
              </w:rPr>
              <w:t> </w:t>
            </w:r>
            <w:r>
              <w:rPr>
                <w:rFonts w:ascii="Times New Roman"/>
                <w:b/>
                <w:i/>
                <w:iCs/>
                <w:noProof/>
                <w:sz w:val="12"/>
              </w:rPr>
              <w:t>ter</w:t>
            </w:r>
            <w:r>
              <w:rPr>
                <w:rFonts w:ascii="Times New Roman"/>
                <w:b/>
                <w:noProof/>
                <w:sz w:val="12"/>
              </w:rPr>
              <w:t>, 16, 17</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Activités extérieures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Décision 038/14 A relative aux activités extérieures et aux mandats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22.6.2022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3" w:space="0" w:color="000000"/>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Décision 141/22 A relative aux activités extérieures et aux mandats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22.6.2022</w:t>
            </w:r>
          </w:p>
        </w:tc>
        <w:tc>
          <w:tcPr>
            <w:tcW w:w="1687"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color w:val="000000" w:themeColor="text1"/>
                <w:sz w:val="12"/>
                <w:szCs w:val="12"/>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color w:val="000000" w:themeColor="text1"/>
                <w:sz w:val="12"/>
              </w:rPr>
              <w:t>22 </w:t>
            </w:r>
            <w:r>
              <w:rPr>
                <w:rFonts w:ascii="Times New Roman" w:hAnsi="Times New Roman"/>
                <w:b/>
                <w:i/>
                <w:iCs/>
                <w:noProof/>
                <w:color w:val="000000" w:themeColor="text1"/>
                <w:sz w:val="12"/>
              </w:rPr>
              <w:t>bis</w:t>
            </w:r>
            <w:r>
              <w:rPr>
                <w:rFonts w:ascii="Times New Roman" w:hAnsi="Times New Roman"/>
                <w:b/>
                <w:noProof/>
                <w:color w:val="000000" w:themeColor="text1"/>
                <w:sz w:val="12"/>
              </w:rPr>
              <w:t xml:space="preserve"> à 22 </w:t>
            </w:r>
            <w:r>
              <w:rPr>
                <w:rFonts w:ascii="Times New Roman" w:hAnsi="Times New Roman"/>
                <w:b/>
                <w:i/>
                <w:iCs/>
                <w:noProof/>
                <w:color w:val="000000" w:themeColor="text1"/>
                <w:sz w:val="12"/>
              </w:rPr>
              <w:t>quater</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color w:val="000000" w:themeColor="text1"/>
                <w:sz w:val="17"/>
              </w:rPr>
              <w:t>Dénonciation des dysfonctionnements</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053/16 A formulant les règles en matière de lancement d’alerte</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3.3.2016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15.12.2021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color w:val="000000" w:themeColor="text1"/>
                <w:sz w:val="12"/>
                <w:szCs w:val="12"/>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297/21 A formulant les règles en matière de lancement d’alerte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15.12.2021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tcBorders>
              <w:top w:val="single" w:sz="4" w:space="0" w:color="auto"/>
              <w:left w:val="single" w:sz="4" w:space="0" w:color="auto"/>
              <w:bottom w:val="single" w:sz="4" w:space="0" w:color="auto"/>
              <w:right w:val="single" w:sz="6"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p>
          <w:p>
            <w:pPr>
              <w:widowControl w:val="0"/>
              <w:spacing w:after="0" w:line="240" w:lineRule="auto"/>
              <w:ind w:right="2"/>
              <w:jc w:val="center"/>
              <w:rPr>
                <w:rFonts w:ascii="Times New Roman" w:eastAsia="Calibri" w:hAnsi="Times New Roman" w:cs="Times New Roman"/>
                <w:b/>
                <w:bCs/>
                <w:noProof/>
                <w:sz w:val="12"/>
              </w:rPr>
            </w:pPr>
            <w:r>
              <w:rPr>
                <w:rFonts w:ascii="Times New Roman"/>
                <w:b/>
                <w:noProof/>
                <w:sz w:val="12"/>
              </w:rPr>
              <w:t>22</w:t>
            </w:r>
            <w:r>
              <w:rPr>
                <w:rFonts w:ascii="Times New Roman"/>
                <w:b/>
                <w:noProof/>
                <w:sz w:val="12"/>
              </w:rPr>
              <w:t> </w:t>
            </w:r>
            <w:r>
              <w:rPr>
                <w:rFonts w:ascii="Times New Roman"/>
                <w:b/>
                <w:i/>
                <w:iCs/>
                <w:noProof/>
                <w:sz w:val="12"/>
              </w:rPr>
              <w:t>bis</w:t>
            </w:r>
            <w:r>
              <w:rPr>
                <w:rFonts w:ascii="Times New Roman"/>
                <w:b/>
                <w:noProof/>
                <w:sz w:val="12"/>
              </w:rPr>
              <w:t xml:space="preserve"> </w:t>
            </w:r>
            <w:r>
              <w:rPr>
                <w:rFonts w:ascii="Times New Roman"/>
                <w:b/>
                <w:noProof/>
                <w:sz w:val="12"/>
              </w:rPr>
              <w:t>à </w:t>
            </w:r>
            <w:r>
              <w:rPr>
                <w:rFonts w:ascii="Times New Roman"/>
                <w:b/>
                <w:noProof/>
                <w:sz w:val="12"/>
              </w:rPr>
              <w:t>22</w:t>
            </w:r>
            <w:r>
              <w:rPr>
                <w:rFonts w:ascii="Times New Roman"/>
                <w:b/>
                <w:noProof/>
                <w:sz w:val="12"/>
              </w:rPr>
              <w:t> </w:t>
            </w:r>
            <w:r>
              <w:rPr>
                <w:rFonts w:ascii="Times New Roman"/>
                <w:b/>
                <w:i/>
                <w:iCs/>
                <w:noProof/>
                <w:sz w:val="12"/>
              </w:rPr>
              <w:t>quater</w:t>
            </w:r>
          </w:p>
        </w:tc>
        <w:tc>
          <w:tcPr>
            <w:tcW w:w="2551"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É</w:t>
            </w:r>
            <w:r>
              <w:rPr>
                <w:rFonts w:ascii="Times New Roman"/>
                <w:b/>
                <w:noProof/>
                <w:sz w:val="17"/>
              </w:rPr>
              <w:t>thique et int</w:t>
            </w:r>
            <w:r>
              <w:rPr>
                <w:rFonts w:ascii="Times New Roman"/>
                <w:b/>
                <w:noProof/>
                <w:sz w:val="17"/>
              </w:rPr>
              <w:t>é</w:t>
            </w:r>
            <w:r>
              <w:rPr>
                <w:rFonts w:ascii="Times New Roman"/>
                <w:b/>
                <w:noProof/>
                <w:sz w:val="17"/>
              </w:rPr>
              <w:t>grit</w:t>
            </w:r>
            <w:r>
              <w:rPr>
                <w:rFonts w:ascii="Times New Roman"/>
                <w:b/>
                <w:noProof/>
                <w:sz w:val="17"/>
              </w:rPr>
              <w:t>é</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Directive interne DRH 002/18 – Nomination des conseillers en matière d’éthique au CESE (procédure de dénonciation des dysfonctionnements)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30.5.2018</w:t>
            </w:r>
          </w:p>
        </w:tc>
        <w:tc>
          <w:tcPr>
            <w:tcW w:w="1687" w:type="dxa"/>
            <w:tcBorders>
              <w:top w:val="single" w:sz="4" w:space="0" w:color="auto"/>
              <w:left w:val="single" w:sz="4" w:space="0" w:color="auto"/>
              <w:bottom w:val="single" w:sz="4" w:space="0" w:color="auto"/>
              <w:right w:val="single" w:sz="6" w:space="0" w:color="000000"/>
            </w:tcBorders>
            <w:shd w:val="clear" w:color="auto" w:fill="DA9694"/>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val="restart"/>
            <w:tcBorders>
              <w:top w:val="single" w:sz="4" w:space="0" w:color="auto"/>
              <w:left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rPr>
            </w:pPr>
            <w:r>
              <w:rPr>
                <w:rFonts w:ascii="Times New Roman"/>
                <w:b/>
                <w:noProof/>
                <w:sz w:val="12"/>
              </w:rPr>
              <w:t>24</w:t>
            </w:r>
            <w:r>
              <w:rPr>
                <w:rFonts w:ascii="Times New Roman"/>
                <w:b/>
                <w:noProof/>
                <w:sz w:val="12"/>
              </w:rPr>
              <w:t> </w:t>
            </w:r>
            <w:r>
              <w:rPr>
                <w:rFonts w:ascii="Times New Roman"/>
                <w:b/>
                <w:i/>
                <w:iCs/>
                <w:noProof/>
                <w:sz w:val="12"/>
              </w:rPr>
              <w:t>bis</w:t>
            </w:r>
          </w:p>
        </w:tc>
        <w:tc>
          <w:tcPr>
            <w:tcW w:w="2551" w:type="dxa"/>
            <w:vMerge w:val="restart"/>
            <w:tcBorders>
              <w:top w:val="single" w:sz="4" w:space="0" w:color="auto"/>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Formation</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189/15 A relative aux règles en matière de formation et de développement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10.7.2015</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rPr>
            </w:pPr>
          </w:p>
        </w:tc>
        <w:tc>
          <w:tcPr>
            <w:tcW w:w="2551"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234/17 A portant dispositions d’exécution des règles relatives à la formation et au développement dans le cadre du régime linguistique particulier des traducteurs au secrétariat général du CESE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13.12.2017</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auto"/>
              <w:bottom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211/21 A portant détermination de la formation obligatoire et recommandée liée au plan d’action sur le cadre éthique pour le personnel du secrétariat général du CESE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13.9.2021</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b/>
                <w:noProof/>
                <w:sz w:val="12"/>
              </w:rPr>
              <w:t>27 et</w:t>
            </w:r>
            <w:r>
              <w:rPr>
                <w:rFonts w:ascii="Times New Roman"/>
                <w:b/>
                <w:noProof/>
                <w:sz w:val="12"/>
              </w:rPr>
              <w:t> </w:t>
            </w:r>
            <w:r>
              <w:rPr>
                <w:rFonts w:ascii="Times New Roman"/>
                <w:b/>
                <w:noProof/>
                <w:sz w:val="12"/>
              </w:rPr>
              <w:t>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b/>
                <w:noProof/>
                <w:sz w:val="17"/>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444/14</w:t>
            </w:r>
            <w:r>
              <w:rPr>
                <w:rFonts w:ascii="Times New Roman"/>
                <w:noProof/>
                <w:sz w:val="12"/>
              </w:rPr>
              <w:t> </w:t>
            </w:r>
            <w:r>
              <w:rPr>
                <w:rFonts w:ascii="Times New Roman"/>
                <w:noProof/>
                <w:sz w:val="12"/>
              </w:rPr>
              <w:t>A</w:t>
            </w:r>
            <w:r>
              <w:rPr>
                <w:rFonts w:ascii="Times New Roman"/>
                <w:noProof/>
                <w:sz w:val="12"/>
              </w:rPr>
              <w:t> –</w:t>
            </w:r>
            <w:r>
              <w:rPr>
                <w:rFonts w:ascii="Times New Roman"/>
                <w:noProof/>
                <w:sz w:val="12"/>
              </w:rPr>
              <w:t xml:space="preserve">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relatives aux crit</w:t>
            </w:r>
            <w:r>
              <w:rPr>
                <w:rFonts w:ascii="Times New Roman"/>
                <w:noProof/>
                <w:sz w:val="12"/>
              </w:rPr>
              <w:t>è</w:t>
            </w:r>
            <w:r>
              <w:rPr>
                <w:rFonts w:ascii="Times New Roman"/>
                <w:noProof/>
                <w:sz w:val="12"/>
              </w:rPr>
              <w:t xml:space="preserve">res applicables au classement en </w:t>
            </w:r>
            <w:r>
              <w:rPr>
                <w:rFonts w:ascii="Times New Roman"/>
                <w:noProof/>
                <w:sz w:val="12"/>
              </w:rPr>
              <w:t>é</w:t>
            </w:r>
            <w:r>
              <w:rPr>
                <w:rFonts w:ascii="Times New Roman"/>
                <w:noProof/>
                <w:sz w:val="12"/>
              </w:rPr>
              <w:t>chelon lors du recrutement ou de l</w:t>
            </w:r>
            <w:r>
              <w:rPr>
                <w:rFonts w:ascii="Times New Roman"/>
                <w:noProof/>
                <w:sz w:val="12"/>
              </w:rPr>
              <w:t>’</w:t>
            </w:r>
            <w:r>
              <w:rPr>
                <w:rFonts w:ascii="Times New Roman"/>
                <w:noProof/>
                <w:sz w:val="12"/>
              </w:rPr>
              <w:t>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773"/>
        </w:trPr>
        <w:tc>
          <w:tcPr>
            <w:tcW w:w="1156" w:type="dxa"/>
            <w:tcBorders>
              <w:top w:val="single" w:sz="6" w:space="0" w:color="000000"/>
              <w:left w:val="single" w:sz="6" w:space="0" w:color="000000"/>
              <w:bottom w:val="single" w:sz="4" w:space="0" w:color="auto"/>
              <w:right w:val="single" w:sz="6" w:space="0" w:color="000000"/>
            </w:tcBorders>
            <w:shd w:val="clear" w:color="auto" w:fill="FFFFFF" w:themeFill="background1"/>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b/>
                <w:noProof/>
                <w:sz w:val="12"/>
              </w:rPr>
              <w:t>40</w:t>
            </w:r>
          </w:p>
        </w:tc>
        <w:tc>
          <w:tcPr>
            <w:tcW w:w="2551"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Cong</w:t>
            </w:r>
            <w:r>
              <w:rPr>
                <w:rFonts w:ascii="Times New Roman"/>
                <w:b/>
                <w:noProof/>
                <w:sz w:val="17"/>
              </w:rPr>
              <w:t>é</w:t>
            </w:r>
            <w:r>
              <w:rPr>
                <w:rFonts w:ascii="Times New Roman"/>
                <w:b/>
                <w:noProof/>
                <w:sz w:val="17"/>
              </w:rPr>
              <w:t xml:space="preserve"> de convenance personnelle</w:t>
            </w: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235/14</w:t>
            </w:r>
            <w:r>
              <w:rPr>
                <w:rFonts w:ascii="Times New Roman"/>
                <w:noProof/>
                <w:sz w:val="12"/>
              </w:rPr>
              <w:t> </w:t>
            </w:r>
            <w:r>
              <w:rPr>
                <w:rFonts w:ascii="Times New Roman"/>
                <w:noProof/>
                <w:sz w:val="12"/>
              </w:rPr>
              <w:t>A portant application des mesures concernant le cong</w:t>
            </w:r>
            <w:r>
              <w:rPr>
                <w:rFonts w:ascii="Times New Roman"/>
                <w:noProof/>
                <w:sz w:val="12"/>
              </w:rPr>
              <w:t>é</w:t>
            </w:r>
            <w:r>
              <w:rPr>
                <w:rFonts w:ascii="Times New Roman"/>
                <w:noProof/>
                <w:sz w:val="12"/>
              </w:rPr>
              <w:t xml:space="preserve"> de convenance personnelle des fonctionnaires et le cong</w:t>
            </w:r>
            <w:r>
              <w:rPr>
                <w:rFonts w:ascii="Times New Roman"/>
                <w:noProof/>
                <w:sz w:val="12"/>
              </w:rPr>
              <w:t>é</w:t>
            </w:r>
            <w:r>
              <w:rPr>
                <w:rFonts w:ascii="Times New Roman"/>
                <w:noProof/>
                <w:sz w:val="12"/>
              </w:rPr>
              <w:t xml:space="preserve"> sans r</w:t>
            </w:r>
            <w:r>
              <w:rPr>
                <w:rFonts w:ascii="Times New Roman"/>
                <w:noProof/>
                <w:sz w:val="12"/>
              </w:rPr>
              <w:t>é</w:t>
            </w:r>
            <w:r>
              <w:rPr>
                <w:rFonts w:ascii="Times New Roman"/>
                <w:noProof/>
                <w:sz w:val="12"/>
              </w:rPr>
              <w:t>mun</w:t>
            </w:r>
            <w:r>
              <w:rPr>
                <w:rFonts w:ascii="Times New Roman"/>
                <w:noProof/>
                <w:sz w:val="12"/>
              </w:rPr>
              <w:t>é</w:t>
            </w:r>
            <w:r>
              <w:rPr>
                <w:rFonts w:ascii="Times New Roman"/>
                <w:noProof/>
                <w:sz w:val="12"/>
              </w:rPr>
              <w:t>ration des agents temporaires et agents contractuels</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noProof/>
                <w:sz w:val="12"/>
              </w:rPr>
              <w:t>30.10.2014</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567"/>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b/>
                <w:noProof/>
                <w:sz w:val="12"/>
              </w:rPr>
              <w:t>42</w:t>
            </w:r>
            <w:r>
              <w:rPr>
                <w:rFonts w:ascii="Times New Roman"/>
                <w:b/>
                <w:noProof/>
                <w:sz w:val="12"/>
              </w:rPr>
              <w:t> </w:t>
            </w:r>
            <w:r>
              <w:rPr>
                <w:rFonts w:ascii="Times New Roman"/>
                <w:b/>
                <w:i/>
                <w:iCs/>
                <w:noProof/>
                <w:sz w:val="12"/>
              </w:rPr>
              <w:t>bis</w:t>
            </w:r>
          </w:p>
        </w:tc>
        <w:tc>
          <w:tcPr>
            <w:tcW w:w="2551" w:type="dxa"/>
            <w:tcBorders>
              <w:left w:val="single" w:sz="4" w:space="0" w:color="000000"/>
              <w:bottom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b/>
                <w:noProof/>
                <w:sz w:val="17"/>
              </w:rPr>
              <w:t>Cong</w:t>
            </w:r>
            <w:r>
              <w:rPr>
                <w:rFonts w:ascii="Times New Roman"/>
                <w:b/>
                <w:noProof/>
                <w:sz w:val="17"/>
              </w:rPr>
              <w:t>é</w:t>
            </w:r>
            <w:r>
              <w:rPr>
                <w:rFonts w:ascii="Times New Roman"/>
                <w:b/>
                <w:noProof/>
                <w:sz w:val="17"/>
              </w:rPr>
              <w:t xml:space="preserve"> parental</w:t>
            </w:r>
          </w:p>
        </w:tc>
        <w:tc>
          <w:tcPr>
            <w:tcW w:w="3029" w:type="dxa"/>
            <w:tcBorders>
              <w:top w:val="single" w:sz="3" w:space="0" w:color="000000"/>
              <w:left w:val="single" w:sz="4" w:space="0" w:color="000000"/>
              <w:bottom w:val="single" w:sz="4" w:space="0" w:color="000000"/>
              <w:right w:val="single" w:sz="4"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238/17</w:t>
            </w:r>
            <w:r>
              <w:rPr>
                <w:rFonts w:ascii="Times New Roman"/>
                <w:noProof/>
                <w:sz w:val="12"/>
              </w:rPr>
              <w:t> </w:t>
            </w:r>
            <w:r>
              <w:rPr>
                <w:rFonts w:ascii="Times New Roman"/>
                <w:noProof/>
                <w:sz w:val="12"/>
              </w:rPr>
              <w:t>A relative au cong</w:t>
            </w:r>
            <w:r>
              <w:rPr>
                <w:rFonts w:ascii="Times New Roman"/>
                <w:noProof/>
                <w:sz w:val="12"/>
              </w:rPr>
              <w:t>é</w:t>
            </w:r>
            <w:r>
              <w:rPr>
                <w:rFonts w:ascii="Times New Roman"/>
                <w:noProof/>
                <w:sz w:val="12"/>
              </w:rPr>
              <w:t xml:space="preserve"> familial</w:t>
            </w:r>
          </w:p>
        </w:tc>
        <w:tc>
          <w:tcPr>
            <w:tcW w:w="1322"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noProof/>
                <w:sz w:val="12"/>
              </w:rPr>
              <w:t>1.1.2018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42</w:t>
            </w:r>
            <w:r>
              <w:rPr>
                <w:rFonts w:ascii="Times New Roman"/>
                <w:b/>
                <w:noProof/>
                <w:sz w:val="12"/>
              </w:rPr>
              <w:t> </w:t>
            </w:r>
            <w:r>
              <w:rPr>
                <w:rFonts w:ascii="Times New Roman"/>
                <w:b/>
                <w:i/>
                <w:iCs/>
                <w:noProof/>
                <w:sz w:val="12"/>
              </w:rPr>
              <w:t>ter</w:t>
            </w:r>
          </w:p>
        </w:tc>
        <w:tc>
          <w:tcPr>
            <w:tcW w:w="2551"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b/>
                <w:noProof/>
                <w:sz w:val="17"/>
              </w:rPr>
              <w:t>Cong</w:t>
            </w:r>
            <w:r>
              <w:rPr>
                <w:rFonts w:ascii="Times New Roman"/>
                <w:b/>
                <w:noProof/>
                <w:sz w:val="17"/>
              </w:rPr>
              <w:t>é</w:t>
            </w:r>
            <w:r>
              <w:rPr>
                <w:rFonts w:ascii="Times New Roman"/>
                <w:b/>
                <w:noProof/>
                <w:sz w:val="17"/>
              </w:rPr>
              <w:t xml:space="preserve"> familial</w:t>
            </w:r>
          </w:p>
        </w:tc>
        <w:tc>
          <w:tcPr>
            <w:tcW w:w="3029"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034/14</w:t>
            </w:r>
            <w:r>
              <w:rPr>
                <w:rFonts w:ascii="Times New Roman"/>
                <w:noProof/>
                <w:sz w:val="12"/>
              </w:rPr>
              <w:t> </w:t>
            </w:r>
            <w:r>
              <w:rPr>
                <w:rFonts w:ascii="Times New Roman"/>
                <w:noProof/>
                <w:sz w:val="12"/>
              </w:rPr>
              <w:t>A relative au cong</w:t>
            </w:r>
            <w:r>
              <w:rPr>
                <w:rFonts w:ascii="Times New Roman"/>
                <w:noProof/>
                <w:sz w:val="12"/>
              </w:rPr>
              <w:t>é</w:t>
            </w:r>
            <w:r>
              <w:rPr>
                <w:rFonts w:ascii="Times New Roman"/>
                <w:noProof/>
                <w:sz w:val="12"/>
              </w:rPr>
              <w:t xml:space="preserve"> familial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lastRenderedPageBreak/>
              <w:t>Chapitre 3 – Notation, avancement d’échelon et promotion</w:t>
            </w:r>
          </w:p>
        </w:tc>
      </w:tr>
      <w:tr>
        <w:trPr>
          <w:trHeight w:hRule="exact" w:val="1794"/>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b/>
                <w:noProof/>
                <w:sz w:val="12"/>
              </w:rPr>
              <w:t>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b/>
                <w:noProof/>
                <w:sz w:val="17"/>
              </w:rPr>
              <w:t>Rapport annuel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112/16 A portant adoption des dispositions générales d’exécution relatives à la notation du personnel</w:t>
            </w:r>
            <w:r>
              <w:rPr>
                <w:rFonts w:ascii="Times New Roman" w:hAnsi="Times New Roman"/>
                <w:noProof/>
                <w:sz w:val="12"/>
              </w:rPr>
              <w:br/>
              <w:t xml:space="preserve"> et</w:t>
            </w:r>
            <w:r>
              <w:rPr>
                <w:rFonts w:ascii="Times New Roman" w:hAnsi="Times New Roman"/>
                <w:noProof/>
                <w:sz w:val="12"/>
              </w:rPr>
              <w:br/>
            </w:r>
            <w:r>
              <w:rPr>
                <w:rFonts w:ascii="Times New Roman" w:hAnsi="Times New Roman"/>
                <w:noProof/>
                <w:color w:val="000000" w:themeColor="text1"/>
                <w:sz w:val="12"/>
              </w:rPr>
              <w:t>mémo concernant l’article 9,</w:t>
            </w:r>
            <w:r>
              <w:rPr>
                <w:rFonts w:ascii="Times New Roman" w:hAnsi="Times New Roman"/>
                <w:noProof/>
                <w:color w:val="000000" w:themeColor="text1"/>
                <w:sz w:val="12"/>
              </w:rPr>
              <w:br/>
              <w:t>paragraphes 6, 7 et 8, de la décision 112/16 A faisant suite à la révision de la procédure annuelle de notation du personnel du Comité et au remplacement du système papier de signature à la main par un système de gestion électronique avec validation dématérialisée, entrée en vigueur le 1.4.2018</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26.5.2016</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val="560"/>
        </w:trPr>
        <w:tc>
          <w:tcPr>
            <w:tcW w:w="1157" w:type="dxa"/>
            <w:vMerge/>
            <w:tcBorders>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color w:val="000000" w:themeColor="text1"/>
                <w:sz w:val="12"/>
              </w:rPr>
              <w:t xml:space="preserve">Décision 007/19 A portant adoption des instructions </w:t>
            </w:r>
            <w:r>
              <w:rPr>
                <w:rFonts w:ascii="Times New Roman" w:hAnsi="Times New Roman"/>
                <w:noProof/>
                <w:color w:val="000000" w:themeColor="text1"/>
                <w:sz w:val="12"/>
              </w:rPr>
              <w:br/>
              <w:t>pour la notation et du modèle de rapport de notation</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17.1.2019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color w:val="000000" w:themeColor="text1"/>
                <w:sz w:val="12"/>
              </w:rPr>
              <w:t>9.2.2022</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035/22 A portant adoption des instructions</w:t>
            </w:r>
            <w:r>
              <w:rPr>
                <w:rFonts w:ascii="Times New Roman" w:hAnsi="Times New Roman"/>
                <w:noProof/>
                <w:color w:val="000000" w:themeColor="text1"/>
                <w:sz w:val="12"/>
              </w:rPr>
              <w:br/>
              <w:t xml:space="preserve"> pour la notation et du modèle de rapport de notation</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9.2.2022</w:t>
            </w:r>
          </w:p>
        </w:tc>
        <w:tc>
          <w:tcPr>
            <w:tcW w:w="1687"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39"/>
        </w:trPr>
        <w:tc>
          <w:tcPr>
            <w:tcW w:w="1157"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b/>
                <w:noProof/>
                <w:sz w:val="12"/>
              </w:rPr>
              <w:t>45</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b/>
                <w:noProof/>
                <w:sz w:val="17"/>
              </w:rPr>
              <w:t>Promotions</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114/16 A portant adoption des règles en matière de promotions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26.5.2016</w:t>
            </w:r>
          </w:p>
        </w:tc>
        <w:tc>
          <w:tcPr>
            <w:tcW w:w="1687" w:type="dxa"/>
            <w:tcBorders>
              <w:top w:val="single" w:sz="6" w:space="0" w:color="000000"/>
              <w:left w:val="single" w:sz="4" w:space="0" w:color="000000"/>
              <w:bottom w:val="single" w:sz="6" w:space="0" w:color="000000"/>
              <w:right w:val="single" w:sz="4"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tcBorders>
              <w:left w:val="single" w:sz="4" w:space="0" w:color="000000"/>
              <w:bottom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115/16 A établissant un comité paritaire des promotions</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26.5.2016</w:t>
            </w:r>
          </w:p>
        </w:tc>
        <w:tc>
          <w:tcPr>
            <w:tcW w:w="1687" w:type="dxa"/>
            <w:tcBorders>
              <w:top w:val="single" w:sz="6" w:space="0" w:color="000000"/>
              <w:left w:val="single" w:sz="4" w:space="0" w:color="000000"/>
              <w:bottom w:val="single" w:sz="4" w:space="0" w:color="auto"/>
              <w:right w:val="single" w:sz="4"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point a)</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b/>
                <w:noProof/>
                <w:sz w:val="17"/>
              </w:rPr>
              <w:t>Certification</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185/17 A portant adoption des dispositions générales d’exécution de l’article 45 </w:t>
            </w:r>
            <w:r>
              <w:rPr>
                <w:rFonts w:ascii="Times New Roman" w:hAnsi="Times New Roman"/>
                <w:i/>
                <w:iCs/>
                <w:noProof/>
                <w:sz w:val="12"/>
              </w:rPr>
              <w:t>bis</w:t>
            </w:r>
            <w:r>
              <w:rPr>
                <w:rFonts w:ascii="Times New Roman" w:hAnsi="Times New Roman"/>
                <w:noProof/>
                <w:sz w:val="12"/>
              </w:rPr>
              <w:t xml:space="preserve"> du statut</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5.10.2017</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Chapitre 4 – Cessation définitive des fonctions</w:t>
            </w:r>
          </w:p>
        </w:tc>
      </w:tr>
      <w:tr>
        <w:trPr>
          <w:trHeight w:hRule="exact" w:val="513"/>
        </w:trPr>
        <w:tc>
          <w:tcPr>
            <w:tcW w:w="1156"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b/>
                <w:noProof/>
                <w:sz w:val="12"/>
              </w:rPr>
              <w:t>51</w:t>
            </w:r>
          </w:p>
        </w:tc>
        <w:tc>
          <w:tcPr>
            <w:tcW w:w="2551"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b/>
                <w:noProof/>
                <w:sz w:val="17"/>
              </w:rPr>
              <w:t>Insuffisance professionnelle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262/11</w:t>
            </w:r>
            <w:r>
              <w:rPr>
                <w:rFonts w:ascii="Times New Roman"/>
                <w:noProof/>
                <w:sz w:val="12"/>
              </w:rPr>
              <w:t> </w:t>
            </w:r>
            <w:r>
              <w:rPr>
                <w:rFonts w:ascii="Times New Roman"/>
                <w:noProof/>
                <w:sz w:val="12"/>
              </w:rPr>
              <w:t>A relative aux proc</w:t>
            </w:r>
            <w:r>
              <w:rPr>
                <w:rFonts w:ascii="Times New Roman"/>
                <w:noProof/>
                <w:sz w:val="12"/>
              </w:rPr>
              <w:t>é</w:t>
            </w:r>
            <w:r>
              <w:rPr>
                <w:rFonts w:ascii="Times New Roman"/>
                <w:noProof/>
                <w:sz w:val="12"/>
              </w:rPr>
              <w:t>dures de traitement de l</w:t>
            </w:r>
            <w:r>
              <w:rPr>
                <w:rFonts w:ascii="Times New Roman"/>
                <w:noProof/>
                <w:sz w:val="12"/>
              </w:rPr>
              <w:t>’</w:t>
            </w:r>
            <w:r>
              <w:rPr>
                <w:rFonts w:ascii="Times New Roman"/>
                <w:noProof/>
                <w:sz w:val="12"/>
              </w:rPr>
              <w:t>insuffisance professionnelle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25.5.2011</w:t>
            </w:r>
          </w:p>
        </w:tc>
        <w:tc>
          <w:tcPr>
            <w:tcW w:w="1687" w:type="dxa"/>
            <w:tcBorders>
              <w:top w:val="single" w:sz="5" w:space="0" w:color="000000"/>
              <w:left w:val="single" w:sz="3" w:space="0" w:color="000000"/>
              <w:bottom w:val="single" w:sz="5" w:space="0" w:color="000000"/>
              <w:right w:val="single" w:sz="3"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before="3" w:after="0" w:line="240" w:lineRule="auto"/>
              <w:jc w:val="center"/>
              <w:rPr>
                <w:rFonts w:ascii="Times New Roman" w:eastAsia="Times New Roman" w:hAnsi="Times New Roman" w:cs="Times New Roman"/>
                <w:b/>
                <w:bCs/>
                <w:noProof/>
                <w:sz w:val="12"/>
                <w:szCs w:val="12"/>
              </w:rPr>
            </w:pPr>
          </w:p>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b/>
                <w:noProof/>
                <w:sz w:val="12"/>
              </w:rPr>
              <w:t>52, paragraphe</w:t>
            </w:r>
            <w:r>
              <w:rPr>
                <w:rFonts w:ascii="Times New Roman"/>
                <w:b/>
                <w:noProof/>
                <w:sz w:val="12"/>
              </w:rPr>
              <w:t> </w:t>
            </w:r>
            <w:r>
              <w:rPr>
                <w:rFonts w:ascii="Times New Roman"/>
                <w:b/>
                <w:noProof/>
                <w:sz w:val="12"/>
              </w:rPr>
              <w:t>2</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b/>
                <w:noProof/>
                <w:sz w:val="17"/>
              </w:rPr>
              <w:t>Retraite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492/14</w:t>
            </w:r>
            <w:r>
              <w:rPr>
                <w:rFonts w:ascii="Times New Roman"/>
                <w:noProof/>
                <w:sz w:val="12"/>
              </w:rPr>
              <w:t> </w:t>
            </w:r>
            <w:r>
              <w:rPr>
                <w:rFonts w:ascii="Times New Roman"/>
                <w:noProof/>
                <w:sz w:val="12"/>
              </w:rPr>
              <w:t>A concernant le maintien en situation d</w:t>
            </w:r>
            <w:r>
              <w:rPr>
                <w:rFonts w:ascii="Times New Roman"/>
                <w:noProof/>
                <w:sz w:val="12"/>
              </w:rPr>
              <w:t>’</w:t>
            </w:r>
            <w:r>
              <w:rPr>
                <w:rFonts w:ascii="Times New Roman"/>
                <w:noProof/>
                <w:sz w:val="12"/>
              </w:rPr>
              <w:t>activit</w:t>
            </w:r>
            <w:r>
              <w:rPr>
                <w:rFonts w:ascii="Times New Roman"/>
                <w:noProof/>
                <w:sz w:val="12"/>
              </w:rPr>
              <w:t>é</w:t>
            </w:r>
            <w:r>
              <w:rPr>
                <w:rFonts w:ascii="Times New Roman"/>
                <w:noProof/>
                <w:sz w:val="12"/>
              </w:rPr>
              <w:t xml:space="preserve"> jusqu</w:t>
            </w:r>
            <w:r>
              <w:rPr>
                <w:rFonts w:ascii="Times New Roman"/>
                <w:noProof/>
                <w:sz w:val="12"/>
              </w:rPr>
              <w:t>’à</w:t>
            </w:r>
            <w:r>
              <w:rPr>
                <w:rFonts w:ascii="Times New Roman"/>
                <w:noProof/>
                <w:sz w:val="12"/>
              </w:rPr>
              <w:t xml:space="preserve"> l</w:t>
            </w:r>
            <w:r>
              <w:rPr>
                <w:rFonts w:ascii="Times New Roman"/>
                <w:noProof/>
                <w:sz w:val="12"/>
              </w:rPr>
              <w:t>’â</w:t>
            </w:r>
            <w:r>
              <w:rPr>
                <w:rFonts w:ascii="Times New Roman"/>
                <w:noProof/>
                <w:sz w:val="12"/>
              </w:rPr>
              <w:t>ge de 67</w:t>
            </w:r>
            <w:r>
              <w:rPr>
                <w:rFonts w:ascii="Times New Roman"/>
                <w:noProof/>
                <w:sz w:val="12"/>
              </w:rPr>
              <w:t> </w:t>
            </w:r>
            <w:r>
              <w:rPr>
                <w:rFonts w:ascii="Times New Roman"/>
                <w:noProof/>
                <w:sz w:val="12"/>
              </w:rPr>
              <w:t xml:space="preserve">ans ou, </w:t>
            </w:r>
            <w:r>
              <w:rPr>
                <w:rFonts w:ascii="Times New Roman"/>
                <w:noProof/>
                <w:sz w:val="12"/>
              </w:rPr>
              <w:t>à</w:t>
            </w:r>
            <w:r>
              <w:rPr>
                <w:rFonts w:ascii="Times New Roman"/>
                <w:noProof/>
                <w:sz w:val="12"/>
              </w:rPr>
              <w:t xml:space="preserve"> titre exceptionnel, jusqu</w:t>
            </w:r>
            <w:r>
              <w:rPr>
                <w:rFonts w:ascii="Times New Roman"/>
                <w:noProof/>
                <w:sz w:val="12"/>
              </w:rPr>
              <w:t>’à</w:t>
            </w:r>
            <w:r>
              <w:rPr>
                <w:rFonts w:ascii="Times New Roman"/>
                <w:noProof/>
                <w:sz w:val="12"/>
              </w:rPr>
              <w:t xml:space="preserve"> l</w:t>
            </w:r>
            <w:r>
              <w:rPr>
                <w:rFonts w:ascii="Times New Roman"/>
                <w:noProof/>
                <w:sz w:val="12"/>
              </w:rPr>
              <w:t>’â</w:t>
            </w:r>
            <w:r>
              <w:rPr>
                <w:rFonts w:ascii="Times New Roman"/>
                <w:noProof/>
                <w:sz w:val="12"/>
              </w:rPr>
              <w:t>ge de 70</w:t>
            </w:r>
            <w:r>
              <w:rPr>
                <w:rFonts w:ascii="Times New Roman"/>
                <w:noProof/>
                <w:sz w:val="12"/>
              </w:rPr>
              <w:t> </w:t>
            </w:r>
            <w:r>
              <w:rPr>
                <w:rFonts w:ascii="Times New Roman"/>
                <w:noProof/>
                <w:sz w:val="12"/>
              </w:rPr>
              <w:t>ans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22.12.2014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color w:val="000000" w:themeColor="text1"/>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color w:val="000000" w:themeColor="text1"/>
                <w:sz w:val="17"/>
              </w:rPr>
              <w:t>Temps de 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noProof/>
                <w:color w:val="000000" w:themeColor="text1"/>
                <w:sz w:val="12"/>
              </w:rPr>
              <w:t>D</w:t>
            </w:r>
            <w:r>
              <w:rPr>
                <w:rFonts w:ascii="Times New Roman"/>
                <w:noProof/>
                <w:color w:val="000000" w:themeColor="text1"/>
                <w:sz w:val="12"/>
              </w:rPr>
              <w:t>é</w:t>
            </w:r>
            <w:r>
              <w:rPr>
                <w:rFonts w:ascii="Times New Roman"/>
                <w:noProof/>
                <w:color w:val="000000" w:themeColor="text1"/>
                <w:sz w:val="12"/>
              </w:rPr>
              <w:t>cision</w:t>
            </w:r>
            <w:r>
              <w:rPr>
                <w:rFonts w:ascii="Times New Roman"/>
                <w:noProof/>
                <w:color w:val="000000" w:themeColor="text1"/>
                <w:sz w:val="12"/>
              </w:rPr>
              <w:t> </w:t>
            </w:r>
            <w:r>
              <w:rPr>
                <w:rFonts w:ascii="Times New Roman"/>
                <w:noProof/>
                <w:color w:val="000000" w:themeColor="text1"/>
                <w:sz w:val="12"/>
              </w:rPr>
              <w:t>131/17</w:t>
            </w:r>
            <w:r>
              <w:rPr>
                <w:rFonts w:ascii="Times New Roman"/>
                <w:noProof/>
                <w:color w:val="000000" w:themeColor="text1"/>
                <w:sz w:val="12"/>
              </w:rPr>
              <w:t> </w:t>
            </w:r>
            <w:r>
              <w:rPr>
                <w:rFonts w:ascii="Times New Roman"/>
                <w:noProof/>
                <w:color w:val="000000" w:themeColor="text1"/>
                <w:sz w:val="12"/>
              </w:rPr>
              <w:t xml:space="preserve">A relative aux horaires de travail et </w:t>
            </w:r>
            <w:r>
              <w:rPr>
                <w:rFonts w:ascii="Times New Roman"/>
                <w:noProof/>
                <w:color w:val="000000" w:themeColor="text1"/>
                <w:sz w:val="12"/>
              </w:rPr>
              <w:t>à</w:t>
            </w:r>
            <w:r>
              <w:rPr>
                <w:rFonts w:ascii="Times New Roman"/>
                <w:noProof/>
                <w:color w:val="000000" w:themeColor="text1"/>
                <w:sz w:val="12"/>
              </w:rPr>
              <w:t xml:space="preserve"> l</w:t>
            </w:r>
            <w:r>
              <w:rPr>
                <w:rFonts w:ascii="Times New Roman"/>
                <w:noProof/>
                <w:color w:val="000000" w:themeColor="text1"/>
                <w:sz w:val="12"/>
              </w:rPr>
              <w:t>’</w:t>
            </w:r>
            <w:r>
              <w:rPr>
                <w:rFonts w:ascii="Times New Roman"/>
                <w:noProof/>
                <w:color w:val="000000" w:themeColor="text1"/>
                <w:sz w:val="12"/>
              </w:rPr>
              <w:t>am</w:t>
            </w:r>
            <w:r>
              <w:rPr>
                <w:rFonts w:ascii="Times New Roman"/>
                <w:noProof/>
                <w:color w:val="000000" w:themeColor="text1"/>
                <w:sz w:val="12"/>
              </w:rPr>
              <w:t>é</w:t>
            </w:r>
            <w:r>
              <w:rPr>
                <w:rFonts w:ascii="Times New Roman"/>
                <w:noProof/>
                <w:color w:val="000000" w:themeColor="text1"/>
                <w:sz w:val="12"/>
              </w:rPr>
              <w:t>nagement du temps de travail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19.7.2017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color w:val="000000" w:themeColor="text1"/>
                <w:sz w:val="12"/>
              </w:rPr>
              <w:t>Décision 89/22 A relative aux modalités de travail au CESE (projet pilote)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31.12.2023</w:t>
            </w:r>
            <w:r>
              <w:rPr>
                <w:rStyle w:val="FootnoteReference"/>
                <w:rFonts w:ascii="Times New Roman"/>
                <w:noProof/>
                <w:color w:val="000000" w:themeColor="text1"/>
                <w:w w:val="105"/>
                <w:sz w:val="12"/>
                <w:szCs w:val="12"/>
              </w:rPr>
              <w:footnoteReference w:id="1"/>
            </w: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hAnsi="Times New Roman" w:cs="Times New Roman"/>
                <w:b/>
                <w:noProof/>
                <w:color w:val="000000" w:themeColor="text1"/>
                <w:w w:val="105"/>
                <w:sz w:val="12"/>
                <w:szCs w:val="12"/>
              </w:rPr>
            </w:pPr>
            <w:r>
              <w:rPr>
                <w:rFonts w:ascii="Times New Roman" w:hAnsi="Times New Roman"/>
                <w:b/>
                <w:noProof/>
                <w:color w:val="000000" w:themeColor="text1"/>
                <w:sz w:val="12"/>
              </w:rPr>
              <w:t xml:space="preserve">55 à 56 + </w:t>
            </w:r>
          </w:p>
          <w:p>
            <w:pPr>
              <w:widowControl w:val="0"/>
              <w:spacing w:after="0" w:line="240" w:lineRule="auto"/>
              <w:jc w:val="center"/>
              <w:rPr>
                <w:rFonts w:ascii="Times New Roman" w:eastAsia="Calibri" w:hAnsi="Times New Roman" w:cs="Times New Roman"/>
                <w:noProof/>
              </w:rPr>
            </w:pPr>
            <w:r>
              <w:rPr>
                <w:rFonts w:ascii="Times New Roman" w:hAnsi="Times New Roman"/>
                <w:b/>
                <w:noProof/>
                <w:color w:val="000000" w:themeColor="text1"/>
                <w:sz w:val="12"/>
              </w:rPr>
              <w:t>annexe VI (art. 3) + annexe V (art. 6)</w:t>
            </w:r>
          </w:p>
        </w:tc>
        <w:tc>
          <w:tcPr>
            <w:tcW w:w="2551" w:type="dxa"/>
            <w:tcBorders>
              <w:left w:val="single" w:sz="4"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color w:val="000000" w:themeColor="text1"/>
                <w:sz w:val="17"/>
              </w:rPr>
              <w:t>Temps de travail</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D</w:t>
            </w:r>
            <w:r>
              <w:rPr>
                <w:rFonts w:ascii="Times New Roman"/>
                <w:noProof/>
                <w:color w:val="000000" w:themeColor="text1"/>
                <w:sz w:val="12"/>
              </w:rPr>
              <w:t>é</w:t>
            </w:r>
            <w:r>
              <w:rPr>
                <w:rFonts w:ascii="Times New Roman"/>
                <w:noProof/>
                <w:color w:val="000000" w:themeColor="text1"/>
                <w:sz w:val="12"/>
              </w:rPr>
              <w:t>cision</w:t>
            </w:r>
            <w:r>
              <w:rPr>
                <w:rFonts w:ascii="Times New Roman"/>
                <w:noProof/>
                <w:color w:val="000000" w:themeColor="text1"/>
                <w:sz w:val="12"/>
              </w:rPr>
              <w:t> </w:t>
            </w:r>
            <w:r>
              <w:rPr>
                <w:rFonts w:ascii="Times New Roman"/>
                <w:noProof/>
                <w:color w:val="000000" w:themeColor="text1"/>
                <w:sz w:val="12"/>
              </w:rPr>
              <w:t>205/18 relative aux heures suppl</w:t>
            </w:r>
            <w:r>
              <w:rPr>
                <w:rFonts w:ascii="Times New Roman"/>
                <w:noProof/>
                <w:color w:val="000000" w:themeColor="text1"/>
                <w:sz w:val="12"/>
              </w:rPr>
              <w:t>é</w:t>
            </w:r>
            <w:r>
              <w:rPr>
                <w:rFonts w:ascii="Times New Roman"/>
                <w:noProof/>
                <w:color w:val="000000" w:themeColor="text1"/>
                <w:sz w:val="12"/>
              </w:rPr>
              <w:t>mentaires effectu</w:t>
            </w:r>
            <w:r>
              <w:rPr>
                <w:rFonts w:ascii="Times New Roman"/>
                <w:noProof/>
                <w:color w:val="000000" w:themeColor="text1"/>
                <w:sz w:val="12"/>
              </w:rPr>
              <w:t>é</w:t>
            </w:r>
            <w:r>
              <w:rPr>
                <w:rFonts w:ascii="Times New Roman"/>
                <w:noProof/>
                <w:color w:val="000000" w:themeColor="text1"/>
                <w:sz w:val="12"/>
              </w:rPr>
              <w:t>es par les chauffeurs</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1.1.2018</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RE</w:t>
            </w:r>
          </w:p>
        </w:tc>
      </w:tr>
      <w:tr>
        <w:trPr>
          <w:trHeight w:val="454"/>
        </w:trPr>
        <w:tc>
          <w:tcPr>
            <w:tcW w:w="115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color w:val="000000" w:themeColor="text1"/>
                <w:sz w:val="12"/>
              </w:rPr>
              <w:t>55, paragraphe 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b/>
                <w:noProof/>
                <w:color w:val="000000" w:themeColor="text1"/>
                <w:sz w:val="17"/>
              </w:rPr>
              <w:t>T</w:t>
            </w:r>
            <w:r>
              <w:rPr>
                <w:rFonts w:ascii="Times New Roman"/>
                <w:b/>
                <w:noProof/>
                <w:color w:val="000000" w:themeColor="text1"/>
                <w:sz w:val="17"/>
              </w:rPr>
              <w:t>é</w:t>
            </w:r>
            <w:r>
              <w:rPr>
                <w:rFonts w:ascii="Times New Roman"/>
                <w:b/>
                <w:noProof/>
                <w:color w:val="000000" w:themeColor="text1"/>
                <w:sz w:val="17"/>
              </w:rPr>
              <w:t>l</w:t>
            </w:r>
            <w:r>
              <w:rPr>
                <w:rFonts w:ascii="Times New Roman"/>
                <w:b/>
                <w:noProof/>
                <w:color w:val="000000" w:themeColor="text1"/>
                <w:sz w:val="17"/>
              </w:rPr>
              <w:t>é</w:t>
            </w:r>
            <w:r>
              <w:rPr>
                <w:rFonts w:ascii="Times New Roman"/>
                <w:b/>
                <w:noProof/>
                <w:color w:val="000000" w:themeColor="text1"/>
                <w:sz w:val="17"/>
              </w:rPr>
              <w:t>travail</w:t>
            </w:r>
          </w:p>
        </w:tc>
        <w:tc>
          <w:tcPr>
            <w:tcW w:w="3029"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noProof/>
                <w:color w:val="000000" w:themeColor="text1"/>
                <w:sz w:val="12"/>
              </w:rPr>
              <w:t>D</w:t>
            </w:r>
            <w:r>
              <w:rPr>
                <w:rFonts w:ascii="Times New Roman"/>
                <w:noProof/>
                <w:color w:val="000000" w:themeColor="text1"/>
                <w:sz w:val="12"/>
              </w:rPr>
              <w:t>é</w:t>
            </w:r>
            <w:r>
              <w:rPr>
                <w:rFonts w:ascii="Times New Roman"/>
                <w:noProof/>
                <w:color w:val="000000" w:themeColor="text1"/>
                <w:sz w:val="12"/>
              </w:rPr>
              <w:t>cision</w:t>
            </w:r>
            <w:r>
              <w:rPr>
                <w:rFonts w:ascii="Times New Roman"/>
                <w:noProof/>
                <w:color w:val="000000" w:themeColor="text1"/>
                <w:sz w:val="12"/>
              </w:rPr>
              <w:t> </w:t>
            </w:r>
            <w:r>
              <w:rPr>
                <w:rFonts w:ascii="Times New Roman"/>
                <w:noProof/>
                <w:color w:val="000000" w:themeColor="text1"/>
                <w:sz w:val="12"/>
              </w:rPr>
              <w:t>248/19</w:t>
            </w:r>
            <w:r>
              <w:rPr>
                <w:rFonts w:ascii="Times New Roman"/>
                <w:noProof/>
                <w:color w:val="000000" w:themeColor="text1"/>
                <w:sz w:val="12"/>
              </w:rPr>
              <w:t> </w:t>
            </w:r>
            <w:r>
              <w:rPr>
                <w:rFonts w:ascii="Times New Roman"/>
                <w:noProof/>
                <w:color w:val="000000" w:themeColor="text1"/>
                <w:sz w:val="12"/>
              </w:rPr>
              <w:t>A concernant le r</w:t>
            </w:r>
            <w:r>
              <w:rPr>
                <w:rFonts w:ascii="Times New Roman"/>
                <w:noProof/>
                <w:color w:val="000000" w:themeColor="text1"/>
                <w:sz w:val="12"/>
              </w:rPr>
              <w:t>é</w:t>
            </w:r>
            <w:r>
              <w:rPr>
                <w:rFonts w:ascii="Times New Roman"/>
                <w:noProof/>
                <w:color w:val="000000" w:themeColor="text1"/>
                <w:sz w:val="12"/>
              </w:rPr>
              <w:t xml:space="preserve">gime de travail </w:t>
            </w:r>
            <w:r>
              <w:rPr>
                <w:rFonts w:ascii="Times New Roman"/>
                <w:noProof/>
                <w:color w:val="000000" w:themeColor="text1"/>
                <w:sz w:val="12"/>
              </w:rPr>
              <w:t>à</w:t>
            </w:r>
            <w:r>
              <w:rPr>
                <w:rFonts w:ascii="Times New Roman"/>
                <w:noProof/>
                <w:color w:val="000000" w:themeColor="text1"/>
                <w:sz w:val="12"/>
              </w:rPr>
              <w:t xml:space="preserve"> distance au CESE</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16.10.2019</w:t>
            </w:r>
          </w:p>
        </w:tc>
        <w:tc>
          <w:tcPr>
            <w:tcW w:w="1687" w:type="dxa"/>
            <w:tcBorders>
              <w:top w:val="single" w:sz="4"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color w:val="000000" w:themeColor="text1"/>
                <w:sz w:val="12"/>
              </w:rPr>
              <w:t>Décision 89/22 A relative aux modalités de travail au CESE (projet pilote)</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1687" w:type="dxa"/>
            <w:tcBorders>
              <w:top w:val="single" w:sz="4"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31.12.2023</w:t>
            </w:r>
            <w:r>
              <w:rPr>
                <w:rStyle w:val="FootnoteReference"/>
                <w:rFonts w:ascii="Times New Roman"/>
                <w:noProof/>
                <w:color w:val="000000" w:themeColor="text1"/>
                <w:w w:val="105"/>
                <w:sz w:val="12"/>
                <w:szCs w:val="12"/>
              </w:rPr>
              <w:footnoteReference w:id="2"/>
            </w: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color w:val="000000" w:themeColor="text1"/>
                <w:sz w:val="12"/>
              </w:rPr>
              <w:t>55 </w:t>
            </w:r>
            <w:r>
              <w:rPr>
                <w:rFonts w:ascii="Times New Roman" w:hAnsi="Times New Roman"/>
                <w:b/>
                <w:i/>
                <w:iCs/>
                <w:noProof/>
                <w:color w:val="000000" w:themeColor="text1"/>
                <w:sz w:val="12"/>
              </w:rPr>
              <w:t>bis</w:t>
            </w:r>
            <w:r>
              <w:rPr>
                <w:rFonts w:ascii="Times New Roman" w:hAnsi="Times New Roman"/>
                <w:b/>
                <w:noProof/>
                <w:color w:val="000000" w:themeColor="text1"/>
                <w:sz w:val="12"/>
              </w:rPr>
              <w:t xml:space="preserve"> + annexe IV </w:t>
            </w:r>
            <w:r>
              <w:rPr>
                <w:rFonts w:ascii="Times New Roman" w:hAnsi="Times New Roman"/>
                <w:b/>
                <w:i/>
                <w:iCs/>
                <w:noProof/>
                <w:color w:val="000000" w:themeColor="text1"/>
                <w:sz w:val="12"/>
              </w:rPr>
              <w:t>bis</w:t>
            </w:r>
          </w:p>
        </w:tc>
        <w:tc>
          <w:tcPr>
            <w:tcW w:w="2551"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b/>
                <w:noProof/>
                <w:color w:val="000000" w:themeColor="text1"/>
                <w:sz w:val="17"/>
              </w:rPr>
              <w:t>Activit</w:t>
            </w:r>
            <w:r>
              <w:rPr>
                <w:rFonts w:ascii="Times New Roman"/>
                <w:b/>
                <w:noProof/>
                <w:color w:val="000000" w:themeColor="text1"/>
                <w:sz w:val="17"/>
              </w:rPr>
              <w:t>é</w:t>
            </w:r>
            <w:r>
              <w:rPr>
                <w:rFonts w:ascii="Times New Roman"/>
                <w:b/>
                <w:noProof/>
                <w:color w:val="000000" w:themeColor="text1"/>
                <w:sz w:val="17"/>
              </w:rPr>
              <w:t xml:space="preserve"> </w:t>
            </w:r>
            <w:r>
              <w:rPr>
                <w:rFonts w:ascii="Times New Roman"/>
                <w:b/>
                <w:noProof/>
                <w:color w:val="000000" w:themeColor="text1"/>
                <w:sz w:val="17"/>
              </w:rPr>
              <w:t>à</w:t>
            </w:r>
            <w:r>
              <w:rPr>
                <w:rFonts w:ascii="Times New Roman"/>
                <w:b/>
                <w:noProof/>
                <w:color w:val="000000" w:themeColor="text1"/>
                <w:sz w:val="17"/>
              </w:rPr>
              <w:t xml:space="preserve"> temps partiel</w:t>
            </w: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noProof/>
                <w:color w:val="000000" w:themeColor="text1"/>
                <w:sz w:val="12"/>
              </w:rPr>
              <w:t>D</w:t>
            </w:r>
            <w:r>
              <w:rPr>
                <w:rFonts w:ascii="Times New Roman"/>
                <w:noProof/>
                <w:color w:val="000000" w:themeColor="text1"/>
                <w:sz w:val="12"/>
              </w:rPr>
              <w:t>é</w:t>
            </w:r>
            <w:r>
              <w:rPr>
                <w:rFonts w:ascii="Times New Roman"/>
                <w:noProof/>
                <w:color w:val="000000" w:themeColor="text1"/>
                <w:sz w:val="12"/>
              </w:rPr>
              <w:t>cision</w:t>
            </w:r>
            <w:r>
              <w:rPr>
                <w:rFonts w:ascii="Times New Roman"/>
                <w:noProof/>
                <w:color w:val="000000" w:themeColor="text1"/>
                <w:sz w:val="12"/>
              </w:rPr>
              <w:t> </w:t>
            </w:r>
            <w:r>
              <w:rPr>
                <w:rFonts w:ascii="Times New Roman"/>
                <w:noProof/>
                <w:color w:val="000000" w:themeColor="text1"/>
                <w:sz w:val="12"/>
              </w:rPr>
              <w:t>035/14</w:t>
            </w:r>
            <w:r>
              <w:rPr>
                <w:rFonts w:ascii="Times New Roman"/>
                <w:noProof/>
                <w:color w:val="000000" w:themeColor="text1"/>
                <w:sz w:val="12"/>
              </w:rPr>
              <w:t> </w:t>
            </w:r>
            <w:r>
              <w:rPr>
                <w:rFonts w:ascii="Times New Roman"/>
                <w:noProof/>
                <w:color w:val="000000" w:themeColor="text1"/>
                <w:sz w:val="12"/>
              </w:rPr>
              <w:t>A sur l</w:t>
            </w:r>
            <w:r>
              <w:rPr>
                <w:rFonts w:ascii="Times New Roman"/>
                <w:noProof/>
                <w:color w:val="000000" w:themeColor="text1"/>
                <w:sz w:val="12"/>
              </w:rPr>
              <w:t>’</w:t>
            </w:r>
            <w:r>
              <w:rPr>
                <w:rFonts w:ascii="Times New Roman"/>
                <w:noProof/>
                <w:color w:val="000000" w:themeColor="text1"/>
                <w:sz w:val="12"/>
              </w:rPr>
              <w:t>article</w:t>
            </w:r>
            <w:r>
              <w:rPr>
                <w:rFonts w:ascii="Times New Roman"/>
                <w:noProof/>
                <w:color w:val="000000" w:themeColor="text1"/>
                <w:sz w:val="12"/>
              </w:rPr>
              <w:t> </w:t>
            </w:r>
            <w:r>
              <w:rPr>
                <w:rFonts w:ascii="Times New Roman"/>
                <w:noProof/>
                <w:color w:val="000000" w:themeColor="text1"/>
                <w:sz w:val="12"/>
              </w:rPr>
              <w:t>55</w:t>
            </w:r>
            <w:r>
              <w:rPr>
                <w:rFonts w:ascii="Times New Roman"/>
                <w:noProof/>
                <w:color w:val="000000" w:themeColor="text1"/>
                <w:sz w:val="12"/>
              </w:rPr>
              <w:t> </w:t>
            </w:r>
            <w:r>
              <w:rPr>
                <w:rFonts w:ascii="Times New Roman"/>
                <w:i/>
                <w:iCs/>
                <w:noProof/>
                <w:color w:val="000000" w:themeColor="text1"/>
                <w:sz w:val="12"/>
              </w:rPr>
              <w:t>bis</w:t>
            </w:r>
            <w:r>
              <w:rPr>
                <w:rFonts w:ascii="Times New Roman"/>
                <w:noProof/>
                <w:color w:val="000000" w:themeColor="text1"/>
                <w:sz w:val="12"/>
              </w:rPr>
              <w:t xml:space="preserve"> relatif au travail </w:t>
            </w:r>
            <w:r>
              <w:rPr>
                <w:rFonts w:ascii="Times New Roman"/>
                <w:noProof/>
                <w:color w:val="000000" w:themeColor="text1"/>
                <w:sz w:val="12"/>
              </w:rPr>
              <w:t>à</w:t>
            </w:r>
            <w:r>
              <w:rPr>
                <w:rFonts w:ascii="Times New Roman"/>
                <w:noProof/>
                <w:color w:val="000000" w:themeColor="text1"/>
                <w:sz w:val="12"/>
              </w:rPr>
              <w:t xml:space="preserve"> temps partiel</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1.1.2014</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RE</w:t>
            </w:r>
          </w:p>
        </w:tc>
      </w:tr>
      <w:tr>
        <w:trPr>
          <w:trHeight w:val="454"/>
        </w:trPr>
        <w:tc>
          <w:tcPr>
            <w:tcW w:w="115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color w:val="000000" w:themeColor="text1"/>
                <w:sz w:val="12"/>
              </w:rPr>
              <w:t>56 + annexe VI</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color w:val="000000" w:themeColor="text1"/>
                <w:sz w:val="17"/>
              </w:rPr>
              <w:t>Heures suppl</w:t>
            </w:r>
            <w:r>
              <w:rPr>
                <w:rFonts w:ascii="Times New Roman"/>
                <w:b/>
                <w:noProof/>
                <w:color w:val="000000" w:themeColor="text1"/>
                <w:sz w:val="17"/>
              </w:rPr>
              <w:t>é</w:t>
            </w:r>
            <w:r>
              <w:rPr>
                <w:rFonts w:ascii="Times New Roman"/>
                <w:b/>
                <w:noProof/>
                <w:color w:val="000000" w:themeColor="text1"/>
                <w:sz w:val="17"/>
              </w:rPr>
              <w:t>mentaires</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D</w:t>
            </w:r>
            <w:r>
              <w:rPr>
                <w:rFonts w:ascii="Times New Roman"/>
                <w:noProof/>
                <w:color w:val="000000" w:themeColor="text1"/>
                <w:sz w:val="12"/>
              </w:rPr>
              <w:t>é</w:t>
            </w:r>
            <w:r>
              <w:rPr>
                <w:rFonts w:ascii="Times New Roman"/>
                <w:noProof/>
                <w:color w:val="000000" w:themeColor="text1"/>
                <w:sz w:val="12"/>
              </w:rPr>
              <w:t>cision</w:t>
            </w:r>
            <w:r>
              <w:rPr>
                <w:rFonts w:ascii="Times New Roman"/>
                <w:noProof/>
                <w:color w:val="000000" w:themeColor="text1"/>
                <w:sz w:val="12"/>
              </w:rPr>
              <w:t> </w:t>
            </w:r>
            <w:r>
              <w:rPr>
                <w:rFonts w:ascii="Times New Roman"/>
                <w:noProof/>
                <w:color w:val="000000" w:themeColor="text1"/>
                <w:sz w:val="12"/>
              </w:rPr>
              <w:t>037/14</w:t>
            </w:r>
            <w:r>
              <w:rPr>
                <w:rFonts w:ascii="Times New Roman"/>
                <w:noProof/>
                <w:color w:val="000000" w:themeColor="text1"/>
                <w:sz w:val="12"/>
              </w:rPr>
              <w:t> </w:t>
            </w:r>
            <w:r>
              <w:rPr>
                <w:rFonts w:ascii="Times New Roman"/>
                <w:noProof/>
                <w:color w:val="000000" w:themeColor="text1"/>
                <w:sz w:val="12"/>
              </w:rPr>
              <w:t>A relative aux heures suppl</w:t>
            </w:r>
            <w:r>
              <w:rPr>
                <w:rFonts w:ascii="Times New Roman"/>
                <w:noProof/>
                <w:color w:val="000000" w:themeColor="text1"/>
                <w:sz w:val="12"/>
              </w:rPr>
              <w:t>é</w:t>
            </w:r>
            <w:r>
              <w:rPr>
                <w:rFonts w:ascii="Times New Roman"/>
                <w:noProof/>
                <w:color w:val="000000" w:themeColor="text1"/>
                <w:sz w:val="12"/>
              </w:rPr>
              <w:t>mentaires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1.2.2014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color w:val="000000" w:themeColor="text1"/>
                <w:sz w:val="12"/>
              </w:rPr>
              <w:t>1.4.2022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color w:val="000000" w:themeColor="text1"/>
                <w:sz w:val="12"/>
              </w:rPr>
              <w:t>Décision 89/22 A relative aux modalités de travail au CESE (projet pilote)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color w:val="000000" w:themeColor="text1"/>
                <w:sz w:val="12"/>
              </w:rPr>
              <w:t>1.4.2022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noProof/>
                <w:color w:val="000000" w:themeColor="text1"/>
                <w:sz w:val="12"/>
              </w:rPr>
              <w:t>31.12.2023</w:t>
            </w:r>
            <w:r>
              <w:rPr>
                <w:rStyle w:val="FootnoteReference"/>
                <w:rFonts w:ascii="Times New Roman"/>
                <w:noProof/>
                <w:color w:val="000000" w:themeColor="text1"/>
                <w:w w:val="105"/>
                <w:sz w:val="12"/>
                <w:szCs w:val="12"/>
              </w:rPr>
              <w:footnoteReference w:id="3"/>
            </w: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shd w:val="clear" w:color="auto" w:fill="C5D9F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57 + 58 + 61 + annexe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3" w:after="0" w:line="240" w:lineRule="auto"/>
              <w:jc w:val="center"/>
              <w:rPr>
                <w:rFonts w:ascii="Times New Roman"/>
                <w:b/>
                <w:noProof/>
                <w:spacing w:val="-1"/>
                <w:sz w:val="17"/>
                <w:szCs w:val="17"/>
              </w:rPr>
            </w:pPr>
            <w:r>
              <w:rPr>
                <w:rFonts w:ascii="Times New Roman"/>
                <w:b/>
                <w:noProof/>
                <w:sz w:val="17"/>
              </w:rPr>
              <w:t>Cong</w:t>
            </w:r>
            <w:r>
              <w:rPr>
                <w:rFonts w:ascii="Times New Roman"/>
                <w:b/>
                <w:noProof/>
                <w:sz w:val="17"/>
              </w:rPr>
              <w:t>é</w:t>
            </w:r>
            <w:r>
              <w:rPr>
                <w:rFonts w:ascii="Times New Roman"/>
                <w:b/>
                <w:noProof/>
                <w:sz w:val="17"/>
              </w:rPr>
              <w:t>s annuels et cong</w:t>
            </w:r>
            <w:r>
              <w:rPr>
                <w:rFonts w:ascii="Times New Roman"/>
                <w:b/>
                <w:noProof/>
                <w:sz w:val="17"/>
              </w:rPr>
              <w:t>é</w:t>
            </w:r>
            <w:r>
              <w:rPr>
                <w:rFonts w:ascii="Times New Roman"/>
                <w:b/>
                <w:noProof/>
                <w:sz w:val="17"/>
              </w:rPr>
              <w:t>s sp</w:t>
            </w:r>
            <w:r>
              <w:rPr>
                <w:rFonts w:ascii="Times New Roman"/>
                <w:b/>
                <w:noProof/>
                <w:sz w:val="17"/>
              </w:rPr>
              <w:t>é</w:t>
            </w:r>
            <w:r>
              <w:rPr>
                <w:rFonts w:ascii="Times New Roman"/>
                <w:b/>
                <w:noProof/>
                <w:sz w:val="17"/>
              </w:rPr>
              <w:t>ciaux</w:t>
            </w:r>
          </w:p>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 xml:space="preserve"> </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212/19</w:t>
            </w:r>
            <w:r>
              <w:rPr>
                <w:rFonts w:ascii="Times New Roman"/>
                <w:noProof/>
                <w:sz w:val="12"/>
              </w:rPr>
              <w:t> </w:t>
            </w:r>
            <w:r>
              <w:rPr>
                <w:rFonts w:ascii="Times New Roman"/>
                <w:noProof/>
                <w:sz w:val="12"/>
              </w:rPr>
              <w:t>A</w:t>
            </w:r>
            <w:r>
              <w:rPr>
                <w:rFonts w:ascii="Times New Roman"/>
                <w:noProof/>
                <w:sz w:val="12"/>
              </w:rPr>
              <w:t> –</w:t>
            </w:r>
            <w:r>
              <w:rPr>
                <w:rFonts w:ascii="Times New Roman"/>
                <w:noProof/>
                <w:sz w:val="12"/>
              </w:rPr>
              <w:t xml:space="preserve"> R</w:t>
            </w:r>
            <w:r>
              <w:rPr>
                <w:rFonts w:ascii="Times New Roman"/>
                <w:noProof/>
                <w:sz w:val="12"/>
              </w:rPr>
              <w:t>è</w:t>
            </w:r>
            <w:r>
              <w:rPr>
                <w:rFonts w:ascii="Times New Roman"/>
                <w:noProof/>
                <w:sz w:val="12"/>
              </w:rPr>
              <w:t>gles applicables au personnel en mati</w:t>
            </w:r>
            <w:r>
              <w:rPr>
                <w:rFonts w:ascii="Times New Roman"/>
                <w:noProof/>
                <w:sz w:val="12"/>
              </w:rPr>
              <w:t>è</w:t>
            </w:r>
            <w:r>
              <w:rPr>
                <w:rFonts w:ascii="Times New Roman"/>
                <w:noProof/>
                <w:sz w:val="12"/>
              </w:rPr>
              <w:t xml:space="preserve">re de droits </w:t>
            </w:r>
            <w:r>
              <w:rPr>
                <w:rFonts w:ascii="Times New Roman"/>
                <w:noProof/>
                <w:sz w:val="12"/>
              </w:rPr>
              <w:t>à</w:t>
            </w:r>
            <w:r>
              <w:rPr>
                <w:rFonts w:ascii="Times New Roman"/>
                <w:noProof/>
                <w:sz w:val="12"/>
              </w:rPr>
              <w:t xml:space="preserve"> cong</w:t>
            </w:r>
            <w:r>
              <w:rPr>
                <w:rFonts w:ascii="Times New Roman"/>
                <w:noProof/>
                <w:sz w:val="12"/>
              </w:rPr>
              <w:t>é</w:t>
            </w:r>
            <w:r>
              <w:rPr>
                <w:rFonts w:ascii="Times New Roman"/>
                <w:noProof/>
                <w:sz w:val="12"/>
              </w:rPr>
              <w:t>s annuels et cong</w:t>
            </w:r>
            <w:r>
              <w:rPr>
                <w:rFonts w:ascii="Times New Roman"/>
                <w:noProof/>
                <w:sz w:val="12"/>
              </w:rPr>
              <w:t>é</w:t>
            </w:r>
            <w:r>
              <w:rPr>
                <w:rFonts w:ascii="Times New Roman"/>
                <w:noProof/>
                <w:sz w:val="12"/>
              </w:rPr>
              <w:t>s sp</w:t>
            </w:r>
            <w:r>
              <w:rPr>
                <w:rFonts w:ascii="Times New Roman"/>
                <w:noProof/>
                <w:sz w:val="12"/>
              </w:rPr>
              <w:t>é</w:t>
            </w:r>
            <w:r>
              <w:rPr>
                <w:rFonts w:ascii="Times New Roman"/>
                <w:noProof/>
                <w:sz w:val="12"/>
              </w:rPr>
              <w:t>ciaux</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noProof/>
                <w:sz w:val="12"/>
              </w:rPr>
              <w:t>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RE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hAnsi="Times New Roman" w:cs="Times New Roman"/>
                <w:b/>
                <w:noProof/>
                <w:w w:val="105"/>
                <w:sz w:val="12"/>
                <w:szCs w:val="12"/>
              </w:rPr>
            </w:pPr>
            <w:r>
              <w:rPr>
                <w:rFonts w:ascii="Times New Roman" w:hAnsi="Times New Roman"/>
                <w:b/>
                <w:noProof/>
                <w:sz w:val="12"/>
              </w:rPr>
              <w:t>57 + 58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3" w:after="0" w:line="240" w:lineRule="auto"/>
              <w:jc w:val="center"/>
              <w:rPr>
                <w:rFonts w:ascii="Times New Roman"/>
                <w:b/>
                <w:noProof/>
                <w:spacing w:val="-1"/>
                <w:sz w:val="17"/>
                <w:szCs w:val="17"/>
              </w:rPr>
            </w:pPr>
            <w:r>
              <w:rPr>
                <w:rFonts w:ascii="Times New Roman"/>
                <w:b/>
                <w:noProof/>
                <w:sz w:val="17"/>
              </w:rPr>
              <w:t>Cong</w:t>
            </w:r>
            <w:r>
              <w:rPr>
                <w:rFonts w:ascii="Times New Roman"/>
                <w:b/>
                <w:noProof/>
                <w:sz w:val="17"/>
              </w:rPr>
              <w:t>é</w:t>
            </w:r>
            <w:r>
              <w:rPr>
                <w:rFonts w:ascii="Times New Roman"/>
                <w:b/>
                <w:noProof/>
                <w:sz w:val="17"/>
              </w:rPr>
              <w:t xml:space="preserve"> de maternit</w:t>
            </w:r>
            <w:r>
              <w:rPr>
                <w:rFonts w:ascii="Times New Roman"/>
                <w:b/>
                <w:noProof/>
                <w:sz w:val="17"/>
              </w:rPr>
              <w:t>é</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noProof/>
                <w:spacing w:val="-6"/>
                <w:w w:val="105"/>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212/19</w:t>
            </w:r>
            <w:r>
              <w:rPr>
                <w:rFonts w:ascii="Times New Roman"/>
                <w:noProof/>
                <w:sz w:val="12"/>
              </w:rPr>
              <w:t> </w:t>
            </w:r>
            <w:r>
              <w:rPr>
                <w:rFonts w:ascii="Times New Roman"/>
                <w:noProof/>
                <w:sz w:val="12"/>
              </w:rPr>
              <w:t>A</w:t>
            </w:r>
            <w:r>
              <w:rPr>
                <w:rFonts w:ascii="Times New Roman"/>
                <w:noProof/>
                <w:sz w:val="12"/>
              </w:rPr>
              <w:t> –</w:t>
            </w:r>
            <w:r>
              <w:rPr>
                <w:rFonts w:ascii="Times New Roman"/>
                <w:noProof/>
                <w:sz w:val="12"/>
              </w:rPr>
              <w:t xml:space="preserve"> R</w:t>
            </w:r>
            <w:r>
              <w:rPr>
                <w:rFonts w:ascii="Times New Roman"/>
                <w:noProof/>
                <w:sz w:val="12"/>
              </w:rPr>
              <w:t>è</w:t>
            </w:r>
            <w:r>
              <w:rPr>
                <w:rFonts w:ascii="Times New Roman"/>
                <w:noProof/>
                <w:sz w:val="12"/>
              </w:rPr>
              <w:t>gles applicables au personnel en mati</w:t>
            </w:r>
            <w:r>
              <w:rPr>
                <w:rFonts w:ascii="Times New Roman"/>
                <w:noProof/>
                <w:sz w:val="12"/>
              </w:rPr>
              <w:t>è</w:t>
            </w:r>
            <w:r>
              <w:rPr>
                <w:rFonts w:ascii="Times New Roman"/>
                <w:noProof/>
                <w:sz w:val="12"/>
              </w:rPr>
              <w:t xml:space="preserve">re de droits </w:t>
            </w:r>
            <w:r>
              <w:rPr>
                <w:rFonts w:ascii="Times New Roman"/>
                <w:noProof/>
                <w:sz w:val="12"/>
              </w:rPr>
              <w:t>à</w:t>
            </w:r>
            <w:r>
              <w:rPr>
                <w:rFonts w:ascii="Times New Roman"/>
                <w:noProof/>
                <w:sz w:val="12"/>
              </w:rPr>
              <w:t xml:space="preserve"> cong</w:t>
            </w:r>
            <w:r>
              <w:rPr>
                <w:rFonts w:ascii="Times New Roman"/>
                <w:noProof/>
                <w:sz w:val="12"/>
              </w:rPr>
              <w:t>é</w:t>
            </w:r>
            <w:r>
              <w:rPr>
                <w:rFonts w:ascii="Times New Roman"/>
                <w:noProof/>
                <w:sz w:val="12"/>
              </w:rPr>
              <w:t>s annuels et cong</w:t>
            </w:r>
            <w:r>
              <w:rPr>
                <w:rFonts w:ascii="Times New Roman"/>
                <w:noProof/>
                <w:sz w:val="12"/>
              </w:rPr>
              <w:t>é</w:t>
            </w:r>
            <w:r>
              <w:rPr>
                <w:rFonts w:ascii="Times New Roman"/>
                <w:noProof/>
                <w:sz w:val="12"/>
              </w:rPr>
              <w:t>s sp</w:t>
            </w:r>
            <w:r>
              <w:rPr>
                <w:rFonts w:ascii="Times New Roman"/>
                <w:noProof/>
                <w:sz w:val="12"/>
              </w:rPr>
              <w:t>é</w:t>
            </w:r>
            <w:r>
              <w:rPr>
                <w:rFonts w:ascii="Times New Roman"/>
                <w:noProof/>
                <w:sz w:val="12"/>
              </w:rPr>
              <w:t>ciaux</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noProof/>
                <w:w w:val="105"/>
                <w:sz w:val="12"/>
                <w:szCs w:val="12"/>
              </w:rPr>
            </w:pPr>
            <w:r>
              <w:rPr>
                <w:rFonts w:ascii="Times New Roman"/>
                <w:noProof/>
                <w:sz w:val="12"/>
              </w:rPr>
              <w:t>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color w:val="000000" w:themeColor="text1"/>
                <w:spacing w:val="1"/>
                <w:w w:val="105"/>
                <w:sz w:val="16"/>
                <w:szCs w:val="16"/>
              </w:rPr>
            </w:pPr>
            <w:r>
              <w:rPr>
                <w:rFonts w:ascii="Times New Roman" w:hAnsi="Times New Roman"/>
                <w:b/>
                <w:noProof/>
                <w:color w:val="000000" w:themeColor="text1"/>
                <w:sz w:val="16"/>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lastRenderedPageBreak/>
              <w:t>59 + 60 + annexe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Cong</w:t>
            </w:r>
            <w:r>
              <w:rPr>
                <w:rFonts w:ascii="Times New Roman"/>
                <w:b/>
                <w:noProof/>
                <w:sz w:val="17"/>
              </w:rPr>
              <w:t>é</w:t>
            </w:r>
            <w:r>
              <w:rPr>
                <w:rFonts w:ascii="Times New Roman"/>
                <w:b/>
                <w:noProof/>
                <w:sz w:val="17"/>
              </w:rPr>
              <w:t xml:space="preserve"> de maladie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273/16</w:t>
            </w:r>
            <w:r>
              <w:rPr>
                <w:rFonts w:ascii="Times New Roman"/>
                <w:noProof/>
                <w:sz w:val="12"/>
              </w:rPr>
              <w:t> </w:t>
            </w:r>
            <w:r>
              <w:rPr>
                <w:rFonts w:ascii="Times New Roman"/>
                <w:noProof/>
                <w:sz w:val="12"/>
              </w:rPr>
              <w:t>A relative aux r</w:t>
            </w:r>
            <w:r>
              <w:rPr>
                <w:rFonts w:ascii="Times New Roman"/>
                <w:noProof/>
                <w:sz w:val="12"/>
              </w:rPr>
              <w:t>è</w:t>
            </w:r>
            <w:r>
              <w:rPr>
                <w:rFonts w:ascii="Times New Roman"/>
                <w:noProof/>
                <w:sz w:val="12"/>
              </w:rPr>
              <w:t>gles applicables au personnel en mati</w:t>
            </w:r>
            <w:r>
              <w:rPr>
                <w:rFonts w:ascii="Times New Roman"/>
                <w:noProof/>
                <w:sz w:val="12"/>
              </w:rPr>
              <w:t>è</w:t>
            </w:r>
            <w:r>
              <w:rPr>
                <w:rFonts w:ascii="Times New Roman"/>
                <w:noProof/>
                <w:sz w:val="12"/>
              </w:rPr>
              <w:t>re de cong</w:t>
            </w:r>
            <w:r>
              <w:rPr>
                <w:rFonts w:ascii="Times New Roman"/>
                <w:noProof/>
                <w:sz w:val="12"/>
              </w:rPr>
              <w:t>é</w:t>
            </w:r>
            <w:r>
              <w:rPr>
                <w:rFonts w:ascii="Times New Roman"/>
                <w:noProof/>
                <w:sz w:val="12"/>
              </w:rPr>
              <w:t xml:space="preserve"> de maladie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noProof/>
                <w:sz w:val="12"/>
              </w:rPr>
              <w:t>1.1.2017</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RE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Absence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212/19</w:t>
            </w:r>
            <w:r>
              <w:rPr>
                <w:rFonts w:ascii="Times New Roman"/>
                <w:noProof/>
                <w:sz w:val="12"/>
              </w:rPr>
              <w:t> </w:t>
            </w:r>
            <w:r>
              <w:rPr>
                <w:rFonts w:ascii="Times New Roman"/>
                <w:noProof/>
                <w:sz w:val="12"/>
              </w:rPr>
              <w:t>A</w:t>
            </w:r>
            <w:r>
              <w:rPr>
                <w:rFonts w:ascii="Times New Roman"/>
                <w:noProof/>
                <w:sz w:val="12"/>
              </w:rPr>
              <w:t> –</w:t>
            </w:r>
            <w:r>
              <w:rPr>
                <w:rFonts w:ascii="Times New Roman"/>
                <w:noProof/>
                <w:sz w:val="12"/>
              </w:rPr>
              <w:t xml:space="preserve"> R</w:t>
            </w:r>
            <w:r>
              <w:rPr>
                <w:rFonts w:ascii="Times New Roman"/>
                <w:noProof/>
                <w:sz w:val="12"/>
              </w:rPr>
              <w:t>è</w:t>
            </w:r>
            <w:r>
              <w:rPr>
                <w:rFonts w:ascii="Times New Roman"/>
                <w:noProof/>
                <w:sz w:val="12"/>
              </w:rPr>
              <w:t>gles applicables au personnel en mati</w:t>
            </w:r>
            <w:r>
              <w:rPr>
                <w:rFonts w:ascii="Times New Roman"/>
                <w:noProof/>
                <w:sz w:val="12"/>
              </w:rPr>
              <w:t>è</w:t>
            </w:r>
            <w:r>
              <w:rPr>
                <w:rFonts w:ascii="Times New Roman"/>
                <w:noProof/>
                <w:sz w:val="12"/>
              </w:rPr>
              <w:t xml:space="preserve">re de droits </w:t>
            </w:r>
            <w:r>
              <w:rPr>
                <w:rFonts w:ascii="Times New Roman"/>
                <w:noProof/>
                <w:sz w:val="12"/>
              </w:rPr>
              <w:t>à</w:t>
            </w:r>
            <w:r>
              <w:rPr>
                <w:rFonts w:ascii="Times New Roman"/>
                <w:noProof/>
                <w:sz w:val="12"/>
              </w:rPr>
              <w:t xml:space="preserve"> cong</w:t>
            </w:r>
            <w:r>
              <w:rPr>
                <w:rFonts w:ascii="Times New Roman"/>
                <w:noProof/>
                <w:sz w:val="12"/>
              </w:rPr>
              <w:t>é</w:t>
            </w:r>
            <w:r>
              <w:rPr>
                <w:rFonts w:ascii="Times New Roman"/>
                <w:noProof/>
                <w:sz w:val="12"/>
              </w:rPr>
              <w:t>s annuels et cong</w:t>
            </w:r>
            <w:r>
              <w:rPr>
                <w:rFonts w:ascii="Times New Roman"/>
                <w:noProof/>
                <w:sz w:val="12"/>
              </w:rPr>
              <w:t>é</w:t>
            </w:r>
            <w:r>
              <w:rPr>
                <w:rFonts w:ascii="Times New Roman"/>
                <w:noProof/>
                <w:sz w:val="12"/>
              </w:rPr>
              <w:t>s sp</w:t>
            </w:r>
            <w:r>
              <w:rPr>
                <w:rFonts w:ascii="Times New Roman"/>
                <w:noProof/>
                <w:sz w:val="12"/>
              </w:rPr>
              <w:t>é</w:t>
            </w:r>
            <w:r>
              <w:rPr>
                <w:rFonts w:ascii="Times New Roman"/>
                <w:noProof/>
                <w:sz w:val="12"/>
              </w:rPr>
              <w:t>ciaux</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noProof/>
                <w:sz w:val="12"/>
              </w:rPr>
              <w:t>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 xml:space="preserve">0 </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67 + 68 + annexe VII [art.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Allocation de foyer par décision spéciale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Décision 298/04 A portant adoption des dispositions générales d’exécution concernant l’allocation de foyer par décision spéciale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annexe VII [art.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Personnes assimilées à un enfant à charge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Décision 299/04 A portant adoption des dispositions générales d’exécution relatives aux personnes assimilées à un enfant à charge</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shd w:val="clear" w:color="auto" w:fill="FFFFFF" w:themeFill="background1"/>
            <w:vAlign w:val="center"/>
          </w:tcPr>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annexe VII (articles 1</w:t>
            </w:r>
            <w:r>
              <w:rPr>
                <w:rFonts w:ascii="Times New Roman" w:hAnsi="Times New Roman"/>
                <w:b/>
                <w:noProof/>
                <w:sz w:val="12"/>
                <w:vertAlign w:val="superscript"/>
              </w:rPr>
              <w:t>er</w:t>
            </w:r>
            <w:r>
              <w:rPr>
                <w:rFonts w:ascii="Times New Roman" w:hAnsi="Times New Roman"/>
                <w:b/>
                <w:noProof/>
                <w:sz w:val="12"/>
              </w:rPr>
              <w:t>, 2 et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Allocations familiales</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Décision 300/04 A – Dispositions générales d’exécution des articles 67 et 68 du statut des fonctionnaires et des articles 1</w:t>
            </w:r>
            <w:r>
              <w:rPr>
                <w:rFonts w:ascii="Times New Roman" w:hAnsi="Times New Roman"/>
                <w:noProof/>
                <w:sz w:val="12"/>
                <w:vertAlign w:val="superscript"/>
              </w:rPr>
              <w:t>er</w:t>
            </w:r>
            <w:r>
              <w:rPr>
                <w:rFonts w:ascii="Times New Roman" w:hAnsi="Times New Roman"/>
                <w:noProof/>
                <w:sz w:val="12"/>
              </w:rPr>
              <w:t>, 2 et 3 de son annexe 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1</w:t>
            </w:r>
            <w:r>
              <w:rPr>
                <w:rFonts w:ascii="Times New Roman" w:hAnsi="Times New Roman"/>
                <w:b/>
                <w:noProof/>
                <w:sz w:val="12"/>
                <w:vertAlign w:val="superscript"/>
              </w:rPr>
              <w:t>er</w:t>
            </w:r>
            <w:r>
              <w:rPr>
                <w:rFonts w:ascii="Times New Roman" w:hAnsi="Times New Roman"/>
                <w:b/>
                <w:noProof/>
                <w:sz w:val="12"/>
              </w:rPr>
              <w:t>, 2 et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Décision 019/14 A – Dispositions générales d’exécution relatives à l’octroi de l’allocation scolaire (article 3 de l’annexe VII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b/>
                <w:noProof/>
                <w:sz w:val="12"/>
              </w:rPr>
              <w:t>71 + annexe</w:t>
            </w:r>
            <w:r>
              <w:rPr>
                <w:rFonts w:ascii="Times New Roman"/>
                <w:b/>
                <w:noProof/>
                <w:sz w:val="12"/>
              </w:rPr>
              <w:t> </w:t>
            </w:r>
            <w:r>
              <w:rPr>
                <w:rFonts w:ascii="Times New Roman"/>
                <w:b/>
                <w:noProof/>
                <w:sz w:val="12"/>
              </w:rPr>
              <w:t>VII (art.</w:t>
            </w:r>
            <w:r>
              <w:rPr>
                <w:rFonts w:ascii="Times New Roman"/>
                <w:b/>
                <w:noProof/>
                <w:sz w:val="12"/>
              </w:rPr>
              <w:t> </w:t>
            </w:r>
            <w:r>
              <w:rPr>
                <w:rFonts w:ascii="Times New Roman"/>
                <w:b/>
                <w:noProof/>
                <w:sz w:val="12"/>
              </w:rPr>
              <w:t>8)</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b/>
                <w:noProof/>
                <w:sz w:val="17"/>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031/14</w:t>
            </w:r>
            <w:r>
              <w:rPr>
                <w:rFonts w:ascii="Times New Roman"/>
                <w:noProof/>
                <w:sz w:val="12"/>
              </w:rPr>
              <w:t> </w:t>
            </w:r>
            <w:r>
              <w:rPr>
                <w:rFonts w:ascii="Times New Roman"/>
                <w:noProof/>
                <w:sz w:val="12"/>
              </w:rPr>
              <w:t xml:space="preserve">A relative </w:t>
            </w:r>
            <w:r>
              <w:rPr>
                <w:rFonts w:ascii="Times New Roman"/>
                <w:noProof/>
                <w:sz w:val="12"/>
              </w:rPr>
              <w:t>à</w:t>
            </w:r>
            <w:r>
              <w:rPr>
                <w:rFonts w:ascii="Times New Roman"/>
                <w:noProof/>
                <w:sz w:val="12"/>
              </w:rPr>
              <w:t xml:space="preserv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8 de l</w:t>
            </w:r>
            <w:r>
              <w:rPr>
                <w:rFonts w:ascii="Times New Roman"/>
                <w:noProof/>
                <w:sz w:val="12"/>
              </w:rPr>
              <w:t>’</w:t>
            </w:r>
            <w:r>
              <w:rPr>
                <w:rFonts w:ascii="Times New Roman"/>
                <w:noProof/>
                <w:sz w:val="12"/>
              </w:rPr>
              <w:t>annexe</w:t>
            </w:r>
            <w:r>
              <w:rPr>
                <w:rFonts w:ascii="Times New Roman"/>
                <w:noProof/>
                <w:sz w:val="12"/>
              </w:rPr>
              <w:t> </w:t>
            </w:r>
            <w:r>
              <w:rPr>
                <w:rFonts w:ascii="Times New Roman"/>
                <w:noProof/>
                <w:sz w:val="12"/>
              </w:rPr>
              <w:t>VII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b/>
                <w:noProof/>
                <w:sz w:val="12"/>
              </w:rPr>
              <w:t>71 + annexe</w:t>
            </w:r>
            <w:r>
              <w:rPr>
                <w:rFonts w:ascii="Times New Roman"/>
                <w:b/>
                <w:noProof/>
                <w:sz w:val="12"/>
              </w:rPr>
              <w:t> </w:t>
            </w:r>
            <w:r>
              <w:rPr>
                <w:rFonts w:ascii="Times New Roman"/>
                <w:b/>
                <w:noProof/>
                <w:sz w:val="12"/>
              </w:rPr>
              <w:t>VII (art.</w:t>
            </w:r>
            <w:r>
              <w:rPr>
                <w:rFonts w:ascii="Times New Roman"/>
                <w:b/>
                <w:noProof/>
                <w:sz w:val="12"/>
              </w:rPr>
              <w:t> </w:t>
            </w:r>
            <w:r>
              <w:rPr>
                <w:rFonts w:ascii="Times New Roman"/>
                <w:b/>
                <w:noProof/>
                <w:sz w:val="12"/>
              </w:rPr>
              <w:t>8)</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Lieu d</w:t>
            </w:r>
            <w:r>
              <w:rPr>
                <w:rFonts w:ascii="Times New Roman"/>
                <w:b/>
                <w:noProof/>
                <w:sz w:val="17"/>
              </w:rPr>
              <w:t>’</w:t>
            </w:r>
            <w:r>
              <w:rPr>
                <w:rFonts w:ascii="Times New Roman"/>
                <w:b/>
                <w:noProof/>
                <w:sz w:val="17"/>
              </w:rPr>
              <w:t>origine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 xml:space="preserve">cision 030/14 A relative </w:t>
            </w:r>
            <w:r>
              <w:rPr>
                <w:rFonts w:ascii="Times New Roman"/>
                <w:noProof/>
                <w:sz w:val="12"/>
              </w:rPr>
              <w:t>à</w:t>
            </w:r>
            <w:r>
              <w:rPr>
                <w:rFonts w:ascii="Times New Roman"/>
                <w:noProof/>
                <w:sz w:val="12"/>
              </w:rPr>
              <w:t xml:space="preserv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7, paragraphe</w:t>
            </w:r>
            <w:r>
              <w:rPr>
                <w:rFonts w:ascii="Times New Roman"/>
                <w:noProof/>
                <w:sz w:val="12"/>
              </w:rPr>
              <w:t> </w:t>
            </w:r>
            <w:r>
              <w:rPr>
                <w:rFonts w:ascii="Times New Roman"/>
                <w:noProof/>
                <w:sz w:val="12"/>
              </w:rPr>
              <w:t>4, de l</w:t>
            </w:r>
            <w:r>
              <w:rPr>
                <w:rFonts w:ascii="Times New Roman"/>
                <w:noProof/>
                <w:sz w:val="12"/>
              </w:rPr>
              <w:t>’</w:t>
            </w:r>
            <w:r>
              <w:rPr>
                <w:rFonts w:ascii="Times New Roman"/>
                <w:noProof/>
                <w:sz w:val="12"/>
              </w:rPr>
              <w:t>annexe</w:t>
            </w:r>
            <w:r>
              <w:rPr>
                <w:rFonts w:ascii="Times New Roman"/>
                <w:noProof/>
                <w:sz w:val="12"/>
              </w:rPr>
              <w:t> </w:t>
            </w:r>
            <w:r>
              <w:rPr>
                <w:rFonts w:ascii="Times New Roman"/>
                <w:noProof/>
                <w:sz w:val="12"/>
              </w:rPr>
              <w:t xml:space="preserve">VII </w:t>
            </w:r>
            <w:r>
              <w:rPr>
                <w:rFonts w:ascii="Times New Roman"/>
                <w:noProof/>
                <w:sz w:val="12"/>
              </w:rPr>
              <w:br/>
              <w:t xml:space="preserve">relatif </w:t>
            </w:r>
            <w:r>
              <w:rPr>
                <w:rFonts w:ascii="Times New Roman"/>
                <w:noProof/>
                <w:sz w:val="12"/>
              </w:rPr>
              <w:t>à</w:t>
            </w:r>
            <w:r>
              <w:rPr>
                <w:rFonts w:ascii="Times New Roman"/>
                <w:noProof/>
                <w:sz w:val="12"/>
              </w:rPr>
              <w:t xml:space="preserve"> la fixation du lieu d</w:t>
            </w:r>
            <w:r>
              <w:rPr>
                <w:rFonts w:ascii="Times New Roman"/>
                <w:noProof/>
                <w:sz w:val="12"/>
              </w:rPr>
              <w:t>’</w:t>
            </w:r>
            <w:r>
              <w:rPr>
                <w:rFonts w:ascii="Times New Roman"/>
                <w:noProof/>
                <w:sz w:val="12"/>
              </w:rPr>
              <w:t>origine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40" w:lineRule="auto"/>
              <w:jc w:val="center"/>
              <w:rPr>
                <w:rFonts w:ascii="Times New Roman" w:eastAsia="Times New Roman" w:hAnsi="Times New Roman" w:cs="Times New Roman"/>
                <w:b/>
                <w:bCs/>
                <w:noProof/>
                <w:sz w:val="12"/>
                <w:szCs w:val="12"/>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6"/>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 (art. 11 à 13)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b/>
                <w:noProof/>
                <w:sz w:val="17"/>
              </w:rPr>
              <w:t>Frais de mission et de d</w:t>
            </w:r>
            <w:r>
              <w:rPr>
                <w:rFonts w:ascii="Times New Roman"/>
                <w:b/>
                <w:noProof/>
                <w:sz w:val="17"/>
              </w:rPr>
              <w:t>é</w:t>
            </w:r>
            <w:r>
              <w:rPr>
                <w:rFonts w:ascii="Times New Roman"/>
                <w:b/>
                <w:noProof/>
                <w:sz w:val="17"/>
              </w:rPr>
              <w:t>placement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 890/10 A portant adoption des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relatives au guide des missions des fonctionnaires et agents</w:t>
            </w:r>
            <w:r>
              <w:rPr>
                <w:rFonts w:ascii="Times New Roman"/>
                <w:noProof/>
                <w:sz w:val="12"/>
              </w:rPr>
              <w:br/>
              <w:t xml:space="preserve"> du CESE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rPr>
            </w:pPr>
          </w:p>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 (art. 9)</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Frais de d</w:t>
            </w:r>
            <w:r>
              <w:rPr>
                <w:rFonts w:ascii="Times New Roman"/>
                <w:b/>
                <w:noProof/>
                <w:sz w:val="17"/>
              </w:rPr>
              <w:t>é</w:t>
            </w:r>
            <w:r>
              <w:rPr>
                <w:rFonts w:ascii="Times New Roman"/>
                <w:b/>
                <w:noProof/>
                <w:sz w:val="17"/>
              </w:rPr>
              <w:t>m</w:t>
            </w:r>
            <w:r>
              <w:rPr>
                <w:rFonts w:ascii="Times New Roman"/>
                <w:b/>
                <w:noProof/>
                <w:sz w:val="17"/>
              </w:rPr>
              <w:t>é</w:t>
            </w:r>
            <w:r>
              <w:rPr>
                <w:rFonts w:ascii="Times New Roman"/>
                <w:b/>
                <w:noProof/>
                <w:sz w:val="17"/>
              </w:rPr>
              <w:t>nagement</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noProof/>
                <w:sz w:val="12"/>
              </w:rPr>
              <w:t>D</w:t>
            </w:r>
            <w:r>
              <w:rPr>
                <w:rFonts w:ascii="Times New Roman"/>
                <w:noProof/>
                <w:sz w:val="12"/>
              </w:rPr>
              <w:t>é</w:t>
            </w:r>
            <w:r>
              <w:rPr>
                <w:rFonts w:ascii="Times New Roman"/>
                <w:noProof/>
                <w:sz w:val="12"/>
              </w:rPr>
              <w:t xml:space="preserve">cision 020/14 A </w:t>
            </w:r>
            <w:r>
              <w:rPr>
                <w:rFonts w:ascii="Times New Roman"/>
                <w:noProof/>
                <w:sz w:val="12"/>
              </w:rPr>
              <w:t>–</w:t>
            </w:r>
            <w:r>
              <w:rPr>
                <w:rFonts w:ascii="Times New Roman"/>
                <w:noProof/>
                <w:sz w:val="12"/>
              </w:rPr>
              <w:t xml:space="preserve">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 xml:space="preserve">cution relatives au remboursement des frais de voyage </w:t>
            </w:r>
            <w:r>
              <w:rPr>
                <w:rFonts w:ascii="Times New Roman"/>
                <w:noProof/>
                <w:sz w:val="12"/>
              </w:rPr>
              <w:br/>
              <w:t>(article</w:t>
            </w:r>
            <w:r>
              <w:rPr>
                <w:rFonts w:ascii="Times New Roman"/>
                <w:noProof/>
                <w:sz w:val="12"/>
              </w:rPr>
              <w:t> </w:t>
            </w:r>
            <w:r>
              <w:rPr>
                <w:rFonts w:ascii="Times New Roman"/>
                <w:noProof/>
                <w:sz w:val="12"/>
              </w:rPr>
              <w:t>9 de l</w:t>
            </w:r>
            <w:r>
              <w:rPr>
                <w:rFonts w:ascii="Times New Roman"/>
                <w:noProof/>
                <w:sz w:val="12"/>
              </w:rPr>
              <w:t>’</w:t>
            </w:r>
            <w:r>
              <w:rPr>
                <w:rFonts w:ascii="Times New Roman"/>
                <w:noProof/>
                <w:sz w:val="12"/>
              </w:rPr>
              <w:t>annexe</w:t>
            </w:r>
            <w:r>
              <w:rPr>
                <w:rFonts w:ascii="Times New Roman"/>
                <w:noProof/>
                <w:sz w:val="12"/>
              </w:rPr>
              <w:t> </w:t>
            </w:r>
            <w:r>
              <w:rPr>
                <w:rFonts w:ascii="Times New Roman"/>
                <w:noProof/>
                <w:sz w:val="12"/>
              </w:rPr>
              <w:t>VII du statut)</w:t>
            </w:r>
            <w:r>
              <w:rPr>
                <w:rFonts w:ascii="Times New Roman"/>
                <w:noProof/>
                <w:sz w:val="12"/>
              </w:rPr>
              <w:br/>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 VIII – Pensions et allocation d’invalidité</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b/>
                <w:noProof/>
                <w:sz w:val="12"/>
              </w:rPr>
              <w:t>77 + annexe</w:t>
            </w:r>
            <w:r>
              <w:rPr>
                <w:rFonts w:ascii="Times New Roman"/>
                <w:b/>
                <w:noProof/>
                <w:sz w:val="12"/>
              </w:rPr>
              <w:t> </w:t>
            </w:r>
            <w:r>
              <w:rPr>
                <w:rFonts w:ascii="Times New Roman"/>
                <w:b/>
                <w:noProof/>
                <w:sz w:val="12"/>
              </w:rPr>
              <w:t xml:space="preserve">VIII </w:t>
            </w:r>
            <w:r>
              <w:rPr>
                <w:rFonts w:ascii="Times New Roman"/>
                <w:b/>
                <w:noProof/>
                <w:sz w:val="12"/>
              </w:rPr>
              <w:br/>
              <w:t>(art.</w:t>
            </w:r>
            <w:r>
              <w:rPr>
                <w:rFonts w:ascii="Times New Roman"/>
                <w:b/>
                <w:noProof/>
                <w:sz w:val="12"/>
              </w:rPr>
              <w:t> </w:t>
            </w:r>
            <w:r>
              <w:rPr>
                <w:rFonts w:ascii="Times New Roman"/>
                <w:b/>
                <w:noProof/>
                <w:sz w:val="12"/>
              </w:rPr>
              <w:t xml:space="preserve">4) </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b/>
                <w:noProof/>
                <w:sz w:val="17"/>
              </w:rPr>
              <w:t xml:space="preserve">Calcul des droits </w:t>
            </w:r>
            <w:r>
              <w:rPr>
                <w:rFonts w:ascii="Times New Roman"/>
                <w:b/>
                <w:noProof/>
                <w:sz w:val="17"/>
              </w:rPr>
              <w:t>à</w:t>
            </w:r>
            <w:r>
              <w:rPr>
                <w:rFonts w:ascii="Times New Roman"/>
                <w:b/>
                <w:noProof/>
                <w:sz w:val="17"/>
              </w:rPr>
              <w:t xml:space="preserve"> pension</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304/04</w:t>
            </w:r>
            <w:r>
              <w:rPr>
                <w:rFonts w:ascii="Times New Roman"/>
                <w:noProof/>
                <w:sz w:val="12"/>
              </w:rPr>
              <w:t> </w:t>
            </w:r>
            <w:r>
              <w:rPr>
                <w:rFonts w:ascii="Times New Roman"/>
                <w:noProof/>
                <w:sz w:val="12"/>
              </w:rPr>
              <w:t xml:space="preserve">A relative </w:t>
            </w:r>
            <w:r>
              <w:rPr>
                <w:rFonts w:ascii="Times New Roman"/>
                <w:noProof/>
                <w:sz w:val="12"/>
              </w:rPr>
              <w:t>à</w:t>
            </w:r>
            <w:r>
              <w:rPr>
                <w:rFonts w:ascii="Times New Roman"/>
                <w:noProof/>
                <w:sz w:val="12"/>
              </w:rPr>
              <w:t xml:space="preserve"> la prise en compte des p</w:t>
            </w:r>
            <w:r>
              <w:rPr>
                <w:rFonts w:ascii="Times New Roman"/>
                <w:noProof/>
                <w:sz w:val="12"/>
              </w:rPr>
              <w:t>é</w:t>
            </w:r>
            <w:r>
              <w:rPr>
                <w:rFonts w:ascii="Times New Roman"/>
                <w:noProof/>
                <w:sz w:val="12"/>
              </w:rPr>
              <w:t>riodes de service effectu</w:t>
            </w:r>
            <w:r>
              <w:rPr>
                <w:rFonts w:ascii="Times New Roman"/>
                <w:noProof/>
                <w:sz w:val="12"/>
              </w:rPr>
              <w:t>é</w:t>
            </w:r>
            <w:r>
              <w:rPr>
                <w:rFonts w:ascii="Times New Roman"/>
                <w:noProof/>
                <w:sz w:val="12"/>
              </w:rPr>
              <w:t>es ant</w:t>
            </w:r>
            <w:r>
              <w:rPr>
                <w:rFonts w:ascii="Times New Roman"/>
                <w:noProof/>
                <w:sz w:val="12"/>
              </w:rPr>
              <w:t>é</w:t>
            </w:r>
            <w:r>
              <w:rPr>
                <w:rFonts w:ascii="Times New Roman"/>
                <w:noProof/>
                <w:sz w:val="12"/>
              </w:rPr>
              <w:t>rieurement au moment du retour en service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5"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307/04</w:t>
            </w:r>
            <w:r>
              <w:rPr>
                <w:rFonts w:ascii="Times New Roman"/>
                <w:noProof/>
                <w:sz w:val="12"/>
              </w:rPr>
              <w:t> </w:t>
            </w:r>
            <w:r>
              <w:rPr>
                <w:rFonts w:ascii="Times New Roman"/>
                <w:noProof/>
                <w:sz w:val="12"/>
              </w:rPr>
              <w:t xml:space="preserve">A relative </w:t>
            </w:r>
            <w:r>
              <w:rPr>
                <w:rFonts w:ascii="Times New Roman"/>
                <w:noProof/>
                <w:sz w:val="12"/>
              </w:rPr>
              <w:t>à</w:t>
            </w:r>
            <w:r>
              <w:rPr>
                <w:rFonts w:ascii="Times New Roman"/>
                <w:noProof/>
                <w:sz w:val="12"/>
              </w:rPr>
              <w:t xml:space="preserve"> l</w:t>
            </w:r>
            <w:r>
              <w:rPr>
                <w:rFonts w:ascii="Times New Roman"/>
                <w:noProof/>
                <w:sz w:val="12"/>
              </w:rPr>
              <w:t>’</w:t>
            </w:r>
            <w:r>
              <w:rPr>
                <w:rFonts w:ascii="Times New Roman"/>
                <w:noProof/>
                <w:sz w:val="12"/>
              </w:rPr>
              <w:t xml:space="preserve">acquisition de droits </w:t>
            </w:r>
            <w:r>
              <w:rPr>
                <w:rFonts w:ascii="Times New Roman"/>
                <w:noProof/>
                <w:sz w:val="12"/>
              </w:rPr>
              <w:t>à</w:t>
            </w:r>
            <w:r>
              <w:rPr>
                <w:rFonts w:ascii="Times New Roman"/>
                <w:noProof/>
                <w:sz w:val="12"/>
              </w:rPr>
              <w:t xml:space="preserve"> pension suppl</w:t>
            </w:r>
            <w:r>
              <w:rPr>
                <w:rFonts w:ascii="Times New Roman"/>
                <w:noProof/>
                <w:sz w:val="12"/>
              </w:rPr>
              <w:t>é</w:t>
            </w:r>
            <w:r>
              <w:rPr>
                <w:rFonts w:ascii="Times New Roman"/>
                <w:noProof/>
                <w:sz w:val="12"/>
              </w:rPr>
              <w:t>mentaires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b/>
                <w:noProof/>
                <w:sz w:val="12"/>
              </w:rPr>
              <w:t>77 + annexe</w:t>
            </w:r>
            <w:r>
              <w:rPr>
                <w:rFonts w:ascii="Times New Roman"/>
                <w:b/>
                <w:noProof/>
                <w:sz w:val="12"/>
              </w:rPr>
              <w:t> </w:t>
            </w:r>
            <w:r>
              <w:rPr>
                <w:rFonts w:ascii="Times New Roman"/>
                <w:b/>
                <w:noProof/>
                <w:sz w:val="12"/>
              </w:rPr>
              <w:t>VIII (art.</w:t>
            </w:r>
            <w:r>
              <w:rPr>
                <w:rFonts w:ascii="Times New Roman"/>
                <w:b/>
                <w:noProof/>
                <w:sz w:val="12"/>
              </w:rPr>
              <w:t> </w:t>
            </w:r>
            <w:r>
              <w:rPr>
                <w:rFonts w:ascii="Times New Roman"/>
                <w:b/>
                <w:noProof/>
                <w:sz w:val="12"/>
              </w:rPr>
              <w:t>11 et</w:t>
            </w:r>
            <w:r>
              <w:rPr>
                <w:rFonts w:ascii="Times New Roman"/>
                <w:b/>
                <w:noProof/>
                <w:sz w:val="12"/>
              </w:rPr>
              <w:t> </w:t>
            </w:r>
            <w:r>
              <w:rPr>
                <w:rFonts w:ascii="Times New Roman"/>
                <w:b/>
                <w:noProof/>
                <w:sz w:val="12"/>
              </w:rPr>
              <w:t>12)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b/>
                <w:noProof/>
                <w:sz w:val="17"/>
              </w:rPr>
              <w:t xml:space="preserve">Transfert des droits </w:t>
            </w:r>
            <w:r>
              <w:rPr>
                <w:rFonts w:ascii="Times New Roman"/>
                <w:b/>
                <w:noProof/>
                <w:sz w:val="17"/>
              </w:rPr>
              <w:t>à</w:t>
            </w:r>
            <w:r>
              <w:rPr>
                <w:rFonts w:ascii="Times New Roman"/>
                <w:b/>
                <w:noProof/>
                <w:sz w:val="17"/>
              </w:rPr>
              <w:t xml:space="preserve"> pension</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305/04</w:t>
            </w:r>
            <w:r>
              <w:rPr>
                <w:rFonts w:ascii="Times New Roman"/>
                <w:noProof/>
                <w:sz w:val="12"/>
              </w:rPr>
              <w:t> </w:t>
            </w:r>
            <w:r>
              <w:rPr>
                <w:rFonts w:ascii="Times New Roman"/>
                <w:noProof/>
                <w:sz w:val="12"/>
              </w:rPr>
              <w:t xml:space="preserve">A relative au transfert des droits </w:t>
            </w:r>
            <w:r>
              <w:rPr>
                <w:rFonts w:ascii="Times New Roman"/>
                <w:noProof/>
                <w:sz w:val="12"/>
              </w:rPr>
              <w:t>à</w:t>
            </w:r>
            <w:r>
              <w:rPr>
                <w:rFonts w:ascii="Times New Roman"/>
                <w:noProof/>
                <w:sz w:val="12"/>
              </w:rPr>
              <w:t xml:space="preserve"> pension</w:t>
            </w:r>
            <w:r>
              <w:rPr>
                <w:rFonts w:ascii="Times New Roman"/>
                <w:noProof/>
                <w:sz w:val="12"/>
              </w:rPr>
              <w:t> –</w:t>
            </w:r>
            <w:r>
              <w:rPr>
                <w:rFonts w:ascii="Times New Roman"/>
                <w:noProof/>
                <w:sz w:val="12"/>
              </w:rPr>
              <w:t xml:space="preserve"> r</w:t>
            </w:r>
            <w:r>
              <w:rPr>
                <w:rFonts w:ascii="Times New Roman"/>
                <w:noProof/>
                <w:sz w:val="12"/>
              </w:rPr>
              <w:t>é</w:t>
            </w:r>
            <w:r>
              <w:rPr>
                <w:rFonts w:ascii="Times New Roman"/>
                <w:noProof/>
                <w:sz w:val="12"/>
              </w:rPr>
              <w:t>ouverture des possibilit</w:t>
            </w:r>
            <w:r>
              <w:rPr>
                <w:rFonts w:ascii="Times New Roman"/>
                <w:noProof/>
                <w:sz w:val="12"/>
              </w:rPr>
              <w:t>é</w:t>
            </w:r>
            <w:r>
              <w:rPr>
                <w:rFonts w:ascii="Times New Roman"/>
                <w:noProof/>
                <w:sz w:val="12"/>
              </w:rPr>
              <w:t>s</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 394/11 A portant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des articles</w:t>
            </w:r>
            <w:r>
              <w:rPr>
                <w:rFonts w:ascii="Times New Roman"/>
                <w:noProof/>
                <w:sz w:val="12"/>
              </w:rPr>
              <w:t> </w:t>
            </w:r>
            <w:r>
              <w:rPr>
                <w:rFonts w:ascii="Times New Roman"/>
                <w:noProof/>
                <w:sz w:val="12"/>
              </w:rPr>
              <w:t>11 et 12 de l</w:t>
            </w:r>
            <w:r>
              <w:rPr>
                <w:rFonts w:ascii="Times New Roman"/>
                <w:noProof/>
                <w:sz w:val="12"/>
              </w:rPr>
              <w:t>’</w:t>
            </w:r>
            <w:r>
              <w:rPr>
                <w:rFonts w:ascii="Times New Roman"/>
                <w:noProof/>
                <w:sz w:val="12"/>
              </w:rPr>
              <w:t>annexe</w:t>
            </w:r>
            <w:r>
              <w:rPr>
                <w:rFonts w:ascii="Times New Roman"/>
                <w:noProof/>
                <w:sz w:val="12"/>
              </w:rPr>
              <w:t> </w:t>
            </w:r>
            <w:r>
              <w:rPr>
                <w:rFonts w:ascii="Times New Roman"/>
                <w:noProof/>
                <w:sz w:val="12"/>
              </w:rPr>
              <w:t>VII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15.7.2011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71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4" w:after="0" w:line="240" w:lineRule="auto"/>
              <w:jc w:val="center"/>
              <w:rPr>
                <w:rFonts w:ascii="Times New Roman" w:eastAsia="Times New Roman" w:hAnsi="Times New Roman" w:cs="Times New Roman"/>
                <w:b/>
                <w:bCs/>
                <w:noProof/>
                <w:sz w:val="13"/>
                <w:szCs w:val="13"/>
              </w:rPr>
            </w:pPr>
          </w:p>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b/>
                <w:noProof/>
                <w:sz w:val="12"/>
                <w:shd w:val="clear" w:color="auto" w:fill="DA9694"/>
              </w:rPr>
              <w:t>86 + annexe</w:t>
            </w:r>
            <w:r>
              <w:rPr>
                <w:rFonts w:ascii="Times New Roman"/>
                <w:b/>
                <w:noProof/>
                <w:sz w:val="12"/>
                <w:shd w:val="clear" w:color="auto" w:fill="DA9694"/>
              </w:rPr>
              <w:t> </w:t>
            </w:r>
            <w:r>
              <w:rPr>
                <w:rFonts w:ascii="Times New Roman"/>
                <w:b/>
                <w:noProof/>
                <w:sz w:val="12"/>
                <w:shd w:val="clear" w:color="auto" w:fill="DA9694"/>
              </w:rPr>
              <w:t>IX</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7"/>
                <w:szCs w:val="17"/>
              </w:rPr>
            </w:pPr>
            <w:r>
              <w:rPr>
                <w:rFonts w:ascii="Times New Roman"/>
                <w:b/>
                <w:noProof/>
                <w:sz w:val="17"/>
              </w:rPr>
              <w:t>Proc</w:t>
            </w:r>
            <w:r>
              <w:rPr>
                <w:rFonts w:ascii="Times New Roman"/>
                <w:b/>
                <w:noProof/>
                <w:sz w:val="17"/>
              </w:rPr>
              <w:t>é</w:t>
            </w:r>
            <w:r>
              <w:rPr>
                <w:rFonts w:ascii="Times New Roman"/>
                <w:b/>
                <w:noProof/>
                <w:sz w:val="17"/>
              </w:rPr>
              <w:t>dures disciplinaires et enqu</w:t>
            </w:r>
            <w:r>
              <w:rPr>
                <w:rFonts w:ascii="Times New Roman"/>
                <w:b/>
                <w:noProof/>
                <w:sz w:val="17"/>
              </w:rPr>
              <w:t>ê</w:t>
            </w:r>
            <w:r>
              <w:rPr>
                <w:rFonts w:ascii="Times New Roman"/>
                <w:b/>
                <w:noProof/>
                <w:sz w:val="17"/>
              </w:rPr>
              <w:t>tes administratives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3"/>
              </w:rPr>
              <w:t>D</w:t>
            </w:r>
            <w:r>
              <w:rPr>
                <w:rFonts w:ascii="Times New Roman"/>
                <w:noProof/>
                <w:sz w:val="13"/>
              </w:rPr>
              <w:t>é</w:t>
            </w:r>
            <w:r>
              <w:rPr>
                <w:rFonts w:ascii="Times New Roman"/>
                <w:noProof/>
                <w:sz w:val="13"/>
              </w:rPr>
              <w:t>cision</w:t>
            </w:r>
            <w:r>
              <w:rPr>
                <w:rFonts w:ascii="Times New Roman"/>
                <w:noProof/>
                <w:sz w:val="13"/>
              </w:rPr>
              <w:t> </w:t>
            </w:r>
            <w:r>
              <w:rPr>
                <w:rFonts w:ascii="Times New Roman"/>
                <w:noProof/>
                <w:sz w:val="13"/>
              </w:rPr>
              <w:t>635/05</w:t>
            </w:r>
            <w:r>
              <w:rPr>
                <w:rFonts w:ascii="Times New Roman"/>
                <w:noProof/>
                <w:sz w:val="13"/>
              </w:rPr>
              <w:t> </w:t>
            </w:r>
            <w:r>
              <w:rPr>
                <w:rFonts w:ascii="Times New Roman"/>
                <w:noProof/>
                <w:sz w:val="13"/>
              </w:rPr>
              <w:t>A portant dispositions g</w:t>
            </w:r>
            <w:r>
              <w:rPr>
                <w:rFonts w:ascii="Times New Roman"/>
                <w:noProof/>
                <w:sz w:val="13"/>
              </w:rPr>
              <w:t>é</w:t>
            </w:r>
            <w:r>
              <w:rPr>
                <w:rFonts w:ascii="Times New Roman"/>
                <w:noProof/>
                <w:sz w:val="13"/>
              </w:rPr>
              <w:t>n</w:t>
            </w:r>
            <w:r>
              <w:rPr>
                <w:rFonts w:ascii="Times New Roman"/>
                <w:noProof/>
                <w:sz w:val="13"/>
              </w:rPr>
              <w:t>é</w:t>
            </w:r>
            <w:r>
              <w:rPr>
                <w:rFonts w:ascii="Times New Roman"/>
                <w:noProof/>
                <w:sz w:val="13"/>
              </w:rPr>
              <w:t>rales d</w:t>
            </w:r>
            <w:r>
              <w:rPr>
                <w:rFonts w:ascii="Times New Roman"/>
                <w:noProof/>
                <w:sz w:val="13"/>
              </w:rPr>
              <w:t>’</w:t>
            </w:r>
            <w:r>
              <w:rPr>
                <w:rFonts w:ascii="Times New Roman"/>
                <w:noProof/>
                <w:sz w:val="13"/>
              </w:rPr>
              <w:t>ex</w:t>
            </w:r>
            <w:r>
              <w:rPr>
                <w:rFonts w:ascii="Times New Roman"/>
                <w:noProof/>
                <w:sz w:val="13"/>
              </w:rPr>
              <w:t>é</w:t>
            </w:r>
            <w:r>
              <w:rPr>
                <w:rFonts w:ascii="Times New Roman"/>
                <w:noProof/>
                <w:sz w:val="13"/>
              </w:rPr>
              <w:t>cution relatives aux proc</w:t>
            </w:r>
            <w:r>
              <w:rPr>
                <w:rFonts w:ascii="Times New Roman"/>
                <w:noProof/>
                <w:sz w:val="13"/>
              </w:rPr>
              <w:t>é</w:t>
            </w:r>
            <w:r>
              <w:rPr>
                <w:rFonts w:ascii="Times New Roman"/>
                <w:noProof/>
                <w:sz w:val="13"/>
              </w:rPr>
              <w:t>dures disciplinaires et aux enqu</w:t>
            </w:r>
            <w:r>
              <w:rPr>
                <w:rFonts w:ascii="Times New Roman"/>
                <w:noProof/>
                <w:sz w:val="13"/>
              </w:rPr>
              <w:t>ê</w:t>
            </w:r>
            <w:r>
              <w:rPr>
                <w:rFonts w:ascii="Times New Roman"/>
                <w:noProof/>
                <w:sz w:val="13"/>
              </w:rPr>
              <w:t>tes administratives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noProof/>
                <w:w w:val="105"/>
                <w:sz w:val="13"/>
                <w:szCs w:val="13"/>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3"/>
              </w:rPr>
              <w:t>7.12.2005</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3"/>
              </w:rPr>
              <w:t>6.6.2023</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17"/>
        </w:trPr>
        <w:tc>
          <w:tcPr>
            <w:tcW w:w="1156" w:type="dxa"/>
            <w:vMerge/>
            <w:tcBorders>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3"/>
              </w:rPr>
              <w:t>D</w:t>
            </w:r>
            <w:r>
              <w:rPr>
                <w:rFonts w:ascii="Times New Roman"/>
                <w:noProof/>
                <w:sz w:val="13"/>
              </w:rPr>
              <w:t>é</w:t>
            </w:r>
            <w:r>
              <w:rPr>
                <w:rFonts w:ascii="Times New Roman"/>
                <w:noProof/>
                <w:sz w:val="13"/>
              </w:rPr>
              <w:t>cision</w:t>
            </w:r>
            <w:r>
              <w:rPr>
                <w:rFonts w:ascii="Times New Roman"/>
                <w:noProof/>
                <w:sz w:val="13"/>
              </w:rPr>
              <w:t> </w:t>
            </w:r>
            <w:r>
              <w:rPr>
                <w:rFonts w:ascii="Times New Roman"/>
                <w:noProof/>
                <w:sz w:val="13"/>
              </w:rPr>
              <w:t>023/07</w:t>
            </w:r>
            <w:r>
              <w:rPr>
                <w:rFonts w:ascii="Times New Roman"/>
                <w:noProof/>
                <w:sz w:val="13"/>
              </w:rPr>
              <w:t> </w:t>
            </w:r>
            <w:r>
              <w:rPr>
                <w:rFonts w:ascii="Times New Roman"/>
                <w:noProof/>
                <w:sz w:val="13"/>
              </w:rPr>
              <w:t>A d</w:t>
            </w:r>
            <w:r>
              <w:rPr>
                <w:rFonts w:ascii="Times New Roman"/>
                <w:noProof/>
                <w:sz w:val="13"/>
              </w:rPr>
              <w:t>é</w:t>
            </w:r>
            <w:r>
              <w:rPr>
                <w:rFonts w:ascii="Times New Roman"/>
                <w:noProof/>
                <w:sz w:val="13"/>
              </w:rPr>
              <w:t>terminant la composition du conseil de discipline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3"/>
              </w:rPr>
              <w:t>22.1.2007</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3"/>
              </w:rPr>
              <w:t>6.6.2023</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71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3"/>
              </w:rPr>
              <w:t>D</w:t>
            </w:r>
            <w:r>
              <w:rPr>
                <w:rFonts w:ascii="Times New Roman"/>
                <w:noProof/>
                <w:sz w:val="13"/>
              </w:rPr>
              <w:t>é</w:t>
            </w:r>
            <w:r>
              <w:rPr>
                <w:rFonts w:ascii="Times New Roman"/>
                <w:noProof/>
                <w:sz w:val="13"/>
              </w:rPr>
              <w:t>cision 124/23 portant adoption des dispositions g</w:t>
            </w:r>
            <w:r>
              <w:rPr>
                <w:rFonts w:ascii="Times New Roman"/>
                <w:noProof/>
                <w:sz w:val="13"/>
              </w:rPr>
              <w:t>é</w:t>
            </w:r>
            <w:r>
              <w:rPr>
                <w:rFonts w:ascii="Times New Roman"/>
                <w:noProof/>
                <w:sz w:val="13"/>
              </w:rPr>
              <w:t>n</w:t>
            </w:r>
            <w:r>
              <w:rPr>
                <w:rFonts w:ascii="Times New Roman"/>
                <w:noProof/>
                <w:sz w:val="13"/>
              </w:rPr>
              <w:t>é</w:t>
            </w:r>
            <w:r>
              <w:rPr>
                <w:rFonts w:ascii="Times New Roman"/>
                <w:noProof/>
                <w:sz w:val="13"/>
              </w:rPr>
              <w:t>rales d</w:t>
            </w:r>
            <w:r>
              <w:rPr>
                <w:rFonts w:ascii="Times New Roman"/>
                <w:noProof/>
                <w:sz w:val="13"/>
              </w:rPr>
              <w:t>’</w:t>
            </w:r>
            <w:r>
              <w:rPr>
                <w:rFonts w:ascii="Times New Roman"/>
                <w:noProof/>
                <w:sz w:val="13"/>
              </w:rPr>
              <w:t>ex</w:t>
            </w:r>
            <w:r>
              <w:rPr>
                <w:rFonts w:ascii="Times New Roman"/>
                <w:noProof/>
                <w:sz w:val="13"/>
              </w:rPr>
              <w:t>é</w:t>
            </w:r>
            <w:r>
              <w:rPr>
                <w:rFonts w:ascii="Times New Roman"/>
                <w:noProof/>
                <w:sz w:val="13"/>
              </w:rPr>
              <w:t>cution relatives aux enqu</w:t>
            </w:r>
            <w:r>
              <w:rPr>
                <w:rFonts w:ascii="Times New Roman"/>
                <w:noProof/>
                <w:sz w:val="13"/>
              </w:rPr>
              <w:t>ê</w:t>
            </w:r>
            <w:r>
              <w:rPr>
                <w:rFonts w:ascii="Times New Roman"/>
                <w:noProof/>
                <w:sz w:val="13"/>
              </w:rPr>
              <w:t>tes administratives et des r</w:t>
            </w:r>
            <w:r>
              <w:rPr>
                <w:rFonts w:ascii="Times New Roman"/>
                <w:noProof/>
                <w:sz w:val="13"/>
              </w:rPr>
              <w:t>è</w:t>
            </w:r>
            <w:r>
              <w:rPr>
                <w:rFonts w:ascii="Times New Roman"/>
                <w:noProof/>
                <w:sz w:val="13"/>
              </w:rPr>
              <w:t>gles d</w:t>
            </w:r>
            <w:r>
              <w:rPr>
                <w:rFonts w:ascii="Times New Roman"/>
                <w:noProof/>
                <w:sz w:val="13"/>
              </w:rPr>
              <w:t>’</w:t>
            </w:r>
            <w:r>
              <w:rPr>
                <w:rFonts w:ascii="Times New Roman"/>
                <w:noProof/>
                <w:sz w:val="13"/>
              </w:rPr>
              <w:t>ex</w:t>
            </w:r>
            <w:r>
              <w:rPr>
                <w:rFonts w:ascii="Times New Roman"/>
                <w:noProof/>
                <w:sz w:val="13"/>
              </w:rPr>
              <w:t>é</w:t>
            </w:r>
            <w:r>
              <w:rPr>
                <w:rFonts w:ascii="Times New Roman"/>
                <w:noProof/>
                <w:sz w:val="13"/>
              </w:rPr>
              <w:t>cution des proc</w:t>
            </w:r>
            <w:r>
              <w:rPr>
                <w:rFonts w:ascii="Times New Roman"/>
                <w:noProof/>
                <w:sz w:val="13"/>
              </w:rPr>
              <w:t>é</w:t>
            </w:r>
            <w:r>
              <w:rPr>
                <w:rFonts w:ascii="Times New Roman"/>
                <w:noProof/>
                <w:sz w:val="13"/>
              </w:rPr>
              <w:t>dures disciplinaires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3"/>
              </w:rPr>
              <w:t>6.6.2023</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81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8</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Politique g</w:t>
            </w:r>
            <w:r>
              <w:rPr>
                <w:rFonts w:ascii="Times New Roman"/>
                <w:b/>
                <w:noProof/>
                <w:sz w:val="17"/>
              </w:rPr>
              <w:t>é</w:t>
            </w:r>
            <w:r>
              <w:rPr>
                <w:rFonts w:ascii="Times New Roman"/>
                <w:b/>
                <w:noProof/>
                <w:sz w:val="17"/>
              </w:rPr>
              <w:t>n</w:t>
            </w:r>
            <w:r>
              <w:rPr>
                <w:rFonts w:ascii="Times New Roman"/>
                <w:b/>
                <w:noProof/>
                <w:sz w:val="17"/>
              </w:rPr>
              <w:t>é</w:t>
            </w:r>
            <w:r>
              <w:rPr>
                <w:rFonts w:ascii="Times New Roman"/>
                <w:b/>
                <w:noProof/>
                <w:sz w:val="17"/>
              </w:rPr>
              <w:t>rale d</w:t>
            </w:r>
            <w:r>
              <w:rPr>
                <w:rFonts w:ascii="Times New Roman"/>
                <w:b/>
                <w:noProof/>
                <w:sz w:val="17"/>
              </w:rPr>
              <w:t>’</w:t>
            </w:r>
            <w:r>
              <w:rPr>
                <w:rFonts w:ascii="Times New Roman"/>
                <w:b/>
                <w:noProof/>
                <w:sz w:val="17"/>
              </w:rPr>
              <w:t>engagement et d</w:t>
            </w:r>
            <w:r>
              <w:rPr>
                <w:rFonts w:ascii="Times New Roman"/>
                <w:b/>
                <w:noProof/>
                <w:sz w:val="17"/>
              </w:rPr>
              <w:t>’</w:t>
            </w:r>
            <w:r>
              <w:rPr>
                <w:rFonts w:ascii="Times New Roman"/>
                <w:b/>
                <w:noProof/>
                <w:sz w:val="17"/>
              </w:rPr>
              <w:t>emploi des agents temporaires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 xml:space="preserve">Directive interne DRH 001/15 </w:t>
            </w:r>
            <w:r>
              <w:rPr>
                <w:rFonts w:ascii="Times New Roman"/>
                <w:noProof/>
                <w:sz w:val="12"/>
              </w:rPr>
              <w:t>–</w:t>
            </w:r>
            <w:r>
              <w:rPr>
                <w:rFonts w:ascii="Times New Roman"/>
                <w:noProof/>
                <w:sz w:val="12"/>
              </w:rPr>
              <w:t xml:space="preserve"> Lignes directrices relatives </w:t>
            </w:r>
            <w:r>
              <w:rPr>
                <w:rFonts w:ascii="Times New Roman"/>
                <w:noProof/>
                <w:sz w:val="12"/>
              </w:rPr>
              <w:t>à</w:t>
            </w:r>
            <w:r>
              <w:rPr>
                <w:rFonts w:ascii="Times New Roman"/>
                <w:noProof/>
                <w:sz w:val="12"/>
              </w:rPr>
              <w:t xml:space="preserve"> l</w:t>
            </w:r>
            <w:r>
              <w:rPr>
                <w:rFonts w:ascii="Times New Roman"/>
                <w:noProof/>
                <w:sz w:val="12"/>
              </w:rPr>
              <w:t>’</w:t>
            </w:r>
            <w:r>
              <w:rPr>
                <w:rFonts w:ascii="Times New Roman"/>
                <w:noProof/>
                <w:sz w:val="12"/>
              </w:rPr>
              <w:t>engagement des agents temporaires au CESE [en application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2, points</w:t>
            </w:r>
            <w:r>
              <w:rPr>
                <w:rFonts w:ascii="Times New Roman"/>
                <w:noProof/>
                <w:sz w:val="12"/>
              </w:rPr>
              <w:t> </w:t>
            </w:r>
            <w:r>
              <w:rPr>
                <w:rFonts w:ascii="Times New Roman"/>
                <w:noProof/>
                <w:sz w:val="12"/>
              </w:rPr>
              <w:t>a) et b), du r</w:t>
            </w:r>
            <w:r>
              <w:rPr>
                <w:rFonts w:ascii="Times New Roman"/>
                <w:noProof/>
                <w:sz w:val="12"/>
              </w:rPr>
              <w:t>é</w:t>
            </w:r>
            <w:r>
              <w:rPr>
                <w:rFonts w:ascii="Times New Roman"/>
                <w:noProof/>
                <w:sz w:val="12"/>
              </w:rPr>
              <w:t xml:space="preserve">gime applicable aux autres agents </w:t>
            </w:r>
            <w:r>
              <w:rPr>
                <w:rFonts w:ascii="Times New Roman"/>
                <w:noProof/>
                <w:sz w:val="12"/>
              </w:rPr>
              <w:t>–</w:t>
            </w:r>
            <w:r>
              <w:rPr>
                <w:rFonts w:ascii="Times New Roman"/>
                <w:noProof/>
                <w:sz w:val="12"/>
              </w:rPr>
              <w:t xml:space="preserve">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17.12.2015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10 +</w:t>
            </w:r>
            <w:r>
              <w:rPr>
                <w:rFonts w:ascii="Times New Roman"/>
                <w:b/>
                <w:noProof/>
                <w:sz w:val="12"/>
              </w:rPr>
              <w:t> </w:t>
            </w:r>
            <w:r>
              <w:rPr>
                <w:rFonts w:ascii="Times New Roman"/>
                <w:b/>
                <w:noProof/>
                <w:sz w:val="12"/>
              </w:rPr>
              <w:t>15</w:t>
            </w: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444/14</w:t>
            </w:r>
            <w:r>
              <w:rPr>
                <w:rFonts w:ascii="Times New Roman"/>
                <w:noProof/>
                <w:sz w:val="12"/>
              </w:rPr>
              <w:t> </w:t>
            </w:r>
            <w:r>
              <w:rPr>
                <w:rFonts w:ascii="Times New Roman"/>
                <w:noProof/>
                <w:sz w:val="12"/>
              </w:rPr>
              <w:t>A</w:t>
            </w:r>
            <w:r>
              <w:rPr>
                <w:rFonts w:ascii="Times New Roman"/>
                <w:noProof/>
                <w:sz w:val="12"/>
              </w:rPr>
              <w:t> –</w:t>
            </w:r>
            <w:r>
              <w:rPr>
                <w:rFonts w:ascii="Times New Roman"/>
                <w:noProof/>
                <w:sz w:val="12"/>
              </w:rPr>
              <w:t xml:space="preserve">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relatives aux crit</w:t>
            </w:r>
            <w:r>
              <w:rPr>
                <w:rFonts w:ascii="Times New Roman"/>
                <w:noProof/>
                <w:sz w:val="12"/>
              </w:rPr>
              <w:t>è</w:t>
            </w:r>
            <w:r>
              <w:rPr>
                <w:rFonts w:ascii="Times New Roman"/>
                <w:noProof/>
                <w:sz w:val="12"/>
              </w:rPr>
              <w:t xml:space="preserve">res applicables au classement en </w:t>
            </w:r>
            <w:r>
              <w:rPr>
                <w:rFonts w:ascii="Times New Roman"/>
                <w:noProof/>
                <w:sz w:val="12"/>
              </w:rPr>
              <w:t>é</w:t>
            </w:r>
            <w:r>
              <w:rPr>
                <w:rFonts w:ascii="Times New Roman"/>
                <w:noProof/>
                <w:sz w:val="12"/>
              </w:rPr>
              <w:t>chelon lors du recrutement ou de l</w:t>
            </w:r>
            <w:r>
              <w:rPr>
                <w:rFonts w:ascii="Times New Roman"/>
                <w:noProof/>
                <w:sz w:val="12"/>
              </w:rPr>
              <w:t>’</w:t>
            </w:r>
            <w:r>
              <w:rPr>
                <w:rFonts w:ascii="Times New Roman"/>
                <w:noProof/>
                <w:sz w:val="12"/>
              </w:rPr>
              <w:t>engagement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0 </w:t>
            </w:r>
          </w:p>
        </w:tc>
      </w:tr>
      <w:tr>
        <w:trPr>
          <w:trHeight w:hRule="exact" w:val="702"/>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10, paragraphe</w:t>
            </w:r>
            <w:r>
              <w:rPr>
                <w:rFonts w:ascii="Times New Roman"/>
                <w:b/>
                <w:noProof/>
                <w:sz w:val="12"/>
              </w:rPr>
              <w:t> </w:t>
            </w:r>
            <w:r>
              <w:rPr>
                <w:rFonts w:ascii="Times New Roman"/>
                <w:b/>
                <w:noProof/>
                <w:sz w:val="12"/>
              </w:rPr>
              <w:t>3</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 xml:space="preserve">Reclassement des agents temporaires </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 218/22 A portant adoption des r</w:t>
            </w:r>
            <w:r>
              <w:rPr>
                <w:rFonts w:ascii="Times New Roman"/>
                <w:noProof/>
                <w:sz w:val="12"/>
              </w:rPr>
              <w:t>è</w:t>
            </w:r>
            <w:r>
              <w:rPr>
                <w:rFonts w:ascii="Times New Roman"/>
                <w:noProof/>
                <w:sz w:val="12"/>
              </w:rPr>
              <w:t>gles relatives au reclassement des agents temporaires engag</w:t>
            </w:r>
            <w:r>
              <w:rPr>
                <w:rFonts w:ascii="Times New Roman"/>
                <w:noProof/>
                <w:sz w:val="12"/>
              </w:rPr>
              <w:t>é</w:t>
            </w:r>
            <w:r>
              <w:rPr>
                <w:rFonts w:ascii="Times New Roman"/>
                <w:noProof/>
                <w:sz w:val="12"/>
              </w:rPr>
              <w:t>s pour une dur</w:t>
            </w:r>
            <w:r>
              <w:rPr>
                <w:rFonts w:ascii="Times New Roman"/>
                <w:noProof/>
                <w:sz w:val="12"/>
              </w:rPr>
              <w:t>é</w:t>
            </w:r>
            <w:r>
              <w:rPr>
                <w:rFonts w:ascii="Times New Roman"/>
                <w:noProof/>
                <w:sz w:val="12"/>
              </w:rPr>
              <w:t>e ind</w:t>
            </w:r>
            <w:r>
              <w:rPr>
                <w:rFonts w:ascii="Times New Roman"/>
                <w:noProof/>
                <w:sz w:val="12"/>
              </w:rPr>
              <w:t>é</w:t>
            </w:r>
            <w:r>
              <w:rPr>
                <w:rFonts w:ascii="Times New Roman"/>
                <w:noProof/>
                <w:sz w:val="12"/>
              </w:rPr>
              <w:t>termin</w:t>
            </w:r>
            <w:r>
              <w:rPr>
                <w:rFonts w:ascii="Times New Roman"/>
                <w:noProof/>
                <w:sz w:val="12"/>
              </w:rPr>
              <w:t>é</w:t>
            </w:r>
            <w:r>
              <w:rPr>
                <w:rFonts w:ascii="Times New Roman"/>
                <w:noProof/>
                <w:sz w:val="12"/>
              </w:rPr>
              <w:t>e en application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2, point</w:t>
            </w:r>
            <w:r>
              <w:rPr>
                <w:rFonts w:ascii="Times New Roman"/>
                <w:noProof/>
                <w:sz w:val="12"/>
              </w:rPr>
              <w:t> </w:t>
            </w:r>
            <w:r>
              <w:rPr>
                <w:rFonts w:ascii="Times New Roman"/>
                <w:noProof/>
                <w:sz w:val="12"/>
              </w:rPr>
              <w:t>a), ou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2, point</w:t>
            </w:r>
            <w:r>
              <w:rPr>
                <w:rFonts w:ascii="Times New Roman"/>
                <w:noProof/>
                <w:sz w:val="12"/>
              </w:rPr>
              <w:t> </w:t>
            </w:r>
            <w:r>
              <w:rPr>
                <w:rFonts w:ascii="Times New Roman"/>
                <w:noProof/>
                <w:sz w:val="12"/>
              </w:rPr>
              <w:t>c), du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29.9.2022</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12"/>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12, paragraphe</w:t>
            </w:r>
            <w:r>
              <w:rPr>
                <w:rFonts w:ascii="Times New Roman"/>
                <w:b/>
                <w:noProof/>
                <w:sz w:val="12"/>
              </w:rPr>
              <w:t> </w:t>
            </w:r>
            <w:r>
              <w:rPr>
                <w:rFonts w:ascii="Times New Roman"/>
                <w:b/>
                <w:noProof/>
                <w:sz w:val="12"/>
              </w:rPr>
              <w:t>5</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Proc</w:t>
            </w:r>
            <w:r>
              <w:rPr>
                <w:rFonts w:ascii="Times New Roman"/>
                <w:b/>
                <w:noProof/>
                <w:sz w:val="17"/>
              </w:rPr>
              <w:t>é</w:t>
            </w:r>
            <w:r>
              <w:rPr>
                <w:rFonts w:ascii="Times New Roman"/>
                <w:b/>
                <w:noProof/>
                <w:sz w:val="17"/>
              </w:rPr>
              <w:t>dures de recrutement des agents temporaires</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 xml:space="preserve">Directive interne DRH 001/15 </w:t>
            </w:r>
            <w:r>
              <w:rPr>
                <w:rFonts w:ascii="Times New Roman"/>
                <w:noProof/>
                <w:sz w:val="12"/>
              </w:rPr>
              <w:t>–</w:t>
            </w:r>
            <w:r>
              <w:rPr>
                <w:rFonts w:ascii="Times New Roman"/>
                <w:noProof/>
                <w:sz w:val="12"/>
              </w:rPr>
              <w:t xml:space="preserve"> Lignes directrices relatives </w:t>
            </w:r>
            <w:r>
              <w:rPr>
                <w:rFonts w:ascii="Times New Roman"/>
                <w:noProof/>
                <w:sz w:val="12"/>
              </w:rPr>
              <w:t>à</w:t>
            </w:r>
            <w:r>
              <w:rPr>
                <w:rFonts w:ascii="Times New Roman"/>
                <w:noProof/>
                <w:sz w:val="12"/>
              </w:rPr>
              <w:t xml:space="preserve"> l</w:t>
            </w:r>
            <w:r>
              <w:rPr>
                <w:rFonts w:ascii="Times New Roman"/>
                <w:noProof/>
                <w:sz w:val="12"/>
              </w:rPr>
              <w:t>’</w:t>
            </w:r>
            <w:r>
              <w:rPr>
                <w:rFonts w:ascii="Times New Roman"/>
                <w:noProof/>
                <w:sz w:val="12"/>
              </w:rPr>
              <w:t>engagement des agents temporaires au CESE [en application de l</w:t>
            </w:r>
            <w:r>
              <w:rPr>
                <w:rFonts w:ascii="Times New Roman"/>
                <w:noProof/>
                <w:sz w:val="12"/>
              </w:rPr>
              <w:t>’</w:t>
            </w:r>
            <w:r>
              <w:rPr>
                <w:rFonts w:ascii="Times New Roman"/>
                <w:noProof/>
                <w:sz w:val="12"/>
              </w:rPr>
              <w:t>article</w:t>
            </w:r>
            <w:r>
              <w:rPr>
                <w:rFonts w:ascii="Times New Roman"/>
                <w:noProof/>
                <w:sz w:val="12"/>
              </w:rPr>
              <w:t> </w:t>
            </w:r>
            <w:r>
              <w:rPr>
                <w:rFonts w:ascii="Times New Roman"/>
                <w:noProof/>
                <w:sz w:val="12"/>
              </w:rPr>
              <w:t>2, points</w:t>
            </w:r>
            <w:r>
              <w:rPr>
                <w:rFonts w:ascii="Times New Roman"/>
                <w:noProof/>
                <w:sz w:val="12"/>
              </w:rPr>
              <w:t> </w:t>
            </w:r>
            <w:r>
              <w:rPr>
                <w:rFonts w:ascii="Times New Roman"/>
                <w:noProof/>
                <w:sz w:val="12"/>
              </w:rPr>
              <w:t>a) et b), du r</w:t>
            </w:r>
            <w:r>
              <w:rPr>
                <w:rFonts w:ascii="Times New Roman"/>
                <w:noProof/>
                <w:sz w:val="12"/>
              </w:rPr>
              <w:t>é</w:t>
            </w:r>
            <w:r>
              <w:rPr>
                <w:rFonts w:ascii="Times New Roman"/>
                <w:noProof/>
                <w:sz w:val="12"/>
              </w:rPr>
              <w:t xml:space="preserve">gime applicable aux autres agents </w:t>
            </w:r>
            <w:r>
              <w:rPr>
                <w:rFonts w:ascii="Times New Roman"/>
                <w:noProof/>
                <w:sz w:val="12"/>
              </w:rPr>
              <w:t>–</w:t>
            </w:r>
            <w:r>
              <w:rPr>
                <w:rFonts w:ascii="Times New Roman"/>
                <w:noProof/>
                <w:sz w:val="12"/>
              </w:rPr>
              <w:t xml:space="preserve">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17.12.2015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rPr>
                <w:rFonts w:ascii="Times New Roman" w:eastAsia="Times New Roman" w:hAnsi="Times New Roman" w:cs="Times New Roman"/>
                <w:noProof/>
                <w:sz w:val="19"/>
                <w:szCs w:val="19"/>
              </w:rPr>
            </w:pPr>
            <w:r>
              <w:rPr>
                <w:rFonts w:ascii="Times New Roman" w:hAnsi="Times New Roman"/>
                <w:b/>
                <w:noProof/>
                <w:sz w:val="19"/>
              </w:rPr>
              <w:t xml:space="preserve">                                                                                        Chapitre 4 – Conditions de travail </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16 +</w:t>
            </w:r>
            <w:r>
              <w:rPr>
                <w:rFonts w:ascii="Times New Roman"/>
                <w:b/>
                <w:noProof/>
                <w:sz w:val="12"/>
              </w:rPr>
              <w:t> </w:t>
            </w:r>
            <w:r>
              <w:rPr>
                <w:rFonts w:ascii="Times New Roman"/>
                <w:b/>
                <w:noProof/>
                <w:sz w:val="12"/>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Conditions de travail</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205/18 relative aux heures suppl</w:t>
            </w:r>
            <w:r>
              <w:rPr>
                <w:rFonts w:ascii="Times New Roman"/>
                <w:noProof/>
                <w:sz w:val="12"/>
              </w:rPr>
              <w:t>é</w:t>
            </w:r>
            <w:r>
              <w:rPr>
                <w:rFonts w:ascii="Times New Roman"/>
                <w:noProof/>
                <w:sz w:val="12"/>
              </w:rPr>
              <w:t>mentaires effectu</w:t>
            </w:r>
            <w:r>
              <w:rPr>
                <w:rFonts w:ascii="Times New Roman"/>
                <w:noProof/>
                <w:sz w:val="12"/>
              </w:rPr>
              <w:t>é</w:t>
            </w:r>
            <w:r>
              <w:rPr>
                <w:rFonts w:ascii="Times New Roman"/>
                <w:noProof/>
                <w:sz w:val="12"/>
              </w:rPr>
              <w:t>es par les chauffeurs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1.1.2018</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17 +</w:t>
            </w:r>
            <w:r>
              <w:rPr>
                <w:rFonts w:ascii="Times New Roman"/>
                <w:b/>
                <w:noProof/>
                <w:sz w:val="12"/>
              </w:rPr>
              <w:t> </w:t>
            </w:r>
            <w:r>
              <w:rPr>
                <w:rFonts w:ascii="Times New Roman"/>
                <w:b/>
                <w:noProof/>
                <w:sz w:val="12"/>
              </w:rPr>
              <w:t>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Cong</w:t>
            </w:r>
            <w:r>
              <w:rPr>
                <w:rFonts w:ascii="Times New Roman"/>
                <w:b/>
                <w:noProof/>
                <w:sz w:val="17"/>
              </w:rPr>
              <w:t>é</w:t>
            </w:r>
            <w:r>
              <w:rPr>
                <w:rFonts w:ascii="Times New Roman"/>
                <w:b/>
                <w:noProof/>
                <w:sz w:val="17"/>
              </w:rPr>
              <w:t xml:space="preserve"> de maternit</w:t>
            </w:r>
            <w:r>
              <w:rPr>
                <w:rFonts w:ascii="Times New Roman"/>
                <w:b/>
                <w:noProof/>
                <w:sz w:val="17"/>
              </w:rPr>
              <w:t>é</w:t>
            </w:r>
            <w:r>
              <w:rPr>
                <w:rFonts w:ascii="Times New Roman"/>
                <w:b/>
                <w:noProof/>
                <w:sz w:val="17"/>
              </w:rPr>
              <w:t xml:space="preserve"> et son paiement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234/14</w:t>
            </w:r>
            <w:r>
              <w:rPr>
                <w:rFonts w:ascii="Times New Roman"/>
                <w:noProof/>
                <w:sz w:val="12"/>
              </w:rPr>
              <w:t> </w:t>
            </w:r>
            <w:r>
              <w:rPr>
                <w:rFonts w:ascii="Times New Roman"/>
                <w:noProof/>
                <w:sz w:val="12"/>
              </w:rPr>
              <w:t>A relative au cong</w:t>
            </w:r>
            <w:r>
              <w:rPr>
                <w:rFonts w:ascii="Times New Roman"/>
                <w:noProof/>
                <w:sz w:val="12"/>
              </w:rPr>
              <w:t>é</w:t>
            </w:r>
            <w:r>
              <w:rPr>
                <w:rFonts w:ascii="Times New Roman"/>
                <w:noProof/>
                <w:sz w:val="12"/>
              </w:rPr>
              <w:t xml:space="preserve"> de maternit</w:t>
            </w:r>
            <w:r>
              <w:rPr>
                <w:rFonts w:ascii="Times New Roman"/>
                <w:noProof/>
                <w:sz w:val="12"/>
              </w:rPr>
              <w:t>é</w:t>
            </w:r>
            <w:r>
              <w:rPr>
                <w:rFonts w:ascii="Times New Roman"/>
                <w:noProof/>
                <w:sz w:val="12"/>
              </w:rPr>
              <w:t xml:space="preserve"> et </w:t>
            </w:r>
            <w:r>
              <w:rPr>
                <w:rFonts w:ascii="Times New Roman"/>
                <w:noProof/>
                <w:sz w:val="12"/>
              </w:rPr>
              <w:t>à</w:t>
            </w:r>
            <w:r>
              <w:rPr>
                <w:rFonts w:ascii="Times New Roman"/>
                <w:noProof/>
                <w:sz w:val="12"/>
              </w:rPr>
              <w:t xml:space="preserve"> son paiement pour les femmes dont le cong</w:t>
            </w:r>
            <w:r>
              <w:rPr>
                <w:rFonts w:ascii="Times New Roman"/>
                <w:noProof/>
                <w:sz w:val="12"/>
              </w:rPr>
              <w:t>é</w:t>
            </w:r>
            <w:r>
              <w:rPr>
                <w:rFonts w:ascii="Times New Roman"/>
                <w:noProof/>
                <w:sz w:val="12"/>
              </w:rPr>
              <w:t xml:space="preserve"> de maternit</w:t>
            </w:r>
            <w:r>
              <w:rPr>
                <w:rFonts w:ascii="Times New Roman"/>
                <w:noProof/>
                <w:sz w:val="12"/>
              </w:rPr>
              <w:t>é</w:t>
            </w:r>
            <w:r>
              <w:rPr>
                <w:rFonts w:ascii="Times New Roman"/>
                <w:noProof/>
                <w:sz w:val="12"/>
              </w:rPr>
              <w:t xml:space="preserve"> d</w:t>
            </w:r>
            <w:r>
              <w:rPr>
                <w:rFonts w:ascii="Times New Roman"/>
                <w:noProof/>
                <w:sz w:val="12"/>
              </w:rPr>
              <w:t>é</w:t>
            </w:r>
            <w:r>
              <w:rPr>
                <w:rFonts w:ascii="Times New Roman"/>
                <w:noProof/>
                <w:sz w:val="12"/>
              </w:rPr>
              <w:t>bute avant la fin de leur contrat</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b/>
                <w:noProof/>
                <w:sz w:val="11"/>
              </w:rPr>
              <w:t>79, paragraphe</w:t>
            </w:r>
            <w:r>
              <w:rPr>
                <w:rFonts w:ascii="Times New Roman"/>
                <w:b/>
                <w:noProof/>
                <w:sz w:val="11"/>
              </w:rPr>
              <w:t> </w:t>
            </w:r>
            <w:r>
              <w:rPr>
                <w:rFonts w:ascii="Times New Roman"/>
                <w:b/>
                <w:noProof/>
                <w:sz w:val="11"/>
              </w:rPr>
              <w:t>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443/14</w:t>
            </w:r>
            <w:r>
              <w:rPr>
                <w:rFonts w:ascii="Times New Roman"/>
                <w:noProof/>
                <w:sz w:val="12"/>
              </w:rPr>
              <w:t> </w:t>
            </w:r>
            <w:r>
              <w:rPr>
                <w:rFonts w:ascii="Times New Roman"/>
                <w:noProof/>
                <w:sz w:val="12"/>
              </w:rPr>
              <w:t>A adoptant les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relatives aux proc</w:t>
            </w:r>
            <w:r>
              <w:rPr>
                <w:rFonts w:ascii="Times New Roman"/>
                <w:noProof/>
                <w:sz w:val="12"/>
              </w:rPr>
              <w:t>é</w:t>
            </w:r>
            <w:r>
              <w:rPr>
                <w:rFonts w:ascii="Times New Roman"/>
                <w:noProof/>
                <w:sz w:val="12"/>
              </w:rPr>
              <w:t>dures r</w:t>
            </w:r>
            <w:r>
              <w:rPr>
                <w:rFonts w:ascii="Times New Roman"/>
                <w:noProof/>
                <w:sz w:val="12"/>
              </w:rPr>
              <w:t>é</w:t>
            </w:r>
            <w:r>
              <w:rPr>
                <w:rFonts w:ascii="Times New Roman"/>
                <w:noProof/>
                <w:sz w:val="12"/>
              </w:rPr>
              <w:t>gissant l</w:t>
            </w:r>
            <w:r>
              <w:rPr>
                <w:rFonts w:ascii="Times New Roman"/>
                <w:noProof/>
                <w:sz w:val="12"/>
              </w:rPr>
              <w:t>’</w:t>
            </w:r>
            <w:r>
              <w:rPr>
                <w:rFonts w:ascii="Times New Roman"/>
                <w:noProof/>
                <w:sz w:val="12"/>
              </w:rPr>
              <w:t>engagement et l</w:t>
            </w:r>
            <w:r>
              <w:rPr>
                <w:rFonts w:ascii="Times New Roman"/>
                <w:noProof/>
                <w:sz w:val="12"/>
              </w:rPr>
              <w:t>’</w:t>
            </w:r>
            <w:r>
              <w:rPr>
                <w:rFonts w:ascii="Times New Roman"/>
                <w:noProof/>
                <w:sz w:val="12"/>
              </w:rPr>
              <w:t>emploi des agents contractuels au Comit</w:t>
            </w:r>
            <w:r>
              <w:rPr>
                <w:rFonts w:ascii="Times New Roman"/>
                <w:noProof/>
                <w:sz w:val="12"/>
              </w:rPr>
              <w:t>é</w:t>
            </w:r>
            <w:r>
              <w:rPr>
                <w:rFonts w:ascii="Times New Roman"/>
                <w:noProof/>
                <w:sz w:val="12"/>
              </w:rPr>
              <w:t xml:space="preserve"> </w:t>
            </w:r>
            <w:r>
              <w:rPr>
                <w:rFonts w:ascii="Times New Roman"/>
                <w:noProof/>
                <w:sz w:val="12"/>
              </w:rPr>
              <w:t>é</w:t>
            </w:r>
            <w:r>
              <w:rPr>
                <w:rFonts w:ascii="Times New Roman"/>
                <w:noProof/>
                <w:sz w:val="12"/>
              </w:rPr>
              <w:t>conomique et social europ</w:t>
            </w:r>
            <w:r>
              <w:rPr>
                <w:rFonts w:ascii="Times New Roman"/>
                <w:noProof/>
                <w:sz w:val="12"/>
              </w:rPr>
              <w:t>é</w:t>
            </w:r>
            <w:r>
              <w:rPr>
                <w:rFonts w:ascii="Times New Roman"/>
                <w:noProof/>
                <w:sz w:val="12"/>
              </w:rPr>
              <w:t>en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b/>
                <w:noProof/>
                <w:sz w:val="17"/>
              </w:rPr>
              <w:t>Proc</w:t>
            </w:r>
            <w:r>
              <w:rPr>
                <w:rFonts w:ascii="Times New Roman"/>
                <w:b/>
                <w:noProof/>
                <w:sz w:val="17"/>
              </w:rPr>
              <w:t>é</w:t>
            </w:r>
            <w:r>
              <w:rPr>
                <w:rFonts w:ascii="Times New Roman"/>
                <w:b/>
                <w:noProof/>
                <w:sz w:val="17"/>
              </w:rPr>
              <w:t>dures de recrutement des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443/14</w:t>
            </w:r>
            <w:r>
              <w:rPr>
                <w:rFonts w:ascii="Times New Roman"/>
                <w:noProof/>
                <w:sz w:val="12"/>
              </w:rPr>
              <w:t> </w:t>
            </w:r>
            <w:r>
              <w:rPr>
                <w:rFonts w:ascii="Times New Roman"/>
                <w:noProof/>
                <w:sz w:val="12"/>
              </w:rPr>
              <w:t>A adoptant les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relatives aux proc</w:t>
            </w:r>
            <w:r>
              <w:rPr>
                <w:rFonts w:ascii="Times New Roman"/>
                <w:noProof/>
                <w:sz w:val="12"/>
              </w:rPr>
              <w:t>é</w:t>
            </w:r>
            <w:r>
              <w:rPr>
                <w:rFonts w:ascii="Times New Roman"/>
                <w:noProof/>
                <w:sz w:val="12"/>
              </w:rPr>
              <w:t>dures r</w:t>
            </w:r>
            <w:r>
              <w:rPr>
                <w:rFonts w:ascii="Times New Roman"/>
                <w:noProof/>
                <w:sz w:val="12"/>
              </w:rPr>
              <w:t>é</w:t>
            </w:r>
            <w:r>
              <w:rPr>
                <w:rFonts w:ascii="Times New Roman"/>
                <w:noProof/>
                <w:sz w:val="12"/>
              </w:rPr>
              <w:t>gissant l</w:t>
            </w:r>
            <w:r>
              <w:rPr>
                <w:rFonts w:ascii="Times New Roman"/>
                <w:noProof/>
                <w:sz w:val="12"/>
              </w:rPr>
              <w:t>’</w:t>
            </w:r>
            <w:r>
              <w:rPr>
                <w:rFonts w:ascii="Times New Roman"/>
                <w:noProof/>
                <w:sz w:val="12"/>
              </w:rPr>
              <w:t>engagement et l</w:t>
            </w:r>
            <w:r>
              <w:rPr>
                <w:rFonts w:ascii="Times New Roman"/>
                <w:noProof/>
                <w:sz w:val="12"/>
              </w:rPr>
              <w:t>’</w:t>
            </w:r>
            <w:r>
              <w:rPr>
                <w:rFonts w:ascii="Times New Roman"/>
                <w:noProof/>
                <w:sz w:val="12"/>
              </w:rPr>
              <w:t>emploi des agents contractuels au Comit</w:t>
            </w:r>
            <w:r>
              <w:rPr>
                <w:rFonts w:ascii="Times New Roman"/>
                <w:noProof/>
                <w:sz w:val="12"/>
              </w:rPr>
              <w:t>é</w:t>
            </w:r>
            <w:r>
              <w:rPr>
                <w:rFonts w:ascii="Times New Roman"/>
                <w:noProof/>
                <w:sz w:val="12"/>
              </w:rPr>
              <w:t xml:space="preserve"> </w:t>
            </w:r>
            <w:r>
              <w:rPr>
                <w:rFonts w:ascii="Times New Roman"/>
                <w:noProof/>
                <w:sz w:val="12"/>
              </w:rPr>
              <w:t>é</w:t>
            </w:r>
            <w:r>
              <w:rPr>
                <w:rFonts w:ascii="Times New Roman"/>
                <w:noProof/>
                <w:sz w:val="12"/>
              </w:rPr>
              <w:t>conomique et social europ</w:t>
            </w:r>
            <w:r>
              <w:rPr>
                <w:rFonts w:ascii="Times New Roman"/>
                <w:noProof/>
                <w:sz w:val="12"/>
              </w:rPr>
              <w:t>é</w:t>
            </w:r>
            <w:r>
              <w:rPr>
                <w:rFonts w:ascii="Times New Roman"/>
                <w:noProof/>
                <w:sz w:val="12"/>
              </w:rPr>
              <w:t>en</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4.12.2014</w:t>
            </w:r>
          </w:p>
        </w:tc>
        <w:tc>
          <w:tcPr>
            <w:tcW w:w="1687" w:type="dxa"/>
            <w:tcBorders>
              <w:top w:val="single" w:sz="6" w:space="0" w:color="000000"/>
              <w:left w:val="single" w:sz="4" w:space="0" w:color="000000"/>
              <w:bottom w:val="single" w:sz="4" w:space="0" w:color="auto"/>
              <w:right w:val="single" w:sz="4" w:space="0" w:color="auto"/>
            </w:tcBorders>
            <w:shd w:val="clear" w:color="auto" w:fill="FFFF65"/>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noProof/>
                <w:sz w:val="12"/>
              </w:rPr>
              <w:t>D</w:t>
            </w:r>
            <w:r>
              <w:rPr>
                <w:rFonts w:ascii="Times New Roman"/>
                <w:noProof/>
                <w:sz w:val="12"/>
              </w:rPr>
              <w:t>é</w:t>
            </w:r>
            <w:r>
              <w:rPr>
                <w:rFonts w:ascii="Times New Roman"/>
                <w:noProof/>
                <w:sz w:val="12"/>
              </w:rPr>
              <w:t>cision</w:t>
            </w:r>
            <w:r>
              <w:rPr>
                <w:rFonts w:ascii="Times New Roman"/>
                <w:noProof/>
                <w:sz w:val="12"/>
              </w:rPr>
              <w:t> </w:t>
            </w:r>
            <w:r>
              <w:rPr>
                <w:rFonts w:ascii="Times New Roman"/>
                <w:noProof/>
                <w:sz w:val="12"/>
              </w:rPr>
              <w:t>443/14</w:t>
            </w:r>
            <w:r>
              <w:rPr>
                <w:rFonts w:ascii="Times New Roman"/>
                <w:noProof/>
                <w:sz w:val="12"/>
              </w:rPr>
              <w:t> </w:t>
            </w:r>
            <w:r>
              <w:rPr>
                <w:rFonts w:ascii="Times New Roman"/>
                <w:noProof/>
                <w:sz w:val="12"/>
              </w:rPr>
              <w:t>A adoptant les dispositions g</w:t>
            </w:r>
            <w:r>
              <w:rPr>
                <w:rFonts w:ascii="Times New Roman"/>
                <w:noProof/>
                <w:sz w:val="12"/>
              </w:rPr>
              <w:t>é</w:t>
            </w:r>
            <w:r>
              <w:rPr>
                <w:rFonts w:ascii="Times New Roman"/>
                <w:noProof/>
                <w:sz w:val="12"/>
              </w:rPr>
              <w:t>n</w:t>
            </w:r>
            <w:r>
              <w:rPr>
                <w:rFonts w:ascii="Times New Roman"/>
                <w:noProof/>
                <w:sz w:val="12"/>
              </w:rPr>
              <w:t>é</w:t>
            </w:r>
            <w:r>
              <w:rPr>
                <w:rFonts w:ascii="Times New Roman"/>
                <w:noProof/>
                <w:sz w:val="12"/>
              </w:rPr>
              <w:t>rales d</w:t>
            </w:r>
            <w:r>
              <w:rPr>
                <w:rFonts w:ascii="Times New Roman"/>
                <w:noProof/>
                <w:sz w:val="12"/>
              </w:rPr>
              <w:t>’</w:t>
            </w:r>
            <w:r>
              <w:rPr>
                <w:rFonts w:ascii="Times New Roman"/>
                <w:noProof/>
                <w:sz w:val="12"/>
              </w:rPr>
              <w:t>ex</w:t>
            </w:r>
            <w:r>
              <w:rPr>
                <w:rFonts w:ascii="Times New Roman"/>
                <w:noProof/>
                <w:sz w:val="12"/>
              </w:rPr>
              <w:t>é</w:t>
            </w:r>
            <w:r>
              <w:rPr>
                <w:rFonts w:ascii="Times New Roman"/>
                <w:noProof/>
                <w:sz w:val="12"/>
              </w:rPr>
              <w:t>cution relatives aux proc</w:t>
            </w:r>
            <w:r>
              <w:rPr>
                <w:rFonts w:ascii="Times New Roman"/>
                <w:noProof/>
                <w:sz w:val="12"/>
              </w:rPr>
              <w:t>é</w:t>
            </w:r>
            <w:r>
              <w:rPr>
                <w:rFonts w:ascii="Times New Roman"/>
                <w:noProof/>
                <w:sz w:val="12"/>
              </w:rPr>
              <w:t>dures r</w:t>
            </w:r>
            <w:r>
              <w:rPr>
                <w:rFonts w:ascii="Times New Roman"/>
                <w:noProof/>
                <w:sz w:val="12"/>
              </w:rPr>
              <w:t>é</w:t>
            </w:r>
            <w:r>
              <w:rPr>
                <w:rFonts w:ascii="Times New Roman"/>
                <w:noProof/>
                <w:sz w:val="12"/>
              </w:rPr>
              <w:t>gissant l</w:t>
            </w:r>
            <w:r>
              <w:rPr>
                <w:rFonts w:ascii="Times New Roman"/>
                <w:noProof/>
                <w:sz w:val="12"/>
              </w:rPr>
              <w:t>’</w:t>
            </w:r>
            <w:r>
              <w:rPr>
                <w:rFonts w:ascii="Times New Roman"/>
                <w:noProof/>
                <w:sz w:val="12"/>
              </w:rPr>
              <w:t>engagement et l</w:t>
            </w:r>
            <w:r>
              <w:rPr>
                <w:rFonts w:ascii="Times New Roman"/>
                <w:noProof/>
                <w:sz w:val="12"/>
              </w:rPr>
              <w:t>’</w:t>
            </w:r>
            <w:r>
              <w:rPr>
                <w:rFonts w:ascii="Times New Roman"/>
                <w:noProof/>
                <w:sz w:val="12"/>
              </w:rPr>
              <w:t>emploi des agents contractuels au Comit</w:t>
            </w:r>
            <w:r>
              <w:rPr>
                <w:rFonts w:ascii="Times New Roman"/>
                <w:noProof/>
                <w:sz w:val="12"/>
              </w:rPr>
              <w:t>é</w:t>
            </w:r>
            <w:r>
              <w:rPr>
                <w:rFonts w:ascii="Times New Roman"/>
                <w:noProof/>
                <w:sz w:val="12"/>
              </w:rPr>
              <w:t xml:space="preserve"> </w:t>
            </w:r>
            <w:r>
              <w:rPr>
                <w:rFonts w:ascii="Times New Roman"/>
                <w:noProof/>
                <w:sz w:val="12"/>
              </w:rPr>
              <w:t>é</w:t>
            </w:r>
            <w:r>
              <w:rPr>
                <w:rFonts w:ascii="Times New Roman"/>
                <w:noProof/>
                <w:sz w:val="12"/>
              </w:rPr>
              <w:t>conomique et social europ</w:t>
            </w:r>
            <w:r>
              <w:rPr>
                <w:rFonts w:ascii="Times New Roman"/>
                <w:noProof/>
                <w:sz w:val="12"/>
              </w:rPr>
              <w:t>é</w:t>
            </w:r>
            <w:r>
              <w:rPr>
                <w:rFonts w:ascii="Times New Roman"/>
                <w:noProof/>
                <w:sz w:val="12"/>
              </w:rPr>
              <w:t>en</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lastRenderedPageBreak/>
        <w:t>Légende</w:t>
      </w:r>
    </w:p>
    <w:p>
      <w:pPr>
        <w:widowControl w:val="0"/>
        <w:spacing w:before="10" w:after="0" w:line="240" w:lineRule="auto"/>
        <w:rPr>
          <w:rFonts w:ascii="Times New Roman" w:eastAsia="Times New Roman" w:hAnsi="Times New Roman" w:cs="Times New Roman"/>
          <w:i/>
          <w:noProof/>
          <w:sz w:val="24"/>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2265680</wp:posOffset>
                </wp:positionH>
                <wp:positionV relativeFrom="paragraph">
                  <wp:posOffset>227330</wp:posOffset>
                </wp:positionV>
                <wp:extent cx="1983740" cy="457200"/>
                <wp:effectExtent l="0" t="0" r="16510" b="19050"/>
                <wp:wrapNone/>
                <wp:docPr id="151860833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3740"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178.4pt;margin-top:17.9pt;width:156.2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8qywIAACUGAAAOAAAAZHJzL2Uyb0RvYy54bWysVG1P2zAQ/j5p/8Hy95GmFCgRKapATJM6&#10;QMDEZ9dxmmiOz7PdJt2v39lOQmFv0rQvln0vz909vruLy66RZCeMrUHlND2aUCIUh6JWm5x+ebr5&#10;MKfEOqYKJkGJnO6FpZeL9+8uWp2JKVQgC2EIgiibtTqnlXM6SxLLK9EwewRaKFSWYBrm8Gk2SWFY&#10;i+iNTKaTyWnSgim0AS6sRel1VNJFwC9Lwd1dWVrhiMwp5ubCacK59meyuGDZxjBd1bxPg/1DFg2r&#10;FQYdoa6ZY2Rr6p+gmpobsFC6Iw5NAmVZcxFqwGrSyZtqHiumRagFybF6pMn+P1h+u7s3pC7w707S&#10;+elkfnx8ToliDf7VA7LH1EYKknqeWm0zNH/U98ZXavUK+FeLiuSVxj9sb9OVpvG2WCfpAun7kXTR&#10;OcJRmJ7Pj89m+DccdbOTM/xVHy1h2eCtjXUfBTTEX3JqMK3ANdutrIumg0lIDGRd3NRShodvJHEl&#10;DdkxbAHXTYOr3DafoYgyDBhDsgzF2C5RPB/EmEloR48S8rKHAaQiLRYxPUOMv0cPRHrAFwh8SdWT&#10;GHkLDLq9FB5PqgdR4gchUzH1MZeYJuNcKJfG2BUrRBSf/Db7AOiRS6RoxO4BXrM1YEeOe3vvKsJk&#10;jc595X9yHj1CZFBudG5qBSam/xpAYlV95Gg/kBSp8Sy5bt2F5p0NDbqGYo8NbSBOutX8psauWTHr&#10;7pnB0cZGw3Xl7vAoJeDXQX+jpALz/Vdyb48Th1pKWlwVObXftswISuQnhbN4ns58/7rwCB1MiTnU&#10;rA81attcAbZiiotR83BFZ+PkcC0NNM+41ZY+KqqY4hg7p9yZ4XHl4grDvcjFchnMcJ9o5lbqUXMP&#10;7nn2U/HUPTOj+9FxOHS3MKwVlr2ZoGjrPRUstw7KOoyXZzry2v8A7qIwCP3e9Mvu8B2sXrb74gcA&#10;AAD//wMAUEsDBBQABgAIAAAAIQAqD+ko3gAAAAoBAAAPAAAAZHJzL2Rvd25yZXYueG1sTI/BTsMw&#10;DIbvSLxDZCQuiKUMEUZpOsGmHQHRwYFb1pim0DhVk63l7fFOcLItf/r9uVhOvhMHHGIbSMPVLAOB&#10;VAfbUqPhbbu5XICIyZA1XSDU8IMRluXpSWFyG0Z6xUOVGsEhFHOjwaXU51LG2qE3cRZ6JN59hsGb&#10;xOPQSDuYkcN9J+dZpqQ3LfEFZ3pcOay/q73XoFZfnXvqP14qWl9sw/vGjevnR63Pz6aHexAJp/QH&#10;w1Gf1aFkp13Yk42i03B9o1g9HRuuDCh1NwexYzK7XYAsC/n/hfIXAAD//wMAUEsBAi0AFAAGAAgA&#10;AAAhALaDOJL+AAAA4QEAABMAAAAAAAAAAAAAAAAAAAAAAFtDb250ZW50X1R5cGVzXS54bWxQSwEC&#10;LQAUAAYACAAAACEAOP0h/9YAAACUAQAACwAAAAAAAAAAAAAAAAAvAQAAX3JlbHMvLnJlbHNQSwEC&#10;LQAUAAYACAAAACEA2h5PKssCAAAlBgAADgAAAAAAAAAAAAAAAAAuAgAAZHJzL2Uyb0RvYy54bWxQ&#10;SwECLQAUAAYACAAAACEAKg/pKN4AAAAKAQAADwAAAAAAAAAAAAAAAAAlBQAAZHJzL2Rvd25yZXYu&#10;eG1sUEsFBgAAAAAEAAQA8wAAADAGAAAAAA==&#10;" fillcolor="#d5dce4 [671]" strokecolor="black [3213]" strokeweight="1pt">
                <v:path arrowok="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47"/>
              </w:rPr>
              <w:lastRenderedPageBreak/>
              <w:t>Comité des régions</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5" w:space="0" w:color="000000" w:themeColor="text1"/>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567"/>
        </w:trPr>
        <w:tc>
          <w:tcPr>
            <w:tcW w:w="1156" w:type="dxa"/>
            <w:vMerge w:val="restart"/>
            <w:tcBorders>
              <w:top w:val="single" w:sz="6" w:space="0" w:color="000000" w:themeColor="text1"/>
              <w:left w:val="single" w:sz="4" w:space="0" w:color="000000" w:themeColor="text1"/>
              <w:right w:val="single" w:sz="4" w:space="0" w:color="auto"/>
            </w:tcBorders>
            <w:shd w:val="clear" w:color="auto" w:fill="DA9694"/>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Pouvoirs de l’AIPN </w:t>
            </w:r>
            <w:r>
              <w:rPr>
                <w:rFonts w:ascii="Times New Roman" w:hAnsi="Times New Roman"/>
                <w:b/>
                <w:noProof/>
                <w:sz w:val="16"/>
              </w:rPr>
              <w:br/>
              <w:t>(subdélégation)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6/2016 relative aux pouvoirs de l’AIPN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26.4.2016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themeColor="text1"/>
              <w:left w:val="single" w:sz="4" w:space="0" w:color="auto"/>
              <w:bottom w:val="single" w:sz="4" w:space="0" w:color="auto"/>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370/2016 du SG relative aux pouvoirs de l’AIPN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w:t>
            </w:r>
          </w:p>
        </w:tc>
        <w:tc>
          <w:tcPr>
            <w:tcW w:w="936" w:type="dxa"/>
            <w:tcBorders>
              <w:left w:val="single" w:sz="4" w:space="0" w:color="auto"/>
              <w:bottom w:val="single" w:sz="6" w:space="0" w:color="000000" w:themeColor="text1"/>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68/2016 du directeur des ressources humaines relative aux pouvoirs de l’AIPN (modifiée en dernier lieu par la décision 9/2019 du 22 février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w:t>
            </w:r>
          </w:p>
        </w:tc>
        <w:tc>
          <w:tcPr>
            <w:tcW w:w="936" w:type="dxa"/>
            <w:tcBorders>
              <w:left w:val="single" w:sz="4" w:space="0" w:color="auto"/>
              <w:bottom w:val="single" w:sz="6" w:space="0" w:color="000000" w:themeColor="text1"/>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32/2015 relative à un remplacement temporaire aux fonctions du SG en cas d’absence ou d’empêchement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2.12.2015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14.3.2023</w:t>
            </w:r>
          </w:p>
        </w:tc>
        <w:tc>
          <w:tcPr>
            <w:tcW w:w="936" w:type="dxa"/>
            <w:vMerge w:val="restart"/>
            <w:tcBorders>
              <w:left w:val="single" w:sz="4" w:space="0" w:color="auto"/>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val="567"/>
        </w:trPr>
        <w:tc>
          <w:tcPr>
            <w:tcW w:w="1156" w:type="dxa"/>
            <w:vMerge/>
            <w:tcBorders>
              <w:left w:val="single" w:sz="4" w:space="0" w:color="000000" w:themeColor="text1"/>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Règlement nº 3/2023 du 14 mars 2023 é</w:t>
            </w:r>
            <w:bookmarkStart w:id="27" w:name="_Hlk177723986"/>
            <w:r>
              <w:rPr>
                <w:rFonts w:ascii="Times New Roman" w:hAnsi="Times New Roman"/>
                <w:noProof/>
                <w:sz w:val="12"/>
              </w:rPr>
              <w:t>tablissant un système de suppléance du secrétaire général et d’autres membres du personnel d’encadrement du Comité européen des régions dans l’exercice de leurs fonctions</w:t>
            </w:r>
            <w:bookmarkEnd w:id="27"/>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14.3.2023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6" w:space="0" w:color="000000" w:themeColor="text1"/>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r>
      <w:tr>
        <w:trPr>
          <w:trHeight w:hRule="exact" w:val="567"/>
        </w:trPr>
        <w:tc>
          <w:tcPr>
            <w:tcW w:w="1156" w:type="dxa"/>
            <w:vMerge w:val="restart"/>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annexes I et XIII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Emplois types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26/2019 relative aux emplois types et aux intitulés d’emploi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noProof/>
                <w:sz w:val="12"/>
                <w:szCs w:val="12"/>
              </w:rPr>
            </w:pPr>
            <w:r>
              <w:rPr>
                <w:rFonts w:ascii="Times New Roman" w:hAnsi="Times New Roman"/>
                <w:noProof/>
                <w:sz w:val="12"/>
              </w:rPr>
              <w:t>18.2.2019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noProof/>
                <w:sz w:val="12"/>
                <w:szCs w:val="12"/>
              </w:rPr>
            </w:pPr>
            <w:r>
              <w:rPr>
                <w:rFonts w:ascii="Times New Roman" w:hAnsi="Times New Roman"/>
                <w:noProof/>
                <w:sz w:val="12"/>
              </w:rPr>
              <w:t> 14.6.2023</w:t>
            </w:r>
          </w:p>
        </w:tc>
        <w:tc>
          <w:tcPr>
            <w:tcW w:w="936" w:type="dxa"/>
            <w:vMerge w:val="restart"/>
            <w:tcBorders>
              <w:left w:val="single" w:sz="4" w:space="0" w:color="auto"/>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themeColor="text1"/>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71/2023 relative aux emplois types et aux intitulés d’emploi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14.6.2023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5" w:space="0" w:color="000000"/>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 des rapports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181/2019 instituant le comité des rapports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19.9.2019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w:t>
            </w: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567"/>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11 à 21</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Éthique et intégrité</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74"/>
              <w:jc w:val="center"/>
              <w:rPr>
                <w:rFonts w:ascii="Times New Roman" w:eastAsia="Calibri" w:hAnsi="Times New Roman" w:cs="Times New Roman"/>
                <w:noProof/>
                <w:sz w:val="12"/>
                <w:szCs w:val="12"/>
              </w:rPr>
            </w:pPr>
            <w:r>
              <w:rPr>
                <w:rFonts w:ascii="Times New Roman" w:hAnsi="Times New Roman"/>
                <w:noProof/>
                <w:sz w:val="12"/>
              </w:rPr>
              <w:t>Décision 419 relative aux droits et obligations en matière de déontologie et d’intégrité des fonctionnaires et autres agents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23.12.2005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Décision 157/2023 relative aux règles éthiques applicables au secrétariat du Comité européen des régions</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bis</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Harcèlement</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362/2010 relative au harcèlement moral et sexuel au travail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26.4.2021</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62"/>
              <w:jc w:val="center"/>
              <w:rPr>
                <w:rFonts w:ascii="Times New Roman" w:eastAsia="Calibri" w:hAnsi="Times New Roman" w:cs="Times New Roman"/>
                <w:noProof/>
                <w:spacing w:val="-2"/>
                <w:sz w:val="12"/>
                <w:szCs w:val="12"/>
              </w:rPr>
            </w:pPr>
            <w:r>
              <w:rPr>
                <w:rFonts w:ascii="Times New Roman" w:hAnsi="Times New Roman"/>
                <w:noProof/>
                <w:sz w:val="12"/>
              </w:rPr>
              <w:t>Décision 108/21 relative à la protection de la dignité du personnel, à la gestion des conflits et à la lutte contre le harcèlement moral et sexuel au sein du secrétariat du Comité européen des régions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26.4.2021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ter</w:t>
            </w:r>
            <w:r>
              <w:rPr>
                <w:rFonts w:ascii="Times New Roman" w:hAnsi="Times New Roman"/>
                <w:b/>
                <w:noProof/>
                <w:sz w:val="12"/>
              </w:rPr>
              <w:t>, 16, 17</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Activités extérieures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66/2014 relative aux activités extérieures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11.4.2014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15.11.2022</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szCs w:val="12"/>
              </w:rPr>
            </w:pPr>
            <w:r>
              <w:rPr>
                <w:rFonts w:ascii="Times New Roman" w:hAnsi="Times New Roman"/>
                <w:noProof/>
                <w:sz w:val="12"/>
              </w:rPr>
              <w:t>Décision 175/22 relative aux activités extérieures et aux activités professionnelles après la cessation de fonctions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15.11.2022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Dénonciation des dysfonctionnements</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95"/>
              <w:jc w:val="center"/>
              <w:rPr>
                <w:rFonts w:ascii="Times New Roman" w:eastAsia="Calibri" w:hAnsi="Times New Roman" w:cs="Times New Roman"/>
                <w:noProof/>
                <w:sz w:val="12"/>
                <w:szCs w:val="12"/>
              </w:rPr>
            </w:pPr>
            <w:r>
              <w:rPr>
                <w:rFonts w:ascii="Times New Roman" w:hAnsi="Times New Roman"/>
                <w:noProof/>
                <w:sz w:val="12"/>
              </w:rPr>
              <w:t>Décision 26/2004 relative aux conditions et modalités des enquêtes internes en matière de lutte contre la fraude, la corruption et toute activité illégale préjudiciable aux intérêts des Communautés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10.2.2004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before="79"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508/2015 établissant les règles applicables en matière d’alerte éthique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r>
              <w:rPr>
                <w:rFonts w:ascii="Times New Roman" w:hAnsi="Times New Roman"/>
                <w:b/>
                <w:noProof/>
                <w:sz w:val="12"/>
              </w:rPr>
              <w:t>24 </w:t>
            </w:r>
            <w:r>
              <w:rPr>
                <w:rFonts w:ascii="Times New Roman" w:hAnsi="Times New Roman"/>
                <w:b/>
                <w:i/>
                <w:iCs/>
                <w:noProof/>
                <w:sz w:val="12"/>
              </w:rPr>
              <w:t>bis</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r>
              <w:rPr>
                <w:rFonts w:ascii="Times New Roman" w:hAnsi="Times New Roman"/>
                <w:b/>
                <w:noProof/>
                <w:sz w:val="16"/>
              </w:rPr>
              <w:t>Formation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32/2011 relative aux missions de groupe dans le domaine de la formation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8.3.2011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73/2015 relative aux règles en matière de formation et de développement au CdR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auto"/>
              <w:bottom w:val="single" w:sz="4" w:space="0" w:color="auto"/>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75/2017 portant détermination de la formation obligatoire et recommandée pour le personnel du secrétariat général du Comité des régions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4.10.2017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23.12.2020</w:t>
            </w:r>
          </w:p>
        </w:tc>
        <w:tc>
          <w:tcPr>
            <w:tcW w:w="936" w:type="dxa"/>
            <w:vMerge w:val="restart"/>
            <w:tcBorders>
              <w:top w:val="single" w:sz="4" w:space="0" w:color="auto"/>
              <w:left w:val="single" w:sz="4" w:space="0" w:color="auto"/>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52/2020 portant détermination de la formation obligatoire et recommandée pour le personnel du secrétariat général du Comité des régions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3" w:space="0" w:color="000000"/>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97/2017 relative au régime linguistique particulier des traducteurs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val="567"/>
        </w:trPr>
        <w:tc>
          <w:tcPr>
            <w:tcW w:w="1156" w:type="dxa"/>
            <w:vMerge w:val="restart"/>
            <w:tcBorders>
              <w:top w:val="single" w:sz="6" w:space="0" w:color="000000"/>
              <w:left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et 34</w:t>
            </w:r>
          </w:p>
        </w:tc>
        <w:tc>
          <w:tcPr>
            <w:tcW w:w="2551" w:type="dxa"/>
            <w:vMerge w:val="restart"/>
            <w:tcBorders>
              <w:top w:val="single" w:sz="6" w:space="0" w:color="000000"/>
              <w:left w:val="single" w:sz="4"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93/2014 portant dispositions générales d’exécution relatives aux grades au recrutement de fonctionnaires ou à l’engagement d’agents temporaires</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vMerge/>
            <w:tcBorders>
              <w:left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FFFF65"/>
            <w:vAlign w:val="center"/>
          </w:tcPr>
          <w:p>
            <w:pPr>
              <w:widowControl w:val="0"/>
              <w:spacing w:before="130"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hyperlink r:id="rId18" w:history="1">
              <w:r>
                <w:rPr>
                  <w:rFonts w:ascii="Times New Roman" w:hAnsi="Times New Roman"/>
                  <w:noProof/>
                  <w:sz w:val="12"/>
                </w:rPr>
                <w:t>Instruction de service nº 0001/2019 du secrétaire général concernant les règles administratives internes relatives au recrutement</w:t>
              </w:r>
            </w:hyperlink>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936" w:type="dxa"/>
            <w:vMerge w:val="restart"/>
            <w:tcBorders>
              <w:left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rPr>
            </w:pPr>
          </w:p>
        </w:tc>
        <w:tc>
          <w:tcPr>
            <w:tcW w:w="2551" w:type="dxa"/>
            <w:vMerge/>
            <w:tcBorders>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noProof/>
              </w:rPr>
            </w:pPr>
            <w:hyperlink r:id="rId19" w:history="1">
              <w:r>
                <w:rPr>
                  <w:rFonts w:ascii="Times New Roman" w:hAnsi="Times New Roman"/>
                  <w:noProof/>
                  <w:sz w:val="12"/>
                </w:rPr>
                <w:t>Instruction de service nº 1/2021 du secrétaire général concernant les règles administratives internes relatives au recrutement</w:t>
              </w:r>
            </w:hyperlink>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1687"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764"/>
        </w:trPr>
        <w:tc>
          <w:tcPr>
            <w:tcW w:w="1156" w:type="dxa"/>
            <w:vMerge w:val="restart"/>
            <w:tcBorders>
              <w:left w:val="single" w:sz="4" w:space="0" w:color="000000"/>
              <w:right w:val="single" w:sz="3" w:space="0" w:color="000000"/>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convenance personnelle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Décision 72/2019 portant mesures de mise en œuvre concernant le congé de convenance personnelle des fonctionnaires et le congé sans rémunération des agents temporaires et agents contractuels de l’Union européenne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23.4.2019</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18.9.2023 </w:t>
            </w:r>
          </w:p>
        </w:tc>
        <w:tc>
          <w:tcPr>
            <w:tcW w:w="936" w:type="dxa"/>
            <w:vMerge w:val="restart"/>
            <w:tcBorders>
              <w:left w:val="single" w:sz="3" w:space="0" w:color="000000"/>
              <w:right w:val="single" w:sz="5"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859"/>
        </w:trPr>
        <w:tc>
          <w:tcPr>
            <w:tcW w:w="1156" w:type="dxa"/>
            <w:vMerge/>
            <w:tcBorders>
              <w:left w:val="single" w:sz="4" w:space="0" w:color="000000"/>
              <w:bottom w:val="single" w:sz="3" w:space="0" w:color="000000"/>
              <w:right w:val="single" w:sz="3" w:space="0" w:color="000000"/>
            </w:tcBorders>
            <w:vAlign w:val="center"/>
          </w:tcPr>
          <w:p>
            <w:pPr>
              <w:widowControl w:val="0"/>
              <w:spacing w:before="101" w:after="0" w:line="240" w:lineRule="auto"/>
              <w:jc w:val="center"/>
              <w:rPr>
                <w:rFonts w:ascii="Times New Roman" w:eastAsia="Calibri" w:hAnsi="Times New Roman" w:cs="Times New Roman"/>
                <w:b/>
                <w:noProof/>
                <w:sz w:val="12"/>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7"/>
              <w:jc w:val="center"/>
              <w:rPr>
                <w:rFonts w:ascii="Times New Roman" w:eastAsia="Calibri" w:hAnsi="Times New Roman" w:cs="Times New Roman"/>
                <w:noProof/>
                <w:sz w:val="12"/>
                <w:szCs w:val="12"/>
              </w:rPr>
            </w:pPr>
            <w:r>
              <w:rPr>
                <w:rFonts w:ascii="Times New Roman" w:hAnsi="Times New Roman"/>
                <w:noProof/>
                <w:sz w:val="12"/>
              </w:rPr>
              <w:t xml:space="preserve">Décision 108/2023 portant mesures de mise en œuvre concernant le congé de convenance personnelle des fonctionnaires et le congé sans rémunération des agents temporaires et agents contractuels du Comité européen des régions </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18.9.2023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568"/>
        </w:trPr>
        <w:tc>
          <w:tcPr>
            <w:tcW w:w="1156" w:type="dxa"/>
            <w:tcBorders>
              <w:left w:val="single" w:sz="4" w:space="0" w:color="000000"/>
              <w:bottom w:val="single" w:sz="3" w:space="0" w:color="000000"/>
              <w:right w:val="single" w:sz="3" w:space="0" w:color="000000"/>
            </w:tcBorders>
            <w:shd w:val="clear" w:color="auto" w:fill="FFFF66"/>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3"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nº 166/2017 portant adoption des dispositions générales d’exécution relatives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31.10.2017</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3"/>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familial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Décision 22/2014 relative aux règles applicables au congé familial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3"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567"/>
        </w:trPr>
        <w:tc>
          <w:tcPr>
            <w:tcW w:w="1157" w:type="dxa"/>
            <w:vMerge w:val="restart"/>
            <w:tcBorders>
              <w:top w:val="single" w:sz="4" w:space="0" w:color="000000"/>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4" w:space="0" w:color="000000"/>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54" w:lineRule="auto"/>
              <w:ind w:right="259"/>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Décision 13/2019 portant adoption des dispositions générales d’exécution relatives à la notation du personnel </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22.3.2021 </w:t>
            </w:r>
          </w:p>
        </w:tc>
        <w:tc>
          <w:tcPr>
            <w:tcW w:w="936"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tcBorders>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95/2021 portant adoption des dispositions générales d’exécution relatives à l’évaluation du personnel</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22.3.2021</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936"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tcBorders>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150/2023 portant adoption des dispositions générales d’exécution relatives à l’évaluation annuelle du personnel</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2551" w:type="dxa"/>
            <w:tcBorders>
              <w:left w:val="single" w:sz="3" w:space="0" w:color="000000"/>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4"/>
              <w:jc w:val="center"/>
              <w:rPr>
                <w:rFonts w:ascii="Times New Roman" w:eastAsia="Times New Roman" w:hAnsi="Times New Roman" w:cs="Times New Roman"/>
                <w:noProof/>
                <w:spacing w:val="-2"/>
                <w:sz w:val="12"/>
                <w:szCs w:val="12"/>
              </w:rPr>
            </w:pPr>
            <w:r>
              <w:rPr>
                <w:rFonts w:ascii="Times New Roman" w:hAnsi="Times New Roman"/>
                <w:noProof/>
                <w:sz w:val="12"/>
              </w:rPr>
              <w:t>Instruction nº 2/2019 du secrétaire général relative à l’évaluation du personnel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15.2.2019</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24.3.2021 </w:t>
            </w:r>
          </w:p>
        </w:tc>
        <w:tc>
          <w:tcPr>
            <w:tcW w:w="936" w:type="dxa"/>
            <w:vMerge w:val="restart"/>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2551" w:type="dxa"/>
            <w:tcBorders>
              <w:left w:val="single" w:sz="3" w:space="0" w:color="000000"/>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4"/>
              <w:jc w:val="center"/>
              <w:rPr>
                <w:rFonts w:ascii="Times New Roman" w:eastAsia="Calibri" w:hAnsi="Times New Roman" w:cs="Times New Roman"/>
                <w:noProof/>
                <w:sz w:val="12"/>
                <w:szCs w:val="12"/>
              </w:rPr>
            </w:pPr>
            <w:r>
              <w:rPr>
                <w:rFonts w:ascii="Times New Roman" w:hAnsi="Times New Roman"/>
                <w:noProof/>
                <w:sz w:val="12"/>
              </w:rPr>
              <w:t>Instruction de service nº 1/2021 du secrétaire général relative à l’évaluation du personnel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24.3.2021</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2551" w:type="dxa"/>
            <w:tcBorders>
              <w:left w:val="single" w:sz="3" w:space="0" w:color="000000"/>
              <w:bottom w:val="single" w:sz="4" w:space="0" w:color="auto"/>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rPr>
            </w:pPr>
          </w:p>
        </w:tc>
        <w:tc>
          <w:tcPr>
            <w:tcW w:w="3029" w:type="dxa"/>
            <w:tcBorders>
              <w:top w:val="single" w:sz="3" w:space="0" w:color="000000"/>
              <w:left w:val="single" w:sz="3" w:space="0" w:color="000000"/>
              <w:bottom w:val="single" w:sz="4" w:space="0" w:color="auto"/>
              <w:right w:val="single" w:sz="3" w:space="0" w:color="000000"/>
            </w:tcBorders>
            <w:shd w:val="clear" w:color="auto" w:fill="DA9694"/>
            <w:vAlign w:val="center"/>
          </w:tcPr>
          <w:p>
            <w:pPr>
              <w:widowControl w:val="0"/>
              <w:spacing w:before="91" w:after="0" w:line="254" w:lineRule="auto"/>
              <w:ind w:right="44"/>
              <w:jc w:val="center"/>
              <w:rPr>
                <w:rFonts w:ascii="Times New Roman" w:eastAsia="Calibri" w:hAnsi="Times New Roman" w:cs="Times New Roman"/>
                <w:noProof/>
                <w:sz w:val="12"/>
                <w:szCs w:val="12"/>
              </w:rPr>
            </w:pPr>
            <w:r>
              <w:rPr>
                <w:rFonts w:ascii="Times New Roman" w:hAnsi="Times New Roman"/>
                <w:noProof/>
                <w:sz w:val="12"/>
              </w:rPr>
              <w:t>Instruction de service nº 2/2023 du secrétaire général relative à l’évaluation du personnel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rPr>
            </w:pPr>
          </w:p>
        </w:tc>
      </w:tr>
      <w:tr>
        <w:trPr>
          <w:trHeight w:hRule="exact" w:val="518"/>
        </w:trPr>
        <w:tc>
          <w:tcPr>
            <w:tcW w:w="1157"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44, par. 1</w:t>
            </w:r>
          </w:p>
        </w:tc>
        <w:tc>
          <w:tcPr>
            <w:tcW w:w="2551"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Avancement d’échelon</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54" w:lineRule="auto"/>
              <w:ind w:right="50"/>
              <w:jc w:val="center"/>
              <w:rPr>
                <w:rFonts w:ascii="Times New Roman" w:eastAsia="Times New Roman" w:hAnsi="Times New Roman" w:cs="Times New Roman"/>
                <w:noProof/>
                <w:sz w:val="12"/>
                <w:szCs w:val="12"/>
              </w:rPr>
            </w:pPr>
            <w:r>
              <w:rPr>
                <w:rFonts w:ascii="Times New Roman" w:hAnsi="Times New Roman"/>
                <w:noProof/>
                <w:sz w:val="12"/>
              </w:rPr>
              <w:t>Décision 360/2013 relative à l’application de l’article 7, paragraphe 7, de l’annexe XIII – avancement d’échelon</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12.11.2013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7" w:type="dxa"/>
            <w:vMerge w:val="restart"/>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4" w:space="0" w:color="auto"/>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szCs w:val="12"/>
              </w:rPr>
            </w:pPr>
            <w:r>
              <w:rPr>
                <w:rFonts w:ascii="Times New Roman" w:hAnsi="Times New Roman"/>
                <w:noProof/>
                <w:sz w:val="12"/>
              </w:rPr>
              <w:t xml:space="preserve">Décision 14/2019 relative aux promotions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1.2.2019</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1.5.2020</w:t>
            </w:r>
          </w:p>
        </w:tc>
        <w:tc>
          <w:tcPr>
            <w:tcW w:w="936" w:type="dxa"/>
            <w:vMerge w:val="restart"/>
            <w:tcBorders>
              <w:top w:val="single" w:sz="4" w:space="0" w:color="auto"/>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46/2020 relative à la promotion des fonctionnaires et au classement au grade supérieur des agents contractuels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16.4.2020</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16.6.2021</w:t>
            </w: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132/2021 relative à la promotion des fonctionnaires et au classement au grade supérieur des agents contractuels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16.6.2021</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20.5.2022</w:t>
            </w: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68/2022 relative à la promotion des fonctionnaires et au classement au grade supérieur des agents contractuels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20.5.2022</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822"/>
        </w:trPr>
        <w:tc>
          <w:tcPr>
            <w:tcW w:w="1157" w:type="dxa"/>
            <w:tcBorders>
              <w:top w:val="single" w:sz="4" w:space="0" w:color="auto"/>
              <w:left w:val="single" w:sz="3" w:space="0" w:color="000000"/>
              <w:bottom w:val="single" w:sz="4" w:space="0" w:color="000000"/>
              <w:right w:val="single" w:sz="3" w:space="0" w:color="000000"/>
            </w:tcBorders>
            <w:vAlign w:val="center"/>
          </w:tcPr>
          <w:p>
            <w:pPr>
              <w:widowControl w:val="0"/>
              <w:spacing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45, paragraphe 2</w:t>
            </w:r>
          </w:p>
        </w:tc>
        <w:tc>
          <w:tcPr>
            <w:tcW w:w="2551" w:type="dxa"/>
            <w:tcBorders>
              <w:top w:val="single" w:sz="4" w:space="0" w:color="auto"/>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Promotions</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304/2006 concernant l’adoption de règles communes fixant les modalités d’exécution de l’article 45, paragraphe 2, du statut</w:t>
            </w:r>
            <w:r>
              <w:rPr>
                <w:rFonts w:ascii="Times New Roman" w:hAnsi="Times New Roman"/>
                <w:noProof/>
                <w:sz w:val="12"/>
              </w:rPr>
              <w:br/>
              <w:t xml:space="preserve"> (modifiée en dernier lieu par la décision 76/2016 du 25.4.2016)</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8.9.2006</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7" w:type="dxa"/>
            <w:vMerge w:val="restart"/>
            <w:tcBorders>
              <w:left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w:t>
            </w:r>
            <w:r>
              <w:rPr>
                <w:rFonts w:ascii="Times New Roman" w:hAnsi="Times New Roman"/>
                <w:b/>
                <w:i/>
                <w:iCs/>
                <w:noProof/>
                <w:sz w:val="12"/>
              </w:rPr>
              <w:t>bis</w:t>
            </w:r>
          </w:p>
        </w:tc>
        <w:tc>
          <w:tcPr>
            <w:tcW w:w="2551" w:type="dxa"/>
            <w:vMerge w:val="restart"/>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Décision 132/2018 portant adoption des dispositions générales d’exécution de l’article 45 </w:t>
            </w:r>
            <w:r>
              <w:rPr>
                <w:rFonts w:ascii="Times New Roman" w:hAnsi="Times New Roman"/>
                <w:i/>
                <w:iCs/>
                <w:noProof/>
                <w:sz w:val="12"/>
              </w:rPr>
              <w:t>bis</w:t>
            </w:r>
            <w:r>
              <w:rPr>
                <w:rFonts w:ascii="Times New Roman" w:hAnsi="Times New Roman"/>
                <w:noProof/>
                <w:sz w:val="12"/>
              </w:rPr>
              <w:t xml:space="preserve"> du statut</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10.7.2018</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23.7.2020 </w:t>
            </w:r>
          </w:p>
        </w:tc>
        <w:tc>
          <w:tcPr>
            <w:tcW w:w="936" w:type="dxa"/>
            <w:vMerge w:val="restart"/>
            <w:tcBorders>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7" w:type="dxa"/>
            <w:vMerge/>
            <w:tcBorders>
              <w:left w:val="single" w:sz="4" w:space="0" w:color="000000"/>
              <w:bottom w:val="single" w:sz="4" w:space="0" w:color="auto"/>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4" w:space="0" w:color="000000"/>
              <w:bottom w:val="single" w:sz="4" w:space="0" w:color="auto"/>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94/2020 portant adoption des dispositions générales d’exécution de l’article 45 </w:t>
            </w:r>
            <w:r>
              <w:rPr>
                <w:rFonts w:ascii="Times New Roman" w:hAnsi="Times New Roman"/>
                <w:i/>
                <w:iCs/>
                <w:noProof/>
                <w:sz w:val="12"/>
              </w:rPr>
              <w:t>bis</w:t>
            </w:r>
            <w:r>
              <w:rPr>
                <w:rFonts w:ascii="Times New Roman" w:hAnsi="Times New Roman"/>
                <w:noProof/>
                <w:sz w:val="12"/>
              </w:rPr>
              <w:t xml:space="preserve"> du statut</w:t>
            </w:r>
          </w:p>
        </w:tc>
        <w:tc>
          <w:tcPr>
            <w:tcW w:w="1322"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23.7.2020</w:t>
            </w:r>
          </w:p>
        </w:tc>
        <w:tc>
          <w:tcPr>
            <w:tcW w:w="1687"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26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Chapitre 4 – Cessation définitive des fonctions </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Insuffisance professionnelle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rPr>
            </w:pPr>
            <w:r>
              <w:rPr>
                <w:rFonts w:ascii="Times New Roman" w:hAnsi="Times New Roman"/>
                <w:noProof/>
                <w:sz w:val="12"/>
              </w:rPr>
              <w:t xml:space="preserve">Décision 47/2020 relative à la procédure de détection, de prévention, de gestion et de résolution des cas d’insuffisance </w:t>
            </w: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professionnelle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29.4.2020</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52, paragraphe 2</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Retraite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368/2016 concernant le maintien en situation d’activité des fonctionnaires au-delà de l’âge de mise à la retraite automatique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1.1.2017</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hRule="exact" w:val="567"/>
        </w:trPr>
        <w:tc>
          <w:tcPr>
            <w:tcW w:w="1156"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Temps de 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126/2017 relative aux horaires de travail et à l’aménagement du temps de travail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18.7.2017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1.3.2022 </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1IR</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Décision 34/2022 relative aux modalités de travail au Comité européen des régions (projet pilote)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6"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Activité à temps partiel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Décision 19/2014 sur l’article 55 </w:t>
            </w:r>
            <w:r>
              <w:rPr>
                <w:rFonts w:ascii="Times New Roman" w:hAnsi="Times New Roman"/>
                <w:i/>
                <w:iCs/>
                <w:noProof/>
                <w:sz w:val="12"/>
              </w:rPr>
              <w:t>bis</w:t>
            </w:r>
            <w:r>
              <w:rPr>
                <w:rFonts w:ascii="Times New Roman" w:hAnsi="Times New Roman"/>
                <w:noProof/>
                <w:sz w:val="12"/>
              </w:rPr>
              <w:t xml:space="preserve"> du statut relatif au travail à temps partiel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Télétravail</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Décision 193/2019 relative au régime de télétravail </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14.10.2019</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1.3.2022 </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34/2022 relative aux modalités de travail au Comité européen des régions (projet pilote)</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1.3.2022</w:t>
            </w:r>
          </w:p>
        </w:tc>
        <w:tc>
          <w:tcPr>
            <w:tcW w:w="1687"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56 + annexe VI</w:t>
            </w:r>
          </w:p>
        </w:tc>
        <w:tc>
          <w:tcPr>
            <w:tcW w:w="2551" w:type="dxa"/>
            <w:vMerge w:val="restart"/>
            <w:tcBorders>
              <w:top w:val="single" w:sz="3" w:space="0" w:color="000000"/>
              <w:left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Heures supplémentaires</w:t>
            </w:r>
          </w:p>
        </w:tc>
        <w:tc>
          <w:tcPr>
            <w:tcW w:w="3029"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Décision 353/2016 relative aux indemnités forfaitaires pour les heures supplémentaires effectuées par les chauffeurs</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1.1.2017</w:t>
            </w:r>
          </w:p>
        </w:tc>
        <w:tc>
          <w:tcPr>
            <w:tcW w:w="1687"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17.6.2020 </w:t>
            </w:r>
          </w:p>
        </w:tc>
        <w:tc>
          <w:tcPr>
            <w:tcW w:w="936" w:type="dxa"/>
            <w:vMerge w:val="restart"/>
            <w:tcBorders>
              <w:top w:val="single" w:sz="3" w:space="0" w:color="000000"/>
              <w:left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p>
        </w:tc>
        <w:tc>
          <w:tcPr>
            <w:tcW w:w="3029"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85/2020 relative aux indemnités forfaitaires pour les heures supplémentaires effectuées par les chauffeurs</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17.6.2020 </w:t>
            </w:r>
          </w:p>
        </w:tc>
        <w:tc>
          <w:tcPr>
            <w:tcW w:w="1687"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23/2014 relative aux heures supplémentaires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1.3.2022</w:t>
            </w:r>
          </w:p>
        </w:tc>
        <w:tc>
          <w:tcPr>
            <w:tcW w:w="936" w:type="dxa"/>
            <w:vMerge w:val="restart"/>
            <w:tcBorders>
              <w:top w:val="single" w:sz="3" w:space="0" w:color="000000"/>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0 </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Décision 34/2022 relative aux modalités de travail au Comité européen des régions (projet pilote)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1.3.2022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567"/>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annexe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Congés annuels et congés spéciaux</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Décision 365/2016 concernant les règles applicables au personnel en matière de droits à congés annuels et congés spéciaux </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31.10.2016</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14.11.2023 </w:t>
            </w:r>
          </w:p>
        </w:tc>
        <w:tc>
          <w:tcPr>
            <w:tcW w:w="936"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Décision 137/2023 – Congés annuels et congés spéciaux</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14.11.2023</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before="62" w:after="0" w:line="254" w:lineRule="auto"/>
              <w:ind w:right="114"/>
              <w:jc w:val="center"/>
              <w:rPr>
                <w:rFonts w:ascii="Times New Roman" w:eastAsia="Times New Roman" w:hAnsi="Times New Roman" w:cs="Times New Roman"/>
                <w:noProof/>
                <w:sz w:val="12"/>
                <w:szCs w:val="12"/>
              </w:rPr>
            </w:pPr>
            <w:r>
              <w:rPr>
                <w:rFonts w:ascii="Times New Roman" w:hAnsi="Times New Roman"/>
                <w:noProof/>
                <w:sz w:val="12"/>
              </w:rPr>
              <w:t xml:space="preserve">Décision 366/2016 – Lignes directrices sur les modalités d’octroi du congé spécial pour travail exceptionnel allant au-delà des obligations normales d’un fonctionnaire </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1.1.2017</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1.3.2022</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3"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before="62" w:after="0" w:line="254" w:lineRule="auto"/>
              <w:ind w:right="114"/>
              <w:jc w:val="center"/>
              <w:rPr>
                <w:rFonts w:ascii="Times New Roman" w:eastAsia="Calibri" w:hAnsi="Times New Roman" w:cs="Times New Roman"/>
                <w:strike/>
                <w:noProof/>
                <w:sz w:val="12"/>
                <w:szCs w:val="12"/>
              </w:rPr>
            </w:pPr>
            <w:r>
              <w:rPr>
                <w:rFonts w:ascii="Times New Roman" w:hAnsi="Times New Roman"/>
                <w:noProof/>
                <w:sz w:val="12"/>
              </w:rPr>
              <w:t>Décision 34/2022 relative aux modalités de travail au Comité européen des régions (projet pilote)</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val="restart"/>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58</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de maternité</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Décision 365/2016 concernant les règles applicables au personnel en matière de droits à congés annuels et congés spéciaux </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31.10.2016</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14.11.2023</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3" w:space="0" w:color="000000"/>
              <w:right w:val="single" w:sz="4" w:space="0" w:color="000000"/>
            </w:tcBorders>
            <w:vAlign w:val="center"/>
          </w:tcPr>
          <w:p>
            <w:pPr>
              <w:widowControl w:val="0"/>
              <w:spacing w:before="107" w:after="0" w:line="240" w:lineRule="auto"/>
              <w:jc w:val="center"/>
              <w:rPr>
                <w:rFonts w:ascii="Times New Roman" w:eastAsia="Calibri" w:hAnsi="Times New Roman" w:cs="Times New Roman"/>
                <w:b/>
                <w:noProof/>
                <w:sz w:val="12"/>
              </w:rPr>
            </w:pPr>
          </w:p>
        </w:tc>
        <w:tc>
          <w:tcPr>
            <w:tcW w:w="2551" w:type="dxa"/>
            <w:vMerge/>
            <w:tcBorders>
              <w:left w:val="single" w:sz="4" w:space="0" w:color="000000"/>
              <w:bottom w:val="single" w:sz="3" w:space="0" w:color="000000"/>
              <w:right w:val="single" w:sz="4" w:space="0" w:color="000000"/>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Décision 137/2023 – Congés annuels et congés spéciaux</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14.11.2023</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val="restart"/>
            <w:tcBorders>
              <w:top w:val="single" w:sz="3" w:space="0" w:color="000000"/>
              <w:left w:val="single" w:sz="4" w:space="0" w:color="000000"/>
              <w:right w:val="single" w:sz="4"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et 60</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maladie</w:t>
            </w:r>
          </w:p>
        </w:tc>
        <w:tc>
          <w:tcPr>
            <w:tcW w:w="3029"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322/2016 – Absence pour maladie</w:t>
            </w:r>
          </w:p>
        </w:tc>
        <w:tc>
          <w:tcPr>
            <w:tcW w:w="1511"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31.10.2016</w:t>
            </w:r>
          </w:p>
        </w:tc>
        <w:tc>
          <w:tcPr>
            <w:tcW w:w="1498"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r>
              <w:rPr>
                <w:rFonts w:ascii="Times New Roman" w:hAnsi="Times New Roman"/>
                <w:noProof/>
                <w:sz w:val="12"/>
              </w:rPr>
              <w:t>4.3.2021</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4" w:space="0" w:color="auto"/>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rPr>
            </w:pPr>
          </w:p>
        </w:tc>
        <w:tc>
          <w:tcPr>
            <w:tcW w:w="2551"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11"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80/2021 – Absence pour maladie</w:t>
            </w:r>
          </w:p>
        </w:tc>
        <w:tc>
          <w:tcPr>
            <w:tcW w:w="1511"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4.3.2021 </w:t>
            </w:r>
          </w:p>
        </w:tc>
        <w:tc>
          <w:tcPr>
            <w:tcW w:w="1498"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vMerge/>
            <w:tcBorders>
              <w:left w:val="single" w:sz="4"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71"/>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67 + 68 + annexe VII [art.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Allocation de foyer par décision spéciale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Décision 315/04 portant adoption des dispositions générales d’exécution concernant l’allocation de foyer par décision spéciale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430"/>
        </w:trPr>
        <w:tc>
          <w:tcPr>
            <w:tcW w:w="1156" w:type="dxa"/>
            <w:tcBorders>
              <w:top w:val="single" w:sz="3" w:space="0" w:color="000000"/>
              <w:left w:val="single" w:sz="4" w:space="0" w:color="000000"/>
              <w:bottom w:val="single" w:sz="3" w:space="0" w:color="000000"/>
              <w:right w:val="single" w:sz="3" w:space="0" w:color="000000"/>
            </w:tcBorders>
            <w:shd w:val="clear" w:color="auto" w:fill="FFFFFF" w:themeFill="background1"/>
            <w:vAlign w:val="center"/>
          </w:tcPr>
          <w:p>
            <w:pPr>
              <w:widowControl w:val="0"/>
              <w:spacing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1</w:t>
            </w:r>
            <w:r>
              <w:rPr>
                <w:rFonts w:ascii="Times New Roman" w:hAnsi="Times New Roman"/>
                <w:b/>
                <w:noProof/>
                <w:sz w:val="12"/>
                <w:vertAlign w:val="superscript"/>
              </w:rPr>
              <w:t>er</w:t>
            </w:r>
            <w:r>
              <w:rPr>
                <w:rFonts w:ascii="Times New Roman" w:hAnsi="Times New Roman"/>
                <w:b/>
                <w:noProof/>
                <w:sz w:val="12"/>
              </w:rPr>
              <w:t>)</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Allocations familiales</w:t>
            </w:r>
          </w:p>
        </w:tc>
        <w:tc>
          <w:tcPr>
            <w:tcW w:w="3029"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Décision 317/04 portant adoption des dispositions générales d’exécution des articles 67 et 68 du statut des fonctionnaires et des articles 1</w:t>
            </w:r>
            <w:r>
              <w:rPr>
                <w:rFonts w:ascii="Times New Roman" w:hAnsi="Times New Roman"/>
                <w:noProof/>
                <w:sz w:val="12"/>
                <w:vertAlign w:val="superscript"/>
              </w:rPr>
              <w:t>er</w:t>
            </w:r>
            <w:r>
              <w:rPr>
                <w:rFonts w:ascii="Times New Roman" w:hAnsi="Times New Roman"/>
                <w:noProof/>
                <w:sz w:val="12"/>
              </w:rPr>
              <w:t>, 2 et 3 de son annexe VII</w:t>
            </w:r>
          </w:p>
        </w:tc>
        <w:tc>
          <w:tcPr>
            <w:tcW w:w="1322"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vMerge w:val="restart"/>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468"/>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before="88"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2)</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14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pour enfant à charge</w:t>
            </w:r>
          </w:p>
        </w:tc>
        <w:tc>
          <w:tcPr>
            <w:tcW w:w="3029"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1322"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1687"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485"/>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before="98"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Personnes assimilées à un enfant à charge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Décision 268/98 portant dispositions générales d’exécution de l’article 2, paragraphe 4, de l’annexe 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1.12.1998</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667"/>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Décision 84/2013 portant dispositions générales d’exécution relatives à l’octroi de l’allocation scolaire (article 3 de l’annexe VII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370"/>
        </w:trPr>
        <w:tc>
          <w:tcPr>
            <w:tcW w:w="1156" w:type="dxa"/>
            <w:tcBorders>
              <w:left w:val="single" w:sz="4" w:space="0" w:color="000000"/>
              <w:bottom w:val="single" w:sz="3" w:space="0" w:color="000000"/>
              <w:right w:val="single" w:sz="3"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71 + annexe VII</w:t>
            </w:r>
            <w:r>
              <w:rPr>
                <w:rFonts w:ascii="Times New Roman" w:hAnsi="Times New Roman"/>
                <w:b/>
                <w:noProof/>
                <w:sz w:val="12"/>
              </w:rPr>
              <w:br/>
              <w:t xml:space="preserve"> (art. 7 et 8)</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Décision 118/2019 relative à l’article 8 de l’annexe VII du statut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28"/>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Lieu d’origine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Décision 386/2013 relative à l’article 7, paragraphe 4, de l’annexe VII concernant la fixation du lieu d’origine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42"/>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Décision 385/2013 portant dispositions générales d’exécution relatives au remboursement des frais de déménagement</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14"/>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11 à 13 </w:t>
            </w:r>
            <w:r>
              <w:rPr>
                <w:rFonts w:ascii="Times New Roman" w:hAnsi="Times New Roman"/>
                <w:b/>
                <w:i/>
                <w:iCs/>
                <w:noProof/>
                <w:sz w:val="12"/>
              </w:rPr>
              <w:t>bis</w:t>
            </w:r>
            <w:r>
              <w:rPr>
                <w:rFonts w:ascii="Times New Roman" w:hAnsi="Times New Roman"/>
                <w:b/>
                <w:noProof/>
                <w:sz w:val="12"/>
              </w:rPr>
              <w:t>)</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Décision 0053/2010 relative aux dispositions générales d’exécution concernant le guide des missions pour les fonctionnaires et autres agents</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1.5.2010</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rPr>
            </w:pPr>
            <w:r>
              <w:rPr>
                <w:rFonts w:ascii="Times New Roman" w:hAnsi="Times New Roman"/>
                <w:b/>
                <w:noProof/>
                <w:sz w:val="19"/>
              </w:rPr>
              <w:t>Chapitre 2 – Sécurité sociale</w:t>
            </w:r>
          </w:p>
        </w:tc>
      </w:tr>
      <w:tr>
        <w:trPr>
          <w:trHeight w:hRule="exact" w:val="710"/>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76</w:t>
            </w:r>
          </w:p>
        </w:tc>
        <w:tc>
          <w:tcPr>
            <w:tcW w:w="2551"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Aide financière</w:t>
            </w:r>
          </w:p>
        </w:tc>
        <w:tc>
          <w:tcPr>
            <w:tcW w:w="3029"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54" w:lineRule="auto"/>
              <w:ind w:right="121"/>
              <w:jc w:val="center"/>
              <w:rPr>
                <w:rFonts w:ascii="Times New Roman" w:eastAsia="Calibri" w:hAnsi="Times New Roman" w:cs="Times New Roman"/>
                <w:noProof/>
                <w:sz w:val="12"/>
                <w:szCs w:val="12"/>
              </w:rPr>
            </w:pPr>
            <w:r>
              <w:rPr>
                <w:rFonts w:ascii="Times New Roman" w:hAnsi="Times New Roman"/>
                <w:noProof/>
                <w:sz w:val="12"/>
              </w:rPr>
              <w:t>Règles internes relatives à l’application de l’article 76 du statut portant sur l’aide financière octroyée aux fonctionnaires et agents se trouvant dans une situation financière particulièrement difficile</w:t>
            </w:r>
          </w:p>
        </w:tc>
        <w:tc>
          <w:tcPr>
            <w:tcW w:w="1322"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br/>
              <w:t>1.5.1996</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br/>
              <w:t>1 RE</w:t>
            </w:r>
          </w:p>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 VIII – Pensions et allocation d’invalidité</w:t>
            </w:r>
          </w:p>
        </w:tc>
      </w:tr>
      <w:tr>
        <w:trPr>
          <w:trHeight w:hRule="exact" w:val="672"/>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annexe VIII</w:t>
            </w:r>
            <w:r>
              <w:rPr>
                <w:rFonts w:ascii="Times New Roman" w:hAnsi="Times New Roman"/>
                <w:b/>
                <w:noProof/>
                <w:sz w:val="12"/>
              </w:rPr>
              <w:br/>
              <w:t xml:space="preserve"> (art. 11 et 12)</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Transfert des droits à pension</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83/2011 portant dispositions générales d’exécution des articles 11 et 12 de l’annexe VIII du statut relatifs au transfert de droits à pension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annexe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disciplinaires et enquêtes administratives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83/2019 portant adoption des dispositions générales d’exécution relatives aux enquêtes administratives et</w:t>
            </w:r>
            <w:r>
              <w:rPr>
                <w:rFonts w:ascii="Times New Roman" w:hAnsi="Times New Roman"/>
                <w:noProof/>
                <w:sz w:val="12"/>
              </w:rPr>
              <w:br/>
              <w:t>des règles d’exécution des procédures disciplinaires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6.5.2019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lastRenderedPageBreak/>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25"/>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12, paragraphe 5</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Procédures de recrutement des agents temporaires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258"/>
              <w:jc w:val="center"/>
              <w:rPr>
                <w:rFonts w:ascii="Times New Roman" w:eastAsia="Calibri" w:hAnsi="Times New Roman" w:cs="Times New Roman"/>
                <w:noProof/>
                <w:spacing w:val="-2"/>
                <w:sz w:val="12"/>
                <w:szCs w:val="12"/>
              </w:rPr>
            </w:pPr>
            <w:r>
              <w:rPr>
                <w:rFonts w:ascii="Times New Roman" w:hAnsi="Times New Roman"/>
                <w:noProof/>
                <w:sz w:val="12"/>
              </w:rPr>
              <w:t xml:space="preserve">Décision 31/2018 portant dispositions générales d’exécution relatives à l’engagement d’agents temporaires </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22.2.2018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w:t>
            </w: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25"/>
        </w:trPr>
        <w:tc>
          <w:tcPr>
            <w:tcW w:w="1156" w:type="dxa"/>
            <w:vMerge/>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Calibri" w:hAnsi="Times New Roman" w:cs="Times New Roman"/>
                <w:b/>
                <w:noProof/>
                <w:sz w:val="12"/>
              </w:rPr>
            </w:pPr>
          </w:p>
        </w:tc>
        <w:tc>
          <w:tcPr>
            <w:tcW w:w="2551" w:type="dxa"/>
            <w:vMerge/>
            <w:tcBorders>
              <w:left w:val="single" w:sz="3" w:space="0" w:color="000000"/>
              <w:right w:val="single" w:sz="3"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rPr>
            </w:pPr>
          </w:p>
        </w:tc>
        <w:tc>
          <w:tcPr>
            <w:tcW w:w="3029"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before="35" w:after="0" w:line="254" w:lineRule="auto"/>
              <w:ind w:right="258"/>
              <w:jc w:val="center"/>
              <w:rPr>
                <w:rFonts w:ascii="Times New Roman" w:eastAsia="Calibri" w:hAnsi="Times New Roman" w:cs="Times New Roman"/>
                <w:noProof/>
                <w:spacing w:val="-2"/>
                <w:sz w:val="12"/>
                <w:szCs w:val="12"/>
              </w:rPr>
            </w:pPr>
            <w:hyperlink r:id="rId20" w:history="1">
              <w:r>
                <w:rPr>
                  <w:rFonts w:ascii="Times New Roman" w:hAnsi="Times New Roman"/>
                  <w:noProof/>
                  <w:sz w:val="12"/>
                </w:rPr>
                <w:t>Instruction de service nº 0001/2019 du secrétaire général concernant les règles administratives internes relatives au recrutement</w:t>
              </w:r>
            </w:hyperlink>
          </w:p>
        </w:tc>
        <w:tc>
          <w:tcPr>
            <w:tcW w:w="1322"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5.3.2021</w:t>
            </w:r>
          </w:p>
        </w:tc>
        <w:tc>
          <w:tcPr>
            <w:tcW w:w="936" w:type="dxa"/>
            <w:vMerge w:val="restart"/>
            <w:tcBorders>
              <w:top w:val="single" w:sz="5" w:space="0" w:color="000000"/>
              <w:left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25"/>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rPr>
                <w:rFonts w:ascii="Times New Roman" w:eastAsia="Calibri" w:hAnsi="Times New Roman" w:cs="Times New Roman"/>
                <w:b/>
                <w:noProof/>
                <w:sz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7" w:lineRule="auto"/>
              <w:ind w:right="357"/>
              <w:rPr>
                <w:rFonts w:ascii="Times New Roman" w:eastAsia="Calibri" w:hAnsi="Times New Roman" w:cs="Times New Roman"/>
                <w:b/>
                <w:noProof/>
                <w:spacing w:val="-1"/>
                <w:sz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before="35" w:after="0" w:line="254" w:lineRule="auto"/>
              <w:ind w:right="258"/>
              <w:jc w:val="center"/>
              <w:rPr>
                <w:noProof/>
              </w:rPr>
            </w:pPr>
            <w:hyperlink r:id="rId21" w:history="1">
              <w:r>
                <w:rPr>
                  <w:rFonts w:ascii="Times New Roman" w:hAnsi="Times New Roman"/>
                  <w:noProof/>
                  <w:sz w:val="12"/>
                </w:rPr>
                <w:t>Instruction de service nº 1/2021 du secrétaire général concernant les règles administratives internes relatives au recrutement</w:t>
              </w:r>
            </w:hyperlink>
          </w:p>
        </w:tc>
        <w:tc>
          <w:tcPr>
            <w:tcW w:w="1322"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3 – Conditions d’engagement</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15</w:t>
            </w:r>
          </w:p>
        </w:tc>
        <w:tc>
          <w:tcPr>
            <w:tcW w:w="2551"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Classement en échelon</w:t>
            </w:r>
          </w:p>
        </w:tc>
        <w:tc>
          <w:tcPr>
            <w:tcW w:w="3029"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Décision 93/2014 portant dispositions générales d’exécution relatives au classement en échelon lors du recrutement de fonctionnaires ou de l’engagement d’agents temporaires</w:t>
            </w:r>
          </w:p>
        </w:tc>
        <w:tc>
          <w:tcPr>
            <w:tcW w:w="1322"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 </w:t>
            </w:r>
          </w:p>
        </w:tc>
        <w:tc>
          <w:tcPr>
            <w:tcW w:w="936"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267"/>
        </w:trPr>
        <w:tc>
          <w:tcPr>
            <w:tcW w:w="10681" w:type="dxa"/>
            <w:gridSpan w:val="6"/>
            <w:tcBorders>
              <w:top w:val="single" w:sz="4" w:space="0" w:color="auto"/>
              <w:bottom w:val="single" w:sz="4" w:space="0" w:color="auto"/>
            </w:tcBorders>
            <w:vAlign w:val="center"/>
          </w:tcPr>
          <w:p>
            <w:pPr>
              <w:widowControl w:val="0"/>
              <w:spacing w:after="0" w:line="240" w:lineRule="auto"/>
              <w:rPr>
                <w:rFonts w:ascii="Times New Roman" w:eastAsia="Calibri" w:hAnsi="Times New Roman" w:cs="Times New Roman"/>
                <w:b/>
                <w:noProof/>
                <w:spacing w:val="1"/>
                <w:w w:val="105"/>
                <w:sz w:val="16"/>
                <w:szCs w:val="16"/>
              </w:rPr>
            </w:pPr>
          </w:p>
        </w:tc>
      </w:tr>
      <w:tr>
        <w:trPr>
          <w:trHeight w:hRule="exact" w:val="408"/>
        </w:trPr>
        <w:tc>
          <w:tcPr>
            <w:tcW w:w="10681"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pPr>
              <w:widowControl w:val="0"/>
              <w:spacing w:after="0" w:line="240" w:lineRule="auto"/>
              <w:rPr>
                <w:rFonts w:ascii="Times New Roman" w:eastAsia="Calibri" w:hAnsi="Times New Roman" w:cs="Times New Roman"/>
                <w:b/>
                <w:noProof/>
                <w:spacing w:val="1"/>
                <w:w w:val="105"/>
                <w:sz w:val="16"/>
                <w:szCs w:val="16"/>
              </w:rPr>
            </w:pPr>
            <w:r>
              <w:rPr>
                <w:rFonts w:ascii="Times New Roman" w:hAnsi="Times New Roman"/>
                <w:b/>
                <w:noProof/>
                <w:sz w:val="19"/>
              </w:rPr>
              <w:t xml:space="preserve">                                                                                      Chapitre 4 – Conditions de travail</w:t>
            </w:r>
          </w:p>
        </w:tc>
      </w:tr>
      <w:tr>
        <w:trPr>
          <w:trHeight w:hRule="exact" w:val="567"/>
        </w:trPr>
        <w:tc>
          <w:tcPr>
            <w:tcW w:w="1156" w:type="dxa"/>
            <w:vMerge w:val="restart"/>
            <w:tcBorders>
              <w:top w:val="single" w:sz="4" w:space="0" w:color="auto"/>
              <w:left w:val="single" w:sz="4" w:space="0" w:color="000000"/>
              <w:right w:val="single" w:sz="4" w:space="0" w:color="000000"/>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16 + 91</w:t>
            </w:r>
          </w:p>
        </w:tc>
        <w:tc>
          <w:tcPr>
            <w:tcW w:w="2551" w:type="dxa"/>
            <w:vMerge w:val="restart"/>
            <w:tcBorders>
              <w:top w:val="single" w:sz="4" w:space="0" w:color="auto"/>
              <w:left w:val="single" w:sz="4" w:space="0" w:color="000000"/>
              <w:right w:val="single" w:sz="4" w:space="0" w:color="000000"/>
            </w:tcBorders>
            <w:shd w:val="clear" w:color="auto" w:fill="D99594"/>
            <w:vAlign w:val="center"/>
          </w:tcPr>
          <w:p>
            <w:pPr>
              <w:widowControl w:val="0"/>
              <w:spacing w:before="137" w:after="0" w:line="240" w:lineRule="auto"/>
              <w:jc w:val="center"/>
              <w:rPr>
                <w:rFonts w:ascii="Times New Roman" w:eastAsia="Calibri" w:hAnsi="Times New Roman" w:cs="Times New Roman"/>
                <w:b/>
                <w:bCs/>
                <w:noProof/>
                <w:sz w:val="16"/>
                <w:szCs w:val="16"/>
              </w:rPr>
            </w:pPr>
            <w:r>
              <w:rPr>
                <w:rFonts w:ascii="Times New Roman" w:hAnsi="Times New Roman"/>
                <w:b/>
                <w:noProof/>
                <w:sz w:val="16"/>
              </w:rPr>
              <w:t>Congé de maternité et son paiement</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83" w:after="0" w:line="254" w:lineRule="auto"/>
              <w:ind w:right="123"/>
              <w:jc w:val="center"/>
              <w:rPr>
                <w:rFonts w:ascii="Times New Roman" w:eastAsia="Calibri" w:hAnsi="Times New Roman" w:cs="Times New Roman"/>
                <w:noProof/>
                <w:sz w:val="12"/>
                <w:szCs w:val="12"/>
              </w:rPr>
            </w:pPr>
            <w:r>
              <w:rPr>
                <w:rFonts w:ascii="Times New Roman" w:hAnsi="Times New Roman"/>
                <w:noProof/>
                <w:sz w:val="12"/>
              </w:rPr>
              <w:t xml:space="preserve">Décision 365/2016 concernant les règles applicables au personnel en matière de droits à congés annuels et congés spéciaux </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31.10.2016</w:t>
            </w:r>
          </w:p>
        </w:tc>
        <w:tc>
          <w:tcPr>
            <w:tcW w:w="1687" w:type="dxa"/>
            <w:tcBorders>
              <w:top w:val="single" w:sz="4" w:space="0" w:color="auto"/>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14.11.2023</w:t>
            </w:r>
          </w:p>
        </w:tc>
        <w:tc>
          <w:tcPr>
            <w:tcW w:w="936" w:type="dxa"/>
            <w:vMerge w:val="restart"/>
            <w:tcBorders>
              <w:top w:val="single" w:sz="4" w:space="0" w:color="auto"/>
              <w:left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4" w:space="0" w:color="000000"/>
              <w:bottom w:val="single" w:sz="4" w:space="0" w:color="000000"/>
              <w:right w:val="single" w:sz="4" w:space="0" w:color="000000"/>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83" w:after="0" w:line="254" w:lineRule="auto"/>
              <w:ind w:right="123"/>
              <w:jc w:val="center"/>
              <w:rPr>
                <w:rFonts w:ascii="Times New Roman" w:eastAsia="Calibri" w:hAnsi="Times New Roman" w:cs="Times New Roman"/>
                <w:noProof/>
                <w:sz w:val="12"/>
                <w:szCs w:val="12"/>
              </w:rPr>
            </w:pPr>
            <w:r>
              <w:rPr>
                <w:rFonts w:ascii="Times New Roman" w:hAnsi="Times New Roman"/>
                <w:noProof/>
                <w:sz w:val="12"/>
              </w:rPr>
              <w:t>Décision 137/2023 – Congés annuels et congés spéciaux</w:t>
            </w:r>
          </w:p>
        </w:tc>
        <w:tc>
          <w:tcPr>
            <w:tcW w:w="1322"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14.11.2023</w:t>
            </w:r>
          </w:p>
        </w:tc>
        <w:tc>
          <w:tcPr>
            <w:tcW w:w="1687" w:type="dxa"/>
            <w:tcBorders>
              <w:top w:val="single" w:sz="4" w:space="0" w:color="auto"/>
              <w:left w:val="single" w:sz="4" w:space="0" w:color="000000"/>
              <w:bottom w:val="single" w:sz="4"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58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3 – Conditions d’engagement</w:t>
            </w:r>
          </w:p>
        </w:tc>
      </w:tr>
      <w:tr>
        <w:trPr>
          <w:trHeight w:hRule="exact" w:val="734"/>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92/2014 portant dispositions générales d’exécution relatives aux procédures régissant les conditions d’engagement des agents contractuels (modifiée en dernier lieu par la décision 90/2015)</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839"/>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7" w:lineRule="auto"/>
              <w:ind w:right="326"/>
              <w:jc w:val="center"/>
              <w:rPr>
                <w:rFonts w:ascii="Times New Roman" w:eastAsia="Times New Roman" w:hAnsi="Times New Roman" w:cs="Times New Roman"/>
                <w:noProof/>
                <w:sz w:val="16"/>
                <w:szCs w:val="16"/>
              </w:rPr>
            </w:pPr>
            <w:r>
              <w:rPr>
                <w:rFonts w:ascii="Times New Roman" w:hAnsi="Times New Roman"/>
                <w:b/>
                <w:noProof/>
                <w:sz w:val="16"/>
              </w:rPr>
              <w:t>Procédures de recrutement des agents contractuels</w:t>
            </w:r>
          </w:p>
        </w:tc>
        <w:tc>
          <w:tcPr>
            <w:tcW w:w="3029"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before="105"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92/2014 portant dispositions générales d’exécution relatives aux procédures régissant les conditions d’engagement des agents contractuels (modifiée en dernier lieu par la décision 90/2015)</w:t>
            </w:r>
          </w:p>
        </w:tc>
        <w:tc>
          <w:tcPr>
            <w:tcW w:w="1322"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6" w:space="0" w:color="000000"/>
              <w:right w:val="single" w:sz="5" w:space="0" w:color="000000"/>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right w:val="single" w:sz="3" w:space="0" w:color="000000"/>
            </w:tcBorders>
            <w:shd w:val="clear" w:color="auto" w:fill="FFFF65"/>
            <w:vAlign w:val="center"/>
          </w:tcPr>
          <w:p>
            <w:pPr>
              <w:widowControl w:val="0"/>
              <w:spacing w:before="135" w:after="0" w:line="247" w:lineRule="auto"/>
              <w:ind w:right="326"/>
              <w:jc w:val="center"/>
              <w:rPr>
                <w:rFonts w:ascii="Times New Roman" w:eastAsia="Calibri" w:hAnsi="Times New Roman" w:cs="Times New Roman"/>
                <w:b/>
                <w:noProof/>
                <w:spacing w:val="-1"/>
                <w:sz w:val="16"/>
              </w:rPr>
            </w:pP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before="105" w:after="0" w:line="254" w:lineRule="auto"/>
              <w:ind w:right="38"/>
              <w:jc w:val="center"/>
              <w:rPr>
                <w:rFonts w:ascii="Times New Roman" w:eastAsia="Calibri" w:hAnsi="Times New Roman" w:cs="Times New Roman"/>
                <w:noProof/>
                <w:spacing w:val="-2"/>
                <w:sz w:val="12"/>
                <w:szCs w:val="12"/>
              </w:rPr>
            </w:pPr>
            <w:hyperlink r:id="rId22" w:history="1">
              <w:r>
                <w:rPr>
                  <w:rFonts w:ascii="Times New Roman" w:hAnsi="Times New Roman"/>
                  <w:noProof/>
                  <w:sz w:val="12"/>
                </w:rPr>
                <w:t>Instruction de service nº 0001/2019 du secrétaire général concernant les règles administratives internes relatives au recrutement</w:t>
              </w:r>
            </w:hyperlink>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5.3.2021 </w:t>
            </w:r>
          </w:p>
        </w:tc>
        <w:tc>
          <w:tcPr>
            <w:tcW w:w="936" w:type="dxa"/>
            <w:vMerge w:val="restart"/>
            <w:tcBorders>
              <w:top w:val="single" w:sz="6" w:space="0" w:color="000000"/>
              <w:left w:val="single" w:sz="4" w:space="0" w:color="000000"/>
              <w:right w:val="single" w:sz="6" w:space="0" w:color="000000"/>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0 </w:t>
            </w:r>
          </w:p>
        </w:tc>
      </w:tr>
      <w:tr>
        <w:trPr>
          <w:trHeight w:hRule="exact" w:val="567"/>
        </w:trPr>
        <w:tc>
          <w:tcPr>
            <w:tcW w:w="1156"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3" w:space="0" w:color="000000"/>
              <w:bottom w:val="single" w:sz="4" w:space="0" w:color="auto"/>
              <w:right w:val="single" w:sz="3" w:space="0" w:color="000000"/>
            </w:tcBorders>
            <w:shd w:val="clear" w:color="auto" w:fill="FFFF65"/>
            <w:vAlign w:val="center"/>
          </w:tcPr>
          <w:p>
            <w:pPr>
              <w:widowControl w:val="0"/>
              <w:spacing w:before="135" w:after="0" w:line="247" w:lineRule="auto"/>
              <w:ind w:right="326"/>
              <w:jc w:val="center"/>
              <w:rPr>
                <w:rFonts w:ascii="Times New Roman" w:eastAsia="Calibri" w:hAnsi="Times New Roman" w:cs="Times New Roman"/>
                <w:b/>
                <w:noProof/>
                <w:spacing w:val="-1"/>
                <w:sz w:val="16"/>
              </w:rPr>
            </w:pP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before="105" w:after="0" w:line="254" w:lineRule="auto"/>
              <w:ind w:right="38"/>
              <w:jc w:val="center"/>
              <w:rPr>
                <w:noProof/>
              </w:rPr>
            </w:pPr>
            <w:hyperlink r:id="rId23" w:history="1">
              <w:r>
                <w:rPr>
                  <w:rFonts w:ascii="Times New Roman" w:hAnsi="Times New Roman"/>
                  <w:noProof/>
                  <w:sz w:val="12"/>
                </w:rPr>
                <w:t>Instruction de service nº 1/2021 du secrétaire général concernant les règles administratives internes relatives au recrutement</w:t>
              </w:r>
            </w:hyperlink>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1687"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000000"/>
              <w:bottom w:val="single" w:sz="4" w:space="0" w:color="000000"/>
              <w:right w:val="single" w:sz="6" w:space="0" w:color="000000"/>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p>
        </w:tc>
      </w:tr>
      <w:tr>
        <w:trPr>
          <w:trHeight w:hRule="exact" w:val="851"/>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92/2014 portant dispositions générales d’exécution relatives aux procédures régissant les conditions d’engagement des agents contractuels (modifiée en dernier lieu par la décision 90/2015)</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lastRenderedPageBreak/>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68480"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356951314" name="Rectangle 356951314"/>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6951314" o:spid="_x0000_s1031" style="position:absolute;margin-left:178.4pt;margin-top:17.9pt;width:156.2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LowQIAABMGAAAOAAAAZHJzL2Uyb0RvYy54bWysVMlu2zAQvRfoPxC8N7IcO4sQOTASpCiQ&#10;JkGSImeaIi0B3ErSltyv75CUZCfpAhS9SOQsb2YeZ+bispMCbZl1jVYlzo8mGDFFddWodYm/Pd98&#10;OsPIeaIqIrRiJd4xhy8XHz9ctKZgU11rUTGLAES5ojUlrr03RZY5WjNJ3JE2TIGSayuJh6tdZ5Ul&#10;LaBLkU0nk5Os1bYyVlPmHEivkxIvIj7njPp7zh3zSJQYcvPxa+N3Fb7Z4oIUa0tM3dA+DfIPWUjS&#10;KAg6Ql0TT9DGNu+gZEOtdpr7I6plpjlvKIs1QDX55E01TzUxLNYC5Dgz0uT+Hyy92z5Y1FQlPp6f&#10;nM/z43yGkSISnuoRyCNqLRjaq4Cu1rgCvJ7Mg+1vDo6h9o5bGf5QFeoixbuRYtZ5REGYn58dz2dz&#10;jCjoZvNTeMPwBtne21jnPzMtUTiU2EIWkVmyvXU+mQ4mIZjToqluGiHiJbQNuxIWbQk8uO+m0VVs&#10;5FddJRkETCFJAWJojiQ+G8SQSWy+gBLzehVAKNRCEdNTwPh79Lwv7QAC4IUC3MBi4i2e/E6wgCfU&#10;I+PwHMBUSn3MJaVJKGXK5yl2TSqWxPPfZh8BAzIHikbsHuA1WwN24ri3D64sztHo3Ff+J+fRI0bW&#10;yo/OslHapvRfAwioqo+c7AeSEjWBJd+tutiq82AZJCtd7aB9rU5z7Qy9aaBrbonzD8TCIMPIw3Ly&#10;9/DhQsPT6f6EUa3tj1/Jgz3MF2gxamExlNh93xDLMBJfFEzeeT6bhU0SL7GDMbKHmtWhRm3klYZW&#10;zGENGhqP4Gy9GI7cavkCO2wZooKKKAqxS0y9HS5XPi0s2IKULZfRDLaHIf5WPRkawAPPYSqeuxdi&#10;TT86HobuTg9LhBRvJijZBk+llxuveRPHa89r/wKweeIg9FsyrLbDe7Ta7/LFTwA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pZ0S6MECAAAT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lastRenderedPageBreak/>
              <w:t>MÉDIATEUR EUROPÉEN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w:t>
            </w:r>
            <w:r>
              <w:rPr>
                <w:rFonts w:ascii="Times New Roman" w:hAnsi="Times New Roman"/>
                <w:b/>
                <w:noProof/>
                <w:sz w:val="12"/>
                <w:vertAlign w:val="superscript"/>
              </w:rPr>
              <w:t>er</w:t>
            </w:r>
            <w:r>
              <w:rPr>
                <w:rFonts w:ascii="Times New Roman" w:hAnsi="Times New Roman"/>
                <w:b/>
                <w:noProof/>
                <w:sz w:val="12"/>
              </w:rPr>
              <w:t> </w:t>
            </w:r>
            <w:r>
              <w:rPr>
                <w:rFonts w:ascii="Times New Roman" w:hAnsi="Times New Roman"/>
                <w:b/>
                <w:i/>
                <w:iCs/>
                <w:noProof/>
                <w:sz w:val="12"/>
              </w:rPr>
              <w:t>quinquies</w:t>
            </w:r>
            <w:r>
              <w:rPr>
                <w:rFonts w:ascii="Times New Roman" w:hAnsi="Times New Roman"/>
                <w:b/>
                <w:noProof/>
                <w:sz w:val="12"/>
              </w:rPr>
              <w:t>, paragraphe 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la mise en œuvre de l’article 1</w:t>
            </w:r>
            <w:r>
              <w:rPr>
                <w:rFonts w:ascii="Times New Roman" w:hAnsi="Times New Roman"/>
                <w:noProof/>
                <w:sz w:val="12"/>
                <w:vertAlign w:val="superscript"/>
              </w:rPr>
              <w:t>er</w:t>
            </w:r>
            <w:r>
              <w:rPr>
                <w:rFonts w:ascii="Times New Roman" w:hAnsi="Times New Roman"/>
                <w:noProof/>
                <w:sz w:val="12"/>
              </w:rPr>
              <w:t> </w:t>
            </w:r>
            <w:r>
              <w:rPr>
                <w:rFonts w:ascii="Times New Roman" w:hAnsi="Times New Roman"/>
                <w:i/>
                <w:iCs/>
                <w:noProof/>
                <w:sz w:val="12"/>
              </w:rPr>
              <w:t>sexies</w:t>
            </w:r>
            <w:r>
              <w:rPr>
                <w:rFonts w:ascii="Times New Roman" w:hAnsi="Times New Roman"/>
                <w:noProof/>
                <w:sz w:val="12"/>
              </w:rPr>
              <w:t>, paragraphe 4, concernant le recrutement de personnes handicapées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Pouvoirs de l’AIPN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Délégation de l’exercice des pouvoirs d’autorité investie du pouvoir de nomination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8.9.2015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4" w:space="0" w:color="auto"/>
              <w:left w:val="single" w:sz="4" w:space="0" w:color="auto"/>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annexe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Emplois types et intitulés d’emploi</w:t>
            </w:r>
          </w:p>
        </w:tc>
        <w:tc>
          <w:tcPr>
            <w:tcW w:w="3029"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Décision relative aux emplois types et aux intitulés d’emploi</w:t>
            </w:r>
          </w:p>
        </w:tc>
        <w:tc>
          <w:tcPr>
            <w:tcW w:w="1322"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1.1.2014</w:t>
            </w:r>
          </w:p>
        </w:tc>
        <w:tc>
          <w:tcPr>
            <w:tcW w:w="1687" w:type="dxa"/>
            <w:vMerge w:val="restart"/>
            <w:tcBorders>
              <w:top w:val="single" w:sz="4" w:space="0" w:color="auto"/>
              <w:left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12.10.2020</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1213"/>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8"/>
              <w:jc w:val="center"/>
              <w:rPr>
                <w:rFonts w:ascii="Times New Roman" w:eastAsia="Times New Roman" w:hAnsi="Times New Roman" w:cs="Times New Roman"/>
                <w:noProof/>
                <w:sz w:val="12"/>
                <w:szCs w:val="12"/>
              </w:rPr>
            </w:pPr>
            <w:r>
              <w:rPr>
                <w:rFonts w:ascii="Times New Roman" w:hAnsi="Times New Roman"/>
                <w:b/>
                <w:noProof/>
                <w:sz w:val="12"/>
              </w:rPr>
              <w:t xml:space="preserve">5 + annexe I et annexe XIII </w:t>
            </w:r>
            <w:r>
              <w:rPr>
                <w:rFonts w:ascii="Times New Roman" w:hAnsi="Times New Roman"/>
                <w:b/>
                <w:noProof/>
                <w:sz w:val="12"/>
              </w:rPr>
              <w:br/>
              <w:t>(art. 30 et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Classement des fonctionnaires investis de responsabilités particulières en tant que «chef d’unité ou équivalent» ou «conseiller ou équivalent» avant le 31 décembre 2015</w:t>
            </w:r>
          </w:p>
        </w:tc>
        <w:tc>
          <w:tcPr>
            <w:tcW w:w="3029" w:type="dxa"/>
            <w:vMerge/>
            <w:tcBorders>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p>
        </w:tc>
        <w:tc>
          <w:tcPr>
            <w:tcW w:w="1322"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1687" w:type="dxa"/>
            <w:vMerge/>
            <w:tcBorders>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annexe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Emplois types et intitulés d’emploi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Médiateur européen relative aux emplois types et aux intitulés d’emploi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12.10.2020</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0" w:line="240" w:lineRule="auto"/>
              <w:jc w:val="center"/>
              <w:rPr>
                <w:rFonts w:ascii="Times New Roman" w:hAnsi="Times New Roman" w:cs="Times New Roman"/>
                <w:b/>
                <w:noProof/>
                <w:sz w:val="12"/>
                <w:szCs w:val="12"/>
              </w:rPr>
            </w:pPr>
            <w:r>
              <w:rPr>
                <w:rFonts w:ascii="Times New Roman" w:hAnsi="Times New Roman"/>
                <w:b/>
                <w:noProof/>
                <w:sz w:val="12"/>
              </w:rPr>
              <w:t>9</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r>
              <w:rPr>
                <w:rFonts w:ascii="Times New Roman" w:hAnsi="Times New Roman"/>
                <w:b/>
                <w:noProof/>
                <w:sz w:val="16"/>
              </w:rPr>
              <w:t>Comités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Décision du Médiateur européen relative à l’institution d’un comité paritaire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5.9.2000</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hAnsi="Times New Roman" w:cs="Times New Roman"/>
                <w:b/>
                <w:noProof/>
                <w:sz w:val="16"/>
                <w:szCs w:val="16"/>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Décision du Médiateur européen relative à l’institution d’un comité des rapports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5.6.2008</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hRule="exact" w:val="567"/>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Calibri" w:cs="Times New Roman"/>
                <w:b/>
                <w:noProof/>
                <w:w w:val="105"/>
                <w:sz w:val="12"/>
              </w:rPr>
            </w:pPr>
            <w:r>
              <w:rPr>
                <w:rFonts w:ascii="Times New Roman" w:hAnsi="Calibri"/>
                <w:b/>
                <w:noProof/>
                <w:sz w:val="12"/>
              </w:rPr>
              <w:t xml:space="preserve">11 </w:t>
            </w:r>
            <w:r>
              <w:rPr>
                <w:rFonts w:ascii="Times New Roman" w:hAnsi="Calibri"/>
                <w:b/>
                <w:noProof/>
                <w:sz w:val="12"/>
              </w:rPr>
              <w:t>à </w:t>
            </w:r>
            <w:r>
              <w:rPr>
                <w:rFonts w:ascii="Times New Roman" w:hAnsi="Calibri"/>
                <w:b/>
                <w:noProof/>
                <w:sz w:val="12"/>
              </w:rPr>
              <w:t>21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Calibri" w:cs="Times New Roman"/>
                <w:b/>
                <w:noProof/>
                <w:spacing w:val="-1"/>
                <w:sz w:val="16"/>
                <w:szCs w:val="16"/>
              </w:rPr>
            </w:pPr>
            <w:r>
              <w:rPr>
                <w:rFonts w:ascii="Times New Roman" w:hAnsi="Calibri"/>
                <w:b/>
                <w:noProof/>
                <w:sz w:val="16"/>
              </w:rPr>
              <w:t>É</w:t>
            </w:r>
            <w:r>
              <w:rPr>
                <w:rFonts w:ascii="Times New Roman" w:hAnsi="Calibri"/>
                <w:b/>
                <w:noProof/>
                <w:sz w:val="16"/>
              </w:rPr>
              <w:t>thique et int</w:t>
            </w:r>
            <w:r>
              <w:rPr>
                <w:rFonts w:ascii="Times New Roman" w:hAnsi="Calibri"/>
                <w:b/>
                <w:noProof/>
                <w:sz w:val="16"/>
              </w:rPr>
              <w:t>é</w:t>
            </w:r>
            <w:r>
              <w:rPr>
                <w:rFonts w:ascii="Times New Roman" w:hAnsi="Calibri"/>
                <w:b/>
                <w:noProof/>
                <w:sz w:val="16"/>
              </w:rPr>
              <w:t>grit</w:t>
            </w:r>
            <w:r>
              <w:rPr>
                <w:rFonts w:ascii="Times New Roman" w:hAnsi="Calibri"/>
                <w:b/>
                <w:noProof/>
                <w:sz w:val="16"/>
              </w:rPr>
              <w:t>é</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Calibri" w:cs="Times New Roman"/>
                <w:noProof/>
                <w:w w:val="105"/>
                <w:sz w:val="12"/>
                <w:szCs w:val="12"/>
              </w:rPr>
            </w:pPr>
            <w:r>
              <w:rPr>
                <w:rFonts w:ascii="Times New Roman" w:hAnsi="Calibri"/>
                <w:noProof/>
                <w:sz w:val="12"/>
              </w:rPr>
              <w:t>Guide sur l</w:t>
            </w:r>
            <w:r>
              <w:rPr>
                <w:rFonts w:ascii="Times New Roman" w:hAnsi="Calibri"/>
                <w:noProof/>
                <w:sz w:val="12"/>
              </w:rPr>
              <w:t>’é</w:t>
            </w:r>
            <w:r>
              <w:rPr>
                <w:rFonts w:ascii="Times New Roman" w:hAnsi="Calibri"/>
                <w:noProof/>
                <w:sz w:val="12"/>
              </w:rPr>
              <w:t xml:space="preserve">thique et la bonne conduite </w:t>
            </w:r>
            <w:r>
              <w:rPr>
                <w:rFonts w:ascii="Times New Roman" w:hAnsi="Calibri"/>
                <w:noProof/>
                <w:sz w:val="12"/>
              </w:rPr>
              <w:t>à</w:t>
            </w:r>
            <w:r>
              <w:rPr>
                <w:rFonts w:ascii="Times New Roman" w:hAnsi="Calibri"/>
                <w:noProof/>
                <w:sz w:val="12"/>
              </w:rPr>
              <w:t xml:space="preserve"> l</w:t>
            </w:r>
            <w:r>
              <w:rPr>
                <w:rFonts w:ascii="Times New Roman" w:hAnsi="Calibri"/>
                <w:noProof/>
                <w:sz w:val="12"/>
              </w:rPr>
              <w:t>’</w:t>
            </w:r>
            <w:r>
              <w:rPr>
                <w:rFonts w:ascii="Times New Roman" w:hAnsi="Calibri"/>
                <w:noProof/>
                <w:sz w:val="12"/>
              </w:rPr>
              <w:t>intention du personnel du M</w:t>
            </w:r>
            <w:r>
              <w:rPr>
                <w:rFonts w:ascii="Times New Roman" w:hAnsi="Calibri"/>
                <w:noProof/>
                <w:sz w:val="12"/>
              </w:rPr>
              <w:t>é</w:t>
            </w:r>
            <w:r>
              <w:rPr>
                <w:rFonts w:ascii="Times New Roman" w:hAnsi="Calibri"/>
                <w:noProof/>
                <w:sz w:val="12"/>
              </w:rPr>
              <w:t>diateur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18.7.2017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right w:val="single" w:sz="4" w:space="0" w:color="auto"/>
            </w:tcBorders>
            <w:vAlign w:val="center"/>
          </w:tcPr>
          <w:p>
            <w:pPr>
              <w:widowControl w:val="0"/>
              <w:spacing w:after="200" w:line="240" w:lineRule="auto"/>
              <w:ind w:right="2"/>
              <w:jc w:val="center"/>
              <w:rPr>
                <w:rFonts w:ascii="Times New Roman" w:eastAsia="Calibri" w:hAnsi="Calibri" w:cs="Times New Roman"/>
                <w:b/>
                <w:noProof/>
                <w:w w:val="105"/>
                <w:sz w:val="12"/>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Calibri" w:cs="Times New Roman"/>
                <w:b/>
                <w:noProof/>
                <w:spacing w:val="-1"/>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Calibri" w:cs="Times New Roman"/>
                <w:noProof/>
                <w:w w:val="105"/>
                <w:sz w:val="12"/>
                <w:szCs w:val="12"/>
              </w:rPr>
            </w:pPr>
            <w:r>
              <w:rPr>
                <w:rFonts w:ascii="Times New Roman" w:hAnsi="Times New Roman"/>
                <w:noProof/>
                <w:sz w:val="12"/>
              </w:rPr>
              <w:t>Décision 419 relative aux droits et obligations en matière de déontologie et d’intégrité des fonctionnaires et autres agents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23.12.2005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18.12.2023</w:t>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5"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b/>
                <w:noProof/>
                <w:sz w:val="12"/>
              </w:rPr>
              <w:t>Article</w:t>
            </w:r>
            <w:r>
              <w:rPr>
                <w:rFonts w:ascii="Times New Roman" w:hAnsi="Calibri"/>
                <w:b/>
                <w:noProof/>
                <w:sz w:val="12"/>
              </w:rPr>
              <w:t> </w:t>
            </w:r>
            <w:r>
              <w:rPr>
                <w:rFonts w:ascii="Times New Roman" w:hAnsi="Calibri"/>
                <w:b/>
                <w:noProof/>
                <w:sz w:val="12"/>
              </w:rPr>
              <w:t>12</w:t>
            </w:r>
            <w:r>
              <w:rPr>
                <w:rFonts w:ascii="Times New Roman" w:hAnsi="Calibri"/>
                <w:b/>
                <w:noProof/>
                <w:sz w:val="12"/>
              </w:rPr>
              <w:t> </w:t>
            </w:r>
            <w:r>
              <w:rPr>
                <w:rFonts w:ascii="Times New Roman" w:hAnsi="Calibri"/>
                <w:b/>
                <w:i/>
                <w:iCs/>
                <w:noProof/>
                <w:sz w:val="12"/>
              </w:rPr>
              <w:t>bis</w:t>
            </w:r>
            <w:r>
              <w:rPr>
                <w:rFonts w:ascii="Times New Roman" w:hAnsi="Calibri"/>
                <w:b/>
                <w:noProof/>
                <w:sz w:val="12"/>
              </w:rPr>
              <w:t>, paragraphe</w:t>
            </w:r>
            <w:r>
              <w:rPr>
                <w:rFonts w:ascii="Times New Roman" w:hAnsi="Calibri"/>
                <w:b/>
                <w:noProof/>
                <w:sz w:val="12"/>
              </w:rPr>
              <w:t> </w:t>
            </w:r>
            <w:r>
              <w:rPr>
                <w:rFonts w:ascii="Times New Roman" w:hAnsi="Calibri"/>
                <w:b/>
                <w:noProof/>
                <w:sz w:val="12"/>
              </w:rPr>
              <w:t xml:space="preserve">4 </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Calibri"/>
                <w:b/>
                <w:noProof/>
                <w:sz w:val="16"/>
              </w:rPr>
              <w:t>Pr</w:t>
            </w:r>
            <w:r>
              <w:rPr>
                <w:rFonts w:ascii="Times New Roman" w:hAnsi="Calibri"/>
                <w:b/>
                <w:noProof/>
                <w:sz w:val="16"/>
              </w:rPr>
              <w:t>é</w:t>
            </w:r>
            <w:r>
              <w:rPr>
                <w:rFonts w:ascii="Times New Roman" w:hAnsi="Calibri"/>
                <w:b/>
                <w:noProof/>
                <w:sz w:val="16"/>
              </w:rPr>
              <w:t>vention du harc</w:t>
            </w:r>
            <w:r>
              <w:rPr>
                <w:rFonts w:ascii="Times New Roman" w:hAnsi="Calibri"/>
                <w:b/>
                <w:noProof/>
                <w:sz w:val="16"/>
              </w:rPr>
              <w:t>è</w:t>
            </w:r>
            <w:r>
              <w:rPr>
                <w:rFonts w:ascii="Times New Roman" w:hAnsi="Calibri"/>
                <w:b/>
                <w:noProof/>
                <w:sz w:val="16"/>
              </w:rPr>
              <w:t xml:space="preserve">lement </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du M</w:t>
            </w:r>
            <w:r>
              <w:rPr>
                <w:rFonts w:ascii="Times New Roman" w:hAnsi="Calibri"/>
                <w:noProof/>
                <w:sz w:val="12"/>
              </w:rPr>
              <w:t>é</w:t>
            </w:r>
            <w:r>
              <w:rPr>
                <w:rFonts w:ascii="Times New Roman" w:hAnsi="Calibri"/>
                <w:noProof/>
                <w:sz w:val="12"/>
              </w:rPr>
              <w:t>diateur europ</w:t>
            </w:r>
            <w:r>
              <w:rPr>
                <w:rFonts w:ascii="Times New Roman" w:hAnsi="Calibri"/>
                <w:noProof/>
                <w:sz w:val="12"/>
              </w:rPr>
              <w:t>é</w:t>
            </w:r>
            <w:r>
              <w:rPr>
                <w:rFonts w:ascii="Times New Roman" w:hAnsi="Calibri"/>
                <w:noProof/>
                <w:sz w:val="12"/>
              </w:rPr>
              <w:t xml:space="preserve">en relative </w:t>
            </w:r>
            <w:r>
              <w:rPr>
                <w:rFonts w:ascii="Times New Roman" w:hAnsi="Calibri"/>
                <w:noProof/>
                <w:sz w:val="12"/>
              </w:rPr>
              <w:t>à</w:t>
            </w:r>
            <w:r>
              <w:rPr>
                <w:rFonts w:ascii="Times New Roman" w:hAnsi="Calibri"/>
                <w:noProof/>
                <w:sz w:val="12"/>
              </w:rPr>
              <w:t xml:space="preserve"> une politique</w:t>
            </w:r>
            <w:r>
              <w:rPr>
                <w:rFonts w:ascii="Times New Roman" w:hAnsi="Calibri"/>
                <w:noProof/>
                <w:sz w:val="12"/>
              </w:rPr>
              <w:br/>
              <w:t xml:space="preserve"> de pr</w:t>
            </w:r>
            <w:r>
              <w:rPr>
                <w:rFonts w:ascii="Times New Roman" w:hAnsi="Calibri"/>
                <w:noProof/>
                <w:sz w:val="12"/>
              </w:rPr>
              <w:t>é</w:t>
            </w:r>
            <w:r>
              <w:rPr>
                <w:rFonts w:ascii="Times New Roman" w:hAnsi="Calibri"/>
                <w:noProof/>
                <w:sz w:val="12"/>
              </w:rPr>
              <w:t>vention et de protection contre le harc</w:t>
            </w:r>
            <w:r>
              <w:rPr>
                <w:rFonts w:ascii="Times New Roman" w:hAnsi="Calibri"/>
                <w:noProof/>
                <w:sz w:val="12"/>
              </w:rPr>
              <w:t>è</w:t>
            </w:r>
            <w:r>
              <w:rPr>
                <w:rFonts w:ascii="Times New Roman" w:hAnsi="Calibri"/>
                <w:noProof/>
                <w:sz w:val="12"/>
              </w:rPr>
              <w:t>lement au sein du bureau du M</w:t>
            </w:r>
            <w:r>
              <w:rPr>
                <w:rFonts w:ascii="Times New Roman" w:hAnsi="Calibri"/>
                <w:noProof/>
                <w:sz w:val="12"/>
              </w:rPr>
              <w:t>é</w:t>
            </w:r>
            <w:r>
              <w:rPr>
                <w:rFonts w:ascii="Times New Roman" w:hAnsi="Calibri"/>
                <w:noProof/>
                <w:sz w:val="12"/>
              </w:rPr>
              <w:t>diateur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18.12.2017 </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12 </w:t>
            </w:r>
            <w:r>
              <w:rPr>
                <w:rFonts w:ascii="Times New Roman" w:hAnsi="Times New Roman"/>
                <w:b/>
                <w:i/>
                <w:iCs/>
                <w:noProof/>
                <w:sz w:val="12"/>
              </w:rPr>
              <w:t>ter</w:t>
            </w:r>
            <w:r>
              <w:rPr>
                <w:rFonts w:ascii="Times New Roman" w:hAnsi="Times New Roman"/>
                <w:b/>
                <w:noProof/>
                <w:sz w:val="12"/>
              </w:rPr>
              <w:t>, 16, 17</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Activités extérieures</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Décision du Médiateur européen relative aux règles internes applicables à l’exercice d’une activité professionnelle après la cessation des fonctions auprès de l’Union européenne (article 16 du statut)</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7.3.2016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4.3.2021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4" w:space="0" w:color="auto"/>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Médiateur européen sur les règles internes relatives aux activités extérieures et aux mandats (notamment l’article 16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4.3.2021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Dénonciation des dysfonctionnements</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Décision du Médiateur européen relative aux règles internes applicables à la divulgation d’informations dans l’intérêt public («dénonciation des dysfonctionnements»)</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2.12.2015</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23.2.2023</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99594"/>
            <w:vAlign w:val="center"/>
          </w:tcPr>
          <w:p>
            <w:pPr>
              <w:widowControl w:val="0"/>
              <w:spacing w:after="200" w:line="240" w:lineRule="auto"/>
              <w:ind w:right="2"/>
              <w:jc w:val="center"/>
              <w:rPr>
                <w:rFonts w:ascii="Times New Roman" w:eastAsia="Calibri" w:hAnsi="Times New Roman" w:cs="Times New Roman"/>
                <w:b/>
                <w:bCs/>
                <w:noProof/>
                <w:sz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Médiateur européen relative aux règles internes applicables à la divulgation d’informations dans l’intérêt public («dénonciation des dysfonctionnements»)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23.2.2023</w:t>
            </w:r>
          </w:p>
        </w:tc>
        <w:tc>
          <w:tcPr>
            <w:tcW w:w="1687" w:type="dxa"/>
            <w:tcBorders>
              <w:top w:val="single" w:sz="4" w:space="0" w:color="auto"/>
              <w:left w:val="single" w:sz="4" w:space="0" w:color="auto"/>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24 </w:t>
            </w:r>
            <w:r>
              <w:rPr>
                <w:rFonts w:ascii="Times New Roman" w:hAnsi="Times New Roman"/>
                <w:b/>
                <w:i/>
                <w:iCs/>
                <w:noProof/>
                <w:sz w:val="12"/>
              </w:rPr>
              <w:t>bis</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Formation</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portant adoption du guide pour la formation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12.9.2013</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et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critères applicables au classement en échelon lors de la nomination ou de l’engagement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lastRenderedPageBreak/>
              <w:t>27 et 34</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Recrutement</w:t>
            </w:r>
          </w:p>
        </w:tc>
        <w:tc>
          <w:tcPr>
            <w:tcW w:w="3029" w:type="dxa"/>
            <w:tcBorders>
              <w:top w:val="single" w:sz="6" w:space="0" w:color="000000"/>
              <w:left w:val="single" w:sz="6"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Règles relatives au pourvoi de postes temporaires dans le tableau des effectifs du Médiateur européen</w:t>
            </w:r>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7.12.2010</w:t>
            </w:r>
          </w:p>
        </w:tc>
        <w:tc>
          <w:tcPr>
            <w:tcW w:w="1687" w:type="dxa"/>
            <w:tcBorders>
              <w:top w:val="single" w:sz="6" w:space="0" w:color="000000"/>
              <w:left w:val="single" w:sz="4"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tabs>
          <w:tab w:val="left" w:pos="9190"/>
        </w:tabs>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Section 6 – Congé parental ou familial</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Dispositions générales d’exécution de l’article 42 </w:t>
            </w:r>
            <w:r>
              <w:rPr>
                <w:rFonts w:ascii="Times New Roman" w:hAnsi="Times New Roman"/>
                <w:i/>
                <w:iCs/>
                <w:noProof/>
                <w:sz w:val="12"/>
              </w:rPr>
              <w:t>bis</w:t>
            </w:r>
            <w:r>
              <w:rPr>
                <w:rFonts w:ascii="Times New Roman" w:hAnsi="Times New Roman"/>
                <w:noProof/>
                <w:sz w:val="12"/>
              </w:rPr>
              <w:t xml:space="preserve"> relatif au 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Calibri" w:hAnsi="Times New Roman" w:cs="Times New Roman"/>
                <w:b/>
                <w:noProof/>
                <w:sz w:val="19"/>
                <w:szCs w:val="19"/>
              </w:rPr>
            </w:pPr>
            <w:r>
              <w:rPr>
                <w:rFonts w:ascii="Times New Roman" w:hAnsi="Times New Roman"/>
                <w:b/>
                <w:noProof/>
                <w:sz w:val="19"/>
              </w:rPr>
              <w:t xml:space="preserve">                 Section 7 – Congé dans l’intérêt du service</w:t>
            </w:r>
          </w:p>
        </w:tc>
      </w:tr>
      <w:tr>
        <w:trPr>
          <w:trHeight w:hRule="exact" w:val="668"/>
        </w:trPr>
        <w:tc>
          <w:tcPr>
            <w:tcW w:w="1157" w:type="dxa"/>
            <w:tcBorders>
              <w:left w:val="single" w:sz="4" w:space="0" w:color="000000"/>
              <w:bottom w:val="single" w:sz="4" w:space="0" w:color="000000"/>
              <w:right w:val="single" w:sz="4" w:space="0" w:color="000000"/>
            </w:tcBorders>
            <w:shd w:val="clear" w:color="auto" w:fill="D99594"/>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noProof/>
                <w:sz w:val="12"/>
              </w:rPr>
              <w:t>42 </w:t>
            </w:r>
            <w:r>
              <w:rPr>
                <w:rFonts w:ascii="Times New Roman" w:hAnsi="Times New Roman"/>
                <w:i/>
                <w:iCs/>
                <w:noProof/>
                <w:sz w:val="12"/>
              </w:rPr>
              <w:t>quater</w:t>
            </w:r>
          </w:p>
        </w:tc>
        <w:tc>
          <w:tcPr>
            <w:tcW w:w="2551" w:type="dxa"/>
            <w:tcBorders>
              <w:left w:val="single" w:sz="4" w:space="0" w:color="000000"/>
              <w:bottom w:val="single" w:sz="3" w:space="0" w:color="000000"/>
              <w:right w:val="single" w:sz="3" w:space="0" w:color="000000"/>
            </w:tcBorders>
            <w:shd w:val="clear" w:color="auto" w:fill="D99594"/>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dans l’intérêt du service</w:t>
            </w:r>
          </w:p>
        </w:tc>
        <w:tc>
          <w:tcPr>
            <w:tcW w:w="3029"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Décision du Médiateur européen relative au congé dans l’intérêt du service en application de l’article 42 </w:t>
            </w:r>
            <w:r>
              <w:rPr>
                <w:rFonts w:ascii="Times New Roman" w:hAnsi="Times New Roman"/>
                <w:i/>
                <w:iCs/>
                <w:noProof/>
                <w:sz w:val="12"/>
              </w:rPr>
              <w:t>quater</w:t>
            </w:r>
            <w:r>
              <w:rPr>
                <w:rFonts w:ascii="Times New Roman" w:hAnsi="Times New Roman"/>
                <w:noProof/>
                <w:sz w:val="12"/>
              </w:rPr>
              <w:t xml:space="preserve"> du statut</w:t>
            </w:r>
          </w:p>
        </w:tc>
        <w:tc>
          <w:tcPr>
            <w:tcW w:w="1322"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11.10.2022</w:t>
            </w:r>
          </w:p>
        </w:tc>
        <w:tc>
          <w:tcPr>
            <w:tcW w:w="1687"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567"/>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Calibri"/>
                <w:noProof/>
                <w:sz w:val="12"/>
              </w:rPr>
              <w:t>D</w:t>
            </w:r>
            <w:r>
              <w:rPr>
                <w:rFonts w:ascii="Times New Roman" w:hAnsi="Calibri"/>
                <w:noProof/>
                <w:sz w:val="12"/>
              </w:rPr>
              <w:t>é</w:t>
            </w:r>
            <w:r>
              <w:rPr>
                <w:rFonts w:ascii="Times New Roman" w:hAnsi="Calibri"/>
                <w:noProof/>
                <w:sz w:val="12"/>
              </w:rPr>
              <w:t>cision du M</w:t>
            </w:r>
            <w:r>
              <w:rPr>
                <w:rFonts w:ascii="Times New Roman" w:hAnsi="Calibri"/>
                <w:noProof/>
                <w:sz w:val="12"/>
              </w:rPr>
              <w:t>é</w:t>
            </w:r>
            <w:r>
              <w:rPr>
                <w:rFonts w:ascii="Times New Roman" w:hAnsi="Calibri"/>
                <w:noProof/>
                <w:sz w:val="12"/>
              </w:rPr>
              <w:t>diateur europ</w:t>
            </w:r>
            <w:r>
              <w:rPr>
                <w:rFonts w:ascii="Times New Roman" w:hAnsi="Calibri"/>
                <w:noProof/>
                <w:sz w:val="12"/>
              </w:rPr>
              <w:t>é</w:t>
            </w:r>
            <w:r>
              <w:rPr>
                <w:rFonts w:ascii="Times New Roman" w:hAnsi="Calibri"/>
                <w:noProof/>
                <w:sz w:val="12"/>
              </w:rPr>
              <w:t>en portant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des articles</w:t>
            </w:r>
            <w:r>
              <w:rPr>
                <w:rFonts w:ascii="Times New Roman" w:hAnsi="Calibri"/>
                <w:noProof/>
                <w:sz w:val="12"/>
              </w:rPr>
              <w:t> </w:t>
            </w:r>
            <w:r>
              <w:rPr>
                <w:rFonts w:ascii="Times New Roman" w:hAnsi="Calibri"/>
                <w:noProof/>
                <w:sz w:val="12"/>
              </w:rPr>
              <w:t>43 et</w:t>
            </w:r>
            <w:r>
              <w:rPr>
                <w:rFonts w:ascii="Times New Roman" w:hAnsi="Calibri"/>
                <w:noProof/>
                <w:sz w:val="12"/>
              </w:rPr>
              <w:t> </w:t>
            </w:r>
            <w:r>
              <w:rPr>
                <w:rFonts w:ascii="Times New Roman" w:hAnsi="Calibri"/>
                <w:noProof/>
                <w:sz w:val="12"/>
              </w:rPr>
              <w:t>44 du statut</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20.12.2017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126" w:lineRule="exact"/>
              <w:jc w:val="center"/>
              <w:rPr>
                <w:rFonts w:ascii="Times New Roman" w:eastAsia="Times New Roman" w:hAnsi="Times New Roman" w:cs="Times New Roman"/>
                <w:noProof/>
                <w:sz w:val="12"/>
                <w:szCs w:val="12"/>
              </w:rPr>
            </w:pPr>
            <w:r>
              <w:rPr>
                <w:rFonts w:ascii="Times New Roman" w:hAnsi="Times New Roman"/>
                <w:noProof/>
                <w:sz w:val="12"/>
              </w:rPr>
              <w:t>Décision du Médiateur européen relative à la politique de promotion et à la progression des carrières</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13.6.2017</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7.1.2021</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39"/>
        </w:trPr>
        <w:tc>
          <w:tcPr>
            <w:tcW w:w="1157" w:type="dxa"/>
            <w:vMerge/>
            <w:tcBorders>
              <w:left w:val="single" w:sz="6" w:space="0" w:color="000000"/>
              <w:bottom w:val="single" w:sz="4" w:space="0" w:color="auto"/>
              <w:right w:val="single" w:sz="6"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p>
        </w:tc>
        <w:tc>
          <w:tcPr>
            <w:tcW w:w="2551" w:type="dxa"/>
            <w:vMerge/>
            <w:tcBorders>
              <w:left w:val="single" w:sz="6" w:space="0" w:color="000000"/>
              <w:bottom w:val="single" w:sz="4" w:space="0" w:color="auto"/>
              <w:right w:val="single" w:sz="6"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Décision du Médiateur européen relative à la promotion</w:t>
            </w:r>
            <w:r>
              <w:rPr>
                <w:rFonts w:ascii="Times New Roman" w:hAnsi="Times New Roman"/>
                <w:noProof/>
                <w:sz w:val="12"/>
              </w:rPr>
              <w:br/>
              <w:t xml:space="preserve"> des fonctionnaires et au reclassement des agents temporaires et agents contractuels</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7.1.2021</w:t>
            </w:r>
          </w:p>
        </w:tc>
        <w:tc>
          <w:tcPr>
            <w:tcW w:w="1687"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w:t>
            </w:r>
            <w:r>
              <w:rPr>
                <w:rFonts w:ascii="Times New Roman" w:hAnsi="Times New Roman"/>
                <w:b/>
                <w:i/>
                <w:iCs/>
                <w:noProof/>
                <w:sz w:val="12"/>
              </w:rPr>
              <w:t>bis</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6" w:space="0" w:color="000000"/>
              <w:left w:val="single" w:sz="4" w:space="0" w:color="auto"/>
              <w:bottom w:val="single" w:sz="6"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Dispositions générales d’exécution de l’article 45 </w:t>
            </w:r>
            <w:r>
              <w:rPr>
                <w:rFonts w:ascii="Times New Roman" w:hAnsi="Times New Roman"/>
                <w:i/>
                <w:iCs/>
                <w:noProof/>
                <w:sz w:val="12"/>
              </w:rPr>
              <w:t>bis</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21.7.2005</w:t>
            </w:r>
          </w:p>
        </w:tc>
        <w:tc>
          <w:tcPr>
            <w:tcW w:w="1687" w:type="dxa"/>
            <w:tcBorders>
              <w:top w:val="single" w:sz="6" w:space="0" w:color="000000"/>
              <w:left w:val="single" w:sz="4" w:space="0" w:color="000000"/>
              <w:bottom w:val="single" w:sz="6"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vMerge w:val="restart"/>
            <w:tcBorders>
              <w:top w:val="single" w:sz="6" w:space="0" w:color="000000"/>
              <w:left w:val="single" w:sz="4" w:space="0" w:color="000000"/>
              <w:right w:val="single" w:sz="3" w:space="0" w:color="000000"/>
            </w:tcBorders>
            <w:shd w:val="clear" w:color="auto" w:fill="DA9694"/>
            <w:vAlign w:val="center"/>
          </w:tcPr>
          <w:p>
            <w:pPr>
              <w:widowControl w:val="0"/>
              <w:spacing w:before="47" w:after="0" w:line="271" w:lineRule="auto"/>
              <w:ind w:right="79"/>
              <w:jc w:val="center"/>
              <w:rPr>
                <w:rFonts w:ascii="Times New Roman" w:eastAsia="Calibri" w:hAnsi="Times New Roman" w:cs="Times New Roman"/>
                <w:b/>
                <w:noProof/>
                <w:spacing w:val="1"/>
                <w:w w:val="105"/>
                <w:sz w:val="12"/>
              </w:rPr>
            </w:pPr>
            <w:r>
              <w:rPr>
                <w:rFonts w:ascii="Times New Roman" w:hAnsi="Times New Roman"/>
                <w:b/>
                <w:noProof/>
                <w:sz w:val="12"/>
              </w:rPr>
              <w:t>55 +</w:t>
            </w:r>
          </w:p>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Temps de travail/télétravail</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Règles internes relatives à la durée du travail et à l’horaire flexible</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12.12.2016</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25.10.2021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Médiateur européen relative à la mise en œuvre du télétravail dans les services du Médiateur européen</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30.9.2014</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25.10.2021</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Décision du Médiateur européen relative au temps de travail et au travail hybride</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25.10.2021</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p>
        </w:tc>
        <w:tc>
          <w:tcPr>
            <w:tcW w:w="2551" w:type="dxa"/>
            <w:tcBorders>
              <w:top w:val="single" w:sz="6"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Calibri"/>
                <w:b/>
                <w:noProof/>
                <w:sz w:val="16"/>
              </w:rPr>
              <w:t>Activit</w:t>
            </w:r>
            <w:r>
              <w:rPr>
                <w:rFonts w:ascii="Times New Roman" w:hAnsi="Calibri"/>
                <w:b/>
                <w:noProof/>
                <w:sz w:val="16"/>
              </w:rPr>
              <w:t>é</w:t>
            </w:r>
            <w:r>
              <w:rPr>
                <w:rFonts w:ascii="Times New Roman" w:hAnsi="Calibri"/>
                <w:b/>
                <w:noProof/>
                <w:sz w:val="16"/>
              </w:rPr>
              <w:t xml:space="preserve"> </w:t>
            </w:r>
            <w:r>
              <w:rPr>
                <w:rFonts w:ascii="Times New Roman" w:hAnsi="Calibri"/>
                <w:b/>
                <w:noProof/>
                <w:sz w:val="16"/>
              </w:rPr>
              <w:t>à</w:t>
            </w:r>
            <w:r>
              <w:rPr>
                <w:rFonts w:ascii="Times New Roman" w:hAnsi="Calibri"/>
                <w:b/>
                <w:noProof/>
                <w:sz w:val="16"/>
              </w:rPr>
              <w:t xml:space="preserve"> temps partiel</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Décision du Médiateur européen portant règles internes relatives à l’exercice de l’activité à temps partiel</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28.5.2019</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 + annexe VI</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Heures supplémentaires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Règles internes relatives à la compensation des heures supplémentaires </w:t>
            </w:r>
            <w:r>
              <w:rPr>
                <w:rFonts w:ascii="Times New Roman" w:hAnsi="Times New Roman"/>
                <w:noProof/>
                <w:sz w:val="12"/>
              </w:rPr>
              <w:br/>
              <w:t>(articles 55 à 56 </w:t>
            </w:r>
            <w:r>
              <w:rPr>
                <w:rFonts w:ascii="Times New Roman" w:hAnsi="Times New Roman"/>
                <w:i/>
                <w:iCs/>
                <w:noProof/>
                <w:sz w:val="12"/>
              </w:rPr>
              <w:t>ter</w:t>
            </w:r>
            <w:r>
              <w:rPr>
                <w:rFonts w:ascii="Times New Roman" w:hAnsi="Times New Roman"/>
                <w:noProof/>
                <w:sz w:val="12"/>
              </w:rPr>
              <w:t xml:space="preserve"> et annexe VII)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1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Règles internes relatives aux indemnités forfaitaires (chauffeurs)</w:t>
            </w:r>
            <w:r>
              <w:rPr>
                <w:rFonts w:ascii="Times New Roman" w:hAnsi="Times New Roman"/>
                <w:noProof/>
                <w:sz w:val="12"/>
              </w:rPr>
              <w:br/>
              <w:t xml:space="preserve"> (modifiées en dernier lieu par la décision du Médiateur européen du 7.4.2020)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5. 6.2008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shd w:val="clear" w:color="auto" w:fill="C6D9F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57 + annexe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Congés annuels et congés spéciaux</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du Médiateur européen relative aux congés et aux absences au sein du bureau du Médiateur</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Congé de maternité</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du Médiateur européen relative aux congés et aux absences au sein du bureau du Médiateur</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à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Congé de maladie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du Médiateur européen relative aux congés et aux absences au sein du bureau du Médiateur</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Article 59, paragraphe 4</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Procédure d’invalidité</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du Médiateur européen relative à la procédure d’invalidité</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2.12.2015</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lastRenderedPageBreak/>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before="16"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annexe VII [art.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Allocation de foyer par décision spéciale</w:t>
            </w:r>
          </w:p>
        </w:tc>
        <w:tc>
          <w:tcPr>
            <w:tcW w:w="3029"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l’allocation de foyer par décision spéciale</w:t>
            </w:r>
          </w:p>
        </w:tc>
        <w:tc>
          <w:tcPr>
            <w:tcW w:w="1322"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hd w:val="clear" w:color="auto" w:fill="FFFFFF" w:themeFill="background1"/>
              <w:spacing w:before="19"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hd w:val="clear" w:color="auto" w:fill="FFFFFF" w:themeFill="background1"/>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 1</w:t>
            </w:r>
            <w:r>
              <w:rPr>
                <w:rFonts w:ascii="Times New Roman" w:hAnsi="Times New Roman"/>
                <w:b/>
                <w:noProof/>
                <w:sz w:val="12"/>
                <w:vertAlign w:val="superscript"/>
              </w:rPr>
              <w:t>er</w:t>
            </w:r>
            <w:r>
              <w:rPr>
                <w:rFonts w:ascii="Times New Roman" w:hAnsi="Times New Roman"/>
                <w:b/>
                <w:noProof/>
                <w:sz w:val="12"/>
              </w:rPr>
              <w:t>)</w:t>
            </w:r>
          </w:p>
        </w:tc>
        <w:tc>
          <w:tcPr>
            <w:tcW w:w="2551" w:type="dxa"/>
            <w:tcBorders>
              <w:top w:val="single" w:sz="3"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Allocations familiales</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des articles 67 et 68 du statut et des articles 1</w:t>
            </w:r>
            <w:r>
              <w:rPr>
                <w:rFonts w:ascii="Times New Roman" w:hAnsi="Times New Roman"/>
                <w:noProof/>
                <w:sz w:val="12"/>
                <w:vertAlign w:val="superscript"/>
              </w:rPr>
              <w:t>er</w:t>
            </w:r>
            <w:r>
              <w:rPr>
                <w:rFonts w:ascii="Times New Roman" w:hAnsi="Times New Roman"/>
                <w:noProof/>
                <w:sz w:val="12"/>
              </w:rPr>
              <w:t>, 2 et 3 de son annexe VII concernant le paiement des allocations familiales</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4"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111" w:lineRule="exact"/>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 2)</w:t>
            </w:r>
          </w:p>
        </w:tc>
        <w:tc>
          <w:tcPr>
            <w:tcW w:w="2551" w:type="dxa"/>
            <w:tcBorders>
              <w:top w:val="single" w:sz="4" w:space="0" w:color="000000"/>
              <w:left w:val="single" w:sz="3" w:space="0" w:color="000000"/>
              <w:bottom w:val="single" w:sz="3"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pour enfant à charge</w:t>
            </w:r>
          </w:p>
        </w:tc>
        <w:tc>
          <w:tcPr>
            <w:tcW w:w="3029"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des articles 67 et 68 du statut et des articles 1</w:t>
            </w:r>
            <w:r>
              <w:rPr>
                <w:rFonts w:ascii="Times New Roman" w:hAnsi="Times New Roman"/>
                <w:noProof/>
                <w:sz w:val="12"/>
                <w:vertAlign w:val="superscript"/>
              </w:rPr>
              <w:t>er</w:t>
            </w:r>
            <w:r>
              <w:rPr>
                <w:rFonts w:ascii="Times New Roman" w:hAnsi="Times New Roman"/>
                <w:noProof/>
                <w:sz w:val="12"/>
              </w:rPr>
              <w:t>, 2 et 3 de son annexe VII concernant le paiement des allocations familiales</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before="1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Personnes assimilées à un enfant à charge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 l’article 2, paragraphe 4, de l’annexe 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3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annexe VII (art.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à l’octroi de l’allocation scolaire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71 + annexe VII (art. 7 et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Lieu d’origine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Dispositions générales d’exécution relatives au lieu</w:t>
            </w:r>
            <w:r>
              <w:rPr>
                <w:rFonts w:ascii="Times New Roman" w:hAnsi="Times New Roman"/>
                <w:noProof/>
                <w:sz w:val="12"/>
              </w:rPr>
              <w:br/>
              <w:t xml:space="preserve"> d’origine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8)</w:t>
            </w:r>
          </w:p>
        </w:tc>
        <w:tc>
          <w:tcPr>
            <w:tcW w:w="2551"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voyage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 l’article 8 de l’annexe VII concernant le paiement des frais de voyage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9)</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Calibri"/>
                <w:noProof/>
                <w:sz w:val="12"/>
              </w:rPr>
              <w:t>D</w:t>
            </w:r>
            <w:r>
              <w:rPr>
                <w:rFonts w:ascii="Times New Roman" w:hAnsi="Calibri"/>
                <w:noProof/>
                <w:sz w:val="12"/>
              </w:rPr>
              <w:t>é</w:t>
            </w:r>
            <w:r>
              <w:rPr>
                <w:rFonts w:ascii="Times New Roman" w:hAnsi="Calibri"/>
                <w:noProof/>
                <w:sz w:val="12"/>
              </w:rPr>
              <w:t>cision portant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 xml:space="preserve">cution </w:t>
            </w:r>
            <w:r>
              <w:rPr>
                <w:rFonts w:ascii="Times New Roman" w:hAnsi="Calibri"/>
                <w:noProof/>
                <w:sz w:val="12"/>
              </w:rPr>
              <w:br/>
              <w:t>relatives au remboursement des frais de d</w:t>
            </w:r>
            <w:r>
              <w:rPr>
                <w:rFonts w:ascii="Times New Roman" w:hAnsi="Calibri"/>
                <w:noProof/>
                <w:sz w:val="12"/>
              </w:rPr>
              <w:t>é</w:t>
            </w:r>
            <w:r>
              <w:rPr>
                <w:rFonts w:ascii="Times New Roman" w:hAnsi="Calibri"/>
                <w:noProof/>
                <w:sz w:val="12"/>
              </w:rPr>
              <w:t>m</w:t>
            </w:r>
            <w:r>
              <w:rPr>
                <w:rFonts w:ascii="Times New Roman" w:hAnsi="Calibri"/>
                <w:noProof/>
                <w:sz w:val="12"/>
              </w:rPr>
              <w:t>é</w:t>
            </w:r>
            <w:r>
              <w:rPr>
                <w:rFonts w:ascii="Times New Roman" w:hAnsi="Calibri"/>
                <w:noProof/>
                <w:sz w:val="12"/>
              </w:rPr>
              <w:t>nagement</w:t>
            </w:r>
          </w:p>
        </w:tc>
        <w:tc>
          <w:tcPr>
            <w:tcW w:w="1322"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12.12.2019</w:t>
            </w:r>
          </w:p>
        </w:tc>
        <w:tc>
          <w:tcPr>
            <w:tcW w:w="1687"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11)</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Calibri"/>
                <w:noProof/>
                <w:sz w:val="12"/>
              </w:rPr>
              <w:t>D</w:t>
            </w:r>
            <w:r>
              <w:rPr>
                <w:rFonts w:ascii="Times New Roman" w:hAnsi="Calibri"/>
                <w:noProof/>
                <w:sz w:val="12"/>
              </w:rPr>
              <w:t>é</w:t>
            </w:r>
            <w:r>
              <w:rPr>
                <w:rFonts w:ascii="Times New Roman" w:hAnsi="Calibri"/>
                <w:noProof/>
                <w:sz w:val="12"/>
              </w:rPr>
              <w:t>cision du M</w:t>
            </w:r>
            <w:r>
              <w:rPr>
                <w:rFonts w:ascii="Times New Roman" w:hAnsi="Calibri"/>
                <w:noProof/>
                <w:sz w:val="12"/>
              </w:rPr>
              <w:t>é</w:t>
            </w:r>
            <w:r>
              <w:rPr>
                <w:rFonts w:ascii="Times New Roman" w:hAnsi="Calibri"/>
                <w:noProof/>
                <w:sz w:val="12"/>
              </w:rPr>
              <w:t>diateur europ</w:t>
            </w:r>
            <w:r>
              <w:rPr>
                <w:rFonts w:ascii="Times New Roman" w:hAnsi="Calibri"/>
                <w:noProof/>
                <w:sz w:val="12"/>
              </w:rPr>
              <w:t>é</w:t>
            </w:r>
            <w:r>
              <w:rPr>
                <w:rFonts w:ascii="Times New Roman" w:hAnsi="Calibri"/>
                <w:noProof/>
                <w:sz w:val="12"/>
              </w:rPr>
              <w:t>en portant dispositions g</w:t>
            </w:r>
            <w:r>
              <w:rPr>
                <w:rFonts w:ascii="Times New Roman" w:hAnsi="Calibri"/>
                <w:noProof/>
                <w:sz w:val="12"/>
              </w:rPr>
              <w:t>é</w:t>
            </w:r>
            <w:r>
              <w:rPr>
                <w:rFonts w:ascii="Times New Roman" w:hAnsi="Calibri"/>
                <w:noProof/>
                <w:sz w:val="12"/>
              </w:rPr>
              <w:t>n</w:t>
            </w:r>
            <w:r>
              <w:rPr>
                <w:rFonts w:ascii="Times New Roman" w:hAnsi="Calibri"/>
                <w:noProof/>
                <w:sz w:val="12"/>
              </w:rPr>
              <w:t>é</w:t>
            </w:r>
            <w:r>
              <w:rPr>
                <w:rFonts w:ascii="Times New Roman" w:hAnsi="Calibri"/>
                <w:noProof/>
                <w:sz w:val="12"/>
              </w:rPr>
              <w:t>rales d</w:t>
            </w:r>
            <w:r>
              <w:rPr>
                <w:rFonts w:ascii="Times New Roman" w:hAnsi="Calibri"/>
                <w:noProof/>
                <w:sz w:val="12"/>
              </w:rPr>
              <w:t>’</w:t>
            </w:r>
            <w:r>
              <w:rPr>
                <w:rFonts w:ascii="Times New Roman" w:hAnsi="Calibri"/>
                <w:noProof/>
                <w:sz w:val="12"/>
              </w:rPr>
              <w:t>ex</w:t>
            </w:r>
            <w:r>
              <w:rPr>
                <w:rFonts w:ascii="Times New Roman" w:hAnsi="Calibri"/>
                <w:noProof/>
                <w:sz w:val="12"/>
              </w:rPr>
              <w:t>é</w:t>
            </w:r>
            <w:r>
              <w:rPr>
                <w:rFonts w:ascii="Times New Roman" w:hAnsi="Calibri"/>
                <w:noProof/>
                <w:sz w:val="12"/>
              </w:rPr>
              <w:t>cution des articles</w:t>
            </w:r>
            <w:r>
              <w:rPr>
                <w:rFonts w:ascii="Times New Roman" w:hAnsi="Calibri"/>
                <w:noProof/>
                <w:sz w:val="12"/>
              </w:rPr>
              <w:t> </w:t>
            </w:r>
            <w:r>
              <w:rPr>
                <w:rFonts w:ascii="Times New Roman" w:hAnsi="Calibri"/>
                <w:noProof/>
                <w:sz w:val="12"/>
              </w:rPr>
              <w:t>11, 12 et 13 de l</w:t>
            </w:r>
            <w:r>
              <w:rPr>
                <w:rFonts w:ascii="Times New Roman" w:hAnsi="Calibri"/>
                <w:noProof/>
                <w:sz w:val="12"/>
              </w:rPr>
              <w:t>’</w:t>
            </w:r>
            <w:r>
              <w:rPr>
                <w:rFonts w:ascii="Times New Roman" w:hAnsi="Calibri"/>
                <w:noProof/>
                <w:sz w:val="12"/>
              </w:rPr>
              <w:t>annexe</w:t>
            </w:r>
            <w:r>
              <w:rPr>
                <w:rFonts w:ascii="Times New Roman" w:hAnsi="Calibri"/>
                <w:noProof/>
                <w:sz w:val="12"/>
              </w:rPr>
              <w:t> </w:t>
            </w:r>
            <w:r>
              <w:rPr>
                <w:rFonts w:ascii="Times New Roman" w:hAnsi="Calibri"/>
                <w:noProof/>
                <w:sz w:val="12"/>
              </w:rPr>
              <w:t>VII du statut</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 xml:space="preserve">1.1.2019 </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Calibri"/>
                <w:b/>
                <w:noProof/>
                <w:sz w:val="16"/>
              </w:rPr>
              <w:t>1</w:t>
            </w:r>
            <w:r>
              <w:rPr>
                <w:rFonts w:ascii="Times New Roman" w:hAnsi="Calibri"/>
                <w:b/>
                <w:noProof/>
                <w:sz w:val="16"/>
              </w:rPr>
              <w:t> </w:t>
            </w:r>
            <w:r>
              <w:rPr>
                <w:rFonts w:ascii="Times New Roman" w:hAnsi="Calibri"/>
                <w:b/>
                <w:noProof/>
                <w:sz w:val="16"/>
              </w:rPr>
              <w:t>DGE</w:t>
            </w:r>
          </w:p>
        </w:tc>
      </w:tr>
      <w:tr>
        <w:trPr>
          <w:trHeight w:hRule="exact" w:val="567"/>
        </w:trPr>
        <w:tc>
          <w:tcPr>
            <w:tcW w:w="1156" w:type="dxa"/>
            <w:vMerge w:val="restart"/>
            <w:tcBorders>
              <w:top w:val="single" w:sz="4" w:space="0" w:color="000000"/>
              <w:left w:val="single" w:sz="4"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w:t>
            </w:r>
          </w:p>
        </w:tc>
        <w:tc>
          <w:tcPr>
            <w:tcW w:w="2551" w:type="dxa"/>
            <w:vMerge w:val="restart"/>
            <w:tcBorders>
              <w:top w:val="single" w:sz="4" w:space="0" w:color="000000"/>
              <w:left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Contribution aux frais de transport public</w:t>
            </w:r>
          </w:p>
        </w:tc>
        <w:tc>
          <w:tcPr>
            <w:tcW w:w="3029"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Décision du Médiateur européen relative aux règles internes applicables à la contribution aux frais de transport public</w:t>
            </w:r>
          </w:p>
        </w:tc>
        <w:tc>
          <w:tcPr>
            <w:tcW w:w="1322"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17.5.2016</w:t>
            </w:r>
          </w:p>
        </w:tc>
        <w:tc>
          <w:tcPr>
            <w:tcW w:w="1687"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28.4.2023</w:t>
            </w:r>
          </w:p>
        </w:tc>
        <w:tc>
          <w:tcPr>
            <w:tcW w:w="936" w:type="dxa"/>
            <w:vMerge w:val="restart"/>
            <w:tcBorders>
              <w:top w:val="single" w:sz="4" w:space="0" w:color="000000"/>
              <w:left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vMerge/>
            <w:tcBorders>
              <w:left w:val="single" w:sz="4" w:space="0" w:color="000000"/>
              <w:bottom w:val="single" w:sz="3"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before="60" w:after="0" w:line="240" w:lineRule="auto"/>
              <w:ind w:left="45" w:right="17"/>
              <w:jc w:val="center"/>
              <w:rPr>
                <w:rFonts w:ascii="Times New Roman" w:eastAsia="Calibri" w:hAnsi="Calibri" w:cs="Times New Roman"/>
                <w:bCs/>
                <w:noProof/>
                <w:w w:val="105"/>
                <w:sz w:val="12"/>
              </w:rPr>
            </w:pPr>
            <w:r>
              <w:rPr>
                <w:rFonts w:ascii="Times New Roman" w:hAnsi="Times New Roman"/>
                <w:noProof/>
                <w:sz w:val="12"/>
              </w:rPr>
              <w:t>Décision du Médiateur européen relative aux règles internes régissant une contribution à la mobilité durable du personnel pour les trajets du domicile au lieu de travail</w:t>
            </w:r>
          </w:p>
        </w:tc>
        <w:tc>
          <w:tcPr>
            <w:tcW w:w="1322"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28.4.2023</w:t>
            </w:r>
          </w:p>
        </w:tc>
        <w:tc>
          <w:tcPr>
            <w:tcW w:w="1687"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annexe IX</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58" w:lineRule="auto"/>
              <w:ind w:right="311"/>
              <w:jc w:val="center"/>
              <w:rPr>
                <w:rFonts w:ascii="Times New Roman" w:eastAsia="Times New Roman" w:hAnsi="Times New Roman" w:cs="Times New Roman"/>
                <w:noProof/>
                <w:sz w:val="16"/>
                <w:szCs w:val="16"/>
              </w:rPr>
            </w:pPr>
            <w:r>
              <w:rPr>
                <w:rFonts w:ascii="Times New Roman" w:hAnsi="Times New Roman"/>
                <w:b/>
                <w:noProof/>
                <w:sz w:val="16"/>
              </w:rPr>
              <w:t>Procédures disciplinaires et enquêtes administratives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procédures disciplinaires et aux enquêtes administratives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23.2.2023</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Calibri"/>
                <w:b/>
                <w:noProof/>
                <w:sz w:val="16"/>
              </w:rPr>
              <w:t>1</w:t>
            </w:r>
            <w:r>
              <w:rPr>
                <w:rFonts w:ascii="Times New Roman" w:hAnsi="Calibri"/>
                <w:b/>
                <w:noProof/>
                <w:sz w:val="16"/>
              </w:rPr>
              <w:t> </w:t>
            </w:r>
            <w:r>
              <w:rPr>
                <w:rFonts w:ascii="Times New Roman" w:hAnsi="Calibri"/>
                <w:b/>
                <w:noProof/>
                <w:sz w:val="16"/>
              </w:rPr>
              <w:t>DGE</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du Médiateur européen établissant les dispositions générales d’exécution concernant la conduite des enquêtes administratives et des procédures disciplinaires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23.2.2023</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Chapitre 1 – Dispositions générales</w:t>
            </w:r>
          </w:p>
        </w:tc>
      </w:tr>
      <w:tr>
        <w:trPr>
          <w:trHeight w:hRule="exact" w:val="624"/>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ind w:right="3"/>
              <w:jc w:val="center"/>
              <w:rPr>
                <w:rFonts w:ascii="Times New Roman" w:eastAsia="Calibri" w:hAnsi="Times New Roman" w:cs="Times New Roman"/>
                <w:b/>
                <w:noProof/>
                <w:spacing w:val="1"/>
                <w:w w:val="105"/>
                <w:sz w:val="12"/>
              </w:rPr>
            </w:pPr>
            <w:r>
              <w:rPr>
                <w:rFonts w:ascii="Times New Roman" w:hAnsi="Times New Roman"/>
                <w:b/>
                <w:noProof/>
                <w:sz w:val="12"/>
              </w:rPr>
              <w:t>2 + +8</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jc w:val="center"/>
              <w:rPr>
                <w:rFonts w:ascii="Times New Roman" w:eastAsia="Times New Roman" w:hAnsi="Times New Roman" w:cs="Times New Roman"/>
                <w:b/>
                <w:noProof/>
                <w:sz w:val="16"/>
                <w:szCs w:val="16"/>
              </w:rPr>
            </w:pPr>
            <w:r>
              <w:rPr>
                <w:rFonts w:ascii="Times New Roman" w:hAnsi="Times New Roman"/>
                <w:b/>
                <w:noProof/>
                <w:sz w:val="16"/>
              </w:rPr>
              <w:t>Engagement et emploi des agents temporaires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relatives aux critères applicables au classement en échelon lors de la nomination ou de l’engagement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24"/>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Règles relatives au pourvoi de postes temporaires dans le tableau des effectifs du Médiateur européen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7.12.2010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3"/>
              <w:jc w:val="center"/>
              <w:rPr>
                <w:rFonts w:ascii="Times New Roman" w:eastAsia="Calibri" w:hAnsi="Times New Roman" w:cs="Times New Roman"/>
                <w:b/>
                <w:noProof/>
                <w:spacing w:val="1"/>
                <w:w w:val="105"/>
                <w:sz w:val="12"/>
              </w:rPr>
            </w:pPr>
            <w:r>
              <w:rPr>
                <w:rFonts w:ascii="Times New Roman" w:hAnsi="Times New Roman"/>
                <w:b/>
                <w:noProof/>
                <w:sz w:val="12"/>
              </w:rPr>
              <w:lastRenderedPageBreak/>
              <w:t>10</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Reclassement des agents temporaires</w:t>
            </w:r>
          </w:p>
        </w:tc>
        <w:tc>
          <w:tcPr>
            <w:tcW w:w="3029" w:type="dxa"/>
            <w:tcBorders>
              <w:top w:val="single" w:sz="4" w:space="0" w:color="auto"/>
              <w:left w:val="single" w:sz="4" w:space="0" w:color="auto"/>
              <w:bottom w:val="single" w:sz="4" w:space="0" w:color="auto"/>
              <w:right w:val="single" w:sz="4" w:space="0" w:color="auto"/>
            </w:tcBorders>
            <w:shd w:val="clear" w:color="auto" w:fill="D99594"/>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Décision du Médiateur européen relative à la promotion des fonctionnaires et au reclassement des agents temporaires et agents contractuels</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br/>
              <w:t>7.1.2021</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Recours aux agents contractuels</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relative aux procédures d’engagement des agents contractuels</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szCs w:val="16"/>
              </w:rPr>
            </w:pPr>
            <w:r>
              <w:rPr>
                <w:rFonts w:ascii="Times New Roman" w:hAnsi="Times New Roman"/>
                <w:b/>
                <w:noProof/>
                <w:sz w:val="16"/>
              </w:rPr>
              <w:t>Procédures de recrutement des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Décision relative aux procédures d’engagement des agents contractuels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before="5" w:after="0" w:line="240" w:lineRule="auto"/>
              <w:jc w:val="center"/>
              <w:rPr>
                <w:rFonts w:ascii="Times New Roman" w:eastAsia="Times New Roman" w:hAnsi="Times New Roman" w:cs="Times New Roman"/>
                <w:noProof/>
                <w:sz w:val="10"/>
                <w:szCs w:val="10"/>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Grades au recrutement</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0"/>
                <w:szCs w:val="10"/>
              </w:rPr>
            </w:pPr>
          </w:p>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relative aux procédures d’engagement des agents contractuels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0"/>
                <w:szCs w:val="10"/>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87</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7"/>
              </w:rPr>
              <w:t>Évaluation et reclassement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du Médiateur européen relative à la promotion</w:t>
            </w:r>
            <w:r>
              <w:rPr>
                <w:rFonts w:ascii="Times New Roman" w:hAnsi="Times New Roman"/>
                <w:noProof/>
                <w:sz w:val="12"/>
              </w:rPr>
              <w:br/>
              <w:t xml:space="preserve"> des fonctionnaires et au reclassement des agents temporaires et agents contractuels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7.1.2021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2"/>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du Médiateur européen portant dispositions générales d’exécution des articles 43 et 44 du statut</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20.12.2017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0528"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656305274" name="Rectangle 1656305274"/>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56305274" o:spid="_x0000_s1032" style="position:absolute;margin-left:178.4pt;margin-top:17.9pt;width:156.2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1jUwgIAABUGAAAOAAAAZHJzL2Uyb0RvYy54bWysVG1P2zAQ/j5p/8Hy95GmtAUiUlSBmCYx&#10;QMDEZ9exm0h+m+026X79znYSCuxFmvYlse/lubvnfHd+0UmBdsy6RqsS50cTjJiiumrUpsTfnq4/&#10;nWLkPFEVEVqxEu+ZwxfLjx/OW1Owqa61qJhFAKJc0ZoS196bIsscrZkk7kgbpkDJtZXEw9VussqS&#10;FtClyKaTySJrta2M1ZQ5B9KrpMTLiM85o/6Oc8c8EiWG3Hz82vhdh2+2PCfFxhJTN7RPg/xDFpI0&#10;CoKOUFfEE7S1zTso2VCrneb+iGqZac4bymINUE0+eVPNY00Mi7UAOc6MNLn/B0tvd/cWNRX0bjFf&#10;HE/m05MZRopI6NUDsEfURjB0oAPCWuMK8Hs097a/OTiG6jtuZfhDXaiLJO9HklnnEQVhfnZ6PJ/N&#10;MaKgm81PoIuhC9mLt7HOf2ZaonAosYU0Irdkd+N8Mh1MQjCnRVNdN0LES3g47FJYtCPQct9No6vY&#10;yq+6SjIImEKSAsTwPJL4dBBDJvH5BZSY16sAQqEWipieAMbfo+d9aQcQAC8U4AYWE2/x5PeCBTyh&#10;HhiHhgBTKfUxl5QmoZQpn6fYNalYEs9/m30EDMgcKBqxe4DXbA3YiePePriyOEmjc1/5n5xHjxhZ&#10;Kz86y0Zpm9J/DSCgqj5ysh9IStQElny37uJjXQTLIFnrag8P2Oo02c7Q6wZezQ1x/p5YGGUYelhP&#10;/g4+XGhone5PGNXa/viVPNjDhIEWoxZWQ4nd9y2xDCPxRcHsneWzWdgl8RJfMEb2ULM+1KitvNTw&#10;FHNYhIbGIzhbL4Yjt1o+wxZbhaigIopC7BJTb4fLpU8rC/YgZatVNIP9YYi/UY+GBvDAc5iKp+6Z&#10;WNOPjoehu9XDGiHFmwlKtsFT6dXWa97E8Xrhte8A7J44CP2eDMvt8B6tXrb58icAAAD//wMAUEsD&#10;BBQABgAIAAAAIQC1cPtS3wAAAAoBAAAPAAAAZHJzL2Rvd25yZXYueG1sTI/BTsMwDIbvSLxDZCRu&#10;LGVoYStNJzQNAbsgxlCvbmPaiiapmqwrb493gpNt+dPvz9l6sp0YaQitdxpuZwkIcpU3ras1HD6e&#10;bpYgQkRnsPOONPxQgHV+eZFhavzJvdO4j7XgEBdS1NDE2KdShqohi2Hme3K8+/KDxcjjUEsz4InD&#10;bSfnSaKkxdbxhQZ72jRUfe+PVgNuXovnXTO+qMXnW1HValuUYav19dX0+AAi0hT/YDjrszrk7FT6&#10;ozNBdBruForV47nhyoBSqzmIksnkfgkyz+T/F/JfAAAA//8DAFBLAQItABQABgAIAAAAIQC2gziS&#10;/gAAAOEBAAATAAAAAAAAAAAAAAAAAAAAAABbQ29udGVudF9UeXBlc10ueG1sUEsBAi0AFAAGAAgA&#10;AAAhADj9If/WAAAAlAEAAAsAAAAAAAAAAAAAAAAALwEAAF9yZWxzLy5yZWxzUEsBAi0AFAAGAAgA&#10;AAAhAK0nWNTCAgAAFQYAAA4AAAAAAAAAAAAAAAAALgIAAGRycy9lMm9Eb2MueG1sUEsBAi0AFAAG&#10;AAgAAAAhALVw+1LfAAAACgEAAA8AAAAAAAAAAAAAAAAAHAUAAGRycy9kb3ducmV2LnhtbFBLBQYA&#10;AAAABAAEAPMAAAAoBgA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rPr>
          <w:noProof/>
        </w:rPr>
      </w:pPr>
      <w:r>
        <w:rPr>
          <w:noProof/>
        </w:rPr>
        <w:br w:type="page"/>
      </w: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95"/>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50"/>
                <w:szCs w:val="50"/>
              </w:rPr>
            </w:pPr>
            <w:r>
              <w:rPr>
                <w:rFonts w:ascii="Times New Roman" w:hAnsi="Times New Roman"/>
                <w:b/>
                <w:noProof/>
                <w:sz w:val="50"/>
              </w:rPr>
              <w:lastRenderedPageBreak/>
              <w:t>CONTRÔLEUR EUROPÉEN DE LA PROTECTION DES DONNÉES</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 des fonctionnaires</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(applicable par analogie aux autres agents lorsque le RAA le prévoit expressément)</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 – Dispositions générales</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annexe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Emplois types et intitulés d’emploi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Décision relative aux emplois types et aux intitulés d’emploi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Comités et commissions</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relative à l’institution d’un comité du personnel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8.2.2006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Titre II – Droits et obligations du fonctionnaire</w:t>
            </w:r>
          </w:p>
        </w:tc>
      </w:tr>
      <w:tr>
        <w:trPr>
          <w:trHeight w:val="611"/>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bCs/>
                <w:noProof/>
                <w:sz w:val="12"/>
                <w:szCs w:val="12"/>
              </w:rPr>
            </w:pPr>
            <w:r>
              <w:rPr>
                <w:rFonts w:ascii="Times New Roman" w:hAnsi="Times New Roman"/>
                <w:b/>
                <w:bCs/>
                <w:noProof/>
                <w:sz w:val="12"/>
              </w:rPr>
              <w:t>12 </w:t>
            </w:r>
            <w:r>
              <w:rPr>
                <w:rFonts w:ascii="Times New Roman" w:hAnsi="Times New Roman"/>
                <w:b/>
                <w:bCs/>
                <w:i/>
                <w:iCs/>
                <w:noProof/>
                <w:sz w:val="12"/>
              </w:rPr>
              <w:t>bis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Harcèlement</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Décision portant adoption des mesures d’exécution des articles 12 </w:t>
            </w:r>
            <w:r>
              <w:rPr>
                <w:rFonts w:ascii="Times New Roman" w:hAnsi="Times New Roman"/>
                <w:i/>
                <w:iCs/>
                <w:noProof/>
                <w:sz w:val="12"/>
              </w:rPr>
              <w:t>bis</w:t>
            </w:r>
            <w:r>
              <w:rPr>
                <w:rFonts w:ascii="Times New Roman" w:hAnsi="Times New Roman"/>
                <w:noProof/>
                <w:sz w:val="12"/>
              </w:rPr>
              <w:t xml:space="preserve"> et 24 du statut au sujet de la procédure relative à la lutte contre le harcèlement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10.12.2014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22.12.2020</w:t>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548"/>
        </w:trPr>
        <w:tc>
          <w:tcPr>
            <w:tcW w:w="1156" w:type="dxa"/>
            <w:vMerge/>
            <w:tcBorders>
              <w:left w:val="single" w:sz="4" w:space="0" w:color="000000"/>
              <w:bottom w:val="single" w:sz="3"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Décision du 22 décembre 2020 remplaçant la décision du 10 décembre 2014 portant adoption des mesures d’exécution des articles 12 </w:t>
            </w:r>
            <w:r>
              <w:rPr>
                <w:rFonts w:ascii="Times New Roman" w:hAnsi="Times New Roman"/>
                <w:i/>
                <w:iCs/>
                <w:noProof/>
                <w:sz w:val="12"/>
              </w:rPr>
              <w:t>bis</w:t>
            </w:r>
            <w:r>
              <w:rPr>
                <w:rFonts w:ascii="Times New Roman" w:hAnsi="Times New Roman"/>
                <w:noProof/>
                <w:sz w:val="12"/>
              </w:rPr>
              <w:t xml:space="preserve"> et 24 du statut au sujet de la procédure relative à la lutte contre le harcèlement et de la nomination des personnes de confiance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12 </w:t>
            </w:r>
            <w:r>
              <w:rPr>
                <w:rFonts w:ascii="Times New Roman" w:hAnsi="Times New Roman"/>
                <w:b/>
                <w:i/>
                <w:iCs/>
                <w:noProof/>
                <w:sz w:val="12"/>
              </w:rPr>
              <w:t>ter</w:t>
            </w:r>
            <w:r>
              <w:rPr>
                <w:rFonts w:ascii="Times New Roman" w:hAnsi="Times New Roman"/>
                <w:b/>
                <w:noProof/>
                <w:sz w:val="12"/>
              </w:rPr>
              <w:t>, 16, 17</w:t>
            </w:r>
          </w:p>
        </w:tc>
        <w:tc>
          <w:tcPr>
            <w:tcW w:w="2551"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Activités extérieures</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relative aux activités extérieures et aux mandats ainsi qu’aux activités professionnelles après la cessation de fonctions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13.9.2019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rPr>
            </w:pPr>
            <w:r>
              <w:rPr>
                <w:rFonts w:ascii="Times New Roman" w:hAnsi="Times New Roman"/>
                <w:b/>
                <w:noProof/>
                <w:sz w:val="12"/>
              </w:rPr>
              <w:t>22 </w:t>
            </w:r>
            <w:r>
              <w:rPr>
                <w:rFonts w:ascii="Times New Roman" w:hAnsi="Times New Roman"/>
                <w:b/>
                <w:i/>
                <w:iCs/>
                <w:noProof/>
                <w:sz w:val="12"/>
              </w:rPr>
              <w:t>bis</w:t>
            </w:r>
            <w:r>
              <w:rPr>
                <w:rFonts w:ascii="Times New Roman" w:hAnsi="Times New Roman"/>
                <w:b/>
                <w:noProof/>
                <w:sz w:val="12"/>
              </w:rPr>
              <w:t xml:space="preserve"> à 22 </w:t>
            </w:r>
            <w:r>
              <w:rPr>
                <w:rFonts w:ascii="Times New Roman" w:hAnsi="Times New Roman"/>
                <w:b/>
                <w:i/>
                <w:iCs/>
                <w:noProof/>
                <w:sz w:val="12"/>
              </w:rPr>
              <w:t>quater</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Dénonciation des dysfonctionnements</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concernant les règles internes relatives aux lanceurs d’alerte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bCs/>
                <w:noProof/>
                <w:sz w:val="12"/>
              </w:rPr>
            </w:pPr>
            <w:r>
              <w:rPr>
                <w:rFonts w:ascii="Times New Roman" w:hAnsi="Times New Roman"/>
                <w:b/>
                <w:noProof/>
                <w:sz w:val="12"/>
              </w:rPr>
              <w:t>24 </w:t>
            </w:r>
            <w:r>
              <w:rPr>
                <w:rFonts w:ascii="Times New Roman" w:hAnsi="Times New Roman"/>
                <w:b/>
                <w:i/>
                <w:iCs/>
                <w:noProof/>
                <w:sz w:val="12"/>
              </w:rPr>
              <w:t>bis</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Formation</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relative à la formation et au développement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14.7.2015</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III – De la carrière du fonctionnaire</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Recrutement</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à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Recrutement</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Décision 54 portant dispositions générales d’exécution relatives au classement en échelon lors du recrutement ou de l’engagement</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Chapitre 2 – Positions</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2 – Détachement</w:t>
            </w:r>
          </w:p>
        </w:tc>
      </w:tr>
      <w:tr>
        <w:trPr>
          <w:trHeight w:hRule="exact" w:val="567"/>
        </w:trPr>
        <w:tc>
          <w:tcPr>
            <w:tcW w:w="1156"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38</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Détachement</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Politique du CEPD relative aux détachements et échanges de courte durée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12.6.2014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728"/>
        </w:trPr>
        <w:tc>
          <w:tcPr>
            <w:tcW w:w="1156" w:type="dxa"/>
            <w:vMerge/>
            <w:tcBorders>
              <w:left w:val="single" w:sz="6" w:space="0" w:color="000000"/>
              <w:bottom w:val="single" w:sz="6" w:space="0" w:color="000000"/>
              <w:right w:val="single" w:sz="6" w:space="0" w:color="000000"/>
            </w:tcBorders>
            <w:vAlign w:val="center"/>
          </w:tcPr>
          <w:p>
            <w:pPr>
              <w:widowControl w:val="0"/>
              <w:spacing w:before="101" w:after="0" w:line="240" w:lineRule="auto"/>
              <w:jc w:val="center"/>
              <w:rPr>
                <w:rFonts w:ascii="Times New Roman" w:eastAsia="Calibri" w:hAnsi="Times New Roman" w:cs="Times New Roman"/>
                <w:b/>
                <w:noProof/>
                <w:sz w:val="12"/>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Décision conjointe du CEPD et du comité européen de la protection des données relative au programme de détachements de courte durée du comité européen de la protection des données</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spacing w:before="40" w:after="0"/>
              <w:jc w:val="center"/>
              <w:rPr>
                <w:rFonts w:ascii="Times New Roman" w:eastAsia="Calibri" w:hAnsi="Times New Roman" w:cs="Times New Roman"/>
                <w:noProof/>
                <w:sz w:val="12"/>
                <w:szCs w:val="12"/>
              </w:rPr>
            </w:pPr>
            <w:r>
              <w:rPr>
                <w:rFonts w:ascii="Times New Roman" w:hAnsi="Times New Roman"/>
                <w:noProof/>
                <w:sz w:val="12"/>
              </w:rPr>
              <w:t>12.6.2019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3 – Le congé de convenance personnelle</w:t>
            </w:r>
          </w:p>
        </w:tc>
      </w:tr>
      <w:tr>
        <w:trPr>
          <w:trHeight w:hRule="exact" w:val="1074"/>
        </w:trPr>
        <w:tc>
          <w:tcPr>
            <w:tcW w:w="1156" w:type="dxa"/>
            <w:tcBorders>
              <w:left w:val="single" w:sz="6" w:space="0" w:color="000000"/>
              <w:bottom w:val="single" w:sz="6" w:space="0" w:color="000000"/>
              <w:right w:val="single" w:sz="6" w:space="0" w:color="000000"/>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de convenance personnelle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Décision du Contrôleur européen de la protection des données </w:t>
            </w:r>
            <w:r>
              <w:rPr>
                <w:rFonts w:ascii="Times New Roman" w:hAnsi="Times New Roman"/>
                <w:noProof/>
                <w:sz w:val="12"/>
              </w:rPr>
              <w:br/>
              <w:t>du 19 décembre 2019 relative aux mesures concernant le congé de convenance personnelle des fonctionnaires et le congé sans rémunération des agents temporaires et agents contractuels de l’Union européenne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spacing w:before="40" w:after="0"/>
              <w:jc w:val="center"/>
              <w:rPr>
                <w:rFonts w:ascii="Times New Roman" w:eastAsia="Calibri" w:hAnsi="Times New Roman" w:cs="Times New Roman"/>
                <w:noProof/>
                <w:sz w:val="12"/>
                <w:szCs w:val="12"/>
              </w:rPr>
            </w:pPr>
            <w:r>
              <w:rPr>
                <w:rFonts w:ascii="Times New Roman" w:hAnsi="Times New Roman"/>
                <w:noProof/>
                <w:sz w:val="12"/>
              </w:rPr>
              <w:t>19.12.2019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lastRenderedPageBreak/>
              <w:t xml:space="preserve">                 Section 6 – Congé parental ou familial</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42 </w:t>
            </w:r>
            <w:r>
              <w:rPr>
                <w:rFonts w:ascii="Times New Roman" w:hAnsi="Times New Roman"/>
                <w:b/>
                <w:i/>
                <w:iCs/>
                <w:noProof/>
                <w:sz w:val="12"/>
              </w:rPr>
              <w:t>bis</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123" w:lineRule="exact"/>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 l’article 42 </w:t>
            </w:r>
            <w:r>
              <w:rPr>
                <w:rFonts w:ascii="Times New Roman" w:hAnsi="Times New Roman"/>
                <w:i/>
                <w:iCs/>
                <w:noProof/>
                <w:sz w:val="12"/>
              </w:rPr>
              <w:t>bis</w:t>
            </w:r>
            <w:r>
              <w:rPr>
                <w:rFonts w:ascii="Times New Roman" w:hAnsi="Times New Roman"/>
                <w:noProof/>
                <w:sz w:val="12"/>
              </w:rPr>
              <w:t xml:space="preserve"> relatif au</w:t>
            </w:r>
          </w:p>
          <w:p>
            <w:pPr>
              <w:widowControl w:val="0"/>
              <w:spacing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congé parental</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1.7.2005</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3"/>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bis</w:t>
            </w:r>
            <w:r>
              <w:rPr>
                <w:rFonts w:ascii="Times New Roman" w:hAnsi="Times New Roman"/>
                <w:b/>
                <w:noProof/>
                <w:sz w:val="12"/>
              </w:rPr>
              <w:t>, 42 </w:t>
            </w:r>
            <w:r>
              <w:rPr>
                <w:rFonts w:ascii="Times New Roman" w:hAnsi="Times New Roman"/>
                <w:b/>
                <w:i/>
                <w:iCs/>
                <w:noProof/>
                <w:sz w:val="12"/>
              </w:rPr>
              <w:t>ter</w:t>
            </w:r>
            <w:r>
              <w:rPr>
                <w:rFonts w:ascii="Times New Roman" w:hAnsi="Times New Roman"/>
                <w:b/>
                <w:noProof/>
                <w:sz w:val="12"/>
              </w:rPr>
              <w:t xml:space="preserve"> + 35</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parental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 xml:space="preserve">Directive 1/2009 relative à la suspension de la période de stage en cas de congé parental ou familial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1.9.2009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42 </w:t>
            </w:r>
            <w:r>
              <w:rPr>
                <w:rFonts w:ascii="Times New Roman" w:hAnsi="Times New Roman"/>
                <w:b/>
                <w:i/>
                <w:iCs/>
                <w:noProof/>
                <w:sz w:val="12"/>
              </w:rPr>
              <w:t>ter</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familial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Décision 14 portant création des dispositions d’exécution en matière de congé familial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Notation, avancement d’échelon et promotion</w:t>
            </w:r>
          </w:p>
        </w:tc>
      </w:tr>
      <w:tr>
        <w:trPr>
          <w:trHeight w:hRule="exact" w:val="56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Rapport annuel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30 </w:t>
            </w:r>
            <w:r>
              <w:rPr>
                <w:rFonts w:ascii="Times New Roman" w:hAnsi="Times New Roman"/>
                <w:i/>
                <w:iCs/>
                <w:noProof/>
                <w:sz w:val="12"/>
              </w:rPr>
              <w:t>bis</w:t>
            </w:r>
            <w:r>
              <w:rPr>
                <w:rFonts w:ascii="Times New Roman" w:hAnsi="Times New Roman"/>
                <w:noProof/>
                <w:sz w:val="12"/>
              </w:rPr>
              <w:t xml:space="preserve"> portant adoption des dispositions générales d’exécution relatives à la notation du personnel</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15.12.2014</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21.12.2020</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7"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Décision du CEPD relative aux dispositions générales d’exécution de l’article 43 du statut et de l’article 44, premier alinéa, du statut</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21.12.2020</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Promotions</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38 </w:t>
            </w:r>
            <w:r>
              <w:rPr>
                <w:rFonts w:ascii="Times New Roman" w:hAnsi="Times New Roman"/>
                <w:i/>
                <w:iCs/>
                <w:noProof/>
                <w:sz w:val="12"/>
              </w:rPr>
              <w:t>ter</w:t>
            </w:r>
            <w:r>
              <w:rPr>
                <w:rFonts w:ascii="Times New Roman" w:hAnsi="Times New Roman"/>
                <w:noProof/>
                <w:sz w:val="12"/>
              </w:rPr>
              <w:t xml:space="preserve"> portant adoption des dispositions générales d’exécution relatives aux promotions</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24.5.2017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27.4.2022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836"/>
        </w:trPr>
        <w:tc>
          <w:tcPr>
            <w:tcW w:w="1157" w:type="dxa"/>
            <w:vMerge/>
            <w:tcBorders>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du Contrôleur européen de la protection des données</w:t>
            </w:r>
            <w:r>
              <w:rPr>
                <w:rFonts w:ascii="Times New Roman" w:hAnsi="Times New Roman"/>
                <w:noProof/>
                <w:sz w:val="12"/>
              </w:rPr>
              <w:br/>
              <w:t xml:space="preserve"> du 27 avril 2022 portant adoption de dispositions d’exécution relatives aux promotions et abrogeant la décision portant dispositions générales d’exécution relatives aux promotions</w:t>
            </w:r>
            <w:r>
              <w:rPr>
                <w:rFonts w:ascii="Times New Roman" w:hAnsi="Times New Roman"/>
                <w:noProof/>
                <w:sz w:val="12"/>
              </w:rPr>
              <w:br/>
              <w:t xml:space="preserve"> du 24 mai 2017</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27.4.2022</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7"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Art. 45 </w:t>
            </w:r>
            <w:r>
              <w:rPr>
                <w:rFonts w:ascii="Times New Roman" w:hAnsi="Times New Roman"/>
                <w:b/>
                <w:i/>
                <w:iCs/>
                <w:noProof/>
                <w:sz w:val="12"/>
              </w:rPr>
              <w:t>bis</w:t>
            </w:r>
          </w:p>
        </w:tc>
        <w:tc>
          <w:tcPr>
            <w:tcW w:w="2551"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Certification</w:t>
            </w:r>
          </w:p>
        </w:tc>
        <w:tc>
          <w:tcPr>
            <w:tcW w:w="3029"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Décision 43 </w:t>
            </w:r>
            <w:r>
              <w:rPr>
                <w:rFonts w:ascii="Times New Roman" w:hAnsi="Times New Roman"/>
                <w:i/>
                <w:iCs/>
                <w:noProof/>
                <w:sz w:val="12"/>
              </w:rPr>
              <w:t>ter</w:t>
            </w:r>
            <w:r>
              <w:rPr>
                <w:rFonts w:ascii="Times New Roman" w:hAnsi="Times New Roman"/>
                <w:noProof/>
                <w:sz w:val="12"/>
              </w:rPr>
              <w:t xml:space="preserve"> portant création des dispositions générales d’exécution de l’article 45 </w:t>
            </w:r>
            <w:r>
              <w:rPr>
                <w:rFonts w:ascii="Times New Roman" w:hAnsi="Times New Roman"/>
                <w:i/>
                <w:iCs/>
                <w:noProof/>
                <w:sz w:val="12"/>
              </w:rPr>
              <w:t>bis</w:t>
            </w:r>
          </w:p>
        </w:tc>
        <w:tc>
          <w:tcPr>
            <w:tcW w:w="1322"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15.12.2014</w:t>
            </w:r>
          </w:p>
        </w:tc>
        <w:tc>
          <w:tcPr>
            <w:tcW w:w="1687"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Chapitre 4 – Cessation définitive des fonctions</w:t>
            </w:r>
          </w:p>
        </w:tc>
      </w:tr>
      <w:tr>
        <w:trPr>
          <w:trHeight w:hRule="exact" w:val="3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Section 4 – Procédures de traitement de l’insuffisance professionnelle</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Insuffisance professionnelle </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du Contrôleur européen de la protection des données relative à la procédure de détection, de gestion et de résolution des cas d’insuffisance professionnelle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10.11.2015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IV – Des conditions de travail du fonctionnaire</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Chapitre 1 – Durée du travail</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Temps de travail</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relative au temps de travail</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21.4.2022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tcBorders>
              <w:left w:val="single" w:sz="6"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Décision du Contrôleur européen de la protection des données</w:t>
            </w:r>
            <w:r>
              <w:rPr>
                <w:rFonts w:ascii="Times New Roman" w:hAnsi="Times New Roman"/>
                <w:noProof/>
                <w:sz w:val="12"/>
              </w:rPr>
              <w:br/>
              <w:t xml:space="preserve"> du 21 avril 2022 relative au temps de travail et au travail hybride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21.4.2022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val="454"/>
        </w:trPr>
        <w:tc>
          <w:tcPr>
            <w:tcW w:w="1156"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55 </w:t>
            </w:r>
            <w:r>
              <w:rPr>
                <w:rFonts w:ascii="Times New Roman" w:hAnsi="Times New Roman"/>
                <w:b/>
                <w:i/>
                <w:iCs/>
                <w:noProof/>
                <w:sz w:val="12"/>
              </w:rPr>
              <w:t>bis</w:t>
            </w:r>
            <w:r>
              <w:rPr>
                <w:rFonts w:ascii="Times New Roman" w:hAnsi="Times New Roman"/>
                <w:b/>
                <w:noProof/>
                <w:sz w:val="12"/>
              </w:rPr>
              <w:t xml:space="preserve"> + annexe IV </w:t>
            </w:r>
            <w:r>
              <w:rPr>
                <w:rFonts w:ascii="Times New Roman" w:hAnsi="Times New Roman"/>
                <w:b/>
                <w:i/>
                <w:iCs/>
                <w:noProof/>
                <w:sz w:val="12"/>
              </w:rPr>
              <w:t>bis</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Activité à temps partiel</w:t>
            </w:r>
          </w:p>
        </w:tc>
        <w:tc>
          <w:tcPr>
            <w:tcW w:w="3029" w:type="dxa"/>
            <w:tcBorders>
              <w:top w:val="single" w:sz="3" w:space="0" w:color="000000"/>
              <w:left w:val="single" w:sz="4"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Décision 10 relative aux règles sur le travail à temps partiel</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val="454"/>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Télétravail</w:t>
            </w:r>
          </w:p>
        </w:tc>
        <w:tc>
          <w:tcPr>
            <w:tcW w:w="3029"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Décision relative au télétravail</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7.2.2019</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21.4.2022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Décision du Contrôleur européen de la protection des données</w:t>
            </w:r>
            <w:r>
              <w:rPr>
                <w:rFonts w:ascii="Times New Roman" w:hAnsi="Times New Roman"/>
                <w:noProof/>
                <w:sz w:val="12"/>
              </w:rPr>
              <w:br/>
              <w:t xml:space="preserve"> du 21 avril 2022 relative au temps de travail et au travail hybride</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21.4.2022</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2 – Congés</w:t>
            </w:r>
          </w:p>
        </w:tc>
      </w:tr>
      <w:tr>
        <w:trPr>
          <w:trHeight w:hRule="exact" w:val="567"/>
        </w:trPr>
        <w:tc>
          <w:tcPr>
            <w:tcW w:w="1156" w:type="dxa"/>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annexe V</w:t>
            </w:r>
          </w:p>
        </w:tc>
        <w:tc>
          <w:tcPr>
            <w:tcW w:w="2551" w:type="dxa"/>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Congés annuels et congés spéciaux</w:t>
            </w:r>
          </w:p>
        </w:tc>
        <w:tc>
          <w:tcPr>
            <w:tcW w:w="3029"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Décision relative aux congés</w:t>
            </w:r>
          </w:p>
        </w:tc>
        <w:tc>
          <w:tcPr>
            <w:tcW w:w="151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58</w:t>
            </w:r>
          </w:p>
        </w:tc>
        <w:tc>
          <w:tcPr>
            <w:tcW w:w="2551" w:type="dxa"/>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de maternité</w:t>
            </w:r>
          </w:p>
        </w:tc>
        <w:tc>
          <w:tcPr>
            <w:tcW w:w="3029" w:type="dxa"/>
            <w:vMerge/>
            <w:tcBorders>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p>
        </w:tc>
        <w:tc>
          <w:tcPr>
            <w:tcW w:w="151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p>
        </w:tc>
        <w:tc>
          <w:tcPr>
            <w:tcW w:w="1498" w:type="dxa"/>
            <w:vMerge/>
            <w:tcBorders>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Art. 57, par. 2 + annexe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Congés annuels et congés spéciaux</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Directive 2/2009 relative à la gestion du temps aux fins de l’allaitement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1.9.2009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à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 xml:space="preserve">Congé de maladie </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Décision portant création des dispositions d’application en matière d’absence pour maladie ou 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20.12.2004</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b/>
          <w:bCs/>
          <w:noProof/>
          <w:sz w:val="20"/>
          <w:szCs w:val="20"/>
        </w:rPr>
      </w:pPr>
    </w:p>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V + annexe VII – Du régime pécuniaire et des avantages sociaux du fonctionnaire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1 – Rémunération et remboursement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Annexe VII – Règles relatives à la rémunération et aux remboursements de frais</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Section 1 – Allocations familiales</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67 + 68 + annexe VII [art. 1</w:t>
            </w:r>
            <w:r>
              <w:rPr>
                <w:rFonts w:ascii="Times New Roman" w:hAnsi="Times New Roman"/>
                <w:b/>
                <w:noProof/>
                <w:sz w:val="12"/>
                <w:vertAlign w:val="superscript"/>
              </w:rPr>
              <w:t>er</w:t>
            </w:r>
            <w:r>
              <w:rPr>
                <w:rFonts w:ascii="Times New Roman" w:hAnsi="Times New Roman"/>
                <w:b/>
                <w:noProof/>
                <w:sz w:val="12"/>
              </w:rPr>
              <w:t>, par. 2, point 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Allocation de foyer par décision spéciale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Décision 21 portant création des dispositions générales d’exécution relatives à l’allocation de foyer par décision spéciale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5"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2, par.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Personnes assimilées à un enfant à charge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en matière de personne assimilée à l’enfant à charge</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et 68 + annexe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Allocation scolaire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Décision 55 portant création des dispositions générales d’exécution relatives à l’octroi de l’allocation scolaire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14.7.2014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tbl>
      <w:tblPr>
        <w:tblW w:w="17429"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gridCol w:w="1687"/>
        <w:gridCol w:w="1687"/>
        <w:gridCol w:w="1687"/>
        <w:gridCol w:w="1687"/>
      </w:tblGrid>
      <w:tr>
        <w:trPr>
          <w:gridAfter w:val="4"/>
          <w:wAfter w:w="6748" w:type="dxa"/>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Section 3 – Remboursement de frais</w:t>
            </w:r>
          </w:p>
        </w:tc>
      </w:tr>
      <w:tr>
        <w:trPr>
          <w:gridAfter w:val="4"/>
          <w:wAfter w:w="6748" w:type="dxa"/>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annexe VII </w:t>
            </w:r>
            <w:r>
              <w:rPr>
                <w:rFonts w:ascii="Times New Roman" w:hAnsi="Times New Roman"/>
                <w:b/>
                <w:noProof/>
                <w:sz w:val="12"/>
              </w:rPr>
              <w:br/>
              <w:t>(art. 7 et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Frais de voyage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Décision portant adoption des dispositions générales d’exécution relatives aux frais de voyage annuel</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gridAfter w:val="4"/>
          <w:wAfter w:w="6748" w:type="dxa"/>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bookmarkStart w:id="28" w:name="_Hlk225238360"/>
            <w:r>
              <w:rPr>
                <w:rFonts w:ascii="Times New Roman" w:hAnsi="Times New Roman"/>
                <w:b/>
                <w:noProof/>
                <w:sz w:val="16"/>
              </w:rPr>
              <w:t>Lieu d’origine</w:t>
            </w:r>
            <w:bookmarkEnd w:id="28"/>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Décision portant création des dispositions générales d’exécution de l’article 7, paragraphe 4, de l’annexe VII relatif au lieu d’origine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annexe VII</w:t>
            </w:r>
            <w:r>
              <w:rPr>
                <w:rFonts w:ascii="Times New Roman" w:hAnsi="Times New Roman"/>
                <w:b/>
                <w:noProof/>
                <w:sz w:val="12"/>
              </w:rPr>
              <w:br/>
              <w:t xml:space="preserve"> (art.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déménagement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Décision 53 portant adoption des dispositions générales d’exécution relatives aux frais de déménagement</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c>
          <w:tcPr>
            <w:tcW w:w="1687" w:type="dxa"/>
            <w:vAlign w:val="center"/>
          </w:tcPr>
          <w:p>
            <w:pPr>
              <w:rPr>
                <w:noProof/>
              </w:rPr>
            </w:pPr>
          </w:p>
        </w:tc>
        <w:tc>
          <w:tcPr>
            <w:tcW w:w="1687" w:type="dxa"/>
            <w:vAlign w:val="center"/>
          </w:tcPr>
          <w:p>
            <w:pPr>
              <w:rPr>
                <w:noProof/>
              </w:rPr>
            </w:pPr>
          </w:p>
        </w:tc>
        <w:tc>
          <w:tcPr>
            <w:tcW w:w="1687" w:type="dxa"/>
            <w:vAlign w:val="center"/>
          </w:tcPr>
          <w:p>
            <w:pPr>
              <w:rPr>
                <w:noProof/>
              </w:rPr>
            </w:pPr>
          </w:p>
        </w:tc>
        <w:tc>
          <w:tcPr>
            <w:tcW w:w="1687" w:type="dxa"/>
            <w:vAlign w:val="center"/>
          </w:tcPr>
          <w:p>
            <w:pPr>
              <w:rPr>
                <w:noProof/>
              </w:rPr>
            </w:pPr>
          </w:p>
        </w:tc>
      </w:tr>
      <w:tr>
        <w:trPr>
          <w:gridAfter w:val="4"/>
          <w:wAfter w:w="6748" w:type="dxa"/>
          <w:trHeight w:hRule="exact" w:val="567"/>
        </w:trPr>
        <w:tc>
          <w:tcPr>
            <w:tcW w:w="1156" w:type="dxa"/>
            <w:vMerge w:val="restart"/>
            <w:tcBorders>
              <w:top w:val="single" w:sz="4" w:space="0" w:color="000000"/>
              <w:left w:val="single" w:sz="4"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annexe VII </w:t>
            </w:r>
            <w:r>
              <w:rPr>
                <w:rFonts w:ascii="Times New Roman" w:hAnsi="Times New Roman"/>
                <w:b/>
                <w:noProof/>
                <w:sz w:val="12"/>
              </w:rPr>
              <w:br/>
              <w:t>(art. 11 à 13 </w:t>
            </w:r>
            <w:r>
              <w:rPr>
                <w:rFonts w:ascii="Times New Roman" w:hAnsi="Times New Roman"/>
                <w:b/>
                <w:i/>
                <w:iCs/>
                <w:noProof/>
                <w:sz w:val="12"/>
              </w:rPr>
              <w:t>bis</w:t>
            </w:r>
            <w:r>
              <w:rPr>
                <w:rFonts w:ascii="Times New Roman" w:hAnsi="Times New Roman"/>
                <w:b/>
                <w:noProof/>
                <w:sz w:val="12"/>
              </w:rPr>
              <w:t>)</w:t>
            </w:r>
          </w:p>
        </w:tc>
        <w:tc>
          <w:tcPr>
            <w:tcW w:w="2551"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Frais de mission et de déplacement</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portant adoption du guide des missions</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9.12.2004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20.6.2022</w:t>
            </w:r>
          </w:p>
        </w:tc>
        <w:tc>
          <w:tcPr>
            <w:tcW w:w="936" w:type="dxa"/>
            <w:vMerge w:val="restart"/>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gridAfter w:val="4"/>
          <w:wAfter w:w="6748" w:type="dxa"/>
          <w:trHeight w:hRule="exact" w:val="567"/>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Décision du CEPD concernant les missions et les déplacements autorisés, modifiant et approuvant le guide des missions du CEPD</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20.6.2022</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Chapitre 3 + annexes VIII et XIII – Pensions et allocation d’invalidité</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annexe XIII</w:t>
            </w:r>
            <w:r>
              <w:rPr>
                <w:rFonts w:ascii="Times New Roman" w:hAnsi="Times New Roman"/>
                <w:b/>
                <w:noProof/>
                <w:sz w:val="12"/>
              </w:rPr>
              <w:br/>
              <w:t xml:space="preserve"> (art. 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Calcul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Dispositions générales d’exécution de l’article 4 de l’annexe VIII relatif au calcul des droits à pension pour la période de travail précédant l’entrée en service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1.10.2007</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annexe VIII </w:t>
            </w:r>
            <w:r>
              <w:rPr>
                <w:rFonts w:ascii="Times New Roman" w:hAnsi="Times New Roman"/>
                <w:b/>
                <w:noProof/>
                <w:sz w:val="12"/>
              </w:rPr>
              <w:br/>
              <w:t>(art. 11 et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Transfert des droits à pension</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36 </w:t>
            </w:r>
            <w:r>
              <w:rPr>
                <w:rFonts w:ascii="Times New Roman" w:hAnsi="Times New Roman"/>
                <w:i/>
                <w:iCs/>
                <w:noProof/>
                <w:sz w:val="12"/>
              </w:rPr>
              <w:t>bis</w:t>
            </w:r>
            <w:r>
              <w:rPr>
                <w:rFonts w:ascii="Times New Roman" w:hAnsi="Times New Roman"/>
                <w:noProof/>
                <w:sz w:val="12"/>
              </w:rPr>
              <w:t xml:space="preserve"> portant adoption des dispositions générales d’exécution des articles 11 et 12 de l’annexe VIII relatifs au transfert de droits à pension</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16.2.2012</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Titre VI – Mesures disciplinaires  </w:t>
            </w:r>
          </w:p>
        </w:tc>
      </w:tr>
      <w:tr>
        <w:trPr>
          <w:trHeight w:hRule="exact" w:val="717"/>
        </w:trPr>
        <w:tc>
          <w:tcPr>
            <w:tcW w:w="1156"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annexe IX</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disciplinaires et enquêtes administratives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du CEPD portant adoption de dispositions d’exécution concernant la conduite des enquêtes administratives et des procédures disciplinaires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86 + annexe IX</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Lutte contre la fraude, la corruption et toute autre activité illégale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Décision relative aux conditions et modalités des enquêtes internes en matière de lutte contre la fraude, la corruption et toute activité illégale préjudiciable aux intérêts de l’Union</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24.9.2019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 Titre VII – Voies de recours  </w:t>
            </w:r>
          </w:p>
        </w:tc>
      </w:tr>
      <w:tr>
        <w:trPr>
          <w:trHeight w:hRule="exact" w:val="567"/>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90 à 91</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Réclamations et recours</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Décision portant adoption des mesures d’exécution relatives aux </w:t>
            </w:r>
            <w:r>
              <w:rPr>
                <w:rFonts w:ascii="Times New Roman" w:hAnsi="Times New Roman"/>
                <w:noProof/>
                <w:sz w:val="12"/>
              </w:rPr>
              <w:br/>
              <w:t>articles 90 et 91</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lastRenderedPageBreak/>
              <w:t>Régime applicable aux autres agents</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Article</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Sujet</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Règle d’exécution</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Entrée en vigueur</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Date d’expiration</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Comptabilisation</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Titre II – Agents temporaires</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Chapitre 4 – Conditions de travail</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Congé de maternité et son paiement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Décision 51 relative au congé de maternité et à son paiement pour les femmes dont le congé de maternité débute avant la fin de leur contrat</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Titre IV – Agents contractuels</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Chapitre 1 – Dispositions générales</w:t>
            </w:r>
          </w:p>
        </w:tc>
      </w:tr>
      <w:tr>
        <w:trPr>
          <w:trHeight w:hRule="exact" w:val="1034"/>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paragraphe 2</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Recours aux agents contractuels</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Décision 48 portant dispositions générales d’exécution de l’article 79, paragraphe 2, du RAA relatif aux conditions d’engagement des agents contractuels 3 </w:t>
            </w:r>
            <w:r>
              <w:rPr>
                <w:rFonts w:ascii="Times New Roman" w:hAnsi="Times New Roman"/>
                <w:i/>
                <w:iCs/>
                <w:noProof/>
                <w:sz w:val="12"/>
              </w:rPr>
              <w:t>bis</w:t>
            </w:r>
            <w:r>
              <w:rPr>
                <w:rFonts w:ascii="Times New Roman" w:hAnsi="Times New Roman"/>
                <w:noProof/>
                <w:sz w:val="12"/>
              </w:rPr>
              <w:t xml:space="preserve"> et 3 </w:t>
            </w:r>
            <w:r>
              <w:rPr>
                <w:rFonts w:ascii="Times New Roman" w:hAnsi="Times New Roman"/>
                <w:i/>
                <w:iCs/>
                <w:noProof/>
                <w:sz w:val="12"/>
              </w:rPr>
              <w:t>ter</w:t>
            </w:r>
            <w:r>
              <w:rPr>
                <w:rFonts w:ascii="Times New Roman" w:hAnsi="Times New Roman"/>
                <w:noProof/>
                <w:sz w:val="12"/>
              </w:rPr>
              <w:t xml:space="preserve"> (modifiée par la décision 56 </w:t>
            </w:r>
            <w:r>
              <w:rPr>
                <w:rFonts w:ascii="Times New Roman" w:hAnsi="Times New Roman"/>
                <w:noProof/>
                <w:sz w:val="12"/>
              </w:rPr>
              <w:br/>
              <w:t>du 1</w:t>
            </w:r>
            <w:r>
              <w:rPr>
                <w:rFonts w:ascii="Times New Roman" w:hAnsi="Times New Roman"/>
                <w:noProof/>
                <w:sz w:val="12"/>
                <w:vertAlign w:val="superscript"/>
              </w:rPr>
              <w:t>er</w:t>
            </w:r>
            <w:r>
              <w:rPr>
                <w:rFonts w:ascii="Times New Roman" w:hAnsi="Times New Roman"/>
                <w:noProof/>
                <w:sz w:val="12"/>
              </w:rPr>
              <w:t> janvier 2014 portant dispositions générales d’exécution relatives aux conditions d’engagement des agents contractuels)</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16.2.2012</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4.11.2020</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DGE</w:t>
            </w:r>
          </w:p>
        </w:tc>
      </w:tr>
      <w:tr>
        <w:trPr>
          <w:trHeight w:hRule="exact" w:val="1276"/>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2" w:after="0" w:line="254" w:lineRule="auto"/>
              <w:ind w:right="34"/>
              <w:jc w:val="center"/>
              <w:rPr>
                <w:rFonts w:ascii="Times New Roman" w:eastAsia="Calibri" w:hAnsi="Times New Roman" w:cs="Times New Roman"/>
                <w:noProof/>
                <w:sz w:val="12"/>
              </w:rPr>
            </w:pPr>
            <w:r>
              <w:rPr>
                <w:rFonts w:ascii="Times New Roman" w:hAnsi="Times New Roman"/>
                <w:noProof/>
                <w:sz w:val="12"/>
              </w:rPr>
              <w:t xml:space="preserve">Décision du Contrôleur européen de la protection des données </w:t>
            </w:r>
            <w:r>
              <w:rPr>
                <w:rFonts w:ascii="Times New Roman" w:hAnsi="Times New Roman"/>
                <w:noProof/>
                <w:sz w:val="12"/>
              </w:rPr>
              <w:br/>
              <w:t>du 4 novembre 2020 relative aux dispositions générales</w:t>
            </w:r>
            <w:r>
              <w:rPr>
                <w:rFonts w:ascii="Times New Roman" w:hAnsi="Times New Roman"/>
                <w:noProof/>
                <w:sz w:val="12"/>
              </w:rPr>
              <w:br/>
              <w:t xml:space="preserve"> d’exécution de l’article 79, paragraphe 2 du régime</w:t>
            </w:r>
            <w:r>
              <w:rPr>
                <w:rFonts w:ascii="Times New Roman" w:hAnsi="Times New Roman"/>
                <w:noProof/>
                <w:sz w:val="12"/>
              </w:rPr>
              <w:br/>
              <w:t xml:space="preserve"> applicable aux autres agents de l’Union européenne, régissant les conditions d’emploi des agents contractuels engagés par le Contrôleur européen de la protection des données en vertu des articles 3 </w:t>
            </w:r>
            <w:r>
              <w:rPr>
                <w:rFonts w:ascii="Times New Roman" w:hAnsi="Times New Roman"/>
                <w:i/>
                <w:iCs/>
                <w:noProof/>
                <w:sz w:val="12"/>
              </w:rPr>
              <w:t>bis</w:t>
            </w:r>
            <w:r>
              <w:rPr>
                <w:rFonts w:ascii="Times New Roman" w:hAnsi="Times New Roman"/>
                <w:noProof/>
                <w:sz w:val="12"/>
              </w:rPr>
              <w:t xml:space="preserve"> et 3 </w:t>
            </w:r>
            <w:r>
              <w:rPr>
                <w:rFonts w:ascii="Times New Roman" w:hAnsi="Times New Roman"/>
                <w:i/>
                <w:iCs/>
                <w:noProof/>
                <w:sz w:val="12"/>
              </w:rPr>
              <w:t>ter</w:t>
            </w:r>
            <w:r>
              <w:rPr>
                <w:rFonts w:ascii="Times New Roman" w:hAnsi="Times New Roman"/>
                <w:noProof/>
                <w:sz w:val="12"/>
              </w:rPr>
              <w:t xml:space="preserve"> dudit régime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4.11.2020</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Chapitre 3 – Conditions d’engagement</w:t>
            </w:r>
          </w:p>
        </w:tc>
      </w:tr>
      <w:tr>
        <w:trPr>
          <w:trHeight w:hRule="exact" w:val="1266"/>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Procédures de recrutement des agents contractuels</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 xml:space="preserve">Décision 48 portant dispositions générales d’exécution de l’article 79, paragraphe 2, du RAA relatif aux conditions d’engagement </w:t>
            </w:r>
            <w:r>
              <w:rPr>
                <w:rFonts w:ascii="Times New Roman" w:hAnsi="Times New Roman"/>
                <w:noProof/>
                <w:sz w:val="12"/>
              </w:rPr>
              <w:br/>
              <w:t>des agents contractuels 3 </w:t>
            </w:r>
            <w:r>
              <w:rPr>
                <w:rFonts w:ascii="Times New Roman" w:hAnsi="Times New Roman"/>
                <w:i/>
                <w:iCs/>
                <w:noProof/>
                <w:sz w:val="12"/>
              </w:rPr>
              <w:t>bis</w:t>
            </w:r>
            <w:r>
              <w:rPr>
                <w:rFonts w:ascii="Times New Roman" w:hAnsi="Times New Roman"/>
                <w:noProof/>
                <w:sz w:val="12"/>
              </w:rPr>
              <w:t xml:space="preserve"> et 3 </w:t>
            </w:r>
            <w:r>
              <w:rPr>
                <w:rFonts w:ascii="Times New Roman" w:hAnsi="Times New Roman"/>
                <w:i/>
                <w:iCs/>
                <w:noProof/>
                <w:sz w:val="12"/>
              </w:rPr>
              <w:t>ter</w:t>
            </w:r>
            <w:r>
              <w:rPr>
                <w:rFonts w:ascii="Times New Roman" w:hAnsi="Times New Roman"/>
                <w:noProof/>
                <w:sz w:val="12"/>
              </w:rPr>
              <w:t xml:space="preserve"> (modifiée par la décision 56</w:t>
            </w:r>
            <w:r>
              <w:rPr>
                <w:rFonts w:ascii="Times New Roman" w:hAnsi="Times New Roman"/>
                <w:noProof/>
                <w:sz w:val="12"/>
              </w:rPr>
              <w:br/>
              <w:t xml:space="preserve"> du 1</w:t>
            </w:r>
            <w:r>
              <w:rPr>
                <w:rFonts w:ascii="Times New Roman" w:hAnsi="Times New Roman"/>
                <w:noProof/>
                <w:sz w:val="12"/>
                <w:vertAlign w:val="superscript"/>
              </w:rPr>
              <w:t>er</w:t>
            </w:r>
            <w:r>
              <w:rPr>
                <w:rFonts w:ascii="Times New Roman" w:hAnsi="Times New Roman"/>
                <w:noProof/>
                <w:sz w:val="12"/>
              </w:rPr>
              <w:t> janvier 2014 portant dispositions générales d’exécution relatives aux conditions d’engagement des agents contractuels)</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16.2.2012</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127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Procédures de recrutement des agents contractuels</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Décision 48 portant dispositions générales d’exécution de l’article 79, paragraphe 2, du RAA relatif aux conditions d’engagement </w:t>
            </w:r>
            <w:r>
              <w:rPr>
                <w:rFonts w:ascii="Times New Roman" w:hAnsi="Times New Roman"/>
                <w:noProof/>
                <w:sz w:val="12"/>
              </w:rPr>
              <w:br/>
              <w:t>des agents contractuels 3 </w:t>
            </w:r>
            <w:r>
              <w:rPr>
                <w:rFonts w:ascii="Times New Roman" w:hAnsi="Times New Roman"/>
                <w:i/>
                <w:iCs/>
                <w:noProof/>
                <w:sz w:val="12"/>
              </w:rPr>
              <w:t>bis</w:t>
            </w:r>
            <w:r>
              <w:rPr>
                <w:rFonts w:ascii="Times New Roman" w:hAnsi="Times New Roman"/>
                <w:noProof/>
                <w:sz w:val="12"/>
              </w:rPr>
              <w:t xml:space="preserve"> et 3 </w:t>
            </w:r>
            <w:r>
              <w:rPr>
                <w:rFonts w:ascii="Times New Roman" w:hAnsi="Times New Roman"/>
                <w:i/>
                <w:iCs/>
                <w:noProof/>
                <w:sz w:val="12"/>
              </w:rPr>
              <w:t>ter</w:t>
            </w:r>
            <w:r>
              <w:rPr>
                <w:rFonts w:ascii="Times New Roman" w:hAnsi="Times New Roman"/>
                <w:noProof/>
                <w:sz w:val="12"/>
              </w:rPr>
              <w:t xml:space="preserve"> (modifiée par la décision 56</w:t>
            </w:r>
            <w:r>
              <w:rPr>
                <w:rFonts w:ascii="Times New Roman" w:hAnsi="Times New Roman"/>
                <w:noProof/>
                <w:sz w:val="12"/>
              </w:rPr>
              <w:br/>
              <w:t xml:space="preserve"> du 1</w:t>
            </w:r>
            <w:r>
              <w:rPr>
                <w:rFonts w:ascii="Times New Roman" w:hAnsi="Times New Roman"/>
                <w:noProof/>
                <w:sz w:val="12"/>
                <w:vertAlign w:val="superscript"/>
              </w:rPr>
              <w:t>er</w:t>
            </w:r>
            <w:r>
              <w:rPr>
                <w:rFonts w:ascii="Times New Roman" w:hAnsi="Times New Roman"/>
                <w:noProof/>
                <w:sz w:val="12"/>
              </w:rPr>
              <w:t> janvier 2014 portant dispositions générales d’exécution relatives aux conditions d’engagement des agents contractuels)</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16.2.2012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Chapitre 5 – Dispositions particulières</w:t>
            </w:r>
          </w:p>
        </w:tc>
      </w:tr>
      <w:tr>
        <w:trPr>
          <w:trHeight w:hRule="exact" w:val="5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2 + 88</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Durée maximale du recours au personnel non permanent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Décision du Contrôleur européen de la protection des données (CEPD) du 13.12.2018 relative à la durée maximale du recours au personnel non permanent au sein du CEPD</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13.12.2018</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RE</w:t>
            </w:r>
          </w:p>
        </w:tc>
      </w:tr>
    </w:tbl>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after="0" w:line="240" w:lineRule="auto"/>
        <w:jc w:val="center"/>
        <w:rPr>
          <w:rFonts w:ascii="Times New Roman" w:eastAsia="Times New Roman" w:hAnsi="Times New Roman" w:cs="Times New Roman"/>
          <w:noProof/>
          <w:sz w:val="20"/>
          <w:szCs w:val="20"/>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Légende</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2576"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2054482631" name="Rectangle 2054482631"/>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54482631" o:spid="_x0000_s1033" style="position:absolute;margin-left:178.4pt;margin-top:17.9pt;width:156.2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TJwQIAABUGAAAOAAAAZHJzL2Uyb0RvYy54bWysVG1P2zAQ/j5p/8Hy95GmtFAiUlSBmCYx&#10;QMDEZ9exm0h+m+026X79znYSCuxFmvYlse/lubvHd3d+0UmBdsy6RqsS50cTjJiiumrUpsTfnq4/&#10;LTBynqiKCK1YiffM4Yvlxw/nrSnYVNdaVMwiAFGuaE2Ja+9NkWWO1kwSd6QNU6Dk2kri4Wo3WWVJ&#10;C+hSZNPJ5CRrta2M1ZQ5B9KrpMTLiM85o/6Oc8c8EiWG3Hz82vhdh2+2PCfFxhJTN7RPg/xDFpI0&#10;CoKOUFfEE7S1zTso2VCrneb+iGqZac4bymINUE0+eVPNY00Mi7UAOc6MNLn/B0tvd/cWNVWJp5P5&#10;bLaYnhznGCki4a0egD2iNoKhAx0Q1hpXgN+jubf9zcExVN9xK8Mf6kJdJHk/ksw6jygI87PF8Xw2&#10;x4iCbjY/hVcMr5C9eBvr/GemJQqHEltII3JLdjfOJ9PBJARzWjTVdSNEvITGYZfCoh2BJ/fdNLqK&#10;rfyqqySDgCkkKUAM7ZHEi0EMmcT2Cygxr1cBhEItFDE9BYy/R8/70g4gAF4owA0sJt7iye8FC3hC&#10;PTAODwJMpdTHXFKahFKmfJ5i16RiSTz/bfYRMCBzoGjE7gFeszVgJ457++DK4iSNzn3lf3IePWJk&#10;rfzoLBulbUr/NYCAqvrIyX4gKVETWPLduovNehosg2Stqz00sNVpsp2h1w10zQ1x/p5YGGUYelhP&#10;/g4+XGh4Ot2fMKq1/fErebCHCQMtRi2shhK771tiGUbii4LZO8tns7BL4iV2MEb2ULM+1KitvNTQ&#10;ijBWkF08grP1Yjhyq+UzbLFViAoqoijELjH1drhc+rSyYA9StlpFM9gfhvgb9WhoAA88h6l46p6J&#10;Nf3oeBi6Wz2sEVK8maBkGzyVXm295k0crxde+xeA3RMHod+TYbkd3qPVyzZf/gQ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sbRUycECAAAV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color w:val="000000" w:themeColor="text1"/>
                          <w:spacing w:val="-1"/>
                          <w:sz w:val="16"/>
                        </w:rPr>
                      </w:pPr>
                      <w:r>
                        <w:rPr>
                          <w:rFonts w:ascii="Times New Roman" w:hAnsi="Times New Roman"/>
                          <w:b/>
                          <w:color w:val="000000" w:themeColor="text1"/>
                          <w:sz w:val="16"/>
                        </w:rPr>
                        <w:t>Règle arrêtée d’un commun accord entre les institutions</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Disposition générale d’exécution (DGE)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Autre règle d’exécution (RE)</w:t>
            </w:r>
          </w:p>
        </w:tc>
      </w:tr>
    </w:tbl>
    <w:p>
      <w:pPr>
        <w:rPr>
          <w:noProof/>
        </w:rPr>
      </w:pPr>
    </w:p>
    <w:p>
      <w:pPr>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sz w:val="16"/>
          <w:szCs w:val="16"/>
        </w:rPr>
      </w:pPr>
      <w:bookmarkStart w:id="26" w:name="_Hlk165031264"/>
      <w:r>
        <w:rPr>
          <w:rStyle w:val="FootnoteReference"/>
          <w:sz w:val="16"/>
          <w:szCs w:val="16"/>
        </w:rPr>
        <w:footnoteRef/>
      </w:r>
      <w:r>
        <w:rPr>
          <w:sz w:val="16"/>
        </w:rPr>
        <w:t xml:space="preserve"> Décision 282/23 A relative aux modalités de travail hybride et aux modalités d’octroi des heures supplémentaires et du congé spécial pour travail exceptionnel au CESE, adoptée le 22.2.2023 et entrée en vigueur le 1.1.2024.</w:t>
      </w:r>
      <w:bookmarkEnd w:id="26"/>
    </w:p>
  </w:footnote>
  <w:footnote w:id="2">
    <w:p>
      <w:pPr>
        <w:pStyle w:val="FootnoteText"/>
        <w:rPr>
          <w:sz w:val="16"/>
          <w:szCs w:val="16"/>
        </w:rPr>
      </w:pPr>
      <w:r>
        <w:rPr>
          <w:rStyle w:val="FootnoteReference"/>
          <w:sz w:val="16"/>
          <w:szCs w:val="16"/>
        </w:rPr>
        <w:footnoteRef/>
      </w:r>
      <w:r>
        <w:rPr>
          <w:sz w:val="16"/>
        </w:rPr>
        <w:t xml:space="preserve"> Idem.</w:t>
      </w:r>
    </w:p>
  </w:footnote>
  <w:footnote w:id="3">
    <w:p>
      <w:pPr>
        <w:pStyle w:val="FootnoteText"/>
        <w:rPr>
          <w:sz w:val="16"/>
          <w:szCs w:val="16"/>
        </w:rPr>
      </w:pPr>
      <w:r>
        <w:rPr>
          <w:rStyle w:val="FootnoteReference"/>
          <w:sz w:val="16"/>
          <w:szCs w:val="16"/>
        </w:rPr>
        <w:footnoteRef/>
      </w:r>
      <w:r>
        <w:rPr>
          <w:sz w:val="16"/>
        </w:rPr>
        <w:t xml:space="preserve"> 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37E31"/>
    <w:multiLevelType w:val="hybridMultilevel"/>
    <w:tmpl w:val="DF08B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2435B6"/>
    <w:multiLevelType w:val="multilevel"/>
    <w:tmpl w:val="738E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D6D7F"/>
    <w:multiLevelType w:val="hybridMultilevel"/>
    <w:tmpl w:val="E84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7431E"/>
    <w:multiLevelType w:val="multilevel"/>
    <w:tmpl w:val="1988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7545E0"/>
    <w:multiLevelType w:val="multilevel"/>
    <w:tmpl w:val="A57E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du"/>
    <w:docVar w:name="LW_ANNEX_NBR_FIRST" w:val="2"/>
    <w:docVar w:name="LW_ANNEX_NBR_LAST" w:val="2"/>
    <w:docVar w:name="LW_ANNEX_UNIQUE" w:val="0"/>
    <w:docVar w:name="LW_CORRIGENDUM" w:val="&lt;UNUSED&gt;"/>
    <w:docVar w:name="LW_COVERPAGE_EXISTS" w:val="True"/>
    <w:docVar w:name="LW_COVERPAGE_GUID" w:val="8300A354-AF32-4592-9F6C-1771C948BCD6"/>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sur les règles d\u8217?exécution du statut des fonctionnaires adoptées par l\u8217?autorité investie du pouvoir de nomination de chaque institution_x000d_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AU PARLEMENT EUROPEÉEN ET AU CONSE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bidi="ne-N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D4C2CFAC-4C3C-4BD3-B532-E45C40BD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1">
    <w:name w:val="No List11"/>
    <w:next w:val="NoList"/>
    <w:uiPriority w:val="99"/>
    <w:semiHidden/>
    <w:unhideWhenUsed/>
  </w:style>
  <w:style w:type="paragraph" w:styleId="BodyText">
    <w:name w:val="Body Text"/>
    <w:basedOn w:val="Normal"/>
    <w:link w:val="BodyTextChar"/>
    <w:uiPriority w:val="1"/>
    <w:qFormat/>
    <w:pPr>
      <w:widowControl w:val="0"/>
      <w:spacing w:before="83" w:after="0" w:line="240" w:lineRule="auto"/>
      <w:ind w:left="920"/>
    </w:pPr>
    <w:rPr>
      <w:rFonts w:ascii="Times New Roman" w:eastAsia="Times New Roman" w:hAnsi="Times New Roman"/>
      <w:i/>
      <w:sz w:val="15"/>
      <w:szCs w:val="15"/>
    </w:rPr>
  </w:style>
  <w:style w:type="character" w:customStyle="1" w:styleId="BodyTextChar">
    <w:name w:val="Body Text Char"/>
    <w:basedOn w:val="DefaultParagraphFont"/>
    <w:link w:val="BodyText"/>
    <w:uiPriority w:val="1"/>
    <w:rPr>
      <w:rFonts w:ascii="Times New Roman" w:eastAsia="Times New Roman" w:hAnsi="Times New Roman"/>
      <w:i/>
      <w:sz w:val="15"/>
      <w:szCs w:val="15"/>
      <w:lang w:val="fr-FR"/>
    </w:rPr>
  </w:style>
  <w:style w:type="paragraph" w:styleId="ListParagraph">
    <w:name w:val="List Paragraph"/>
    <w:basedOn w:val="Normal"/>
    <w:uiPriority w:val="34"/>
    <w:qFormat/>
    <w:pPr>
      <w:widowControl w:val="0"/>
      <w:spacing w:after="0" w:line="240" w:lineRule="auto"/>
    </w:pPr>
  </w:style>
  <w:style w:type="paragraph" w:customStyle="1" w:styleId="TableParagraph">
    <w:name w:val="Table Paragraph"/>
    <w:basedOn w:val="Normal"/>
    <w:uiPriority w:val="1"/>
    <w:qFormat/>
    <w:pPr>
      <w:widowControl w:val="0"/>
      <w:spacing w:after="0" w:line="240" w:lineRule="auto"/>
    </w:p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bCs/>
      <w:sz w:val="24"/>
      <w:szCs w:val="24"/>
      <w:lang w:eastAsia="en-GB"/>
    </w:rPr>
  </w:style>
  <w:style w:type="paragraph" w:customStyle="1" w:styleId="Typedudocument">
    <w:name w:val="Type du document"/>
    <w:basedOn w:val="Normal"/>
    <w:next w:val="Normal"/>
    <w:pPr>
      <w:spacing w:before="360" w:after="0" w:line="240" w:lineRule="auto"/>
      <w:jc w:val="center"/>
    </w:pPr>
    <w:rPr>
      <w:rFonts w:ascii="Times New Roman" w:eastAsia="Times New Roman" w:hAnsi="Times New Roman" w:cs="Times New Roman"/>
      <w:b/>
      <w:bCs/>
      <w:sz w:val="24"/>
      <w:szCs w:val="24"/>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fr-FR"/>
    </w:rPr>
  </w:style>
  <w:style w:type="character" w:styleId="FootnoteReference">
    <w:name w:val="foot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509">
      <w:bodyDiv w:val="1"/>
      <w:marLeft w:val="0"/>
      <w:marRight w:val="0"/>
      <w:marTop w:val="0"/>
      <w:marBottom w:val="0"/>
      <w:divBdr>
        <w:top w:val="none" w:sz="0" w:space="0" w:color="auto"/>
        <w:left w:val="none" w:sz="0" w:space="0" w:color="auto"/>
        <w:bottom w:val="none" w:sz="0" w:space="0" w:color="auto"/>
        <w:right w:val="none" w:sz="0" w:space="0" w:color="auto"/>
      </w:divBdr>
    </w:div>
    <w:div w:id="192153080">
      <w:bodyDiv w:val="1"/>
      <w:marLeft w:val="0"/>
      <w:marRight w:val="0"/>
      <w:marTop w:val="0"/>
      <w:marBottom w:val="0"/>
      <w:divBdr>
        <w:top w:val="none" w:sz="0" w:space="0" w:color="auto"/>
        <w:left w:val="none" w:sz="0" w:space="0" w:color="auto"/>
        <w:bottom w:val="none" w:sz="0" w:space="0" w:color="auto"/>
        <w:right w:val="none" w:sz="0" w:space="0" w:color="auto"/>
      </w:divBdr>
    </w:div>
    <w:div w:id="193156913">
      <w:bodyDiv w:val="1"/>
      <w:marLeft w:val="0"/>
      <w:marRight w:val="0"/>
      <w:marTop w:val="0"/>
      <w:marBottom w:val="0"/>
      <w:divBdr>
        <w:top w:val="none" w:sz="0" w:space="0" w:color="auto"/>
        <w:left w:val="none" w:sz="0" w:space="0" w:color="auto"/>
        <w:bottom w:val="none" w:sz="0" w:space="0" w:color="auto"/>
        <w:right w:val="none" w:sz="0" w:space="0" w:color="auto"/>
      </w:divBdr>
      <w:divsChild>
        <w:div w:id="2082754472">
          <w:marLeft w:val="0"/>
          <w:marRight w:val="0"/>
          <w:marTop w:val="0"/>
          <w:marBottom w:val="0"/>
          <w:divBdr>
            <w:top w:val="none" w:sz="0" w:space="0" w:color="auto"/>
            <w:left w:val="none" w:sz="0" w:space="0" w:color="auto"/>
            <w:bottom w:val="none" w:sz="0" w:space="0" w:color="auto"/>
            <w:right w:val="none" w:sz="0" w:space="0" w:color="auto"/>
          </w:divBdr>
          <w:divsChild>
            <w:div w:id="10771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7244">
      <w:bodyDiv w:val="1"/>
      <w:marLeft w:val="0"/>
      <w:marRight w:val="0"/>
      <w:marTop w:val="0"/>
      <w:marBottom w:val="0"/>
      <w:divBdr>
        <w:top w:val="none" w:sz="0" w:space="0" w:color="auto"/>
        <w:left w:val="none" w:sz="0" w:space="0" w:color="auto"/>
        <w:bottom w:val="none" w:sz="0" w:space="0" w:color="auto"/>
        <w:right w:val="none" w:sz="0" w:space="0" w:color="auto"/>
      </w:divBdr>
    </w:div>
    <w:div w:id="544030640">
      <w:bodyDiv w:val="1"/>
      <w:marLeft w:val="0"/>
      <w:marRight w:val="0"/>
      <w:marTop w:val="0"/>
      <w:marBottom w:val="0"/>
      <w:divBdr>
        <w:top w:val="none" w:sz="0" w:space="0" w:color="auto"/>
        <w:left w:val="none" w:sz="0" w:space="0" w:color="auto"/>
        <w:bottom w:val="none" w:sz="0" w:space="0" w:color="auto"/>
        <w:right w:val="none" w:sz="0" w:space="0" w:color="auto"/>
      </w:divBdr>
    </w:div>
    <w:div w:id="737751806">
      <w:bodyDiv w:val="1"/>
      <w:marLeft w:val="0"/>
      <w:marRight w:val="0"/>
      <w:marTop w:val="0"/>
      <w:marBottom w:val="0"/>
      <w:divBdr>
        <w:top w:val="none" w:sz="0" w:space="0" w:color="auto"/>
        <w:left w:val="none" w:sz="0" w:space="0" w:color="auto"/>
        <w:bottom w:val="none" w:sz="0" w:space="0" w:color="auto"/>
        <w:right w:val="none" w:sz="0" w:space="0" w:color="auto"/>
      </w:divBdr>
    </w:div>
    <w:div w:id="835191806">
      <w:bodyDiv w:val="1"/>
      <w:marLeft w:val="0"/>
      <w:marRight w:val="0"/>
      <w:marTop w:val="0"/>
      <w:marBottom w:val="0"/>
      <w:divBdr>
        <w:top w:val="none" w:sz="0" w:space="0" w:color="auto"/>
        <w:left w:val="none" w:sz="0" w:space="0" w:color="auto"/>
        <w:bottom w:val="none" w:sz="0" w:space="0" w:color="auto"/>
        <w:right w:val="none" w:sz="0" w:space="0" w:color="auto"/>
      </w:divBdr>
      <w:divsChild>
        <w:div w:id="1170022704">
          <w:marLeft w:val="0"/>
          <w:marRight w:val="0"/>
          <w:marTop w:val="0"/>
          <w:marBottom w:val="0"/>
          <w:divBdr>
            <w:top w:val="none" w:sz="0" w:space="0" w:color="auto"/>
            <w:left w:val="none" w:sz="0" w:space="0" w:color="auto"/>
            <w:bottom w:val="none" w:sz="0" w:space="0" w:color="auto"/>
            <w:right w:val="none" w:sz="0" w:space="0" w:color="auto"/>
          </w:divBdr>
          <w:divsChild>
            <w:div w:id="181031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25759">
      <w:bodyDiv w:val="1"/>
      <w:marLeft w:val="0"/>
      <w:marRight w:val="0"/>
      <w:marTop w:val="0"/>
      <w:marBottom w:val="0"/>
      <w:divBdr>
        <w:top w:val="none" w:sz="0" w:space="0" w:color="auto"/>
        <w:left w:val="none" w:sz="0" w:space="0" w:color="auto"/>
        <w:bottom w:val="none" w:sz="0" w:space="0" w:color="auto"/>
        <w:right w:val="none" w:sz="0" w:space="0" w:color="auto"/>
      </w:divBdr>
      <w:divsChild>
        <w:div w:id="949046969">
          <w:marLeft w:val="0"/>
          <w:marRight w:val="0"/>
          <w:marTop w:val="0"/>
          <w:marBottom w:val="0"/>
          <w:divBdr>
            <w:top w:val="none" w:sz="0" w:space="0" w:color="auto"/>
            <w:left w:val="none" w:sz="0" w:space="0" w:color="auto"/>
            <w:bottom w:val="none" w:sz="0" w:space="0" w:color="auto"/>
            <w:right w:val="none" w:sz="0" w:space="0" w:color="auto"/>
          </w:divBdr>
          <w:divsChild>
            <w:div w:id="9923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05662">
      <w:bodyDiv w:val="1"/>
      <w:marLeft w:val="0"/>
      <w:marRight w:val="0"/>
      <w:marTop w:val="0"/>
      <w:marBottom w:val="0"/>
      <w:divBdr>
        <w:top w:val="none" w:sz="0" w:space="0" w:color="auto"/>
        <w:left w:val="none" w:sz="0" w:space="0" w:color="auto"/>
        <w:bottom w:val="none" w:sz="0" w:space="0" w:color="auto"/>
        <w:right w:val="none" w:sz="0" w:space="0" w:color="auto"/>
      </w:divBdr>
    </w:div>
    <w:div w:id="982807774">
      <w:bodyDiv w:val="1"/>
      <w:marLeft w:val="0"/>
      <w:marRight w:val="0"/>
      <w:marTop w:val="0"/>
      <w:marBottom w:val="0"/>
      <w:divBdr>
        <w:top w:val="none" w:sz="0" w:space="0" w:color="auto"/>
        <w:left w:val="none" w:sz="0" w:space="0" w:color="auto"/>
        <w:bottom w:val="none" w:sz="0" w:space="0" w:color="auto"/>
        <w:right w:val="none" w:sz="0" w:space="0" w:color="auto"/>
      </w:divBdr>
      <w:divsChild>
        <w:div w:id="898202584">
          <w:marLeft w:val="0"/>
          <w:marRight w:val="0"/>
          <w:marTop w:val="0"/>
          <w:marBottom w:val="0"/>
          <w:divBdr>
            <w:top w:val="none" w:sz="0" w:space="0" w:color="auto"/>
            <w:left w:val="none" w:sz="0" w:space="0" w:color="auto"/>
            <w:bottom w:val="none" w:sz="0" w:space="0" w:color="auto"/>
            <w:right w:val="none" w:sz="0" w:space="0" w:color="auto"/>
          </w:divBdr>
          <w:divsChild>
            <w:div w:id="12232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03129">
      <w:bodyDiv w:val="1"/>
      <w:marLeft w:val="0"/>
      <w:marRight w:val="0"/>
      <w:marTop w:val="0"/>
      <w:marBottom w:val="0"/>
      <w:divBdr>
        <w:top w:val="none" w:sz="0" w:space="0" w:color="auto"/>
        <w:left w:val="none" w:sz="0" w:space="0" w:color="auto"/>
        <w:bottom w:val="none" w:sz="0" w:space="0" w:color="auto"/>
        <w:right w:val="none" w:sz="0" w:space="0" w:color="auto"/>
      </w:divBdr>
    </w:div>
    <w:div w:id="1432700066">
      <w:bodyDiv w:val="1"/>
      <w:marLeft w:val="0"/>
      <w:marRight w:val="0"/>
      <w:marTop w:val="0"/>
      <w:marBottom w:val="0"/>
      <w:divBdr>
        <w:top w:val="none" w:sz="0" w:space="0" w:color="auto"/>
        <w:left w:val="none" w:sz="0" w:space="0" w:color="auto"/>
        <w:bottom w:val="none" w:sz="0" w:space="0" w:color="auto"/>
        <w:right w:val="none" w:sz="0" w:space="0" w:color="auto"/>
      </w:divBdr>
    </w:div>
    <w:div w:id="1571382526">
      <w:bodyDiv w:val="1"/>
      <w:marLeft w:val="0"/>
      <w:marRight w:val="0"/>
      <w:marTop w:val="0"/>
      <w:marBottom w:val="0"/>
      <w:divBdr>
        <w:top w:val="none" w:sz="0" w:space="0" w:color="auto"/>
        <w:left w:val="none" w:sz="0" w:space="0" w:color="auto"/>
        <w:bottom w:val="none" w:sz="0" w:space="0" w:color="auto"/>
        <w:right w:val="none" w:sz="0" w:space="0" w:color="auto"/>
      </w:divBdr>
    </w:div>
    <w:div w:id="1630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mycor.cor.europa.eu/EN/Directorate_E/Documents/Guide_recruitment_EN.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mycor.cor.europa.eu/EN/Directorate_E/Documents/Guide_recruitment_EN.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mycor.cor.europa.eu/EN/Directorate_E/Documents/Guide_recruitment_EN.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mycor.cor.europa.eu/EN/Directorate_E/Documents/Guide_recruitment_EN.pdf"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mycor.cor.europa.eu/EN/Directorate_E/Documents/Guide_recruitment_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mycor.cor.europa.eu/EN/Directorate_E/Documents/Guide_recruitment_EN.pdf" TargetMode="Externa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0EAE99CC9E7746B483BE235311504F" ma:contentTypeVersion="2" ma:contentTypeDescription="Create a new document." ma:contentTypeScope="" ma:versionID="3c9848c6b6557fab318c025a8ed6bb24">
  <xsd:schema xmlns:xsd="http://www.w3.org/2001/XMLSchema" xmlns:xs="http://www.w3.org/2001/XMLSchema" xmlns:p="http://schemas.microsoft.com/office/2006/metadata/properties" xmlns:ns2="d4103b44-30bb-4c0a-b500-a8733876a7e3" targetNamespace="http://schemas.microsoft.com/office/2006/metadata/properties" ma:root="true" ma:fieldsID="2609c24d4ebd9dffc166b90425401509" ns2:_="">
    <xsd:import namespace="d4103b44-30bb-4c0a-b500-a8733876a7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03b44-30bb-4c0a-b500-a8733876a7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45F7F-6CE3-48CE-82C9-5597DDCEE9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63B0AD-DB77-4BE3-88FA-81E9FDC8F664}">
  <ds:schemaRefs>
    <ds:schemaRef ds:uri="http://schemas.microsoft.com/sharepoint/v3/contenttype/forms"/>
  </ds:schemaRefs>
</ds:datastoreItem>
</file>

<file path=customXml/itemProps3.xml><?xml version="1.0" encoding="utf-8"?>
<ds:datastoreItem xmlns:ds="http://schemas.openxmlformats.org/officeDocument/2006/customXml" ds:itemID="{4D58FABD-9DF4-43D4-90E7-960F2C254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03b44-30bb-4c0a-b500-a8733876a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87E76F-1774-42DB-B9B3-0187E861C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26015</Words>
  <Characters>148289</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cp:lastPrinted>2026-03-26T10:11:00Z</cp:lastPrinted>
  <dcterms:created xsi:type="dcterms:W3CDTF">2026-05-05T10:59:00Z</dcterms:created>
  <dcterms:modified xsi:type="dcterms:W3CDTF">2026-09-10T12:54:00Z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2024-02-28T11:35:04Z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4114eea7-f404-40cb-89f4-624a0941ce0d</vt:lpwstr>
  </property>
  <property fmtid="{D5CDD505-2E9C-101B-9397-08002B2CF9AE}" pid="8" name="MSIP_Label_6bd9ddd1-4d20-43f6-abfa-fc3c07406f94_ContentBits">
    <vt:lpwstr>0</vt:lpwstr>
  </property>
  <property fmtid="{D5CDD505-2E9C-101B-9397-08002B2CF9AE}" pid="9" name="ContentTypeId">
    <vt:lpwstr>0x010100F50EAE99CC9E7746B483BE235311504F</vt:lpwstr>
  </property>
  <property fmtid="{D5CDD505-2E9C-101B-9397-08002B2CF9AE}" pid="10" name="Level of sensitivity">
    <vt:lpwstr>Standard treatment</vt:lpwstr>
  </property>
  <property fmtid="{D5CDD505-2E9C-101B-9397-08002B2CF9AE}" pid="11" name="First annex">
    <vt:lpwstr>2</vt:lpwstr>
  </property>
  <property fmtid="{D5CDD505-2E9C-101B-9397-08002B2CF9AE}" pid="12" name="Last annex">
    <vt:lpwstr>2</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ies>
</file>