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16E2A3D-AF30-47F4-8492-F6ED64BD4353" style="width:455.25pt;height:387.75pt">
            <v:imagedata r:id="rId11" o:title=""/>
          </v:shape>
        </w:pict>
      </w:r>
    </w:p>
    <w:bookmarkEnd w:id="0"/>
    <w:p>
      <w:pPr>
        <w:rPr>
          <w:noProof/>
          <w:lang w:val="en-US"/>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lastRenderedPageBreak/>
              <w:t xml:space="preserve"> PARLAMENTUL EUROPEAN</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1d alineatul (4)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Decizia Biroului din 22 iunie 2005 </w:t>
            </w:r>
            <w:r>
              <w:rPr>
                <w:noProof/>
              </w:rPr>
              <w:t xml:space="preserve"> </w:t>
            </w:r>
            <w:r>
              <w:rPr>
                <w:noProof/>
              </w:rPr>
              <w:br/>
            </w:r>
            <w:r>
              <w:rPr>
                <w:rFonts w:ascii="Times New Roman" w:hAnsi="Times New Roman"/>
                <w:noProof/>
                <w:sz w:val="12"/>
              </w:rPr>
              <w:t>(Codul de bune practici pentru încadrarea în muncă a persoanelor cu handicap)</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22.6.2005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Norme interne de punere în aplicare a articolului 1d alineatul (4)</w:t>
            </w:r>
            <w:r>
              <w:rPr>
                <w:noProof/>
              </w:rPr>
              <w:t xml:space="preserve"> </w:t>
            </w:r>
            <w:r>
              <w:rPr>
                <w:noProof/>
              </w:rPr>
              <w:br/>
            </w:r>
            <w:r>
              <w:rPr>
                <w:rFonts w:ascii="Times New Roman" w:hAnsi="Times New Roman"/>
                <w:noProof/>
                <w:sz w:val="12"/>
              </w:rPr>
              <w:t xml:space="preserve"> (Persoane cu handicap)</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1.4.2015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1e alineatul (2)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Screening pentru anumiți membri ai personalului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bookmarkStart w:id="1" w:name="_Hlk167185660"/>
            <w:r>
              <w:rPr>
                <w:rFonts w:ascii="Times New Roman" w:hAnsi="Times New Roman"/>
                <w:noProof/>
                <w:sz w:val="12"/>
              </w:rPr>
              <w:t xml:space="preserve">Decizia secretarului general din 22 ianuarie 2018 </w:t>
            </w:r>
            <w:bookmarkEnd w:id="1"/>
            <w:r>
              <w:rPr>
                <w:rFonts w:ascii="Times New Roman" w:hAnsi="Times New Roman"/>
                <w:noProof/>
                <w:sz w:val="12"/>
              </w:rPr>
              <w:t>– Norme interne privind screeningul pentru funcționarii și ceilalți agenți care ocupă posturi legate de securitate și vigilență și posturi cu riscuri definite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1.3.2018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3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beforeLines="60" w:before="144" w:afterLines="60" w:after="144"/>
              <w:jc w:val="center"/>
              <w:rPr>
                <w:rFonts w:ascii="Times New Roman" w:eastAsia="Calibri" w:hAnsi="Times New Roman" w:cs="Times New Roman"/>
                <w:b/>
                <w:noProof/>
                <w:w w:val="105"/>
                <w:sz w:val="12"/>
              </w:rPr>
            </w:pPr>
            <w:r>
              <w:rPr>
                <w:rFonts w:ascii="Times New Roman" w:hAnsi="Times New Roman"/>
                <w:b/>
                <w:noProof/>
                <w:sz w:val="12"/>
              </w:rPr>
              <w:t>1e alineatele (1) și (3)</w:t>
            </w:r>
          </w:p>
          <w:p>
            <w:pPr>
              <w:widowControl w:val="0"/>
              <w:spacing w:after="0" w:line="240" w:lineRule="auto"/>
              <w:jc w:val="center"/>
              <w:rPr>
                <w:rFonts w:ascii="Times New Roman" w:eastAsia="Times New Roman" w:hAnsi="Times New Roman" w:cs="Times New Roman"/>
                <w:b/>
                <w:noProof/>
                <w:sz w:val="12"/>
                <w:szCs w:val="12"/>
              </w:rPr>
            </w:pPr>
            <w:r>
              <w:rPr>
                <w:rFonts w:ascii="Times New Roman" w:hAnsi="Times New Roman"/>
                <w:b/>
                <w:noProof/>
                <w:sz w:val="12"/>
              </w:rPr>
              <w:t>(și RAA)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b/>
                <w:noProof/>
                <w:sz w:val="16"/>
                <w:szCs w:val="16"/>
              </w:rPr>
            </w:pPr>
            <w:r>
              <w:rPr>
                <w:rFonts w:ascii="Times New Roman" w:hAnsi="Times New Roman"/>
                <w:b/>
                <w:noProof/>
                <w:sz w:val="16"/>
              </w:rPr>
              <w:t>Indemnizație compensatorie pentru personalul de la Luxemburg care este remunerat cu salarii</w:t>
            </w:r>
            <w:r>
              <w:rPr>
                <w:noProof/>
              </w:rPr>
              <w:t xml:space="preserve"> </w:t>
            </w:r>
            <w:r>
              <w:rPr>
                <w:noProof/>
              </w:rPr>
              <w:br/>
            </w:r>
            <w:r>
              <w:rPr>
                <w:rFonts w:ascii="Times New Roman" w:hAnsi="Times New Roman"/>
                <w:b/>
                <w:noProof/>
                <w:sz w:val="16"/>
              </w:rPr>
              <w:t xml:space="preserve"> mai mici decât salariul minim</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Times New Roman" w:hAnsi="Times New Roman" w:cs="Times New Roman"/>
                <w:noProof/>
                <w:sz w:val="12"/>
                <w:szCs w:val="12"/>
              </w:rPr>
            </w:pPr>
            <w:bookmarkStart w:id="2" w:name="_Hlk167185695"/>
            <w:bookmarkStart w:id="3" w:name="_Hlk187219740"/>
            <w:r>
              <w:rPr>
                <w:rFonts w:ascii="Times New Roman" w:hAnsi="Times New Roman"/>
                <w:noProof/>
                <w:sz w:val="12"/>
              </w:rPr>
              <w:t xml:space="preserve">Decizia Biroului din 26 aprilie 2021 </w:t>
            </w:r>
            <w:bookmarkEnd w:id="2"/>
            <w:r>
              <w:rPr>
                <w:rFonts w:ascii="Times New Roman" w:hAnsi="Times New Roman"/>
                <w:noProof/>
                <w:sz w:val="12"/>
              </w:rPr>
              <w:t xml:space="preserve">privind acordarea unei indemnizații funcționarilor Parlamentului și celorlalți agenți repartizați la Luxemburg care sunt remunerați cu salarii mai mici decât salariul minim din Luxemburg </w:t>
            </w:r>
            <w:r>
              <w:rPr>
                <w:noProof/>
              </w:rPr>
              <w:t xml:space="preserve"> </w:t>
            </w:r>
            <w:r>
              <w:rPr>
                <w:noProof/>
              </w:rPr>
              <w:br/>
            </w:r>
            <w:r>
              <w:rPr>
                <w:rFonts w:ascii="Times New Roman" w:hAnsi="Times New Roman"/>
                <w:noProof/>
                <w:sz w:val="12"/>
              </w:rPr>
              <w:t>(modificată prin Decizia Biroului din 17.4.2023)</w:t>
            </w:r>
            <w:bookmarkEnd w:id="3"/>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2</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Competențele autorității împuternicite să facă numiri (AIPN)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Biroului Parlamentului European din 9 decembrie 2013 de delegare a competențelor în ceea ce privește aspectele legate de punerea în aplicare a Statutului funcționarilor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9.12.2013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Decizia Biroului Parlamentului European din 13 ianuarie 2014 privind delegarea competențelor autorității împuternicite să facă numiri și ale autorității abilitate să încheie contracte de muncă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13.1.2014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709"/>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secretarului general din 25 septembrie 2017 de modificare a competențelor autorității împuternicite să facă numiri și ale autorității abilitate să încheie contracte de muncă în urma delegării de competențe prevăzute la articolul 9 alineatul (3) din Decizia Biroului din 13 ianuarie 2014 privind delegarea competențelor autorității împuternicite să facă numiri și ale autorității abilitate să încheie contracte de muncă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1.10.2017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alineatul (4)</w:t>
            </w:r>
          </w:p>
        </w:tc>
        <w:tc>
          <w:tcPr>
            <w:tcW w:w="2551" w:type="dxa"/>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Tipuri de locuri de muncă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secretarului general de stabilire a tipurilor de locuri de muncă acoperite de diferitele tipuri de posturi din cadrul Secretariatului Parlamentului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11.12.2015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6" w:space="0" w:color="000000"/>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7 alineatul (1)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Mobilitatea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Regulamentul privind mobilitatea personalului – </w:t>
            </w:r>
            <w:r>
              <w:rPr>
                <w:noProof/>
              </w:rPr>
              <w:t xml:space="preserve"> </w:t>
            </w:r>
            <w:r>
              <w:rPr>
                <w:noProof/>
              </w:rPr>
              <w:br/>
            </w:r>
            <w:r>
              <w:rPr>
                <w:rFonts w:ascii="Times New Roman" w:hAnsi="Times New Roman"/>
                <w:noProof/>
                <w:sz w:val="12"/>
              </w:rPr>
              <w:t>Decizia Biroului din 15 ianuarie 2018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Modalități practice de punere în aplicare a politicii de mobilitate – Decizia secretarului general din 16 februarie 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16.2.2019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6" w:space="0" w:color="000000"/>
              <w:left w:val="single" w:sz="4" w:space="0" w:color="000000"/>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Comitetul pentru rapoartele de evaluare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președintelui din 30 septembrie 1993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30.9.1993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 – Drepturile și obligațiile funcționarului</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11 - 26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Codul de conduită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Biroului din 7 iulie 2008 – Ghid privind obligațiile funcționarilor și ale celorlalți agenți ai Parlamentului European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7.7.2008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12a</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Hărțuirea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bookmarkStart w:id="4" w:name="_Hlk167185768"/>
            <w:r>
              <w:rPr>
                <w:rFonts w:ascii="Times New Roman" w:hAnsi="Times New Roman"/>
                <w:noProof/>
                <w:sz w:val="12"/>
              </w:rPr>
              <w:t xml:space="preserve">Normele interne referitoare la comitetul consultativ privind hărțuirea </w:t>
            </w:r>
            <w:bookmarkEnd w:id="4"/>
            <w:r>
              <w:rPr>
                <w:rFonts w:ascii="Times New Roman" w:hAnsi="Times New Roman"/>
                <w:noProof/>
                <w:sz w:val="12"/>
              </w:rPr>
              <w:t>și prevenirea acesteia la locul de muncă – DV\608697 – 21 februarie 2006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21.2.2006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Decizia Biroului privind funcționarea Comitetului consultativ pentru plângerile depuse împotriva unor deputați în Parlamentul European privind hărțuirea la locul de muncă și procedurile acestuia de tratare a plângerilor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1.9.2018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22a - 22c</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Avertizarea în interes public</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secretarului general privind normele interne de punere în aplicare a articolului 22c din Statutul funcționarilor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30.11.2023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Biroului privind normele interne de punere în aplicare a articolului 22c din Statutul funcționarilor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24</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Cererile de asistență – plângerile privind hărțuirea depuse împotriva unor deputați în Parlamentul European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Biroului privind funcționarea Comitetului consultativ pentru plângerile depuse împotriva unor deputați în Parlamentul European privind hărțuirea la locul de muncă și procedurile acestuia de tratare a plângerilor </w:t>
            </w:r>
            <w:r>
              <w:rPr>
                <w:noProof/>
              </w:rPr>
              <w:t xml:space="preserve"> </w:t>
            </w:r>
            <w:r>
              <w:rPr>
                <w:noProof/>
              </w:rPr>
              <w:br/>
            </w:r>
            <w:r>
              <w:rPr>
                <w:rFonts w:ascii="Times New Roman" w:hAnsi="Times New Roman"/>
                <w:noProof/>
                <w:sz w:val="12"/>
              </w:rPr>
              <w:t>(modificată la 10 iulie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vAlign w:val="center"/>
          </w:tcPr>
          <w:p>
            <w:pPr>
              <w:widowControl w:val="0"/>
              <w:spacing w:before="1"/>
              <w:jc w:val="center"/>
              <w:rPr>
                <w:rFonts w:ascii="Times New Roman" w:eastAsia="Times New Roman" w:hAnsi="Times New Roman" w:cs="Times New Roman"/>
                <w:b/>
                <w:noProof/>
                <w:sz w:val="12"/>
                <w:szCs w:val="12"/>
                <w:lang w:val="en-US"/>
              </w:rPr>
            </w:pP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24a</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Formarea profesională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Normele interne privind formarea profesională a personalului Parlamentului European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29.2.2021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secretarului general privind învățarea și dezvoltarea pentru personalul Parlamentului European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1.3.2021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lastRenderedPageBreak/>
              <w:t>Titlul III – Cariera funcționarului</w:t>
            </w:r>
          </w:p>
        </w:tc>
      </w:tr>
      <w:tr>
        <w:trPr>
          <w:trHeight w:hRule="exact" w:val="35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hRule="exact" w:val="75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Echilibrul geografic</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 xml:space="preserve">Dispozițiile generale de punere în aplicare a articolului 27 din Statutul funcționarilor Uniunii Europene, adoptate prin Decizia Biroului </w:t>
            </w:r>
            <w:r>
              <w:rPr>
                <w:noProof/>
              </w:rPr>
              <w:t xml:space="preserve"> </w:t>
            </w:r>
            <w:r>
              <w:rPr>
                <w:noProof/>
              </w:rPr>
              <w:br/>
            </w:r>
            <w:r>
              <w:rPr>
                <w:rFonts w:ascii="Times New Roman" w:hAnsi="Times New Roman"/>
                <w:noProof/>
                <w:sz w:val="12"/>
              </w:rPr>
              <w:t>din 21 noiembrie 2022</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1.12.2022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21"/>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27 - 34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Recrutarea</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concursurile și procedurile de selecție, recrutarea și încadrarea în grad a funcționarilor și a celorlalți agenți</w:t>
            </w:r>
            <w:r>
              <w:rPr>
                <w:noProof/>
              </w:rPr>
              <w:t xml:space="preserve"> </w:t>
            </w:r>
            <w:r>
              <w:rPr>
                <w:noProof/>
              </w:rPr>
              <w:br/>
            </w:r>
            <w:r>
              <w:rPr>
                <w:rFonts w:ascii="Times New Roman" w:hAnsi="Times New Roman"/>
                <w:noProof/>
                <w:sz w:val="12"/>
              </w:rPr>
              <w:t xml:space="preserve"> din 17 octombrie 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29 alineatul (2)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Recrutarea membrilor personalului cu funcții superioare de conducere</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Decizia Biroului Parlamentului European de stabilire a etapelor procedurii de numire a înalților funcționari </w:t>
            </w:r>
            <w:r>
              <w:rPr>
                <w:noProof/>
              </w:rPr>
              <w:t xml:space="preserve"> </w:t>
            </w:r>
            <w:r>
              <w:rPr>
                <w:noProof/>
              </w:rPr>
              <w:br/>
            </w:r>
            <w:r>
              <w:rPr>
                <w:rFonts w:ascii="Times New Roman" w:hAnsi="Times New Roman"/>
                <w:noProof/>
                <w:sz w:val="12"/>
              </w:rPr>
              <w:t>(modificată ultima dată la 18 februarie 2008)</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16.5.2000</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2 – Detașarea</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37 litera (a)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Detașarea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Normele interne privind detașarea funcționarilor din 16 octombrie 2014, în temeiul articolului 37 litera (a)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3 – Concediul pentru interese personale</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interese personale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Normele interne privind concediul pentru interese personale și concediul fără plată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creșterea copilului</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Decizia secretarului general din 4 septembrie 2014 privind dispozițiile generale de punere în aplicare cu privire la concediul pentru creșterea copilului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1.10.2014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din motive familiale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Normele privind concediul din motive familiale din 4 iunie 2014</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4" w:space="0" w:color="auto"/>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761"/>
        </w:trPr>
        <w:tc>
          <w:tcPr>
            <w:tcW w:w="1157"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7"/>
              </w:rPr>
              <w:t>Raportul anual</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Dispozițiile generale de punere în aplicare a articolului 43 din Statutul funcționarilor și a articolelor 15 alineatul (2) și 87 alineatul (1) din Regimul aplicabil celorlalți agenți (rapoarte de evaluare)</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02"/>
        </w:trPr>
        <w:tc>
          <w:tcPr>
            <w:tcW w:w="1157" w:type="dxa"/>
            <w:vMerge/>
            <w:tcBorders>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Normele interne privind aplicarea dispozițiilor generale de punere în aplicare a articolului 43 din Statutul funcționarilor și articolelor 15 alineatul (2) și 87 alineatul (1) din Regimul aplicabil celorlalți agenți (rapoarte de evaluare)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0"/>
        </w:trPr>
        <w:tc>
          <w:tcPr>
            <w:tcW w:w="1157"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Dispozițiile generale de punere în aplicare privind procedura de evaluare aplicabilă funcționarilor cu funcții superioare de conducere în temeiul articolului 43 din Statutul funcționarilor și articolului 15 alineatul (2) din Regimul aplicabil celorlalți agenți</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27.2.2015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val="539"/>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44 alineatul (2) - 46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Confirmarea în posturi de conducere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Normele interne privind confirmarea numirii șefilor de unitate, directorilor și directorilor generali</w:t>
            </w:r>
            <w:r>
              <w:rPr>
                <w:noProof/>
              </w:rPr>
              <w:t xml:space="preserve"> </w:t>
            </w:r>
            <w:r>
              <w:rPr>
                <w:noProof/>
              </w:rPr>
              <w:br/>
            </w:r>
            <w:r>
              <w:rPr>
                <w:rFonts w:ascii="Times New Roman" w:hAnsi="Times New Roman"/>
                <w:noProof/>
                <w:sz w:val="12"/>
              </w:rPr>
              <w:t xml:space="preserve"> (modificate ultima dată la 18 iulie 2014)</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7.7.2008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vMerge w:val="restart"/>
            <w:tcBorders>
              <w:top w:val="single" w:sz="4" w:space="0" w:color="auto"/>
              <w:left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7"/>
              </w:rPr>
              <w:t>Promovarea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Normele interne privind comitetele consultative de promovare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18.7.2014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vMerge/>
            <w:tcBorders>
              <w:left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Normele interne privind atribuirea punctelor de merit și promovarea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20.12.2017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vMerge/>
            <w:tcBorders>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Decizia secretarului general din 20 iunie 2014 privind promovarea și avansarea în carieră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20.6.2014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45a</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Certificarea</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Dispozițiile generale de punere în aplicare privind procedura de certificare</w:t>
            </w:r>
            <w:r>
              <w:rPr>
                <w:noProof/>
              </w:rPr>
              <w:t xml:space="preserve"> </w:t>
            </w:r>
            <w:r>
              <w:rPr>
                <w:noProof/>
              </w:rPr>
              <w:br/>
            </w:r>
            <w:r>
              <w:rPr>
                <w:rFonts w:ascii="Times New Roman" w:hAnsi="Times New Roman"/>
                <w:noProof/>
                <w:sz w:val="12"/>
              </w:rPr>
              <w:t xml:space="preserve"> (articolul 45a din Statutul funcționarilor)</w:t>
            </w:r>
            <w:r>
              <w:rPr>
                <w:noProof/>
              </w:rPr>
              <w:t xml:space="preserve"> </w:t>
            </w:r>
            <w:r>
              <w:rPr>
                <w:noProof/>
              </w:rPr>
              <w:br/>
            </w:r>
            <w:r>
              <w:rPr>
                <w:rFonts w:ascii="Times New Roman" w:hAnsi="Times New Roman"/>
                <w:noProof/>
                <w:sz w:val="12"/>
              </w:rPr>
              <w:t xml:space="preserve"> (modificate ultima dată la 7 iulie 2008)</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26.9.2005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rPr>
          <w:rFonts w:ascii="Times New Roman" w:eastAsia="Times New Roman" w:hAnsi="Times New Roman" w:cs="Times New Roman"/>
          <w:noProof/>
          <w:sz w:val="20"/>
          <w:szCs w:val="20"/>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lastRenderedPageBreak/>
              <w:t>Capitolul 4 – Încetarea raporturilor de muncă</w:t>
            </w:r>
          </w:p>
        </w:tc>
      </w:tr>
      <w:tr>
        <w:trPr>
          <w:trHeight w:hRule="exact" w:val="39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Secțiunea 4 – Procedurile privind incompetența profesională</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Incompetența profesională</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bookmarkStart w:id="5" w:name="_Hlk167185817"/>
            <w:r>
              <w:rPr>
                <w:rFonts w:ascii="Times New Roman" w:hAnsi="Times New Roman"/>
                <w:noProof/>
                <w:sz w:val="12"/>
              </w:rPr>
              <w:t xml:space="preserve">Normele interne privind punerea în aplicare a articolului 51 din </w:t>
            </w:r>
            <w:bookmarkEnd w:id="5"/>
            <w:r>
              <w:rPr>
                <w:rFonts w:ascii="Times New Roman" w:hAnsi="Times New Roman"/>
                <w:noProof/>
                <w:sz w:val="12"/>
              </w:rPr>
              <w:t>Statutul funcționarilor</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1.1.2016</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val="45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Condițiile de lucru ale interpreților</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Dispoziții aplicabile funcționarilor care sunt interpreți și agenților care sunt interpreți de conferință în Parlamentul European – Decizia secretarului general din 19 iulie 2018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5.11.2023</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Dispoziții aplicabile funcționarilor care sunt interpreți și agenților care sunt interpreți de conferință în Parlamentul European – Decizia secretarului general din 27 octombrie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6.11.2023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Munca de la distanță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secretarului general privind sistemul de muncă de la distanță pentru lingviștii care lucrează în cadrul Direcției Traducere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10.2.2009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31.8.2021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Decizia secretarului general privind munca de la distanță în Parlamentul European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31.8.2021</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Decizia secretarului general din 16 iulie 2021 privind munca de la distanță în Parlamentul European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31.11.2022</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secretarului general din 29 noiembrie 2022 privind munca de la distanță în Parlamentul European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 xml:space="preserve">55a + </w:t>
            </w:r>
            <w:r>
              <w:rPr>
                <w:noProof/>
              </w:rPr>
              <w:t xml:space="preserve"> </w:t>
            </w:r>
            <w:r>
              <w:rPr>
                <w:noProof/>
              </w:rPr>
              <w:br/>
            </w:r>
            <w:r>
              <w:rPr>
                <w:rFonts w:ascii="Times New Roman" w:hAnsi="Times New Roman"/>
                <w:b/>
                <w:noProof/>
                <w:sz w:val="12"/>
              </w:rPr>
              <w:t>anexa</w:t>
            </w:r>
            <w:r>
              <w:rPr>
                <w:rFonts w:ascii="Times New Roman" w:hAnsi="Times New Roman"/>
                <w:noProof/>
                <w:sz w:val="12"/>
              </w:rPr>
              <w:t xml:space="preserve"> </w:t>
            </w:r>
            <w:r>
              <w:rPr>
                <w:rFonts w:ascii="Times New Roman" w:hAnsi="Times New Roman"/>
                <w:b/>
                <w:noProof/>
                <w:sz w:val="12"/>
              </w:rPr>
              <w:t>IVa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Activitatea cu normă redusă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secretarului general din 4 iunie 2014 privind normele generale referitoare la exercitarea activității cu normă redusă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 xml:space="preserve">56 + </w:t>
            </w:r>
            <w:r>
              <w:rPr>
                <w:noProof/>
              </w:rPr>
              <w:t xml:space="preserve"> </w:t>
            </w:r>
            <w:r>
              <w:rPr>
                <w:noProof/>
              </w:rPr>
              <w:br/>
            </w:r>
            <w:r>
              <w:rPr>
                <w:rFonts w:ascii="Times New Roman" w:hAnsi="Times New Roman"/>
                <w:b/>
                <w:noProof/>
                <w:sz w:val="12"/>
              </w:rPr>
              <w:t>anexa VI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Orele suplimentare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Norme interne privind orele suplimentare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0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C5D9F1"/>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shd w:val="clear" w:color="auto" w:fill="C5D9F1"/>
              </w:rPr>
              <w:t>57 + anexa</w:t>
            </w:r>
            <w:r>
              <w:rPr>
                <w:rFonts w:ascii="Times New Roman" w:hAnsi="Times New Roman"/>
                <w:b/>
                <w:noProof/>
                <w:sz w:val="12"/>
              </w:rPr>
              <w:t xml:space="preserve"> V</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Concediul anual și concediul special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 xml:space="preserve">Normele interne privind concediile </w:t>
            </w:r>
            <w:r>
              <w:rPr>
                <w:noProof/>
              </w:rPr>
              <w:t xml:space="preserve"> </w:t>
            </w:r>
            <w:r>
              <w:rPr>
                <w:noProof/>
              </w:rPr>
              <w:br/>
            </w:r>
            <w:r>
              <w:rPr>
                <w:rFonts w:ascii="Times New Roman" w:hAnsi="Times New Roman"/>
                <w:noProof/>
                <w:sz w:val="12"/>
              </w:rPr>
              <w:t xml:space="preserve">(modificată prin Decizia secretarului general </w:t>
            </w:r>
            <w:r>
              <w:rPr>
                <w:noProof/>
              </w:rPr>
              <w:t xml:space="preserve"> </w:t>
            </w:r>
            <w:r>
              <w:rPr>
                <w:noProof/>
              </w:rPr>
              <w:br/>
            </w:r>
            <w:r>
              <w:rPr>
                <w:rFonts w:ascii="Times New Roman" w:hAnsi="Times New Roman"/>
                <w:noProof/>
                <w:sz w:val="12"/>
              </w:rPr>
              <w:t>din 2 aprilie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58</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7"/>
              </w:rPr>
              <w:t>Concediul de maternitate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bookmarkStart w:id="6" w:name="_Hlk167185593"/>
            <w:r>
              <w:rPr>
                <w:rFonts w:ascii="Times New Roman" w:hAnsi="Times New Roman"/>
                <w:noProof/>
                <w:sz w:val="12"/>
              </w:rPr>
              <w:t>Normele interne privind concediile</w:t>
            </w:r>
            <w:r>
              <w:rPr>
                <w:noProof/>
              </w:rPr>
              <w:t xml:space="preserve"> </w:t>
            </w:r>
            <w:r>
              <w:rPr>
                <w:noProof/>
              </w:rPr>
              <w:br/>
            </w:r>
            <w:r>
              <w:rPr>
                <w:rFonts w:ascii="Times New Roman" w:hAnsi="Times New Roman"/>
                <w:noProof/>
                <w:sz w:val="12"/>
              </w:rPr>
              <w:t xml:space="preserve"> (modificată prin Decizia secretarului general </w:t>
            </w:r>
            <w:r>
              <w:rPr>
                <w:noProof/>
              </w:rPr>
              <w:t xml:space="preserve"> </w:t>
            </w:r>
            <w:r>
              <w:rPr>
                <w:noProof/>
              </w:rPr>
              <w:br/>
            </w:r>
            <w:r>
              <w:rPr>
                <w:rFonts w:ascii="Times New Roman" w:hAnsi="Times New Roman"/>
                <w:noProof/>
                <w:sz w:val="12"/>
              </w:rPr>
              <w:t>din 2 aprilie 2023)</w:t>
            </w:r>
            <w:bookmarkEnd w:id="6"/>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59 - 60</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Concediul medical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Normele interne privind examinările medicale în legătură cu absența de la locul de muncă din motive medicale și examinările medicale periodice ale persoanelor care solicită prestații de invaliditate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583"/>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before="18"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67 - 68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Anexa VII</w:t>
            </w:r>
            <w:r>
              <w:rPr>
                <w:noProof/>
              </w:rPr>
              <w:t xml:space="preserve"> </w:t>
            </w:r>
            <w:r>
              <w:rPr>
                <w:noProof/>
              </w:rPr>
              <w:br/>
            </w:r>
            <w:r>
              <w:rPr>
                <w:rFonts w:ascii="Times New Roman" w:hAnsi="Times New Roman"/>
                <w:b/>
                <w:noProof/>
                <w:sz w:val="12"/>
              </w:rPr>
              <w:t xml:space="preserve"> (articolele 1 - 3)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Alocațiile familiale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alocațiile familiale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18"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Anexa VII </w:t>
            </w:r>
            <w:r>
              <w:rPr>
                <w:noProof/>
              </w:rPr>
              <w:t xml:space="preserve"> </w:t>
            </w:r>
            <w:r>
              <w:rPr>
                <w:noProof/>
              </w:rPr>
              <w:br/>
            </w:r>
            <w:r>
              <w:rPr>
                <w:rFonts w:ascii="Times New Roman" w:hAnsi="Times New Roman"/>
                <w:b/>
                <w:noProof/>
                <w:sz w:val="12"/>
              </w:rPr>
              <w:t>[articolul 1 alineatul (2) litera (d)]</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 xml:space="preserve">Alocația pentru locuință prin decizie </w:t>
            </w:r>
            <w:r>
              <w:rPr>
                <w:rFonts w:ascii="Times New Roman" w:hAnsi="Times New Roman"/>
                <w:b/>
                <w:noProof/>
                <w:sz w:val="16"/>
              </w:rPr>
              <w:t>specială</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acordarea alocației pentru locuință prin decizie specială</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before="18"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w:t>
            </w:r>
            <w:r>
              <w:rPr>
                <w:noProof/>
              </w:rPr>
              <w:t xml:space="preserve"> </w:t>
            </w:r>
            <w:r>
              <w:rPr>
                <w:noProof/>
              </w:rPr>
              <w:br/>
            </w:r>
            <w:r>
              <w:rPr>
                <w:rFonts w:ascii="Times New Roman" w:hAnsi="Times New Roman"/>
                <w:b/>
                <w:noProof/>
                <w:sz w:val="12"/>
              </w:rPr>
              <w:t xml:space="preserve"> [articolul 2 alineatul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Persoana considerată copil aflat în întreținere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referitoare la persoanele considerate copii aflați în întreținere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Anexa VII </w:t>
            </w:r>
            <w:r>
              <w:rPr>
                <w:noProof/>
              </w:rPr>
              <w:t xml:space="preserve"> </w:t>
            </w:r>
            <w:r>
              <w:rPr>
                <w:noProof/>
              </w:rPr>
              <w:br/>
            </w:r>
            <w:r>
              <w:rPr>
                <w:rFonts w:ascii="Times New Roman" w:hAnsi="Times New Roman"/>
                <w:b/>
                <w:noProof/>
                <w:sz w:val="12"/>
              </w:rPr>
              <w:t>(articolul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Alocația școlară</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acordarea alocației școlare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1.12.2016</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keepNext/>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7"/>
              </w:rPr>
              <w:lastRenderedPageBreak/>
              <w:t>Secțiunea 3 – Rambursarea cheltuielilor</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(articolele 7 și 8)</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Cheltuielile de călătorie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rambursarea cheltuielilor anuale de călătorie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6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(articolul 8)</w:t>
            </w:r>
          </w:p>
        </w:tc>
        <w:tc>
          <w:tcPr>
            <w:tcW w:w="2551"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Locul de origine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stabilirea sau modificarea locului de origine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5" w:space="0" w:color="000000"/>
              <w:left w:val="single" w:sz="4" w:space="0" w:color="000000"/>
              <w:bottom w:val="single" w:sz="5" w:space="0" w:color="000000"/>
              <w:right w:val="single" w:sz="4" w:space="0" w:color="auto"/>
            </w:tcBorders>
            <w:shd w:val="clear" w:color="auto" w:fill="FFFF65"/>
            <w:vAlign w:val="center"/>
          </w:tcPr>
          <w:p>
            <w:pPr>
              <w:widowControl w:val="0"/>
              <w:spacing w:before="3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(articolul 9)</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 de mutare</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rambursarea cheltuielilor de mutare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vMerge w:val="restart"/>
            <w:tcBorders>
              <w:top w:val="single" w:sz="5" w:space="0" w:color="000000"/>
              <w:left w:val="single" w:sz="4" w:space="0" w:color="000000"/>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71 + </w:t>
            </w:r>
            <w:r>
              <w:rPr>
                <w:noProof/>
              </w:rPr>
              <w:t xml:space="preserve"> </w:t>
            </w:r>
            <w:r>
              <w:rPr>
                <w:noProof/>
              </w:rPr>
              <w:br/>
            </w:r>
            <w:r>
              <w:rPr>
                <w:rFonts w:ascii="Times New Roman" w:hAnsi="Times New Roman"/>
                <w:b/>
                <w:noProof/>
                <w:sz w:val="12"/>
              </w:rPr>
              <w:t>anexa VII</w:t>
            </w:r>
          </w:p>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 (articolele 11 - 13a)</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Cheltuielile de misiune și de deplasare</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rambursarea cheltuielilor de delegație și pentru deplasări oficiale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10.9.2009</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vMerge/>
            <w:tcBorders>
              <w:left w:val="single" w:sz="4" w:space="0" w:color="000000"/>
              <w:bottom w:val="single" w:sz="3" w:space="0" w:color="000000"/>
              <w:right w:val="single" w:sz="4" w:space="0" w:color="auto"/>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4" w:space="0" w:color="auto"/>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bookmarkStart w:id="7" w:name="_Hlk167187221"/>
            <w:r>
              <w:rPr>
                <w:rFonts w:ascii="Times New Roman" w:hAnsi="Times New Roman"/>
                <w:noProof/>
                <w:sz w:val="12"/>
              </w:rPr>
              <w:t xml:space="preserve">Normele interne privind delegațiile și deplasările oficiale ale funcționarilor și celorlalți agenți ai Parlamentului European </w:t>
            </w:r>
            <w:r>
              <w:rPr>
                <w:noProof/>
              </w:rPr>
              <w:t xml:space="preserve"> </w:t>
            </w:r>
            <w:r>
              <w:rPr>
                <w:noProof/>
              </w:rPr>
              <w:br/>
            </w:r>
            <w:r>
              <w:rPr>
                <w:rFonts w:ascii="Times New Roman" w:hAnsi="Times New Roman"/>
                <w:noProof/>
                <w:sz w:val="12"/>
              </w:rPr>
              <w:t>(Decizia secretarului general din 20.7.2018)</w:t>
            </w:r>
            <w:bookmarkEnd w:id="7"/>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1.9.2018</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spacing w:after="120"/>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5" w:after="200" w:line="240" w:lineRule="auto"/>
              <w:jc w:val="center"/>
              <w:rPr>
                <w:rFonts w:ascii="Times New Roman" w:eastAsia="Calibri" w:hAnsi="Times New Roman" w:cs="Times New Roman"/>
                <w:noProof/>
                <w:sz w:val="19"/>
                <w:szCs w:val="19"/>
              </w:rPr>
            </w:pPr>
            <w:r>
              <w:rPr>
                <w:rFonts w:ascii="Times New Roman" w:hAnsi="Times New Roman"/>
                <w:b/>
                <w:noProof/>
                <w:sz w:val="19"/>
              </w:rPr>
              <w:t>Capitolul 2 – Asigurările sociale</w:t>
            </w:r>
          </w:p>
        </w:tc>
      </w:tr>
      <w:tr>
        <w:trPr>
          <w:trHeight w:hRule="exact" w:val="567"/>
        </w:trPr>
        <w:tc>
          <w:tcPr>
            <w:tcW w:w="1156" w:type="dxa"/>
            <w:tcBorders>
              <w:top w:val="single" w:sz="6" w:space="0" w:color="000000"/>
              <w:left w:val="single" w:sz="4" w:space="0" w:color="000000"/>
              <w:bottom w:val="single" w:sz="6" w:space="0" w:color="000000"/>
              <w:right w:val="single" w:sz="3" w:space="0" w:color="000000"/>
            </w:tcBorders>
            <w:vAlign w:val="center"/>
          </w:tcPr>
          <w:p>
            <w:pPr>
              <w:widowControl w:val="0"/>
              <w:spacing w:before="83" w:after="200" w:line="254" w:lineRule="auto"/>
              <w:ind w:right="31"/>
              <w:jc w:val="center"/>
              <w:rPr>
                <w:rFonts w:ascii="Times New Roman" w:eastAsia="Calibri" w:hAnsi="Times New Roman" w:cs="Times New Roman"/>
                <w:noProof/>
                <w:sz w:val="12"/>
                <w:szCs w:val="12"/>
              </w:rPr>
            </w:pPr>
            <w:r>
              <w:rPr>
                <w:rFonts w:ascii="Times New Roman" w:hAnsi="Times New Roman"/>
                <w:b/>
                <w:noProof/>
                <w:sz w:val="12"/>
              </w:rPr>
              <w:t>Articolul 76</w:t>
            </w:r>
          </w:p>
        </w:tc>
        <w:tc>
          <w:tcPr>
            <w:tcW w:w="2551"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135" w:after="200" w:line="240" w:lineRule="auto"/>
              <w:jc w:val="center"/>
              <w:rPr>
                <w:rFonts w:ascii="Times New Roman" w:eastAsia="Calibri" w:hAnsi="Times New Roman" w:cs="Times New Roman"/>
                <w:noProof/>
                <w:sz w:val="16"/>
                <w:szCs w:val="16"/>
              </w:rPr>
            </w:pPr>
            <w:r>
              <w:rPr>
                <w:rFonts w:ascii="Times New Roman" w:hAnsi="Times New Roman"/>
                <w:b/>
                <w:noProof/>
                <w:sz w:val="16"/>
              </w:rPr>
              <w:t>Asistență financiară</w:t>
            </w:r>
          </w:p>
        </w:tc>
        <w:tc>
          <w:tcPr>
            <w:tcW w:w="3029"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9" w:after="200" w:line="254" w:lineRule="auto"/>
              <w:ind w:right="121"/>
              <w:jc w:val="center"/>
              <w:rPr>
                <w:rFonts w:ascii="Times New Roman" w:eastAsia="Calibri" w:hAnsi="Times New Roman" w:cs="Times New Roman"/>
                <w:noProof/>
                <w:sz w:val="12"/>
                <w:szCs w:val="12"/>
              </w:rPr>
            </w:pPr>
            <w:r>
              <w:rPr>
                <w:rFonts w:ascii="Times New Roman" w:hAnsi="Times New Roman"/>
                <w:noProof/>
                <w:sz w:val="12"/>
              </w:rPr>
              <w:t>Normele interne privind aplicarea articolului 76 din Statutul funcționarilor privind asistența financiară pentru funcționari și alți angajați aflați într-o situație financiară deosebit de dificilă</w:t>
            </w:r>
          </w:p>
        </w:tc>
        <w:tc>
          <w:tcPr>
            <w:tcW w:w="1322"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1.12.2016</w:t>
            </w:r>
          </w:p>
        </w:tc>
        <w:tc>
          <w:tcPr>
            <w:tcW w:w="1687"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GB"/>
              </w:rPr>
            </w:pPr>
          </w:p>
        </w:tc>
        <w:tc>
          <w:tcPr>
            <w:tcW w:w="936" w:type="dxa"/>
            <w:tcBorders>
              <w:top w:val="single" w:sz="6" w:space="0" w:color="000000"/>
              <w:left w:val="single" w:sz="3" w:space="0" w:color="000000"/>
              <w:bottom w:val="single" w:sz="6"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anexa VIII – Pensiile și prestația de invaliditate</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anexa VIII</w:t>
            </w:r>
            <w:r>
              <w:rPr>
                <w:noProof/>
              </w:rPr>
              <w:t xml:space="preserve"> </w:t>
            </w:r>
            <w:r>
              <w:rPr>
                <w:noProof/>
              </w:rPr>
              <w:br/>
            </w:r>
            <w:r>
              <w:rPr>
                <w:rFonts w:ascii="Times New Roman" w:hAnsi="Times New Roman"/>
                <w:b/>
                <w:noProof/>
                <w:sz w:val="12"/>
              </w:rPr>
              <w:t xml:space="preserve"> (articolele 11 și 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Transferul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transferul drepturilor de pensie,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articolele 73 și 78 + anexa VIII</w:t>
            </w:r>
          </w:p>
        </w:tc>
        <w:tc>
          <w:tcPr>
            <w:tcW w:w="2551"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Prestația de invaliditate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Normele interne privind procedura de convocare a comisiei de invaliditate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24.9.2010</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 – Regimul disciplinar  </w:t>
            </w:r>
          </w:p>
        </w:tc>
      </w:tr>
      <w:tr>
        <w:trPr>
          <w:trHeight w:hRule="exact" w:val="567"/>
        </w:trPr>
        <w:tc>
          <w:tcPr>
            <w:tcW w:w="1156" w:type="dxa"/>
            <w:tcBorders>
              <w:top w:val="single" w:sz="5" w:space="0" w:color="000000"/>
              <w:left w:val="single" w:sz="4" w:space="0" w:color="000000"/>
              <w:bottom w:val="single" w:sz="5" w:space="0" w:color="000000"/>
              <w:right w:val="single" w:sz="4"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 + anexa IX</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Procedura disciplinară și anchetele administrative</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secretarului general din 18 mai 2004 privind dispozițiile generale de punere în aplicare referitoare la procedura disciplinară și anchetele administrative</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6" w:space="0" w:color="000000"/>
              <w:left w:val="single" w:sz="4" w:space="0" w:color="000000"/>
              <w:bottom w:val="single" w:sz="3"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 86 + anexa IX</w:t>
            </w:r>
          </w:p>
        </w:tc>
        <w:tc>
          <w:tcPr>
            <w:tcW w:w="2551"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Investigații privind comisiile de selecție EPSO</w:t>
            </w:r>
          </w:p>
        </w:tc>
        <w:tc>
          <w:tcPr>
            <w:tcW w:w="3029"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secretarului general din 25 aprilie 2006</w:t>
            </w:r>
          </w:p>
        </w:tc>
        <w:tc>
          <w:tcPr>
            <w:tcW w:w="1322"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25.4.2006</w:t>
            </w:r>
          </w:p>
        </w:tc>
        <w:tc>
          <w:tcPr>
            <w:tcW w:w="1687" w:type="dxa"/>
            <w:tcBorders>
              <w:top w:val="single" w:sz="6"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7"/>
              </w:rPr>
              <w:t>1 IR</w:t>
            </w:r>
          </w:p>
        </w:tc>
      </w:tr>
    </w:tbl>
    <w:p>
      <w:pPr>
        <w:rPr>
          <w:rFonts w:ascii="Times New Roman" w:eastAsia="Times New Roman" w:hAnsi="Times New Roman" w:cs="Times New Roman"/>
          <w:noProof/>
          <w:sz w:val="20"/>
          <w:szCs w:val="20"/>
          <w:lang w:val="en-US"/>
        </w:rPr>
      </w:pPr>
    </w:p>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 – Agenții temporari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779"/>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8 + 12 alineatul (5)</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7"/>
              </w:rPr>
              <w:t xml:space="preserve">Politica generală de angajare a </w:t>
            </w:r>
            <w:r>
              <w:rPr>
                <w:rFonts w:ascii="Times New Roman" w:hAnsi="Times New Roman"/>
                <w:b/>
                <w:noProof/>
                <w:sz w:val="16"/>
              </w:rPr>
              <w:t>agenților temporari</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35" w:after="0" w:line="254" w:lineRule="auto"/>
              <w:ind w:right="258"/>
              <w:jc w:val="center"/>
              <w:rPr>
                <w:noProof/>
              </w:rPr>
            </w:pPr>
            <w:r>
              <w:rPr>
                <w:rFonts w:ascii="Times New Roman" w:hAnsi="Times New Roman"/>
                <w:noProof/>
                <w:sz w:val="12"/>
              </w:rPr>
              <w:t>Dispozițiile generale de punere în aplicare din 17 octombrie 2014 privind concursurile și procedurile de selecție, recrutarea și încadrarea în grad a funcționarilor și a celorlalți agenți ai Parlamentului European</w:t>
            </w:r>
          </w:p>
        </w:tc>
        <w:tc>
          <w:tcPr>
            <w:tcW w:w="1322"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5" w:space="0" w:color="000000"/>
              <w:left w:val="single" w:sz="3" w:space="0" w:color="000000"/>
              <w:bottom w:val="single" w:sz="5"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5"/>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10</w:t>
            </w:r>
          </w:p>
        </w:tc>
        <w:tc>
          <w:tcPr>
            <w:tcW w:w="2551" w:type="dxa"/>
            <w:tcBorders>
              <w:top w:val="single" w:sz="4" w:space="0" w:color="000000"/>
              <w:left w:val="single" w:sz="4" w:space="0" w:color="000000"/>
              <w:bottom w:val="single" w:sz="4" w:space="0" w:color="000000"/>
              <w:right w:val="single" w:sz="4" w:space="0" w:color="000000"/>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Reclasificarea agenților temporari</w:t>
            </w:r>
          </w:p>
        </w:tc>
        <w:tc>
          <w:tcPr>
            <w:tcW w:w="3029" w:type="dxa"/>
            <w:tcBorders>
              <w:top w:val="single" w:sz="6" w:space="0" w:color="000000"/>
              <w:left w:val="single" w:sz="4" w:space="0" w:color="000000"/>
              <w:bottom w:val="single" w:sz="4" w:space="0" w:color="000000"/>
              <w:right w:val="single" w:sz="4" w:space="0" w:color="000000"/>
            </w:tcBorders>
            <w:shd w:val="clear" w:color="auto" w:fill="D99594"/>
            <w:vAlign w:val="center"/>
          </w:tcPr>
          <w:p>
            <w:pPr>
              <w:widowControl w:val="0"/>
              <w:spacing w:before="35" w:after="0" w:line="254" w:lineRule="auto"/>
              <w:ind w:right="258"/>
              <w:jc w:val="center"/>
              <w:rPr>
                <w:noProof/>
              </w:rPr>
            </w:pPr>
            <w:r>
              <w:rPr>
                <w:rFonts w:ascii="Times New Roman" w:hAnsi="Times New Roman"/>
                <w:noProof/>
                <w:sz w:val="12"/>
              </w:rPr>
              <w:t>Normele interne privind reclasificarea agenților temporari angajați în temeiul articolului 2 litera (a) din Regimul aplicabil celorlalți agenți</w:t>
            </w:r>
          </w:p>
        </w:tc>
        <w:tc>
          <w:tcPr>
            <w:tcW w:w="1322" w:type="dxa"/>
            <w:tcBorders>
              <w:top w:val="single" w:sz="5" w:space="0" w:color="000000"/>
              <w:left w:val="single" w:sz="4"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21.10.2014</w:t>
            </w:r>
          </w:p>
        </w:tc>
        <w:tc>
          <w:tcPr>
            <w:tcW w:w="1687" w:type="dxa"/>
            <w:tcBorders>
              <w:top w:val="single" w:sz="5" w:space="0" w:color="000000"/>
              <w:left w:val="single" w:sz="3" w:space="0" w:color="000000"/>
              <w:bottom w:val="single" w:sz="3"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6" w:space="0" w:color="000000"/>
              <w:left w:val="single" w:sz="4" w:space="0" w:color="000000"/>
              <w:bottom w:val="single" w:sz="4" w:space="0" w:color="auto"/>
              <w:right w:val="single" w:sz="6"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4 – Condițiile de muncă</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Concediul de maternitate și alocația aferentă</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Normele interne privind concediile</w:t>
            </w:r>
            <w:r>
              <w:rPr>
                <w:noProof/>
              </w:rPr>
              <w:t xml:space="preserve"> </w:t>
            </w:r>
            <w:r>
              <w:rPr>
                <w:noProof/>
              </w:rPr>
              <w:br/>
            </w:r>
            <w:r>
              <w:rPr>
                <w:rFonts w:ascii="Times New Roman" w:hAnsi="Times New Roman"/>
                <w:noProof/>
                <w:sz w:val="12"/>
              </w:rPr>
              <w:t xml:space="preserve"> (modificate prin Decizia secretarului general din 12 aprilie 2023)</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rPr>
          <w:rFonts w:ascii="Times New Roman" w:eastAsia="Times New Roman" w:hAnsi="Times New Roman" w:cs="Times New Roman"/>
          <w:noProof/>
          <w:sz w:val="20"/>
          <w:szCs w:val="20"/>
          <w:lang w:val="en-US"/>
        </w:rPr>
      </w:pPr>
    </w:p>
    <w:p>
      <w:pPr>
        <w:rPr>
          <w:rFonts w:ascii="Times New Roman" w:eastAsia="Times New Roman" w:hAnsi="Times New Roman" w:cs="Times New Roman"/>
          <w:noProof/>
          <w:sz w:val="20"/>
          <w:szCs w:val="20"/>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lastRenderedPageBreak/>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alineatul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Utilizarea agenților contractuali</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1" w:after="0" w:line="240" w:lineRule="auto"/>
              <w:jc w:val="center"/>
              <w:rPr>
                <w:rFonts w:ascii="Times New Roman" w:eastAsia="Times New Roman" w:hAnsi="Times New Roman" w:cs="Times New Roman"/>
                <w:b/>
                <w:bCs/>
                <w:noProof/>
                <w:sz w:val="9"/>
                <w:szCs w:val="9"/>
              </w:rPr>
            </w:pPr>
          </w:p>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din 17 octombrie 2014 privind concursurile și procedurile de selecție, recrutarea și încadrarea în grad a funcționarilor și a celorlalți agenți ai Parlamentului European</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Procedurile de recrutare pentru agenții contractuali</w:t>
            </w: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Dispozițiile generale de punere în aplicare din 17 octombrie 2014 privind concursurile și procedurile de selecție, recrutarea și încadrarea în grad a funcționarilor și a celorlalți agenți ai Parlamentului European</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Încadrarea în grad la momentul recrutării</w:t>
            </w:r>
          </w:p>
        </w:tc>
        <w:tc>
          <w:tcPr>
            <w:tcW w:w="3029" w:type="dxa"/>
            <w:tcBorders>
              <w:top w:val="single" w:sz="4" w:space="0" w:color="auto"/>
              <w:left w:val="single" w:sz="4" w:space="0" w:color="000000"/>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din 17 octombrie 2014 privind concursurile și procedurile de selecție, recrutarea și încadrarea în grad a funcționarilor și a celorlalți agenți ai Parlamentului European</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Capitolul 4 – Dispoziții speciale aplicabile agenților contractuali menționați la articolul 3a</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tabs>
                <w:tab w:val="left" w:pos="1272"/>
              </w:tabs>
              <w:spacing w:before="86"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Evaluarea agenților contractuali</w:t>
            </w:r>
          </w:p>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a articolului 43 din Statutul funcționarilor și a articolului 15 alineatul (2) și a articolului 87 alineatul (1) din Regimul aplicabil celorlalți agenți</w:t>
            </w:r>
            <w:r>
              <w:rPr>
                <w:noProof/>
              </w:rPr>
              <w:t xml:space="preserve"> </w:t>
            </w:r>
            <w:r>
              <w:rPr>
                <w:noProof/>
              </w:rPr>
              <w:br/>
            </w:r>
            <w:r>
              <w:rPr>
                <w:rFonts w:ascii="Times New Roman" w:hAnsi="Times New Roman"/>
                <w:noProof/>
                <w:sz w:val="12"/>
              </w:rPr>
              <w:t xml:space="preserve"> (rapoartele de evaluare)</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6"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FF" w:themeFill="background1"/>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Normele interne privind aplicarea dispozițiilor generale de punere în aplicare a articolului 43 din Statutul funcționarilor și articolelor 15 alineatul (2) și 87 alineatul (1) din Regimul aplicabil celorlalți agenți (rapoarte de evaluare)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 xml:space="preserve">Capitolul 5 </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noProof/>
                <w:sz w:val="12"/>
              </w:rPr>
              <w:t>90</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b/>
                <w:noProof/>
                <w:sz w:val="16"/>
                <w:szCs w:val="16"/>
              </w:rPr>
            </w:pPr>
            <w:r>
              <w:rPr>
                <w:rFonts w:ascii="Times New Roman" w:hAnsi="Times New Roman"/>
                <w:b/>
                <w:noProof/>
                <w:sz w:val="16"/>
              </w:rPr>
              <w:t>Interpreții de conferință auxiliari</w:t>
            </w:r>
          </w:p>
          <w:p>
            <w:pPr>
              <w:widowControl w:val="0"/>
              <w:spacing w:after="0" w:line="240" w:lineRule="auto"/>
              <w:jc w:val="center"/>
              <w:rPr>
                <w:rFonts w:ascii="Times New Roman" w:eastAsia="Times New Roman" w:hAnsi="Times New Roman" w:cs="Times New Roman"/>
                <w:b/>
                <w:noProof/>
                <w:sz w:val="16"/>
                <w:szCs w:val="16"/>
                <w:lang w:val="en-US"/>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Biroului din 15 decembrie 2008 Normele PE aplicabile interpreților de conferință recrutați în temeiul articolului 90 din RAA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000000"/>
              <w:left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90</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b/>
                <w:noProof/>
                <w:sz w:val="16"/>
                <w:szCs w:val="16"/>
              </w:rPr>
            </w:pPr>
            <w:r>
              <w:rPr>
                <w:rFonts w:ascii="Times New Roman" w:hAnsi="Times New Roman"/>
                <w:b/>
                <w:noProof/>
                <w:sz w:val="16"/>
              </w:rPr>
              <w:t>Condițiile de lucru ale interpreților</w:t>
            </w: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Dispoziții aplicabile funcționarilor care sunt interpreți și agenților care sunt interpreți de conferință în Parlamentul European – Decizia secretarului general din 19 iulie 2018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1"/>
              </w:rPr>
              <w:t>5.11.2023</w:t>
            </w:r>
          </w:p>
        </w:tc>
        <w:tc>
          <w:tcPr>
            <w:tcW w:w="936" w:type="dxa"/>
            <w:vMerge w:val="restart"/>
            <w:tcBorders>
              <w:top w:val="single" w:sz="4" w:space="0" w:color="auto"/>
              <w:left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Dispoziții aplicabile funcționarilor care sunt interpreți și agenților care sunt interpreți de conferință în Parlamentul European – Decizia secretarului general din 27 octombrie 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6.11.2023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4" w:space="0" w:color="auto"/>
              <w:bottom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lang w:val="en-US"/>
              </w:rPr>
            </w:pPr>
          </w:p>
        </w:tc>
      </w:tr>
    </w:tbl>
    <w:p>
      <w:pPr>
        <w:rPr>
          <w:rFonts w:ascii="Times New Roman" w:eastAsia="Times New Roman" w:hAnsi="Times New Roman" w:cs="Times New Roman"/>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VII – Asistenții parlamentari </w:t>
            </w:r>
          </w:p>
        </w:tc>
      </w:tr>
      <w:tr>
        <w:trPr>
          <w:trHeight w:hRule="exact" w:val="567"/>
        </w:trPr>
        <w:tc>
          <w:tcPr>
            <w:tcW w:w="1156" w:type="dxa"/>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125 - 139</w:t>
            </w:r>
          </w:p>
        </w:tc>
        <w:tc>
          <w:tcPr>
            <w:tcW w:w="2551" w:type="dxa"/>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Măsuri de punere în aplicare a titlului VII</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Norme de punere în aplicare a titlului VII din Regimul aplicabil celorlalți agenți ai Uniunii Europene (modificate prin Deciziile Biroului din 2 octombrie 2017 și din 5 iulie 2021)</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14.5.2014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rPr>
          <w:rFonts w:ascii="Times New Roman" w:eastAsia="Times New Roman" w:hAnsi="Times New Roman" w:cs="Times New Roman"/>
          <w:noProof/>
          <w:sz w:val="20"/>
          <w:szCs w:val="20"/>
        </w:rPr>
      </w:pPr>
    </w:p>
    <w:p>
      <w:pPr>
        <w:rPr>
          <w:rFonts w:ascii="Times New Roman" w:eastAsia="Times New Roman" w:hAnsi="Times New Roman" w:cs="Times New Roman"/>
          <w:noProof/>
          <w:sz w:val="20"/>
          <w:szCs w:val="20"/>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noProof/>
              </w:rPr>
              <w:lastRenderedPageBreak/>
              <w:br w:type="page"/>
            </w:r>
            <w:r>
              <w:rPr>
                <w:rFonts w:ascii="Times New Roman" w:hAnsi="Times New Roman"/>
                <w:b/>
                <w:noProof/>
                <w:sz w:val="50"/>
              </w:rPr>
              <w:t>CONSILIUL UNIUNII EUROPENE</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748"/>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1d alineatul (4)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Handicap</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nr. 12/2019 de punere în aplicare a articolului 1d alineatul (4) din Statutul funcționarilor în ceea ce privește aranjamentele de cazare rezonabile pentru persoanele cu handicap și de stabilire</w:t>
            </w:r>
            <w:r>
              <w:rPr>
                <w:noProof/>
              </w:rPr>
              <w:t xml:space="preserve"> </w:t>
            </w:r>
            <w:r>
              <w:rPr>
                <w:noProof/>
              </w:rPr>
              <w:br/>
            </w:r>
            <w:r>
              <w:rPr>
                <w:rFonts w:ascii="Times New Roman" w:hAnsi="Times New Roman"/>
                <w:noProof/>
                <w:sz w:val="12"/>
              </w:rPr>
              <w:t xml:space="preserve"> a procedurilor pentru tratarea cererilor</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15.4.2019</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1d alineatul (4) + 76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Acordarea de ajutor suplimentar pentru persoanele cu handicap</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rPr>
                <w:rFonts w:ascii="Times New Roman" w:eastAsia="Calibri" w:hAnsi="Calibri" w:cs="Times New Roman"/>
                <w:noProof/>
                <w:w w:val="105"/>
                <w:sz w:val="12"/>
              </w:rPr>
            </w:pPr>
            <w:r>
              <w:rPr>
                <w:rFonts w:ascii="Times New Roman" w:hAnsi="Calibri"/>
                <w:noProof/>
                <w:sz w:val="12"/>
              </w:rPr>
              <w:t xml:space="preserve">Decizia nr. 20/2021 de punere </w:t>
            </w:r>
            <w:r>
              <w:rPr>
                <w:rFonts w:ascii="Times New Roman" w:hAnsi="Calibri"/>
                <w:noProof/>
                <w:sz w:val="12"/>
              </w:rPr>
              <w:t>î</w:t>
            </w:r>
            <w:r>
              <w:rPr>
                <w:rFonts w:ascii="Times New Roman" w:hAnsi="Calibri"/>
                <w:noProof/>
                <w:sz w:val="12"/>
              </w:rPr>
              <w:t>n aplicare a Orient</w:t>
            </w:r>
            <w:r>
              <w:rPr>
                <w:rFonts w:ascii="Times New Roman" w:hAnsi="Calibri"/>
                <w:noProof/>
                <w:sz w:val="12"/>
              </w:rPr>
              <w:t>ă</w:t>
            </w:r>
            <w:r>
              <w:rPr>
                <w:rFonts w:ascii="Times New Roman" w:hAnsi="Calibri"/>
                <w:noProof/>
                <w:sz w:val="12"/>
              </w:rPr>
              <w:t>rilor interinstitu</w:t>
            </w:r>
            <w:r>
              <w:rPr>
                <w:rFonts w:ascii="Times New Roman" w:hAnsi="Calibri"/>
                <w:noProof/>
                <w:sz w:val="12"/>
              </w:rPr>
              <w:t>ț</w:t>
            </w:r>
            <w:r>
              <w:rPr>
                <w:rFonts w:ascii="Times New Roman" w:hAnsi="Calibri"/>
                <w:noProof/>
                <w:sz w:val="12"/>
              </w:rPr>
              <w:t xml:space="preserve">ionale din 30 aprilie 2020 de punere </w:t>
            </w:r>
            <w:r>
              <w:rPr>
                <w:rFonts w:ascii="Times New Roman" w:hAnsi="Calibri"/>
                <w:noProof/>
                <w:sz w:val="12"/>
              </w:rPr>
              <w:t>î</w:t>
            </w:r>
            <w:r>
              <w:rPr>
                <w:rFonts w:ascii="Times New Roman" w:hAnsi="Calibri"/>
                <w:noProof/>
                <w:sz w:val="12"/>
              </w:rPr>
              <w:t>n aplicare a ajutorului suplimentar pentru persoanele cu handicap</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27.5.2021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Calibri"/>
                <w:b/>
                <w:noProof/>
                <w:sz w:val="12"/>
              </w:rPr>
              <w:t>1e alineatul (2)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Calibri"/>
                <w:b/>
                <w:noProof/>
                <w:sz w:val="17"/>
              </w:rPr>
              <w:t>S</w:t>
            </w:r>
            <w:r>
              <w:rPr>
                <w:rFonts w:ascii="Times New Roman" w:hAnsi="Calibri"/>
                <w:b/>
                <w:noProof/>
                <w:sz w:val="17"/>
              </w:rPr>
              <w:t>ă</w:t>
            </w:r>
            <w:r>
              <w:rPr>
                <w:rFonts w:ascii="Times New Roman" w:hAnsi="Calibri"/>
                <w:b/>
                <w:noProof/>
                <w:sz w:val="17"/>
              </w:rPr>
              <w:t>n</w:t>
            </w:r>
            <w:r>
              <w:rPr>
                <w:rFonts w:ascii="Times New Roman" w:hAnsi="Calibri"/>
                <w:b/>
                <w:noProof/>
                <w:sz w:val="17"/>
              </w:rPr>
              <w:t>ă</w:t>
            </w:r>
            <w:r>
              <w:rPr>
                <w:rFonts w:ascii="Times New Roman" w:hAnsi="Calibri"/>
                <w:b/>
                <w:noProof/>
                <w:sz w:val="17"/>
              </w:rPr>
              <w:t xml:space="preserve">tate </w:t>
            </w:r>
            <w:r>
              <w:rPr>
                <w:rFonts w:ascii="Times New Roman" w:hAnsi="Calibri"/>
                <w:b/>
                <w:noProof/>
                <w:sz w:val="17"/>
              </w:rPr>
              <w:t>ș</w:t>
            </w:r>
            <w:r>
              <w:rPr>
                <w:rFonts w:ascii="Times New Roman" w:hAnsi="Calibri"/>
                <w:b/>
                <w:noProof/>
                <w:sz w:val="17"/>
              </w:rPr>
              <w:t>i siguran</w:t>
            </w:r>
            <w:r>
              <w:rPr>
                <w:rFonts w:ascii="Times New Roman" w:hAnsi="Calibri"/>
                <w:b/>
                <w:noProof/>
                <w:sz w:val="17"/>
              </w:rPr>
              <w:t>ță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 xml:space="preserve">Decizia nr. 61/16 de actualizare a rolului </w:t>
            </w:r>
            <w:r>
              <w:rPr>
                <w:rFonts w:ascii="Times New Roman" w:hAnsi="Calibri"/>
                <w:noProof/>
                <w:sz w:val="12"/>
              </w:rPr>
              <w:t>ș</w:t>
            </w:r>
            <w:r>
              <w:rPr>
                <w:rFonts w:ascii="Times New Roman" w:hAnsi="Calibri"/>
                <w:noProof/>
                <w:sz w:val="12"/>
              </w:rPr>
              <w:t xml:space="preserve">i a sarcinilor comisiei mixte pentru </w:t>
            </w:r>
            <w:r>
              <w:rPr>
                <w:rFonts w:ascii="Times New Roman" w:hAnsi="Calibri"/>
                <w:noProof/>
                <w:sz w:val="12"/>
              </w:rPr>
              <w:t>î</w:t>
            </w:r>
            <w:r>
              <w:rPr>
                <w:rFonts w:ascii="Times New Roman" w:hAnsi="Calibri"/>
                <w:noProof/>
                <w:sz w:val="12"/>
              </w:rPr>
              <w:t>mbun</w:t>
            </w:r>
            <w:r>
              <w:rPr>
                <w:rFonts w:ascii="Times New Roman" w:hAnsi="Calibri"/>
                <w:noProof/>
                <w:sz w:val="12"/>
              </w:rPr>
              <w:t>ă</w:t>
            </w:r>
            <w:r>
              <w:rPr>
                <w:rFonts w:ascii="Times New Roman" w:hAnsi="Calibri"/>
                <w:noProof/>
                <w:sz w:val="12"/>
              </w:rPr>
              <w:t>t</w:t>
            </w:r>
            <w:r>
              <w:rPr>
                <w:rFonts w:ascii="Times New Roman" w:hAnsi="Calibri"/>
                <w:noProof/>
                <w:sz w:val="12"/>
              </w:rPr>
              <w:t>ăț</w:t>
            </w:r>
            <w:r>
              <w:rPr>
                <w:rFonts w:ascii="Times New Roman" w:hAnsi="Calibri"/>
                <w:noProof/>
                <w:sz w:val="12"/>
              </w:rPr>
              <w:t>irea s</w:t>
            </w:r>
            <w:r>
              <w:rPr>
                <w:rFonts w:ascii="Times New Roman" w:hAnsi="Calibri"/>
                <w:noProof/>
                <w:sz w:val="12"/>
              </w:rPr>
              <w:t>ă</w:t>
            </w:r>
            <w:r>
              <w:rPr>
                <w:rFonts w:ascii="Times New Roman" w:hAnsi="Calibri"/>
                <w:noProof/>
                <w:sz w:val="12"/>
              </w:rPr>
              <w:t>n</w:t>
            </w:r>
            <w:r>
              <w:rPr>
                <w:rFonts w:ascii="Times New Roman" w:hAnsi="Calibri"/>
                <w:noProof/>
                <w:sz w:val="12"/>
              </w:rPr>
              <w:t>ă</w:t>
            </w:r>
            <w:r>
              <w:rPr>
                <w:rFonts w:ascii="Times New Roman" w:hAnsi="Calibri"/>
                <w:noProof/>
                <w:sz w:val="12"/>
              </w:rPr>
              <w:t>t</w:t>
            </w:r>
            <w:r>
              <w:rPr>
                <w:rFonts w:ascii="Times New Roman" w:hAnsi="Calibri"/>
                <w:noProof/>
                <w:sz w:val="12"/>
              </w:rPr>
              <w:t>ăț</w:t>
            </w:r>
            <w:r>
              <w:rPr>
                <w:rFonts w:ascii="Times New Roman" w:hAnsi="Calibri"/>
                <w:noProof/>
                <w:sz w:val="12"/>
              </w:rPr>
              <w:t xml:space="preserve">ii </w:t>
            </w:r>
            <w:r>
              <w:rPr>
                <w:rFonts w:ascii="Times New Roman" w:hAnsi="Calibri"/>
                <w:noProof/>
                <w:sz w:val="12"/>
              </w:rPr>
              <w:t>ș</w:t>
            </w:r>
            <w:r>
              <w:rPr>
                <w:rFonts w:ascii="Times New Roman" w:hAnsi="Calibri"/>
                <w:noProof/>
                <w:sz w:val="12"/>
              </w:rPr>
              <w:t>i a securit</w:t>
            </w:r>
            <w:r>
              <w:rPr>
                <w:rFonts w:ascii="Times New Roman" w:hAnsi="Calibri"/>
                <w:noProof/>
                <w:sz w:val="12"/>
              </w:rPr>
              <w:t>ăț</w:t>
            </w:r>
            <w:r>
              <w:rPr>
                <w:rFonts w:ascii="Times New Roman" w:hAnsi="Calibri"/>
                <w:noProof/>
                <w:sz w:val="12"/>
              </w:rPr>
              <w:t>ii la locul de munc</w:t>
            </w:r>
            <w:r>
              <w:rPr>
                <w:rFonts w:ascii="Times New Roman" w:hAnsi="Calibri"/>
                <w:noProof/>
                <w:sz w:val="12"/>
              </w:rPr>
              <w:t>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1.1.2017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845"/>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7"/>
              </w:rPr>
              <w:t>Competențele autorității împuternicite să facă numiri (AIPN)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(UE) 2017/262 a Consiliului din 6 februarie 2017 de stabilire, pentru Secretariatul General al Consiliului, </w:t>
            </w:r>
            <w:r>
              <w:rPr>
                <w:noProof/>
              </w:rPr>
              <w:t xml:space="preserve"> </w:t>
            </w:r>
            <w:r>
              <w:rPr>
                <w:noProof/>
              </w:rPr>
              <w:br/>
            </w:r>
            <w:r>
              <w:rPr>
                <w:rFonts w:ascii="Times New Roman" w:hAnsi="Times New Roman"/>
                <w:noProof/>
                <w:sz w:val="12"/>
              </w:rPr>
              <w:t>a autorității de numire și a autorității abilitate să încheie contracte de muncă și de abrogare a Deciziei 2013/811/UE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6.2.2017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2132"/>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16/2017 a secretarului general al Consiliului de delegare a competențelor de decizie și a competenței de a semna privind aplicarea Statutului funcționarilor</w:t>
            </w:r>
            <w:r>
              <w:rPr>
                <w:noProof/>
              </w:rPr>
              <w:t xml:space="preserve"> </w:t>
            </w:r>
            <w:r>
              <w:rPr>
                <w:noProof/>
              </w:rPr>
              <w:br/>
            </w:r>
            <w:r>
              <w:rPr>
                <w:rFonts w:ascii="Times New Roman" w:hAnsi="Times New Roman"/>
                <w:noProof/>
                <w:sz w:val="12"/>
              </w:rPr>
              <w:t xml:space="preserve"> Uniunii Europene și a Regimului </w:t>
            </w:r>
            <w:r>
              <w:rPr>
                <w:noProof/>
              </w:rPr>
              <w:t xml:space="preserve"> </w:t>
            </w:r>
            <w:r>
              <w:rPr>
                <w:noProof/>
              </w:rPr>
              <w:br/>
            </w:r>
            <w:r>
              <w:rPr>
                <w:rFonts w:ascii="Times New Roman" w:hAnsi="Times New Roman"/>
                <w:noProof/>
                <w:sz w:val="12"/>
              </w:rPr>
              <w:t>aplicabil celorlalți agenți și de abrogare a Deciziilor 22/14 și 23/14</w:t>
            </w:r>
            <w:r>
              <w:rPr>
                <w:noProof/>
              </w:rPr>
              <w:t xml:space="preserve"> </w:t>
            </w:r>
            <w:r>
              <w:rPr>
                <w:noProof/>
              </w:rPr>
              <w:br/>
            </w:r>
            <w:r>
              <w:rPr>
                <w:rFonts w:ascii="Times New Roman" w:hAnsi="Times New Roman"/>
                <w:noProof/>
                <w:sz w:val="12"/>
              </w:rPr>
              <w:t xml:space="preserve"> (modificată prin Decizia nr. 23/22 a secretarului general </w:t>
            </w:r>
            <w:r>
              <w:rPr>
                <w:noProof/>
              </w:rPr>
              <w:t xml:space="preserve"> </w:t>
            </w:r>
            <w:r>
              <w:rPr>
                <w:noProof/>
              </w:rPr>
              <w:br/>
            </w:r>
            <w:r>
              <w:rPr>
                <w:rFonts w:ascii="Times New Roman" w:hAnsi="Times New Roman"/>
                <w:noProof/>
                <w:sz w:val="12"/>
              </w:rPr>
              <w:t xml:space="preserve">al Consiliului de modificare a Deciziei nr. 16/2017 de delegare </w:t>
            </w:r>
            <w:r>
              <w:rPr>
                <w:noProof/>
              </w:rPr>
              <w:t xml:space="preserve"> </w:t>
            </w:r>
            <w:r>
              <w:rPr>
                <w:noProof/>
              </w:rPr>
              <w:br/>
            </w:r>
            <w:r>
              <w:rPr>
                <w:rFonts w:ascii="Times New Roman" w:hAnsi="Times New Roman"/>
                <w:noProof/>
                <w:sz w:val="12"/>
              </w:rPr>
              <w:t>a competențelor de decizie și a competenței de a semna privind</w:t>
            </w:r>
            <w:r>
              <w:rPr>
                <w:noProof/>
              </w:rPr>
              <w:t xml:space="preserve"> </w:t>
            </w:r>
            <w:r>
              <w:rPr>
                <w:noProof/>
              </w:rPr>
              <w:br/>
            </w:r>
            <w:r>
              <w:rPr>
                <w:rFonts w:ascii="Times New Roman" w:hAnsi="Times New Roman"/>
                <w:noProof/>
                <w:sz w:val="12"/>
              </w:rPr>
              <w:t xml:space="preserve"> aplicarea Statutului funcționarilor Uniunii Europene și a Regimului aplicabil celorlalți agenți, pentru a asigura continuitatea în cazul în care </w:t>
            </w:r>
            <w:r>
              <w:rPr>
                <w:noProof/>
              </w:rPr>
              <w:t xml:space="preserve"> </w:t>
            </w:r>
            <w:r>
              <w:rPr>
                <w:noProof/>
              </w:rPr>
              <w:br/>
            </w:r>
            <w:r>
              <w:rPr>
                <w:rFonts w:ascii="Times New Roman" w:hAnsi="Times New Roman"/>
                <w:noProof/>
                <w:sz w:val="12"/>
              </w:rPr>
              <w:t xml:space="preserve">postul de secretar general devine vacant, </w:t>
            </w:r>
            <w:r>
              <w:rPr>
                <w:noProof/>
              </w:rPr>
              <w:t xml:space="preserve"> </w:t>
            </w:r>
            <w:r>
              <w:rPr>
                <w:noProof/>
              </w:rPr>
              <w:br/>
            </w:r>
            <w:r>
              <w:rPr>
                <w:rFonts w:ascii="Times New Roman" w:hAnsi="Times New Roman"/>
                <w:noProof/>
                <w:sz w:val="12"/>
              </w:rPr>
              <w:t>adoptată la 29 aprilie 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2.5.2017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45"/>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nr. 39/18 a Directorului General al Direcției Generale dezvoltare organizațională și servicii de delegare a dreptului de semnătură pentru actele care fac obiectul delegării competențelor de decizie și a competenței de a semna în temeiul Deciziei nr. 16/2017 </w:t>
            </w:r>
            <w:r>
              <w:rPr>
                <w:noProof/>
              </w:rPr>
              <w:t xml:space="preserve"> </w:t>
            </w:r>
            <w:r>
              <w:rPr>
                <w:noProof/>
              </w:rPr>
              <w:br/>
            </w:r>
            <w:r>
              <w:rPr>
                <w:rFonts w:ascii="Times New Roman" w:hAnsi="Times New Roman"/>
                <w:noProof/>
                <w:sz w:val="12"/>
              </w:rPr>
              <w:t>a secretarului general și de abrogare a Deciziei 25/18</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14.9.2018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001"/>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spacing w:after="40" w:line="240" w:lineRule="auto"/>
              <w:jc w:val="center"/>
              <w:rPr>
                <w:rFonts w:ascii="Times New Roman" w:eastAsia="Calibri" w:hAnsi="Times New Roman" w:cs="Times New Roman"/>
                <w:noProof/>
                <w:sz w:val="12"/>
                <w:szCs w:val="12"/>
              </w:rPr>
            </w:pPr>
            <w:r>
              <w:rPr>
                <w:rFonts w:ascii="Times New Roman" w:hAnsi="Times New Roman"/>
                <w:noProof/>
                <w:sz w:val="12"/>
              </w:rPr>
              <w:t>Decizia secretarului general nr. 72/2014 privind delegarea competențelor conferite autorității împuternicite să facă numiri/AAIC în ceea ce privește stabilirea drepturilor prevăzute la titlul 3 din Acordul privind nivelul serviciilor referitor la colaborarea dintre Consiliul Uniunii Europene și Comisia Europeană privind stabilirea și administrarea drepturilor de pensie</w:t>
            </w:r>
          </w:p>
          <w:p>
            <w:pPr>
              <w:widowControl w:val="0"/>
              <w:spacing w:before="9" w:after="0" w:line="240" w:lineRule="auto"/>
              <w:jc w:val="center"/>
              <w:rPr>
                <w:rFonts w:ascii="Times New Roman" w:eastAsia="Calibri" w:hAnsi="Times New Roman" w:cs="Times New Roman"/>
                <w:noProof/>
                <w:sz w:val="12"/>
                <w:szCs w:val="12"/>
                <w:lang w:val="en-GB"/>
              </w:rPr>
            </w:pP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129"/>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47/2015 a secretarului general al Consiliului privind delegarea competențelor conferite autorității împuternicite să facă numiri/autorității abilitate să încheie contracte de muncă pentru stabilirea drepturilor referitoare la actualizarea anuală a salariilor și pensiilor, a coeficienților corectori, a indemnizațiilor și a rabaturilor acordate funcționarilor și celorlalți agenți ai Consiliului European și ai Consiliului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27.7.2015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 xml:space="preserve">1 IR </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anexa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Tipuri de posturi și titlurile posturilor</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45/17 a secretarului general al Consiliului</w:t>
            </w:r>
            <w:r>
              <w:rPr>
                <w:noProof/>
              </w:rPr>
              <w:t xml:space="preserve"> </w:t>
            </w:r>
            <w:r>
              <w:rPr>
                <w:noProof/>
              </w:rPr>
              <w:br/>
            </w:r>
            <w:r>
              <w:rPr>
                <w:rFonts w:ascii="Times New Roman" w:hAnsi="Times New Roman"/>
                <w:noProof/>
                <w:sz w:val="12"/>
              </w:rPr>
              <w:t xml:space="preserve"> Uniunii Europene privind tipurile de posturi și titlurile posturilor</w:t>
            </w:r>
            <w:r>
              <w:rPr>
                <w:noProof/>
              </w:rPr>
              <w:t xml:space="preserve"> </w:t>
            </w:r>
            <w:r>
              <w:rPr>
                <w:noProof/>
              </w:rPr>
              <w:br/>
            </w:r>
            <w:r>
              <w:rPr>
                <w:rFonts w:ascii="Times New Roman" w:hAnsi="Times New Roman"/>
                <w:noProof/>
                <w:sz w:val="12"/>
              </w:rPr>
              <w:t xml:space="preserve"> și de abrogare a Deciziei 24/16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16.11.2017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123"/>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5 + anexa I și anexa XIII (articolele 30 și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 xml:space="preserve">Repartizarea funcționarilor care dețineau responsabilități speciale pentru „șef de </w:t>
            </w:r>
            <w:r>
              <w:rPr>
                <w:rFonts w:ascii="Times New Roman" w:hAnsi="Times New Roman"/>
                <w:b/>
                <w:noProof/>
                <w:sz w:val="17"/>
              </w:rPr>
              <w:t xml:space="preserve">unitate sau echivalent” sau „consilier sau </w:t>
            </w:r>
            <w:r>
              <w:rPr>
                <w:rFonts w:ascii="Times New Roman" w:hAnsi="Times New Roman"/>
                <w:b/>
                <w:noProof/>
                <w:sz w:val="16"/>
              </w:rPr>
              <w:t xml:space="preserve">echivalent” înainte de 31 decembrie </w:t>
            </w:r>
            <w:r>
              <w:rPr>
                <w:rFonts w:ascii="Times New Roman" w:hAnsi="Times New Roman"/>
                <w:b/>
                <w:noProof/>
                <w:sz w:val="17"/>
              </w:rPr>
              <w:t>2015</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6/14 privind repartizarea funcționarilor AD 9-14 cu responsabilități speciale în tipurile de posturi „șef de unitate sau echivalent” sau „consilier sau echivalent” înainte de 31 decembrie 2015 (modificată ultima dată prin Decizia 34/14 de modificare a organigramei posturilor de conducere și entităților administrative și de numire</w:t>
            </w:r>
            <w:r>
              <w:rPr>
                <w:noProof/>
              </w:rPr>
              <w:t xml:space="preserve"> </w:t>
            </w:r>
            <w:r>
              <w:rPr>
                <w:noProof/>
              </w:rPr>
              <w:br/>
            </w:r>
            <w:r>
              <w:rPr>
                <w:rFonts w:ascii="Times New Roman" w:hAnsi="Times New Roman"/>
                <w:noProof/>
                <w:sz w:val="12"/>
              </w:rPr>
              <w:t xml:space="preserve"> în funcții de conducere, de consilier și/sau șef de unitate sau echivalent)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7</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Transferul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36/2017 a secretarului general al Consiliului Uniunii Europene privind mobilitatea în cadrul Secretariatului General al Consiliului și de abrogare a Deciziilor 101/2011 și 21/2015</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12.7.2017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Titlul II – Drepturile și obligațiile funcționarului</w:t>
            </w:r>
          </w:p>
        </w:tc>
      </w:tr>
      <w:tr>
        <w:trPr>
          <w:trHeight w:val="611"/>
        </w:trPr>
        <w:tc>
          <w:tcPr>
            <w:tcW w:w="1156" w:type="dxa"/>
            <w:vMerge w:val="restart"/>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11 - 21</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7"/>
              </w:rPr>
              <w:t>Etică și integritate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Decizia 61/2015 privind activitățile și mandatele externe</w:t>
            </w:r>
            <w:r>
              <w:rPr>
                <w:noProof/>
              </w:rPr>
              <w:t xml:space="preserve"> </w:t>
            </w:r>
            <w:r>
              <w:rPr>
                <w:noProof/>
              </w:rPr>
              <w:br/>
            </w:r>
            <w:r>
              <w:rPr>
                <w:rFonts w:ascii="Times New Roman" w:hAnsi="Calibri"/>
                <w:noProof/>
                <w:sz w:val="12"/>
              </w:rPr>
              <w:t>î</w:t>
            </w:r>
            <w:r>
              <w:rPr>
                <w:rFonts w:ascii="Times New Roman" w:hAnsi="Calibri"/>
                <w:noProof/>
                <w:sz w:val="12"/>
              </w:rPr>
              <w:t>nlocuie</w:t>
            </w:r>
            <w:r>
              <w:rPr>
                <w:rFonts w:ascii="Times New Roman" w:hAnsi="Calibri"/>
                <w:noProof/>
                <w:sz w:val="12"/>
              </w:rPr>
              <w:t>ș</w:t>
            </w:r>
            <w:r>
              <w:rPr>
                <w:rFonts w:ascii="Times New Roman" w:hAnsi="Calibri"/>
                <w:noProof/>
                <w:sz w:val="12"/>
              </w:rPr>
              <w:t>te dispozi</w:t>
            </w:r>
            <w:r>
              <w:rPr>
                <w:rFonts w:ascii="Times New Roman" w:hAnsi="Calibri"/>
                <w:noProof/>
                <w:sz w:val="12"/>
              </w:rPr>
              <w:t>ț</w:t>
            </w:r>
            <w:r>
              <w:rPr>
                <w:rFonts w:ascii="Times New Roman" w:hAnsi="Calibri"/>
                <w:noProof/>
                <w:sz w:val="12"/>
              </w:rPr>
              <w:t>iile Comunic</w:t>
            </w:r>
            <w:r>
              <w:rPr>
                <w:rFonts w:ascii="Times New Roman" w:hAnsi="Calibri"/>
                <w:noProof/>
                <w:sz w:val="12"/>
              </w:rPr>
              <w:t>ă</w:t>
            </w:r>
            <w:r>
              <w:rPr>
                <w:rFonts w:ascii="Times New Roman" w:hAnsi="Calibri"/>
                <w:noProof/>
                <w:sz w:val="12"/>
              </w:rPr>
              <w:t>rilor c</w:t>
            </w:r>
            <w:r>
              <w:rPr>
                <w:rFonts w:ascii="Times New Roman" w:hAnsi="Calibri"/>
                <w:noProof/>
                <w:sz w:val="12"/>
              </w:rPr>
              <w:t>ă</w:t>
            </w:r>
            <w:r>
              <w:rPr>
                <w:rFonts w:ascii="Times New Roman" w:hAnsi="Calibri"/>
                <w:noProof/>
                <w:sz w:val="12"/>
              </w:rPr>
              <w:t xml:space="preserve">tre personal 124/2000 </w:t>
            </w:r>
            <w:r>
              <w:rPr>
                <w:rFonts w:ascii="Times New Roman" w:hAnsi="Calibri"/>
                <w:noProof/>
                <w:sz w:val="12"/>
              </w:rPr>
              <w:t>ș</w:t>
            </w:r>
            <w:r>
              <w:rPr>
                <w:rFonts w:ascii="Times New Roman" w:hAnsi="Calibri"/>
                <w:noProof/>
                <w:sz w:val="12"/>
              </w:rPr>
              <w:t>i 99/1998 privind activit</w:t>
            </w:r>
            <w:r>
              <w:rPr>
                <w:rFonts w:ascii="Times New Roman" w:hAnsi="Calibri"/>
                <w:noProof/>
                <w:sz w:val="12"/>
              </w:rPr>
              <w:t>ăț</w:t>
            </w:r>
            <w:r>
              <w:rPr>
                <w:rFonts w:ascii="Times New Roman" w:hAnsi="Calibri"/>
                <w:noProof/>
                <w:sz w:val="12"/>
              </w:rPr>
              <w:t xml:space="preserve">ile externe </w:t>
            </w:r>
            <w:r>
              <w:rPr>
                <w:rFonts w:ascii="Times New Roman" w:hAnsi="Calibri"/>
                <w:noProof/>
                <w:sz w:val="12"/>
              </w:rPr>
              <w:t>ș</w:t>
            </w:r>
            <w:r>
              <w:rPr>
                <w:rFonts w:ascii="Times New Roman" w:hAnsi="Calibri"/>
                <w:noProof/>
                <w:sz w:val="12"/>
              </w:rPr>
              <w:t xml:space="preserve">i </w:t>
            </w:r>
            <w:r>
              <w:rPr>
                <w:rFonts w:ascii="Times New Roman" w:hAnsi="Calibri"/>
                <w:noProof/>
                <w:sz w:val="12"/>
              </w:rPr>
              <w:t>î</w:t>
            </w:r>
            <w:r>
              <w:rPr>
                <w:rFonts w:ascii="Times New Roman" w:hAnsi="Calibri"/>
                <w:noProof/>
                <w:sz w:val="12"/>
              </w:rPr>
              <w:t>nlocuie</w:t>
            </w:r>
            <w:r>
              <w:rPr>
                <w:rFonts w:ascii="Times New Roman" w:hAnsi="Calibri"/>
                <w:noProof/>
                <w:sz w:val="12"/>
              </w:rPr>
              <w:t>ș</w:t>
            </w:r>
            <w:r>
              <w:rPr>
                <w:rFonts w:ascii="Times New Roman" w:hAnsi="Calibri"/>
                <w:noProof/>
                <w:sz w:val="12"/>
              </w:rPr>
              <w:t>te Decizia 34/13</w:t>
            </w:r>
            <w:r>
              <w:rPr>
                <w:noProof/>
              </w:rPr>
              <w:t xml:space="preserve"> </w:t>
            </w:r>
            <w:r>
              <w:rPr>
                <w:noProof/>
              </w:rPr>
              <w:br/>
            </w:r>
            <w:r>
              <w:rPr>
                <w:rFonts w:ascii="Times New Roman" w:hAnsi="Calibri"/>
                <w:noProof/>
                <w:sz w:val="12"/>
              </w:rPr>
              <w:t xml:space="preserve"> privind favorurile </w:t>
            </w:r>
            <w:r>
              <w:rPr>
                <w:rFonts w:ascii="Times New Roman" w:hAnsi="Calibri"/>
                <w:noProof/>
                <w:sz w:val="12"/>
              </w:rPr>
              <w:t>ș</w:t>
            </w:r>
            <w:r>
              <w:rPr>
                <w:rFonts w:ascii="Times New Roman" w:hAnsi="Calibri"/>
                <w:noProof/>
                <w:sz w:val="12"/>
              </w:rPr>
              <w:t>i cadourile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16.11.2015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48"/>
        </w:trPr>
        <w:tc>
          <w:tcPr>
            <w:tcW w:w="1156" w:type="dxa"/>
            <w:vMerge/>
            <w:tcBorders>
              <w:left w:val="single" w:sz="4" w:space="0" w:color="000000"/>
              <w:bottom w:val="single" w:sz="3"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 xml:space="preserve">Decizia nr. 43/2019 privind punerea în aplicare </w:t>
            </w:r>
            <w:r>
              <w:rPr>
                <w:noProof/>
              </w:rPr>
              <w:t xml:space="preserve"> </w:t>
            </w:r>
            <w:r>
              <w:rPr>
                <w:noProof/>
              </w:rPr>
              <w:br/>
            </w:r>
            <w:r>
              <w:rPr>
                <w:rFonts w:ascii="Times New Roman" w:hAnsi="Times New Roman"/>
                <w:noProof/>
                <w:sz w:val="12"/>
              </w:rPr>
              <w:t xml:space="preserve">a articolului 16 al doilea paragraf din Statutul funcționarilor Uniunii Europene și a articolelor 11 și 81 din Regimul aplicabil </w:t>
            </w:r>
            <w:r>
              <w:rPr>
                <w:noProof/>
              </w:rPr>
              <w:t xml:space="preserve"> </w:t>
            </w:r>
            <w:r>
              <w:rPr>
                <w:noProof/>
              </w:rPr>
              <w:br/>
            </w:r>
            <w:r>
              <w:rPr>
                <w:rFonts w:ascii="Times New Roman" w:hAnsi="Times New Roman"/>
                <w:noProof/>
                <w:sz w:val="12"/>
              </w:rPr>
              <w:t>celorlalți agenți ai Uniunii Europene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8.10.2019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12a</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7"/>
              </w:rPr>
              <w:t>Hărțuirea</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Decizia 15/2015 privind hărțuirea morală și sexuală la locul de muncă</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1.5.2015</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29.6.2021</w:t>
            </w:r>
          </w:p>
        </w:tc>
        <w:tc>
          <w:tcPr>
            <w:tcW w:w="936" w:type="dxa"/>
            <w:vMerge w:val="restart"/>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bottom w:val="single" w:sz="4" w:space="0" w:color="auto"/>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23/2021 privind hărțuirea morală și sexuală la locul de muncă în cadrul Secretariatului General</w:t>
            </w:r>
            <w:r>
              <w:rPr>
                <w:noProof/>
              </w:rPr>
              <w:t xml:space="preserve"> </w:t>
            </w:r>
            <w:r>
              <w:rPr>
                <w:noProof/>
              </w:rPr>
              <w:br/>
            </w:r>
            <w:r>
              <w:rPr>
                <w:rFonts w:ascii="Times New Roman" w:hAnsi="Times New Roman"/>
                <w:noProof/>
                <w:sz w:val="12"/>
              </w:rPr>
              <w:t xml:space="preserve"> al Consiliului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29.6.2021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hRule="exact" w:val="1125"/>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Calibri"/>
                <w:b/>
                <w:noProof/>
                <w:sz w:val="12"/>
              </w:rPr>
              <w:t xml:space="preserve">11, 11a, 12, 12b, 15, 16, 17, 17a, 19, 55, articolul 3 din anexa IVa, articolul 13 alineatul (2) din anexa VIII, </w:t>
            </w:r>
            <w:r>
              <w:rPr>
                <w:noProof/>
              </w:rPr>
              <w:t xml:space="preserve"> </w:t>
            </w:r>
            <w:r>
              <w:rPr>
                <w:noProof/>
              </w:rPr>
              <w:br/>
            </w:r>
            <w:r>
              <w:rPr>
                <w:rFonts w:ascii="Times New Roman" w:hAnsi="Calibri"/>
                <w:b/>
                <w:noProof/>
                <w:sz w:val="12"/>
              </w:rPr>
              <w:t xml:space="preserve">articolele 11, 16, 81 </w:t>
            </w:r>
            <w:r>
              <w:rPr>
                <w:rFonts w:ascii="Times New Roman" w:hAnsi="Calibri"/>
                <w:b/>
                <w:noProof/>
                <w:sz w:val="12"/>
              </w:rPr>
              <w:t>ș</w:t>
            </w:r>
            <w:r>
              <w:rPr>
                <w:rFonts w:ascii="Times New Roman" w:hAnsi="Calibri"/>
                <w:b/>
                <w:noProof/>
                <w:sz w:val="12"/>
              </w:rPr>
              <w:t>i 91 din RAA</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Activitățile externe</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 xml:space="preserve">Decizia 61/2015 privind activitățile și mandatele externe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16.11.2015</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84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Calibri"/>
                <w:b/>
                <w:noProof/>
                <w:sz w:val="12"/>
              </w:rPr>
              <w:t>16</w:t>
            </w: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43/2019 privind punerea în aplicare a articolului 16 al doilea paragraf din Statutul funcționarilor Uniunii Europene și a articolelor 11 și 81 din Regimul aplicabil celorlalți agenți ai Uniunii Europene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8.10.2019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4" w:space="0" w:color="auto"/>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22a - 22c</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Avertizarea în interes public</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03/2016 de adoptare a normelor interne de raportare a neregulilor grave – procedurile de punere în aplicare a</w:t>
            </w:r>
            <w:r>
              <w:rPr>
                <w:noProof/>
              </w:rPr>
              <w:t xml:space="preserve"> </w:t>
            </w:r>
            <w:r>
              <w:rPr>
                <w:noProof/>
              </w:rPr>
              <w:br/>
            </w:r>
            <w:r>
              <w:rPr>
                <w:rFonts w:ascii="Times New Roman" w:hAnsi="Times New Roman"/>
                <w:noProof/>
                <w:sz w:val="12"/>
              </w:rPr>
              <w:t xml:space="preserve"> articolelor 22a, 22b și 22c din Statutul funcționarilor și</w:t>
            </w:r>
            <w:r>
              <w:rPr>
                <w:noProof/>
              </w:rPr>
              <w:t xml:space="preserve"> </w:t>
            </w:r>
            <w:r>
              <w:rPr>
                <w:noProof/>
              </w:rPr>
              <w:br/>
            </w:r>
            <w:r>
              <w:rPr>
                <w:rFonts w:ascii="Times New Roman" w:hAnsi="Times New Roman"/>
                <w:noProof/>
                <w:sz w:val="12"/>
              </w:rPr>
              <w:t xml:space="preserve"> a articolului 66 alineatul (8) din Regulamentul financiar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29.2.2016</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III – Cariera funcționarului</w:t>
            </w:r>
          </w:p>
        </w:tc>
      </w:tr>
      <w:tr>
        <w:trPr>
          <w:trHeight w:hRule="exact" w:val="351"/>
        </w:trPr>
        <w:tc>
          <w:tcPr>
            <w:tcW w:w="10681" w:type="dxa"/>
            <w:gridSpan w:val="6"/>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hRule="exact" w:val="948"/>
        </w:trPr>
        <w:tc>
          <w:tcPr>
            <w:tcW w:w="1156" w:type="dxa"/>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27 - 34</w:t>
            </w:r>
          </w:p>
        </w:tc>
        <w:tc>
          <w:tcPr>
            <w:tcW w:w="2551" w:type="dxa"/>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Recrutarea</w:t>
            </w:r>
          </w:p>
        </w:tc>
        <w:tc>
          <w:tcPr>
            <w:tcW w:w="3029" w:type="dxa"/>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Decizia 18/2015 de adoptare a dispozițiilor generale de punere în aplicare referitoare la criteriile aplicabile încadrării</w:t>
            </w:r>
            <w:r>
              <w:rPr>
                <w:noProof/>
              </w:rPr>
              <w:t xml:space="preserve"> </w:t>
            </w:r>
            <w:r>
              <w:rPr>
                <w:noProof/>
              </w:rPr>
              <w:br/>
            </w:r>
            <w:r>
              <w:rPr>
                <w:rFonts w:ascii="Times New Roman" w:hAnsi="Times New Roman"/>
                <w:noProof/>
                <w:sz w:val="12"/>
              </w:rPr>
              <w:t xml:space="preserve"> în treaptă la momentul recrutării funcționarilor sau angajării </w:t>
            </w:r>
            <w:r>
              <w:rPr>
                <w:noProof/>
              </w:rPr>
              <w:t xml:space="preserve"> </w:t>
            </w:r>
            <w:r>
              <w:rPr>
                <w:noProof/>
              </w:rPr>
              <w:br/>
            </w:r>
            <w:r>
              <w:rPr>
                <w:rFonts w:ascii="Times New Roman" w:hAnsi="Times New Roman"/>
                <w:noProof/>
                <w:sz w:val="12"/>
              </w:rPr>
              <w:t>agenților temporari și de abrogare a Deciziei Consiliului</w:t>
            </w:r>
            <w:r>
              <w:rPr>
                <w:noProof/>
              </w:rPr>
              <w:t xml:space="preserve"> </w:t>
            </w:r>
            <w:r>
              <w:rPr>
                <w:noProof/>
              </w:rPr>
              <w:br/>
            </w:r>
            <w:r>
              <w:rPr>
                <w:rFonts w:ascii="Times New Roman" w:hAnsi="Times New Roman"/>
                <w:noProof/>
                <w:sz w:val="12"/>
              </w:rPr>
              <w:t xml:space="preserve"> din 29.4.2004</w:t>
            </w:r>
          </w:p>
        </w:tc>
        <w:tc>
          <w:tcPr>
            <w:tcW w:w="1322" w:type="dxa"/>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25.3.2015</w:t>
            </w:r>
          </w:p>
        </w:tc>
        <w:tc>
          <w:tcPr>
            <w:tcW w:w="1687" w:type="dxa"/>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62"/>
        </w:trPr>
        <w:tc>
          <w:tcPr>
            <w:tcW w:w="1156" w:type="dxa"/>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34</w:t>
            </w:r>
          </w:p>
        </w:tc>
        <w:tc>
          <w:tcPr>
            <w:tcW w:w="2551" w:type="dxa"/>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7"/>
              </w:rPr>
              <w:t>Perioada de probă</w:t>
            </w:r>
          </w:p>
        </w:tc>
        <w:tc>
          <w:tcPr>
            <w:tcW w:w="3029" w:type="dxa"/>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r>
              <w:rPr>
                <w:rFonts w:ascii="Times New Roman" w:hAnsi="Times New Roman"/>
                <w:noProof/>
                <w:sz w:val="12"/>
              </w:rPr>
              <w:t>Decizia nr. 45/23 a secretarului general al Consiliului Uniunii Europene privind perioadele de probă [articolele 34 și 44 din Statutul funcționarilor și articolul 14, articolul 20 alineatul (4) și articolul 84 din RAA]</w:t>
            </w:r>
          </w:p>
        </w:tc>
        <w:tc>
          <w:tcPr>
            <w:tcW w:w="1322" w:type="dxa"/>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14.9.2023</w:t>
            </w:r>
          </w:p>
        </w:tc>
        <w:tc>
          <w:tcPr>
            <w:tcW w:w="1687" w:type="dxa"/>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noProof/>
        </w:rPr>
        <w:tab/>
      </w:r>
    </w:p>
    <w:tbl>
      <w:tblPr>
        <w:tblW w:w="1068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70"/>
        </w:trPr>
        <w:tc>
          <w:tcPr>
            <w:tcW w:w="10681" w:type="dxa"/>
            <w:gridSpan w:val="6"/>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3 – Concediul pentru interese personale</w:t>
            </w:r>
          </w:p>
        </w:tc>
      </w:tr>
      <w:tr>
        <w:trPr>
          <w:trHeight w:hRule="exact" w:val="567"/>
        </w:trPr>
        <w:tc>
          <w:tcPr>
            <w:tcW w:w="1156" w:type="dxa"/>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interese personale</w:t>
            </w:r>
          </w:p>
        </w:tc>
        <w:tc>
          <w:tcPr>
            <w:tcW w:w="3029" w:type="dxa"/>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Decizia 9/2014 privind concediul pentru interese personale</w:t>
            </w:r>
          </w:p>
        </w:tc>
        <w:tc>
          <w:tcPr>
            <w:tcW w:w="1322" w:type="dxa"/>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creșterea copilului</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Decizia 11/2014 de adoptare a dispozițiilor generale de punere în aplicare privind concediul pentru creșterea copilului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Concediul din motive familiale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Comunicarea către personal 67/04 privind punerea în aplicare a Statutului funcționarilor modificat – Concediul pentru interese personale/Concediul pentru creșterea copilului/Concediul din motive familiale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7.5.2004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Secțiunea 7 – Concediul în interesul serviciului</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42c</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în interesul serviciului</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 xml:space="preserve">Decizia nr. 15/2020 privind punerea în aplicare a concediului </w:t>
            </w:r>
            <w:r>
              <w:rPr>
                <w:noProof/>
              </w:rPr>
              <w:t xml:space="preserve"> </w:t>
            </w:r>
            <w:r>
              <w:rPr>
                <w:noProof/>
              </w:rPr>
              <w:br/>
            </w:r>
            <w:r>
              <w:rPr>
                <w:rFonts w:ascii="Times New Roman" w:hAnsi="Times New Roman"/>
                <w:noProof/>
                <w:sz w:val="12"/>
              </w:rPr>
              <w:t>în interesul serviciului</w:t>
            </w:r>
            <w:r>
              <w:rPr>
                <w:noProof/>
              </w:rPr>
              <w:t xml:space="preserve"> </w:t>
            </w:r>
            <w:r>
              <w:rPr>
                <w:noProof/>
              </w:rPr>
              <w:br/>
            </w:r>
            <w:r>
              <w:rPr>
                <w:rFonts w:ascii="Times New Roman" w:hAnsi="Times New Roman"/>
                <w:noProof/>
                <w:sz w:val="12"/>
              </w:rPr>
              <w:t xml:space="preserve"> (articolul 42c din Statutul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19.2.2020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1108"/>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Raportul anual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Decizia Consiliului de stabilire a dispozițiilor generale de punere în aplicare</w:t>
            </w:r>
            <w:r>
              <w:rPr>
                <w:noProof/>
              </w:rPr>
              <w:t xml:space="preserve"> </w:t>
            </w:r>
            <w:r>
              <w:rPr>
                <w:noProof/>
              </w:rPr>
              <w:br/>
            </w:r>
            <w:r>
              <w:rPr>
                <w:rFonts w:ascii="Times New Roman" w:hAnsi="Times New Roman"/>
                <w:noProof/>
                <w:sz w:val="12"/>
              </w:rPr>
              <w:t xml:space="preserve"> a articolului 43 din Statutul funcționarilor privind raportul periodic, publicată ca anexa I la PC 99/89 din 28.7.1989 privind instrucțiunile </w:t>
            </w:r>
            <w:r>
              <w:rPr>
                <w:noProof/>
              </w:rPr>
              <w:t xml:space="preserve"> </w:t>
            </w:r>
            <w:r>
              <w:rPr>
                <w:noProof/>
              </w:rPr>
              <w:br/>
            </w:r>
            <w:r>
              <w:rPr>
                <w:rFonts w:ascii="Times New Roman" w:hAnsi="Times New Roman"/>
                <w:noProof/>
                <w:sz w:val="12"/>
              </w:rPr>
              <w:t>generale pentru pregătirea rapoartelor de evaluare</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19.10.1981</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55"/>
        </w:trPr>
        <w:tc>
          <w:tcPr>
            <w:tcW w:w="1157"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45</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Promovarea</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33/14 de modificare a Deciziei nr. 194/83 referitoare la comitetele consultative privind promovarea în cadrul Secretariatului General al Consiliului</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30.4.2014</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0"/>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lastRenderedPageBreak/>
              <w:t>45a</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7"/>
              </w:rPr>
              <w:t>Certificarea</w:t>
            </w:r>
          </w:p>
        </w:tc>
        <w:tc>
          <w:tcPr>
            <w:tcW w:w="3029" w:type="dxa"/>
            <w:tcBorders>
              <w:top w:val="single" w:sz="6" w:space="0" w:color="000000"/>
              <w:left w:val="single" w:sz="6" w:space="0" w:color="000000"/>
              <w:bottom w:val="single" w:sz="6" w:space="0" w:color="000000"/>
              <w:right w:val="single" w:sz="6" w:space="0" w:color="000000"/>
            </w:tcBorders>
            <w:shd w:val="clear" w:color="auto" w:fill="FFFF65"/>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Decizia nr. 34/2017 de adoptare a dispozițiilor generale de punere în aplicare referitoare la certificarea în temeiul articolului 45a</w:t>
            </w:r>
            <w:r>
              <w:rPr>
                <w:noProof/>
              </w:rPr>
              <w:t xml:space="preserve"> </w:t>
            </w:r>
            <w:r>
              <w:rPr>
                <w:noProof/>
              </w:rPr>
              <w:br/>
            </w:r>
            <w:r>
              <w:rPr>
                <w:rFonts w:ascii="Times New Roman" w:hAnsi="Times New Roman"/>
                <w:noProof/>
                <w:sz w:val="12"/>
              </w:rPr>
              <w:t xml:space="preserve"> din Statutul funcționarilor și de abrogare a Deciziei 62/2015</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16.10.2017</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26.9.2023</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val="539"/>
        </w:trPr>
        <w:tc>
          <w:tcPr>
            <w:tcW w:w="1157"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4" w:space="0" w:color="auto"/>
              <w:right w:val="single" w:sz="4" w:space="0" w:color="000000"/>
            </w:tcBorders>
            <w:shd w:val="clear" w:color="auto" w:fill="FFFF65"/>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Decizia nr. 55/2023 de adoptare a dispozițiilor generale de punere în aplicare referitoare la certificarea în temeiul articolului 45a</w:t>
            </w:r>
            <w:r>
              <w:rPr>
                <w:noProof/>
              </w:rPr>
              <w:t xml:space="preserve"> </w:t>
            </w:r>
            <w:r>
              <w:rPr>
                <w:noProof/>
              </w:rPr>
              <w:br/>
            </w:r>
            <w:r>
              <w:rPr>
                <w:rFonts w:ascii="Times New Roman" w:hAnsi="Times New Roman"/>
                <w:noProof/>
                <w:sz w:val="12"/>
              </w:rPr>
              <w:t xml:space="preserve"> din Statutul funcționarilor</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26.9.2023</w:t>
            </w:r>
          </w:p>
        </w:tc>
        <w:tc>
          <w:tcPr>
            <w:tcW w:w="1687" w:type="dxa"/>
            <w:tcBorders>
              <w:top w:val="single" w:sz="6" w:space="0" w:color="000000"/>
              <w:left w:val="single" w:sz="4"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Capitolul 4 – Încetarea raporturilor de muncă</w:t>
            </w:r>
          </w:p>
        </w:tc>
      </w:tr>
      <w:tr>
        <w:trPr>
          <w:trHeight w:hRule="exact" w:val="55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Secțiunea 4 – Procedurile privind incompetența profesională</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Incompetența profesională</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46/2015 privind procedura de identificare, gestionare și soluționare a cazurilor de incompetență profesională</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29.7.2015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Timpul de lucru</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left="57" w:right="224"/>
              <w:jc w:val="center"/>
              <w:rPr>
                <w:rFonts w:ascii="Times New Roman" w:eastAsia="Calibri" w:hAnsi="Times New Roman" w:cs="Times New Roman"/>
                <w:noProof/>
                <w:w w:val="105"/>
                <w:sz w:val="12"/>
                <w:szCs w:val="12"/>
              </w:rPr>
            </w:pPr>
            <w:r>
              <w:rPr>
                <w:rFonts w:ascii="Times New Roman" w:hAnsi="Times New Roman"/>
                <w:noProof/>
                <w:sz w:val="12"/>
              </w:rPr>
              <w:t>Decizia nr. 50/2018 privind timpul de lucru și</w:t>
            </w:r>
          </w:p>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 abrogare a Deciziei 42/2017</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Calibri"/>
                <w:noProof/>
                <w:sz w:val="12"/>
              </w:rPr>
              <w:t xml:space="preserve">Decizia nr. 59/2023 </w:t>
            </w:r>
            <w:r>
              <w:rPr>
                <w:rFonts w:ascii="Times New Roman" w:hAnsi="Times New Roman"/>
                <w:noProof/>
                <w:sz w:val="12"/>
              </w:rPr>
              <w:t xml:space="preserve">a secretarului general al Consiliului </w:t>
            </w:r>
            <w:r>
              <w:rPr>
                <w:rFonts w:ascii="Times New Roman" w:hAnsi="Calibri"/>
                <w:noProof/>
                <w:sz w:val="12"/>
              </w:rPr>
              <w:t xml:space="preserve">privind timpul de lucru </w:t>
            </w:r>
            <w:r>
              <w:rPr>
                <w:rFonts w:ascii="Times New Roman" w:hAnsi="Calibri"/>
                <w:noProof/>
                <w:sz w:val="12"/>
              </w:rPr>
              <w:t>ș</w:t>
            </w:r>
            <w:r>
              <w:rPr>
                <w:rFonts w:ascii="Times New Roman" w:hAnsi="Calibri"/>
                <w:noProof/>
                <w:sz w:val="12"/>
              </w:rPr>
              <w:t>i munca de la distan</w:t>
            </w:r>
            <w:r>
              <w:rPr>
                <w:rFonts w:ascii="Times New Roman" w:hAnsi="Calibri"/>
                <w:noProof/>
                <w:sz w:val="12"/>
              </w:rPr>
              <w:t>ță</w:t>
            </w:r>
            <w:r>
              <w:rPr>
                <w:rFonts w:ascii="Times New Roman" w:hAnsi="Calibri"/>
                <w:noProof/>
                <w:sz w:val="12"/>
              </w:rPr>
              <w:t xml:space="preserve"> </w:t>
            </w:r>
            <w:r>
              <w:rPr>
                <w:rFonts w:ascii="Times New Roman" w:hAnsi="Calibri"/>
                <w:noProof/>
                <w:sz w:val="12"/>
              </w:rPr>
              <w:t>î</w:t>
            </w:r>
            <w:r>
              <w:rPr>
                <w:rFonts w:ascii="Times New Roman" w:hAnsi="Calibri"/>
                <w:noProof/>
                <w:sz w:val="12"/>
              </w:rPr>
              <w:t>n cadrul Secretariatului General al Consiliului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6"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55a + anexa IVa</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Activitatea cu normă redusă</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14/2014 din 1 ianuarie 2014 privind exercitarea activității cu normă redusă (articolul 55a din Statutul funcționarilor și anexa IVa)</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after="0" w:line="240" w:lineRule="auto"/>
              <w:ind w:left="57" w:right="224"/>
              <w:jc w:val="center"/>
              <w:rPr>
                <w:rFonts w:ascii="Times New Roman" w:eastAsia="Calibri" w:hAnsi="Times New Roman" w:cs="Times New Roman"/>
                <w:noProof/>
                <w:w w:val="105"/>
                <w:sz w:val="12"/>
              </w:rPr>
            </w:pPr>
            <w:r>
              <w:rPr>
                <w:rFonts w:ascii="Times New Roman" w:hAnsi="Times New Roman"/>
                <w:noProof/>
                <w:sz w:val="12"/>
              </w:rPr>
              <w:t>Decizia nr. 50/2018 privind timpul de lucru și</w:t>
            </w:r>
          </w:p>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de abrogare a Deciziei 42/2017</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1.1.2019</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3"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Calibri"/>
                <w:noProof/>
                <w:sz w:val="12"/>
              </w:rPr>
              <w:t xml:space="preserve">Decizia nr. 59/2023 a secretarului general al Consiliului privind timpul de lucru </w:t>
            </w:r>
            <w:r>
              <w:rPr>
                <w:rFonts w:ascii="Times New Roman" w:hAnsi="Calibri"/>
                <w:noProof/>
                <w:sz w:val="12"/>
              </w:rPr>
              <w:t>ș</w:t>
            </w:r>
            <w:r>
              <w:rPr>
                <w:rFonts w:ascii="Times New Roman" w:hAnsi="Calibri"/>
                <w:noProof/>
                <w:sz w:val="12"/>
              </w:rPr>
              <w:t>i munca de la distan</w:t>
            </w:r>
            <w:r>
              <w:rPr>
                <w:rFonts w:ascii="Times New Roman" w:hAnsi="Calibri"/>
                <w:noProof/>
                <w:sz w:val="12"/>
              </w:rPr>
              <w:t>ță</w:t>
            </w:r>
            <w:r>
              <w:rPr>
                <w:rFonts w:ascii="Times New Roman" w:hAnsi="Calibri"/>
                <w:noProof/>
                <w:sz w:val="12"/>
              </w:rPr>
              <w:t xml:space="preserve"> </w:t>
            </w:r>
            <w:r>
              <w:rPr>
                <w:rFonts w:ascii="Times New Roman" w:hAnsi="Calibri"/>
                <w:noProof/>
                <w:sz w:val="12"/>
              </w:rPr>
              <w:t>î</w:t>
            </w:r>
            <w:r>
              <w:rPr>
                <w:rFonts w:ascii="Times New Roman" w:hAnsi="Calibri"/>
                <w:noProof/>
                <w:sz w:val="12"/>
              </w:rPr>
              <w:t>n cadrul Secretariatului General al Consiliului</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12.10.2023</w:t>
            </w:r>
          </w:p>
        </w:tc>
        <w:tc>
          <w:tcPr>
            <w:tcW w:w="1687" w:type="dxa"/>
            <w:tcBorders>
              <w:top w:val="single" w:sz="4" w:space="0" w:color="auto"/>
              <w:left w:val="single" w:sz="4"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val="restart"/>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Munca de la distanță</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Decizia nr. 59/2016 privind munca de la distanță și </w:t>
            </w:r>
            <w:r>
              <w:rPr>
                <w:noProof/>
              </w:rPr>
              <w:t xml:space="preserve"> </w:t>
            </w:r>
            <w:r>
              <w:rPr>
                <w:noProof/>
              </w:rPr>
              <w:br/>
            </w:r>
            <w:r>
              <w:rPr>
                <w:rFonts w:ascii="Times New Roman" w:hAnsi="Times New Roman"/>
                <w:noProof/>
                <w:sz w:val="12"/>
              </w:rPr>
              <w:t>de abrogare a Deciziilor 144/2012, 145/2012, 146/2012, 147/2012, 12/2013 și 1/2016</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1.1.2017</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26.2.2020</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nr. 8/2020 privind munca de la distanță</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26.2.2020</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4" w:space="0" w:color="auto"/>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nr. 59/2023 a secretarului general al Consiliului privind timpul de lucru și munca de la distanță în cadrul Secretariatului General al Consiliului</w:t>
            </w:r>
          </w:p>
        </w:tc>
        <w:tc>
          <w:tcPr>
            <w:tcW w:w="1322" w:type="dxa"/>
            <w:tcBorders>
              <w:top w:val="single" w:sz="4" w:space="0" w:color="000000"/>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12.10.2023</w:t>
            </w:r>
          </w:p>
        </w:tc>
        <w:tc>
          <w:tcPr>
            <w:tcW w:w="1687" w:type="dxa"/>
            <w:tcBorders>
              <w:top w:val="single" w:sz="4"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56 + anexa VI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Orele suplimentare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nr. 50/2018 privind timpul de lucru și de abrogare a Deciziei 42/2017</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   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12.10.2023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1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Decizia nr. 59/2023 a secretarului general al Consiliului privind timpul de lucru și munca de la distanță în cadrul Secretariatului General al Consiliului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12.10.2023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1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Decizia nr. 26/2017 de stabilire a dispozițiilor privind acordarea indemnizației lunare fixe pentru orele suplimentare efectuate de secretarii din cabinetele private ale președintelui Consiliului European și ale secretarului general al Consiliului; de echipa gărzilor de corp ale președintelui Consiliului European din cadrul Oficiului de securitate și de șoferii din cadrul Secretariatului General al Consiliului, precum și de abrogare a Deciziei 49/10, a Deciziei secretarului general adjunct din 15 iunie 2006 și a Deciziei secretarului general adjunct din 26 iunie 2006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 xml:space="preserve">             15.5.2017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20.10.2023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17"/>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Decizia nr. 56/2023 a secretarului general al Consiliului de stabilire a dispozițiilor privind acordarea</w:t>
            </w:r>
            <w:r>
              <w:rPr>
                <w:noProof/>
              </w:rPr>
              <w:t xml:space="preserve"> </w:t>
            </w:r>
            <w:r>
              <w:rPr>
                <w:noProof/>
              </w:rPr>
              <w:br/>
            </w:r>
            <w:r>
              <w:rPr>
                <w:rFonts w:ascii="Times New Roman" w:hAnsi="Times New Roman"/>
                <w:noProof/>
                <w:sz w:val="12"/>
              </w:rPr>
              <w:t xml:space="preserve"> indemnizației lunare fixe pentru orele suplimentare efectuate de secretarii din cabinetele private ale președintelui Consiliului European și ale secretarului general al Consiliului, de echipa gărzilor de corp ale președintelui Consiliului European din cadrul Direcției Siguranță și securitate și de șoferii Secretariatului General al Consiliului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20.10.2023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hRule="exact" w:val="700"/>
        </w:trPr>
        <w:tc>
          <w:tcPr>
            <w:tcW w:w="1156" w:type="dxa"/>
            <w:vMerge w:val="restart"/>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 anexa V</w:t>
            </w: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anual și concediul special</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Decizia 1/2014 de stabilire a normelor pentru aplicarea</w:t>
            </w:r>
            <w:r>
              <w:rPr>
                <w:noProof/>
              </w:rPr>
              <w:t xml:space="preserve"> </w:t>
            </w:r>
            <w:r>
              <w:rPr>
                <w:noProof/>
              </w:rPr>
              <w:br/>
            </w:r>
            <w:r>
              <w:rPr>
                <w:rFonts w:ascii="Times New Roman" w:hAnsi="Times New Roman"/>
                <w:noProof/>
                <w:sz w:val="12"/>
              </w:rPr>
              <w:t xml:space="preserve"> dispozițiilor din Statutul funcționarilor în legătură cu concediul pentru funcționarii în activitate în cadrul Secretariatului General al Consiliului</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tcBorders>
              <w:top w:val="single" w:sz="6" w:space="0" w:color="000000"/>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noProof/>
              </w:rPr>
              <w:t xml:space="preserve"> </w:t>
            </w:r>
            <w:r>
              <w:rPr>
                <w:noProof/>
              </w:rPr>
              <w:br/>
            </w:r>
            <w:r>
              <w:rPr>
                <w:rFonts w:ascii="Times New Roman" w:hAnsi="Times New Roman"/>
                <w:noProof/>
                <w:sz w:val="12"/>
              </w:rPr>
              <w:t>27.5.2021</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25"/>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 xml:space="preserve">Decizia nr. 22/2021 a secretarului general </w:t>
            </w:r>
            <w:r>
              <w:rPr>
                <w:noProof/>
              </w:rPr>
              <w:t xml:space="preserve"> </w:t>
            </w:r>
            <w:r>
              <w:rPr>
                <w:noProof/>
              </w:rPr>
              <w:br/>
            </w:r>
            <w:r>
              <w:rPr>
                <w:rFonts w:ascii="Times New Roman" w:hAnsi="Times New Roman"/>
                <w:noProof/>
                <w:sz w:val="12"/>
              </w:rPr>
              <w:t xml:space="preserve">al Consiliului de stabilire a normelor pentru aplicarea </w:t>
            </w:r>
            <w:r>
              <w:rPr>
                <w:noProof/>
              </w:rPr>
              <w:t xml:space="preserve"> </w:t>
            </w:r>
            <w:r>
              <w:rPr>
                <w:noProof/>
              </w:rPr>
              <w:br/>
            </w:r>
            <w:r>
              <w:rPr>
                <w:rFonts w:ascii="Times New Roman" w:hAnsi="Times New Roman"/>
                <w:noProof/>
                <w:sz w:val="12"/>
              </w:rPr>
              <w:t>din Statutul funcționarilor în legătură cu concediul pentru funcționarii în activitate în cadrul Secretariatului General al Consiliului</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27.5.2021</w:t>
            </w:r>
          </w:p>
        </w:tc>
        <w:tc>
          <w:tcPr>
            <w:tcW w:w="1498" w:type="dxa"/>
            <w:tcBorders>
              <w:top w:val="single" w:sz="6" w:space="0" w:color="000000"/>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noProof/>
              </w:rPr>
              <w:t xml:space="preserve"> </w:t>
            </w:r>
            <w:r>
              <w:rPr>
                <w:noProof/>
              </w:rPr>
              <w:br/>
            </w:r>
            <w:r>
              <w:rPr>
                <w:rFonts w:ascii="Times New Roman" w:hAnsi="Times New Roman"/>
                <w:noProof/>
                <w:sz w:val="12"/>
              </w:rPr>
              <w:t xml:space="preserve">12.10.2023 </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848"/>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rPr>
            </w:pPr>
            <w:r>
              <w:rPr>
                <w:rFonts w:ascii="Times New Roman" w:hAnsi="Times New Roman"/>
                <w:noProof/>
                <w:sz w:val="12"/>
              </w:rPr>
              <w:t>Decizia nr. 58/2023 a secretarului general</w:t>
            </w:r>
            <w:r>
              <w:rPr>
                <w:noProof/>
              </w:rPr>
              <w:t xml:space="preserve"> </w:t>
            </w:r>
            <w:r>
              <w:rPr>
                <w:noProof/>
              </w:rPr>
              <w:br/>
            </w:r>
            <w:r>
              <w:rPr>
                <w:rFonts w:ascii="Times New Roman" w:hAnsi="Times New Roman"/>
                <w:noProof/>
                <w:sz w:val="12"/>
              </w:rPr>
              <w:t xml:space="preserve"> al Consiliului de stabilire a normelor pentru aplicarea</w:t>
            </w:r>
            <w:r>
              <w:rPr>
                <w:noProof/>
              </w:rPr>
              <w:t xml:space="preserve"> </w:t>
            </w:r>
            <w:r>
              <w:rPr>
                <w:noProof/>
              </w:rPr>
              <w:br/>
            </w:r>
            <w:r>
              <w:rPr>
                <w:rFonts w:ascii="Times New Roman" w:hAnsi="Times New Roman"/>
                <w:noProof/>
                <w:sz w:val="12"/>
              </w:rPr>
              <w:t xml:space="preserve"> din Statutul funcționarilor în legătură cu concediul pentru funcționarii în activitate în cadrul Secretariatului General al Consiliului</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12.10.2023</w:t>
            </w:r>
          </w:p>
        </w:tc>
        <w:tc>
          <w:tcPr>
            <w:tcW w:w="1498" w:type="dxa"/>
            <w:tcBorders>
              <w:top w:val="single" w:sz="3" w:space="0" w:color="000000"/>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48"/>
        </w:trPr>
        <w:tc>
          <w:tcPr>
            <w:tcW w:w="1156" w:type="dxa"/>
            <w:vMerge w:val="restart"/>
            <w:tcBorders>
              <w:top w:val="single" w:sz="3" w:space="0" w:color="000000"/>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58</w:t>
            </w:r>
          </w:p>
        </w:tc>
        <w:tc>
          <w:tcPr>
            <w:tcW w:w="255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Concediul de maternitate</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Decizia 1/2014 de stabilire a normelor pentru aplicarea </w:t>
            </w:r>
            <w:r>
              <w:rPr>
                <w:noProof/>
              </w:rPr>
              <w:t xml:space="preserve"> </w:t>
            </w:r>
            <w:r>
              <w:rPr>
                <w:noProof/>
              </w:rPr>
              <w:br/>
            </w:r>
            <w:r>
              <w:rPr>
                <w:rFonts w:ascii="Times New Roman" w:hAnsi="Times New Roman"/>
                <w:noProof/>
                <w:sz w:val="12"/>
              </w:rPr>
              <w:t xml:space="preserve">dispozițiilor din Statutul funcționarilor în legătură cu concediul pentru funcționarii în activitate în cadrul Secretariatului General </w:t>
            </w:r>
            <w:r>
              <w:rPr>
                <w:noProof/>
              </w:rPr>
              <w:t xml:space="preserve"> </w:t>
            </w:r>
            <w:r>
              <w:rPr>
                <w:noProof/>
              </w:rPr>
              <w:br/>
            </w:r>
            <w:r>
              <w:rPr>
                <w:rFonts w:ascii="Times New Roman" w:hAnsi="Times New Roman"/>
                <w:noProof/>
                <w:sz w:val="12"/>
              </w:rPr>
              <w:t>al Consiliului</w:t>
            </w:r>
          </w:p>
        </w:tc>
        <w:tc>
          <w:tcPr>
            <w:tcW w:w="1511"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tcBorders>
              <w:top w:val="single" w:sz="3"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noProof/>
              </w:rPr>
              <w:t xml:space="preserve"> </w:t>
            </w:r>
            <w:r>
              <w:rPr>
                <w:noProof/>
              </w:rPr>
              <w:br/>
            </w:r>
            <w:r>
              <w:rPr>
                <w:rFonts w:ascii="Times New Roman" w:hAnsi="Times New Roman"/>
                <w:noProof/>
                <w:sz w:val="12"/>
              </w:rPr>
              <w:t>27.5.2021</w:t>
            </w:r>
          </w:p>
        </w:tc>
        <w:tc>
          <w:tcPr>
            <w:tcW w:w="936" w:type="dxa"/>
            <w:vMerge w:val="restart"/>
            <w:tcBorders>
              <w:top w:val="single" w:sz="6"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28"/>
        </w:trPr>
        <w:tc>
          <w:tcPr>
            <w:tcW w:w="1156" w:type="dxa"/>
            <w:vMerge/>
            <w:tcBorders>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Decizia nr. 22/2021 a secretarului general </w:t>
            </w:r>
            <w:r>
              <w:rPr>
                <w:noProof/>
              </w:rPr>
              <w:t xml:space="preserve"> </w:t>
            </w:r>
            <w:r>
              <w:rPr>
                <w:noProof/>
              </w:rPr>
              <w:br/>
            </w:r>
            <w:r>
              <w:rPr>
                <w:rFonts w:ascii="Times New Roman" w:hAnsi="Times New Roman"/>
                <w:noProof/>
                <w:sz w:val="12"/>
              </w:rPr>
              <w:t xml:space="preserve">al Consiliului de stabilire a normelor pentru aplicarea </w:t>
            </w:r>
            <w:r>
              <w:rPr>
                <w:noProof/>
              </w:rPr>
              <w:t xml:space="preserve"> </w:t>
            </w:r>
            <w:r>
              <w:rPr>
                <w:noProof/>
              </w:rPr>
              <w:br/>
            </w:r>
            <w:r>
              <w:rPr>
                <w:rFonts w:ascii="Times New Roman" w:hAnsi="Times New Roman"/>
                <w:noProof/>
                <w:sz w:val="12"/>
              </w:rPr>
              <w:t>din Statutul funcționarilor în legătură cu concediul pentru funcționarii în activitate în cadrul Secretariatului General al Consiliului</w:t>
            </w:r>
          </w:p>
        </w:tc>
        <w:tc>
          <w:tcPr>
            <w:tcW w:w="1511"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27.5.2021</w:t>
            </w:r>
          </w:p>
        </w:tc>
        <w:tc>
          <w:tcPr>
            <w:tcW w:w="1498" w:type="dxa"/>
            <w:tcBorders>
              <w:top w:val="single" w:sz="3"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12.10.2023</w:t>
            </w:r>
          </w:p>
        </w:tc>
        <w:tc>
          <w:tcPr>
            <w:tcW w:w="936" w:type="dxa"/>
            <w:vMerge/>
            <w:tcBorders>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695"/>
        </w:trPr>
        <w:tc>
          <w:tcPr>
            <w:tcW w:w="1156" w:type="dxa"/>
            <w:vMerge/>
            <w:tcBorders>
              <w:left w:val="single" w:sz="4" w:space="0" w:color="000000"/>
              <w:bottom w:val="single" w:sz="6"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Decizia nr. 58/2023 a secretarului general </w:t>
            </w:r>
            <w:r>
              <w:rPr>
                <w:noProof/>
              </w:rPr>
              <w:t xml:space="preserve"> </w:t>
            </w:r>
            <w:r>
              <w:rPr>
                <w:noProof/>
              </w:rPr>
              <w:br/>
            </w:r>
            <w:r>
              <w:rPr>
                <w:rFonts w:ascii="Times New Roman" w:hAnsi="Times New Roman"/>
                <w:noProof/>
                <w:sz w:val="12"/>
              </w:rPr>
              <w:t xml:space="preserve">al Consiliului de stabilire a normelor pentru aplicarea </w:t>
            </w:r>
            <w:r>
              <w:rPr>
                <w:noProof/>
              </w:rPr>
              <w:t xml:space="preserve"> </w:t>
            </w:r>
            <w:r>
              <w:rPr>
                <w:noProof/>
              </w:rPr>
              <w:br/>
            </w:r>
            <w:r>
              <w:rPr>
                <w:rFonts w:ascii="Times New Roman" w:hAnsi="Times New Roman"/>
                <w:noProof/>
                <w:sz w:val="12"/>
              </w:rPr>
              <w:t>din Statutul funcționarilor în legătură cu concediul pentru funcționarii în activitate în cadrul Secretariatului General al Consiliului</w:t>
            </w:r>
          </w:p>
        </w:tc>
        <w:tc>
          <w:tcPr>
            <w:tcW w:w="1511"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12.10.2023</w:t>
            </w:r>
          </w:p>
        </w:tc>
        <w:tc>
          <w:tcPr>
            <w:tcW w:w="1498" w:type="dxa"/>
            <w:tcBorders>
              <w:top w:val="single" w:sz="3"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99"/>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Absență de la locul de muncă din cauza unei boli sau a unui accident</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 xml:space="preserve">Decizia nr. 9/2022 a secretarului general al Consiliului de stabilire a normelor pentru aplicarea dispozițiilor </w:t>
            </w:r>
            <w:r>
              <w:rPr>
                <w:noProof/>
              </w:rPr>
              <w:t xml:space="preserve"> </w:t>
            </w:r>
            <w:r>
              <w:rPr>
                <w:noProof/>
              </w:rPr>
              <w:br/>
            </w:r>
            <w:r>
              <w:rPr>
                <w:rFonts w:ascii="Times New Roman" w:hAnsi="Times New Roman"/>
                <w:noProof/>
                <w:sz w:val="12"/>
              </w:rPr>
              <w:t>din Statutul funcționarilor referitoare la absențe de la locul de muncă din cauza unei boli sau a unui accident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5.4.2022</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5"/>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alineatul (6)</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Vizita medicală anuală</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Decizia 43/2015 privind stabilirea sumei maxime de rambursare pentru onorariile medicului aferente controlului medical anual pentru 2015</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8.7.2015</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811"/>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before="8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Anexa VII</w:t>
            </w:r>
            <w:r>
              <w:rPr>
                <w:noProof/>
              </w:rPr>
              <w:t xml:space="preserve"> </w:t>
            </w:r>
            <w:r>
              <w:rPr>
                <w:noProof/>
              </w:rPr>
              <w:br/>
            </w:r>
            <w:r>
              <w:rPr>
                <w:rFonts w:ascii="Times New Roman" w:hAnsi="Times New Roman"/>
                <w:b/>
                <w:noProof/>
                <w:sz w:val="12"/>
              </w:rPr>
              <w:t xml:space="preserve"> (articolele 1 - 3)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Alocația familială</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Decizia Consiliului de adoptare a dispozițiilor generale de punere în aplicare a articolelor 67 și 68 din Statutul funcționarilor Comunităților Europene și a articolelor 1, 2 și 3 din anexa VII la statut (publicată ca anexa XI la Comunicarea către personal 80/04)</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690"/>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8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Anexa VII </w:t>
            </w:r>
            <w:r>
              <w:rPr>
                <w:noProof/>
              </w:rPr>
              <w:t xml:space="preserve"> </w:t>
            </w:r>
            <w:r>
              <w:rPr>
                <w:noProof/>
              </w:rPr>
              <w:br/>
            </w:r>
            <w:r>
              <w:rPr>
                <w:rFonts w:ascii="Times New Roman" w:hAnsi="Times New Roman"/>
                <w:b/>
                <w:noProof/>
                <w:sz w:val="12"/>
              </w:rPr>
              <w:t>[articolul 1 alineatul (2) litera (d)]</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 xml:space="preserve">Alocația pentru locuință prin decizie </w:t>
            </w:r>
            <w:r>
              <w:rPr>
                <w:rFonts w:ascii="Times New Roman" w:hAnsi="Times New Roman"/>
                <w:b/>
                <w:noProof/>
                <w:sz w:val="17"/>
              </w:rPr>
              <w:t>specială</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Decizia Consiliului de adoptare a dispozițiilor generale de punere în aplicare privind acordarea alocației pentru locuință prin decizie specială (publicată ca anexa II la Comunicarea către personal 80/04)</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52"/>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w:t>
            </w:r>
            <w:r>
              <w:rPr>
                <w:noProof/>
              </w:rPr>
              <w:t xml:space="preserve"> </w:t>
            </w:r>
            <w:r>
              <w:rPr>
                <w:noProof/>
              </w:rPr>
              <w:br/>
            </w:r>
            <w:r>
              <w:rPr>
                <w:rFonts w:ascii="Times New Roman" w:hAnsi="Times New Roman"/>
                <w:b/>
                <w:noProof/>
                <w:sz w:val="12"/>
              </w:rPr>
              <w:t xml:space="preserve"> [articolul 2 alineatul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Persoana considerată copil aflat în întreținere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71" w:lineRule="auto"/>
              <w:ind w:right="27"/>
              <w:jc w:val="center"/>
              <w:rPr>
                <w:rFonts w:ascii="Times New Roman" w:eastAsia="Calibri" w:hAnsi="Calibri" w:cs="Times New Roman"/>
                <w:noProof/>
                <w:w w:val="105"/>
                <w:sz w:val="12"/>
              </w:rPr>
            </w:pPr>
            <w:r>
              <w:rPr>
                <w:rFonts w:ascii="Times New Roman" w:hAnsi="Calibri"/>
                <w:noProof/>
                <w:sz w:val="12"/>
              </w:rPr>
              <w:t>Decizia Consiliului din 29 aprilie 2004 de adoptare a dispozi</w:t>
            </w:r>
            <w:r>
              <w:rPr>
                <w:rFonts w:ascii="Times New Roman" w:hAnsi="Calibri"/>
                <w:noProof/>
                <w:sz w:val="12"/>
              </w:rPr>
              <w:t>ț</w:t>
            </w:r>
            <w:r>
              <w:rPr>
                <w:rFonts w:ascii="Times New Roman" w:hAnsi="Calibri"/>
                <w:noProof/>
                <w:sz w:val="12"/>
              </w:rPr>
              <w:t xml:space="preserve">iilor generale de punere </w:t>
            </w:r>
            <w:r>
              <w:rPr>
                <w:rFonts w:ascii="Times New Roman" w:hAnsi="Calibri"/>
                <w:noProof/>
                <w:sz w:val="12"/>
              </w:rPr>
              <w:t>î</w:t>
            </w:r>
            <w:r>
              <w:rPr>
                <w:rFonts w:ascii="Times New Roman" w:hAnsi="Calibri"/>
                <w:noProof/>
                <w:sz w:val="12"/>
              </w:rPr>
              <w:t>n aplicare privind persoanele care trebuie considerate copii afla</w:t>
            </w:r>
            <w:r>
              <w:rPr>
                <w:rFonts w:ascii="Times New Roman" w:hAnsi="Calibri"/>
                <w:noProof/>
                <w:sz w:val="12"/>
              </w:rPr>
              <w:t>ț</w:t>
            </w:r>
            <w:r>
              <w:rPr>
                <w:rFonts w:ascii="Times New Roman" w:hAnsi="Calibri"/>
                <w:noProof/>
                <w:sz w:val="12"/>
              </w:rPr>
              <w:t xml:space="preserve">i </w:t>
            </w:r>
            <w:r>
              <w:rPr>
                <w:rFonts w:ascii="Times New Roman" w:hAnsi="Calibri"/>
                <w:noProof/>
                <w:sz w:val="12"/>
              </w:rPr>
              <w:t>î</w:t>
            </w:r>
            <w:r>
              <w:rPr>
                <w:rFonts w:ascii="Times New Roman" w:hAnsi="Calibri"/>
                <w:noProof/>
                <w:sz w:val="12"/>
              </w:rPr>
              <w:t xml:space="preserve">n </w:t>
            </w:r>
            <w:r>
              <w:rPr>
                <w:rFonts w:ascii="Times New Roman" w:hAnsi="Calibri"/>
                <w:noProof/>
                <w:sz w:val="12"/>
              </w:rPr>
              <w:t>î</w:t>
            </w:r>
            <w:r>
              <w:rPr>
                <w:rFonts w:ascii="Times New Roman" w:hAnsi="Calibri"/>
                <w:noProof/>
                <w:sz w:val="12"/>
              </w:rPr>
              <w:t>ntre</w:t>
            </w:r>
            <w:r>
              <w:rPr>
                <w:rFonts w:ascii="Times New Roman" w:hAnsi="Calibri"/>
                <w:noProof/>
                <w:sz w:val="12"/>
              </w:rPr>
              <w:t>ț</w:t>
            </w:r>
            <w:r>
              <w:rPr>
                <w:rFonts w:ascii="Times New Roman" w:hAnsi="Calibri"/>
                <w:noProof/>
                <w:sz w:val="12"/>
              </w:rPr>
              <w:t xml:space="preserve">inere </w:t>
            </w:r>
            <w:r>
              <w:rPr>
                <w:noProof/>
              </w:rPr>
              <w:t xml:space="preserve"> </w:t>
            </w:r>
            <w:r>
              <w:rPr>
                <w:noProof/>
              </w:rPr>
              <w:br/>
            </w:r>
            <w:r>
              <w:rPr>
                <w:rFonts w:ascii="Times New Roman" w:hAnsi="Calibri"/>
                <w:noProof/>
                <w:sz w:val="12"/>
              </w:rPr>
              <w:t>[articolul 2 alineatul (4) din anexa VII la Statutul func</w:t>
            </w:r>
            <w:r>
              <w:rPr>
                <w:rFonts w:ascii="Times New Roman" w:hAnsi="Calibri"/>
                <w:noProof/>
                <w:sz w:val="12"/>
              </w:rPr>
              <w:t>ț</w:t>
            </w:r>
            <w:r>
              <w:rPr>
                <w:rFonts w:ascii="Times New Roman" w:hAnsi="Calibri"/>
                <w:noProof/>
                <w:sz w:val="12"/>
              </w:rPr>
              <w:t>ionarilor]</w:t>
            </w:r>
            <w:r>
              <w:rPr>
                <w:noProof/>
              </w:rPr>
              <w:t xml:space="preserve"> </w:t>
            </w:r>
            <w:r>
              <w:rPr>
                <w:noProof/>
              </w:rPr>
              <w:br/>
            </w:r>
            <w:r>
              <w:rPr>
                <w:rFonts w:ascii="Times New Roman" w:hAnsi="Calibri"/>
                <w:noProof/>
                <w:sz w:val="12"/>
              </w:rPr>
              <w:t xml:space="preserve"> (publicat</w:t>
            </w:r>
            <w:r>
              <w:rPr>
                <w:rFonts w:ascii="Times New Roman" w:hAnsi="Calibri"/>
                <w:noProof/>
                <w:sz w:val="12"/>
              </w:rPr>
              <w:t>ă</w:t>
            </w:r>
            <w:r>
              <w:rPr>
                <w:rFonts w:ascii="Times New Roman" w:hAnsi="Calibri"/>
                <w:noProof/>
                <w:sz w:val="12"/>
              </w:rPr>
              <w:t xml:space="preserve"> ca anexa III la Comunicarea c</w:t>
            </w:r>
            <w:r>
              <w:rPr>
                <w:rFonts w:ascii="Times New Roman" w:hAnsi="Calibri"/>
                <w:noProof/>
                <w:sz w:val="12"/>
              </w:rPr>
              <w:t>ă</w:t>
            </w:r>
            <w:r>
              <w:rPr>
                <w:rFonts w:ascii="Times New Roman" w:hAnsi="Calibri"/>
                <w:noProof/>
                <w:sz w:val="12"/>
              </w:rPr>
              <w:t>tre personal 80/04)</w:t>
            </w:r>
          </w:p>
          <w:p>
            <w:pPr>
              <w:widowControl w:val="0"/>
              <w:spacing w:after="0" w:line="271" w:lineRule="auto"/>
              <w:ind w:right="27"/>
              <w:jc w:val="center"/>
              <w:rPr>
                <w:rFonts w:ascii="Times New Roman" w:eastAsia="Calibri" w:hAnsi="Calibri" w:cs="Times New Roman"/>
                <w:noProof/>
                <w:w w:val="105"/>
                <w:sz w:val="12"/>
              </w:rPr>
            </w:pPr>
          </w:p>
          <w:p>
            <w:pPr>
              <w:widowControl w:val="0"/>
              <w:spacing w:before="95" w:after="0" w:line="254" w:lineRule="auto"/>
              <w:ind w:right="71"/>
              <w:jc w:val="center"/>
              <w:rPr>
                <w:rFonts w:ascii="Times New Roman" w:eastAsia="Times New Roman" w:hAnsi="Times New Roman" w:cs="Times New Roman"/>
                <w:noProof/>
                <w:sz w:val="12"/>
                <w:szCs w:val="12"/>
              </w:rPr>
            </w:pP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8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Anexa VII </w:t>
            </w:r>
            <w:r>
              <w:rPr>
                <w:noProof/>
              </w:rPr>
              <w:t xml:space="preserve"> </w:t>
            </w:r>
            <w:r>
              <w:rPr>
                <w:noProof/>
              </w:rPr>
              <w:br/>
            </w:r>
            <w:r>
              <w:rPr>
                <w:rFonts w:ascii="Times New Roman" w:hAnsi="Times New Roman"/>
                <w:b/>
                <w:noProof/>
                <w:sz w:val="12"/>
              </w:rPr>
              <w:t>(articolul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Alocația școlară</w:t>
            </w:r>
          </w:p>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Decizia 13/2014 de adoptare a dispozițiilor generale de punere în aplicare pentru acordarea alocației școlare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Secțiunea 3 – Rambursarea cheltuielilor</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(articolele 7 și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Cheltuielile de călătorie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Decizia 12/2014 de adoptare a dispozițiilor generale de punere în aplicare privind cheltuielile de călătorie de la locul</w:t>
            </w:r>
            <w:r>
              <w:rPr>
                <w:noProof/>
              </w:rPr>
              <w:t xml:space="preserve"> </w:t>
            </w:r>
            <w:r>
              <w:rPr>
                <w:noProof/>
              </w:rPr>
              <w:br/>
            </w:r>
            <w:r>
              <w:rPr>
                <w:rFonts w:ascii="Times New Roman" w:hAnsi="Times New Roman"/>
                <w:noProof/>
                <w:sz w:val="12"/>
              </w:rPr>
              <w:t xml:space="preserve"> de muncă la locul de origine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w:t>
            </w:r>
            <w:r>
              <w:rPr>
                <w:noProof/>
              </w:rPr>
              <w:t xml:space="preserve"> </w:t>
            </w:r>
            <w:r>
              <w:rPr>
                <w:noProof/>
              </w:rPr>
              <w:br/>
            </w:r>
            <w:r>
              <w:rPr>
                <w:rFonts w:ascii="Times New Roman" w:hAnsi="Times New Roman"/>
                <w:b/>
                <w:noProof/>
                <w:sz w:val="12"/>
              </w:rPr>
              <w:t xml:space="preserve"> (articolul 8)</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Locul de origine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Calibri"/>
                <w:noProof/>
                <w:sz w:val="12"/>
              </w:rPr>
              <w:t>Decizia nr. 32/2019 privind stabilirea locului de origine [articolul 7 alineatul (4) din anexa VII la Statutul func</w:t>
            </w:r>
            <w:r>
              <w:rPr>
                <w:rFonts w:ascii="Times New Roman" w:hAnsi="Calibri"/>
                <w:noProof/>
                <w:sz w:val="12"/>
              </w:rPr>
              <w:t>ț</w:t>
            </w:r>
            <w:r>
              <w:rPr>
                <w:rFonts w:ascii="Times New Roman" w:hAnsi="Calibri"/>
                <w:noProof/>
                <w:sz w:val="12"/>
              </w:rPr>
              <w:t xml:space="preserve">ionarilor] </w:t>
            </w:r>
            <w:r>
              <w:rPr>
                <w:noProof/>
              </w:rPr>
              <w:t xml:space="preserve"> </w:t>
            </w:r>
            <w:r>
              <w:rPr>
                <w:noProof/>
              </w:rPr>
              <w:br/>
            </w:r>
            <w:r>
              <w:rPr>
                <w:rFonts w:ascii="Times New Roman" w:hAnsi="Calibri"/>
                <w:noProof/>
                <w:sz w:val="12"/>
              </w:rPr>
              <w:t>ș</w:t>
            </w:r>
            <w:r>
              <w:rPr>
                <w:rFonts w:ascii="Times New Roman" w:hAnsi="Calibri"/>
                <w:noProof/>
                <w:sz w:val="12"/>
              </w:rPr>
              <w:t>i de abrogare a Deciziei 10/2014</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18.7.2019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w:t>
            </w:r>
            <w:r>
              <w:rPr>
                <w:noProof/>
              </w:rPr>
              <w:t xml:space="preserve"> </w:t>
            </w:r>
            <w:r>
              <w:rPr>
                <w:noProof/>
              </w:rPr>
              <w:br/>
            </w:r>
            <w:r>
              <w:rPr>
                <w:rFonts w:ascii="Times New Roman" w:hAnsi="Times New Roman"/>
                <w:b/>
                <w:noProof/>
                <w:sz w:val="12"/>
              </w:rPr>
              <w:t xml:space="preserve"> (articolul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 de mutare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Calibri"/>
                <w:noProof/>
                <w:sz w:val="12"/>
              </w:rPr>
              <w:t>Decizia nr. 38/2019 de adoptare a dispozi</w:t>
            </w:r>
            <w:r>
              <w:rPr>
                <w:rFonts w:ascii="Times New Roman" w:hAnsi="Calibri"/>
                <w:noProof/>
                <w:sz w:val="12"/>
              </w:rPr>
              <w:t>ț</w:t>
            </w:r>
            <w:r>
              <w:rPr>
                <w:rFonts w:ascii="Times New Roman" w:hAnsi="Calibri"/>
                <w:noProof/>
                <w:sz w:val="12"/>
              </w:rPr>
              <w:t xml:space="preserve">iilor generale de punere </w:t>
            </w:r>
            <w:r>
              <w:rPr>
                <w:rFonts w:ascii="Times New Roman" w:hAnsi="Calibri"/>
                <w:noProof/>
                <w:sz w:val="12"/>
              </w:rPr>
              <w:t>î</w:t>
            </w:r>
            <w:r>
              <w:rPr>
                <w:rFonts w:ascii="Times New Roman" w:hAnsi="Calibri"/>
                <w:noProof/>
                <w:sz w:val="12"/>
              </w:rPr>
              <w:t>n aplicare privind cheltuielile de mutare [articolul 9 din anexa VII la Statutul func</w:t>
            </w:r>
            <w:r>
              <w:rPr>
                <w:rFonts w:ascii="Times New Roman" w:hAnsi="Calibri"/>
                <w:noProof/>
                <w:sz w:val="12"/>
              </w:rPr>
              <w:t>ț</w:t>
            </w:r>
            <w:r>
              <w:rPr>
                <w:rFonts w:ascii="Times New Roman" w:hAnsi="Calibri"/>
                <w:noProof/>
                <w:sz w:val="12"/>
              </w:rPr>
              <w:t xml:space="preserve">ionarilor] </w:t>
            </w:r>
            <w:r>
              <w:rPr>
                <w:rFonts w:ascii="Times New Roman" w:hAnsi="Calibri"/>
                <w:noProof/>
                <w:sz w:val="12"/>
              </w:rPr>
              <w:t>ș</w:t>
            </w:r>
            <w:r>
              <w:rPr>
                <w:rFonts w:ascii="Times New Roman" w:hAnsi="Calibri"/>
                <w:noProof/>
                <w:sz w:val="12"/>
              </w:rPr>
              <w:t>i de abrogare a Deciziei 8/2014</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18.7.2019</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1069"/>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(articolele 11 - 13a)</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Cheltuielile de misiune și de deplasare</w:t>
            </w: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Calibri"/>
                <w:noProof/>
                <w:sz w:val="12"/>
              </w:rPr>
              <w:t>Decizia nr. 13/2019 privind dispozi</w:t>
            </w:r>
            <w:r>
              <w:rPr>
                <w:rFonts w:ascii="Times New Roman" w:hAnsi="Calibri"/>
                <w:noProof/>
                <w:sz w:val="12"/>
              </w:rPr>
              <w:t>ț</w:t>
            </w:r>
            <w:r>
              <w:rPr>
                <w:rFonts w:ascii="Times New Roman" w:hAnsi="Calibri"/>
                <w:noProof/>
                <w:sz w:val="12"/>
              </w:rPr>
              <w:t xml:space="preserve">iile generale de punere </w:t>
            </w:r>
            <w:r>
              <w:rPr>
                <w:rFonts w:ascii="Times New Roman" w:hAnsi="Calibri"/>
                <w:noProof/>
                <w:sz w:val="12"/>
              </w:rPr>
              <w:t>î</w:t>
            </w:r>
            <w:r>
              <w:rPr>
                <w:rFonts w:ascii="Times New Roman" w:hAnsi="Calibri"/>
                <w:noProof/>
                <w:sz w:val="12"/>
              </w:rPr>
              <w:t>n aplicare de adoptare a Ghidului privind delega</w:t>
            </w:r>
            <w:r>
              <w:rPr>
                <w:rFonts w:ascii="Times New Roman" w:hAnsi="Calibri"/>
                <w:noProof/>
                <w:sz w:val="12"/>
              </w:rPr>
              <w:t>ț</w:t>
            </w:r>
            <w:r>
              <w:rPr>
                <w:rFonts w:ascii="Times New Roman" w:hAnsi="Calibri"/>
                <w:noProof/>
                <w:sz w:val="12"/>
              </w:rPr>
              <w:t xml:space="preserve">iile </w:t>
            </w:r>
            <w:r>
              <w:rPr>
                <w:rFonts w:ascii="Times New Roman" w:hAnsi="Calibri"/>
                <w:noProof/>
                <w:sz w:val="12"/>
              </w:rPr>
              <w:t>ș</w:t>
            </w:r>
            <w:r>
              <w:rPr>
                <w:rFonts w:ascii="Times New Roman" w:hAnsi="Calibri"/>
                <w:noProof/>
                <w:sz w:val="12"/>
              </w:rPr>
              <w:t>i c</w:t>
            </w:r>
            <w:r>
              <w:rPr>
                <w:rFonts w:ascii="Times New Roman" w:hAnsi="Calibri"/>
                <w:noProof/>
                <w:sz w:val="12"/>
              </w:rPr>
              <w:t>ă</w:t>
            </w:r>
            <w:r>
              <w:rPr>
                <w:rFonts w:ascii="Times New Roman" w:hAnsi="Calibri"/>
                <w:noProof/>
                <w:sz w:val="12"/>
              </w:rPr>
              <w:t>l</w:t>
            </w:r>
            <w:r>
              <w:rPr>
                <w:rFonts w:ascii="Times New Roman" w:hAnsi="Calibri"/>
                <w:noProof/>
                <w:sz w:val="12"/>
              </w:rPr>
              <w:t>ă</w:t>
            </w:r>
            <w:r>
              <w:rPr>
                <w:rFonts w:ascii="Times New Roman" w:hAnsi="Calibri"/>
                <w:noProof/>
                <w:sz w:val="12"/>
              </w:rPr>
              <w:t>toriile autorizate pentru func</w:t>
            </w:r>
            <w:r>
              <w:rPr>
                <w:rFonts w:ascii="Times New Roman" w:hAnsi="Calibri"/>
                <w:noProof/>
                <w:sz w:val="12"/>
              </w:rPr>
              <w:t>ț</w:t>
            </w:r>
            <w:r>
              <w:rPr>
                <w:rFonts w:ascii="Times New Roman" w:hAnsi="Calibri"/>
                <w:noProof/>
                <w:sz w:val="12"/>
              </w:rPr>
              <w:t xml:space="preserve">ionari </w:t>
            </w:r>
            <w:r>
              <w:rPr>
                <w:rFonts w:ascii="Times New Roman" w:hAnsi="Calibri"/>
                <w:noProof/>
                <w:sz w:val="12"/>
              </w:rPr>
              <w:t>ș</w:t>
            </w:r>
            <w:r>
              <w:rPr>
                <w:rFonts w:ascii="Times New Roman" w:hAnsi="Calibri"/>
                <w:noProof/>
                <w:sz w:val="12"/>
              </w:rPr>
              <w:t>i ceilal</w:t>
            </w:r>
            <w:r>
              <w:rPr>
                <w:rFonts w:ascii="Times New Roman" w:hAnsi="Calibri"/>
                <w:noProof/>
                <w:sz w:val="12"/>
              </w:rPr>
              <w:t>ț</w:t>
            </w:r>
            <w:r>
              <w:rPr>
                <w:rFonts w:ascii="Times New Roman" w:hAnsi="Calibri"/>
                <w:noProof/>
                <w:sz w:val="12"/>
              </w:rPr>
              <w:t>i agen</w:t>
            </w:r>
            <w:r>
              <w:rPr>
                <w:rFonts w:ascii="Times New Roman" w:hAnsi="Calibri"/>
                <w:noProof/>
                <w:sz w:val="12"/>
              </w:rPr>
              <w:t>ț</w:t>
            </w:r>
            <w:r>
              <w:rPr>
                <w:rFonts w:ascii="Times New Roman" w:hAnsi="Calibri"/>
                <w:noProof/>
                <w:sz w:val="12"/>
              </w:rPr>
              <w:t xml:space="preserve">i din cadrul Secretariatului General al Consiliului </w:t>
            </w:r>
            <w:r>
              <w:rPr>
                <w:rFonts w:ascii="Times New Roman" w:hAnsi="Calibri"/>
                <w:noProof/>
                <w:sz w:val="12"/>
              </w:rPr>
              <w:t>ș</w:t>
            </w:r>
            <w:r>
              <w:rPr>
                <w:rFonts w:ascii="Times New Roman" w:hAnsi="Calibri"/>
                <w:noProof/>
                <w:sz w:val="12"/>
              </w:rPr>
              <w:t xml:space="preserve">i pentru alte persoane asimilate, precum </w:t>
            </w:r>
            <w:r>
              <w:rPr>
                <w:rFonts w:ascii="Times New Roman" w:hAnsi="Calibri"/>
                <w:noProof/>
                <w:sz w:val="12"/>
              </w:rPr>
              <w:t>ș</w:t>
            </w:r>
            <w:r>
              <w:rPr>
                <w:rFonts w:ascii="Times New Roman" w:hAnsi="Calibri"/>
                <w:noProof/>
                <w:sz w:val="12"/>
              </w:rPr>
              <w:t>i de abrogare a Deciziei 57/2015</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1.4.2019</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anexele VIII și XIII – Pensiile și prestația de invaliditate</w:t>
            </w:r>
          </w:p>
        </w:tc>
      </w:tr>
      <w:tr>
        <w:trPr>
          <w:trHeight w:hRule="exact" w:val="722"/>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anexa VIII</w:t>
            </w:r>
            <w:r>
              <w:rPr>
                <w:noProof/>
              </w:rPr>
              <w:t xml:space="preserve"> </w:t>
            </w:r>
            <w:r>
              <w:rPr>
                <w:noProof/>
              </w:rPr>
              <w:br/>
            </w:r>
            <w:r>
              <w:rPr>
                <w:rFonts w:ascii="Times New Roman" w:hAnsi="Times New Roman"/>
                <w:b/>
                <w:noProof/>
                <w:sz w:val="12"/>
              </w:rPr>
              <w:t xml:space="preserve"> (articolele 11 și 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Transferul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a articolelor 11 și 12 din anexa VIII în legătură cu transferul drepturilor de pensie</w:t>
            </w:r>
            <w:r>
              <w:rPr>
                <w:noProof/>
              </w:rPr>
              <w:t xml:space="preserve"> </w:t>
            </w:r>
            <w:r>
              <w:rPr>
                <w:noProof/>
              </w:rPr>
              <w:br/>
            </w:r>
            <w:r>
              <w:rPr>
                <w:rFonts w:ascii="Times New Roman" w:hAnsi="Times New Roman"/>
                <w:noProof/>
                <w:sz w:val="12"/>
              </w:rPr>
              <w:t xml:space="preserve"> (modificată prin</w:t>
            </w:r>
            <w:r>
              <w:rPr>
                <w:noProof/>
              </w:rPr>
              <w:t xml:space="preserve"> </w:t>
            </w:r>
            <w:r>
              <w:rPr>
                <w:rFonts w:ascii="Times New Roman" w:hAnsi="Times New Roman"/>
                <w:noProof/>
                <w:sz w:val="12"/>
              </w:rPr>
              <w:t>Decizia nr. 9/2021 din 7 mai 2021)</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2546"/>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lastRenderedPageBreak/>
              <w:t>73 + 78</w:t>
            </w:r>
          </w:p>
        </w:tc>
        <w:tc>
          <w:tcPr>
            <w:tcW w:w="2551"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Originea profesională a invalidității</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nr. 51/2022 a directorului general pentru dezvoltare organizațională și servicii privind competența Unității Consilieri juridici ai administrației de a efectua anchete administrative în vederea stabilirii faptelor în cazurile privind posibila recunoaștere a originii profesionale a invalidității în temeiul articolului 78 al cincilea paragraf din Statutul funcționarilor și al articolului 33 alineatul (1) al patrulea paragraf și al articolului 101 alineatul (3) din Regimul aplicabil celorlalți agenți ai Uniunii Europene, precum și în vederea stabilirii faptelor în cazurile privind posibila recunoaștere a unei boli profesionale în temeiul articolului 73 din Statutul funcționarilor și al articolelor 28 și 95 din Regimul aplicabil celorlalți agenți ai Uniunii Europene, în cazul în care astfel de cazuri pot fi legate de condiții de muncă în afara sferei strict medicale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12.10.2022</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 – Regimul disciplinar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Regimul disciplinar</w:t>
            </w:r>
          </w:p>
        </w:tc>
        <w:tc>
          <w:tcPr>
            <w:tcW w:w="3029"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nr. 6/2021 a secretarului general al Consiliului Uniunii Europene de adoptare a dispozițiilor generale de punere în aplicare privind anchetele administrative și procedurile disciplinare</w:t>
            </w:r>
          </w:p>
        </w:tc>
        <w:tc>
          <w:tcPr>
            <w:tcW w:w="1322"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15.9.2021</w:t>
            </w:r>
          </w:p>
        </w:tc>
        <w:tc>
          <w:tcPr>
            <w:tcW w:w="1687" w:type="dxa"/>
            <w:tcBorders>
              <w:top w:val="single" w:sz="5"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 – Agenții temporari</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4 – Condițiile de muncă</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Concediul de maternitate și alocația aferentă</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Decizia 15/2014 privind concediul de maternitate și alocația aferentă pentru femeile al căror concediu de maternitate începe înainte de sfârșitul contractului lor</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74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alineatul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Utilizarea agenților contractuali</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Decizia 7/14 de adoptare a dispozițiilor generale de punere în aplicare privind procedurile care reglementează angajarea și utilizarea agenților contractuali </w:t>
            </w:r>
            <w:r>
              <w:rPr>
                <w:rFonts w:ascii="Times New Roman" w:hAnsi="Calibri"/>
                <w:noProof/>
                <w:sz w:val="12"/>
              </w:rPr>
              <w:t>ș</w:t>
            </w:r>
            <w:r>
              <w:rPr>
                <w:rFonts w:ascii="Times New Roman" w:hAnsi="Calibri"/>
                <w:noProof/>
                <w:sz w:val="12"/>
              </w:rPr>
              <w:t>i de abrogare a deciziei din 16 iunie 2011</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6"/>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7"/>
              </w:rPr>
              <w:t>Procedurile de recrutare pentru agenții contractuali</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Calibri"/>
                <w:noProof/>
                <w:sz w:val="12"/>
              </w:rPr>
              <w:t>Decizia</w:t>
            </w:r>
            <w:r>
              <w:rPr>
                <w:rFonts w:ascii="Times New Roman" w:hAnsi="Calibri"/>
                <w:noProof/>
                <w:sz w:val="12"/>
              </w:rPr>
              <w:t> </w:t>
            </w:r>
            <w:r>
              <w:rPr>
                <w:rFonts w:ascii="Times New Roman" w:hAnsi="Calibri"/>
                <w:noProof/>
                <w:sz w:val="12"/>
              </w:rPr>
              <w:t>7/14 de adoptare a dispozi</w:t>
            </w:r>
            <w:r>
              <w:rPr>
                <w:rFonts w:ascii="Times New Roman" w:hAnsi="Calibri"/>
                <w:noProof/>
                <w:sz w:val="12"/>
              </w:rPr>
              <w:t>ț</w:t>
            </w:r>
            <w:r>
              <w:rPr>
                <w:rFonts w:ascii="Times New Roman" w:hAnsi="Calibri"/>
                <w:noProof/>
                <w:sz w:val="12"/>
              </w:rPr>
              <w:t xml:space="preserve">iilor generale de punere </w:t>
            </w:r>
            <w:r>
              <w:rPr>
                <w:rFonts w:ascii="Times New Roman" w:hAnsi="Calibri"/>
                <w:noProof/>
                <w:sz w:val="12"/>
              </w:rPr>
              <w:t>î</w:t>
            </w:r>
            <w:r>
              <w:rPr>
                <w:rFonts w:ascii="Times New Roman" w:hAnsi="Calibri"/>
                <w:noProof/>
                <w:sz w:val="12"/>
              </w:rPr>
              <w:t>n aplicare privind procedurile care reglementeaz</w:t>
            </w:r>
            <w:r>
              <w:rPr>
                <w:rFonts w:ascii="Times New Roman" w:hAnsi="Calibri"/>
                <w:noProof/>
                <w:sz w:val="12"/>
              </w:rPr>
              <w:t>ă</w:t>
            </w:r>
            <w:r>
              <w:rPr>
                <w:rFonts w:ascii="Times New Roman" w:hAnsi="Calibri"/>
                <w:noProof/>
                <w:sz w:val="12"/>
              </w:rPr>
              <w:t xml:space="preserve"> angajarea </w:t>
            </w:r>
            <w:r>
              <w:rPr>
                <w:rFonts w:ascii="Times New Roman" w:hAnsi="Calibri"/>
                <w:noProof/>
                <w:sz w:val="12"/>
              </w:rPr>
              <w:t>ș</w:t>
            </w:r>
            <w:r>
              <w:rPr>
                <w:rFonts w:ascii="Times New Roman" w:hAnsi="Calibri"/>
                <w:noProof/>
                <w:sz w:val="12"/>
              </w:rPr>
              <w:t>i utilizarea agen</w:t>
            </w:r>
            <w:r>
              <w:rPr>
                <w:rFonts w:ascii="Times New Roman" w:hAnsi="Calibri"/>
                <w:noProof/>
                <w:sz w:val="12"/>
              </w:rPr>
              <w:t>ț</w:t>
            </w:r>
            <w:r>
              <w:rPr>
                <w:rFonts w:ascii="Times New Roman" w:hAnsi="Calibri"/>
                <w:noProof/>
                <w:sz w:val="12"/>
              </w:rPr>
              <w:t xml:space="preserve">ilor contractuali </w:t>
            </w:r>
            <w:r>
              <w:rPr>
                <w:rFonts w:ascii="Times New Roman" w:hAnsi="Calibri"/>
                <w:noProof/>
                <w:sz w:val="12"/>
              </w:rPr>
              <w:t>ș</w:t>
            </w:r>
            <w:r>
              <w:rPr>
                <w:rFonts w:ascii="Times New Roman" w:hAnsi="Calibri"/>
                <w:noProof/>
                <w:sz w:val="12"/>
              </w:rPr>
              <w:t>i de abrogare a deciziei din 16 iunie 2011</w:t>
            </w:r>
            <w:r>
              <w:rPr>
                <w:noProof/>
              </w:rPr>
              <w:t xml:space="preserve"> </w:t>
            </w:r>
            <w:r>
              <w:rPr>
                <w:noProof/>
              </w:rPr>
              <w:br/>
            </w:r>
            <w:r>
              <w:rPr>
                <w:rFonts w:ascii="Times New Roman" w:hAnsi="Calibri"/>
                <w:noProof/>
                <w:sz w:val="12"/>
              </w:rPr>
              <w:t>(publicat</w:t>
            </w:r>
            <w:r>
              <w:rPr>
                <w:rFonts w:ascii="Times New Roman" w:hAnsi="Calibri"/>
                <w:noProof/>
                <w:sz w:val="12"/>
              </w:rPr>
              <w:t>ă</w:t>
            </w:r>
            <w:r>
              <w:rPr>
                <w:rFonts w:ascii="Times New Roman" w:hAnsi="Calibri"/>
                <w:noProof/>
                <w:sz w:val="12"/>
              </w:rPr>
              <w:t xml:space="preserve"> ca anex</w:t>
            </w:r>
            <w:r>
              <w:rPr>
                <w:rFonts w:ascii="Times New Roman" w:hAnsi="Calibri"/>
                <w:noProof/>
                <w:sz w:val="12"/>
              </w:rPr>
              <w:t>ă</w:t>
            </w:r>
            <w:r>
              <w:rPr>
                <w:rFonts w:ascii="Times New Roman" w:hAnsi="Calibri"/>
                <w:noProof/>
                <w:sz w:val="12"/>
              </w:rPr>
              <w:t xml:space="preserve"> la PC 61/11 din 23.6.2011)</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Încadrarea în grad la momentul recrutării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Calibri"/>
                <w:noProof/>
                <w:sz w:val="12"/>
              </w:rPr>
              <w:t>Decizia</w:t>
            </w:r>
            <w:r>
              <w:rPr>
                <w:rFonts w:ascii="Times New Roman" w:hAnsi="Calibri"/>
                <w:noProof/>
                <w:sz w:val="12"/>
              </w:rPr>
              <w:t> </w:t>
            </w:r>
            <w:r>
              <w:rPr>
                <w:rFonts w:ascii="Times New Roman" w:hAnsi="Calibri"/>
                <w:noProof/>
                <w:sz w:val="12"/>
              </w:rPr>
              <w:t>7/14 de adoptare a dispozi</w:t>
            </w:r>
            <w:r>
              <w:rPr>
                <w:rFonts w:ascii="Times New Roman" w:hAnsi="Calibri"/>
                <w:noProof/>
                <w:sz w:val="12"/>
              </w:rPr>
              <w:t>ț</w:t>
            </w:r>
            <w:r>
              <w:rPr>
                <w:rFonts w:ascii="Times New Roman" w:hAnsi="Calibri"/>
                <w:noProof/>
                <w:sz w:val="12"/>
              </w:rPr>
              <w:t xml:space="preserve">iilor generale de punere </w:t>
            </w:r>
            <w:r>
              <w:rPr>
                <w:rFonts w:ascii="Times New Roman" w:hAnsi="Calibri"/>
                <w:noProof/>
                <w:sz w:val="12"/>
              </w:rPr>
              <w:t>î</w:t>
            </w:r>
            <w:r>
              <w:rPr>
                <w:rFonts w:ascii="Times New Roman" w:hAnsi="Calibri"/>
                <w:noProof/>
                <w:sz w:val="12"/>
              </w:rPr>
              <w:t>n aplicare privind procedurile care reglementeaz</w:t>
            </w:r>
            <w:r>
              <w:rPr>
                <w:rFonts w:ascii="Times New Roman" w:hAnsi="Calibri"/>
                <w:noProof/>
                <w:sz w:val="12"/>
              </w:rPr>
              <w:t>ă</w:t>
            </w:r>
            <w:r>
              <w:rPr>
                <w:rFonts w:ascii="Times New Roman" w:hAnsi="Calibri"/>
                <w:noProof/>
                <w:sz w:val="12"/>
              </w:rPr>
              <w:t xml:space="preserve"> angajarea </w:t>
            </w:r>
            <w:r>
              <w:rPr>
                <w:rFonts w:ascii="Times New Roman" w:hAnsi="Calibri"/>
                <w:noProof/>
                <w:sz w:val="12"/>
              </w:rPr>
              <w:t>ș</w:t>
            </w:r>
            <w:r>
              <w:rPr>
                <w:rFonts w:ascii="Times New Roman" w:hAnsi="Calibri"/>
                <w:noProof/>
                <w:sz w:val="12"/>
              </w:rPr>
              <w:t>i utilizarea agen</w:t>
            </w:r>
            <w:r>
              <w:rPr>
                <w:rFonts w:ascii="Times New Roman" w:hAnsi="Calibri"/>
                <w:noProof/>
                <w:sz w:val="12"/>
              </w:rPr>
              <w:t>ț</w:t>
            </w:r>
            <w:r>
              <w:rPr>
                <w:rFonts w:ascii="Times New Roman" w:hAnsi="Calibri"/>
                <w:noProof/>
                <w:sz w:val="12"/>
              </w:rPr>
              <w:t xml:space="preserve">ilor contractuali </w:t>
            </w:r>
            <w:r>
              <w:rPr>
                <w:rFonts w:ascii="Times New Roman" w:hAnsi="Calibri"/>
                <w:noProof/>
                <w:sz w:val="12"/>
              </w:rPr>
              <w:t>ș</w:t>
            </w:r>
            <w:r>
              <w:rPr>
                <w:rFonts w:ascii="Times New Roman" w:hAnsi="Calibri"/>
                <w:noProof/>
                <w:sz w:val="12"/>
              </w:rPr>
              <w:t>i de abrogare a deciziei din 16 iunie 2011</w:t>
            </w:r>
            <w:r>
              <w:rPr>
                <w:noProof/>
              </w:rPr>
              <w:t xml:space="preserve"> </w:t>
            </w:r>
            <w:r>
              <w:rPr>
                <w:noProof/>
              </w:rPr>
              <w:br/>
            </w:r>
            <w:r>
              <w:rPr>
                <w:rFonts w:ascii="Times New Roman" w:hAnsi="Calibri"/>
                <w:noProof/>
                <w:sz w:val="12"/>
              </w:rPr>
              <w:t xml:space="preserve"> (publicat</w:t>
            </w:r>
            <w:r>
              <w:rPr>
                <w:rFonts w:ascii="Times New Roman" w:hAnsi="Calibri"/>
                <w:noProof/>
                <w:sz w:val="12"/>
              </w:rPr>
              <w:t>ă</w:t>
            </w:r>
            <w:r>
              <w:rPr>
                <w:rFonts w:ascii="Times New Roman" w:hAnsi="Calibri"/>
                <w:noProof/>
                <w:sz w:val="12"/>
              </w:rPr>
              <w:t xml:space="preserve"> ca anex</w:t>
            </w:r>
            <w:r>
              <w:rPr>
                <w:rFonts w:ascii="Times New Roman" w:hAnsi="Calibri"/>
                <w:noProof/>
                <w:sz w:val="12"/>
              </w:rPr>
              <w:t>ă</w:t>
            </w:r>
            <w:r>
              <w:rPr>
                <w:rFonts w:ascii="Times New Roman" w:hAnsi="Calibri"/>
                <w:noProof/>
                <w:sz w:val="12"/>
              </w:rPr>
              <w:t xml:space="preserve"> la PC 61/11 din 23.6.2011)</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Capitolul 4 – Dispoziții speciale aplicabile agenților contractuali menționați la articolul 3a</w:t>
            </w:r>
          </w:p>
        </w:tc>
      </w:tr>
      <w:tr>
        <w:trPr>
          <w:trHeight w:hRule="exact" w:val="58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Calibri"/>
                <w:b/>
                <w:noProof/>
                <w:sz w:val="17"/>
              </w:rPr>
              <w:t>Clasificarea agen</w:t>
            </w:r>
            <w:r>
              <w:rPr>
                <w:rFonts w:ascii="Times New Roman" w:hAnsi="Calibri"/>
                <w:b/>
                <w:noProof/>
                <w:sz w:val="17"/>
              </w:rPr>
              <w:t>ț</w:t>
            </w:r>
            <w:r>
              <w:rPr>
                <w:rFonts w:ascii="Times New Roman" w:hAnsi="Calibri"/>
                <w:b/>
                <w:noProof/>
                <w:sz w:val="17"/>
              </w:rPr>
              <w:t>ilor contractuali</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Decizia 30/2019 privind clasificarea agenților contractuali în gradul imediat superior în aceeași grupă de funcții și de abrogare a Deciziei 55/2014</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iCs/>
                <w:noProof/>
                <w:sz w:val="12"/>
                <w:szCs w:val="12"/>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              21.5.2019</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rPr>
          <w:rFonts w:ascii="Times New Roman" w:eastAsia="Times New Roman" w:hAnsi="Times New Roman" w:cs="Times New Roman"/>
          <w:noProof/>
          <w:sz w:val="20"/>
          <w:szCs w:val="20"/>
        </w:rPr>
      </w:pPr>
      <w:r>
        <w:rPr>
          <w:noProof/>
        </w:rPr>
        <w:br w:type="page"/>
      </w:r>
    </w:p>
    <w:p>
      <w:pPr>
        <w:widowControl w:val="0"/>
        <w:spacing w:after="0" w:line="240" w:lineRule="auto"/>
        <w:jc w:val="center"/>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t>COMISIA EUROPEANĂ</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1d alineatul (4)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C(1998)2765/1 - Codul de bune practici pentru încadrarea în muncă a persoanelor cu handicap</w:t>
            </w:r>
            <w:r>
              <w:rPr>
                <w:noProof/>
              </w:rPr>
              <w:t xml:space="preserve"> </w:t>
            </w:r>
            <w:r>
              <w:rPr>
                <w:noProof/>
              </w:rPr>
              <w:br/>
            </w:r>
            <w:r>
              <w:rPr>
                <w:rFonts w:ascii="Times New Roman" w:hAnsi="Times New Roman"/>
                <w:noProof/>
                <w:sz w:val="12"/>
              </w:rPr>
              <w:t xml:space="preserve"> [modificată ultima dată prin Decizia C(2003)4362 a Comisiei]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15.9.1998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C(2004)1318 – Decizia Comisiei de punere în aplicare a articolului 1d alineatul (4) din Statutul funcționarilor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1e alineatul (1)</w:t>
            </w:r>
            <w:r>
              <w:rPr>
                <w:noProof/>
              </w:rPr>
              <w:t xml:space="preserve"> </w:t>
            </w:r>
            <w:r>
              <w:rPr>
                <w:noProof/>
              </w:rPr>
              <w:br/>
            </w:r>
            <w:r>
              <w:rPr>
                <w:rFonts w:ascii="Times New Roman" w:hAnsi="Times New Roman"/>
                <w:b/>
                <w:noProof/>
                <w:sz w:val="12"/>
              </w:rPr>
              <w:t>(76)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Măsuri cu caracter social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 xml:space="preserve">C(2013)4876 final – Decizia Comisiei </w:t>
            </w:r>
            <w:bookmarkStart w:id="8" w:name="_Hlk187219867"/>
            <w:r>
              <w:rPr>
                <w:rFonts w:ascii="Times New Roman" w:hAnsi="Times New Roman"/>
                <w:noProof/>
                <w:sz w:val="12"/>
              </w:rPr>
              <w:t>privind orientările referitoare la asistența pentru îngrijirea la domiciliu sau îngrijirea unui copil bolnav</w:t>
            </w:r>
            <w:bookmarkEnd w:id="8"/>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9.8.2013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hAnsi="Times New Roman" w:cs="Times New Roman"/>
                <w:b/>
                <w:noProof/>
                <w:spacing w:val="1"/>
                <w:w w:val="105"/>
                <w:sz w:val="12"/>
              </w:rPr>
            </w:pPr>
            <w:r>
              <w:rPr>
                <w:rFonts w:ascii="Times New Roman" w:hAnsi="Times New Roman"/>
                <w:b/>
                <w:noProof/>
                <w:sz w:val="12"/>
              </w:rPr>
              <w:t>1e alineatul (1)/(2)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b/>
                <w:noProof/>
                <w:spacing w:val="-1"/>
                <w:w w:val="105"/>
                <w:sz w:val="16"/>
              </w:rPr>
            </w:pPr>
            <w:r>
              <w:rPr>
                <w:rFonts w:ascii="Times New Roman" w:hAnsi="Times New Roman"/>
                <w:b/>
                <w:noProof/>
                <w:sz w:val="16"/>
              </w:rPr>
              <w:t xml:space="preserve">Munca de la distanță </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hAnsi="Times New Roman" w:cs="Times New Roman"/>
                <w:noProof/>
                <w:w w:val="105"/>
                <w:sz w:val="12"/>
              </w:rPr>
            </w:pPr>
            <w:r>
              <w:rPr>
                <w:rFonts w:ascii="Times New Roman" w:hAnsi="Times New Roman"/>
                <w:noProof/>
                <w:sz w:val="12"/>
              </w:rPr>
              <w:t>C(2022)1788 final – Decizia Comisiei privind timpul de lucru și munca hibridă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noProof/>
                <w:w w:val="105"/>
                <w:sz w:val="12"/>
              </w:rPr>
            </w:pPr>
            <w:r>
              <w:rPr>
                <w:rFonts w:ascii="Times New Roman" w:hAnsi="Times New Roman"/>
                <w:noProof/>
                <w:sz w:val="12"/>
              </w:rPr>
              <w:t>1.4. 2022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1e alineatul (2)</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Sănătate și siguranță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C(2003)1670/3 – Decizia Comisiei privind protecția personalului împotriva efectelor fumului de tutun în clădirile Comisiei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C(2006) 1623 final – Decizia Comisiei de stabilire a unei politici armonizate în materie de sănătate și securitate la locul de muncă pentru toți membrii personalului său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w w:val="105"/>
                <w:sz w:val="12"/>
              </w:rPr>
            </w:pPr>
            <w:r>
              <w:rPr>
                <w:rFonts w:ascii="Times New Roman" w:hAnsi="Times New Roman"/>
                <w:noProof/>
                <w:sz w:val="12"/>
              </w:rPr>
              <w:t>26.4.2006</w:t>
            </w:r>
          </w:p>
          <w:p>
            <w:pPr>
              <w:widowControl w:val="0"/>
              <w:spacing w:before="9" w:after="0" w:line="240" w:lineRule="auto"/>
              <w:jc w:val="center"/>
              <w:rPr>
                <w:rFonts w:ascii="Times New Roman" w:eastAsia="Calibri" w:hAnsi="Times New Roman" w:cs="Times New Roman"/>
                <w:strike/>
                <w:noProof/>
                <w:sz w:val="12"/>
                <w:szCs w:val="12"/>
                <w:lang w:val="en-GB"/>
              </w:rPr>
            </w:pP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994"/>
        </w:trPr>
        <w:tc>
          <w:tcPr>
            <w:tcW w:w="11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C(2020)5973 final – Decizia Comisiei privind normele specifice de sănătate și securitate pentru sediile Comisiei din Bruxelles și Luxemburg</w:t>
            </w:r>
            <w:r>
              <w:rPr>
                <w:noProof/>
              </w:rPr>
              <w:t xml:space="preserve"> </w:t>
            </w:r>
            <w:r>
              <w:rPr>
                <w:noProof/>
              </w:rPr>
              <w:br/>
            </w:r>
            <w:r>
              <w:rPr>
                <w:rFonts w:ascii="Times New Roman" w:hAnsi="Times New Roman"/>
                <w:noProof/>
                <w:sz w:val="12"/>
              </w:rPr>
              <w:t xml:space="preserve">modificată prin Decizia C(2020)7603 final din 28.10.2020, </w:t>
            </w:r>
            <w:r>
              <w:rPr>
                <w:noProof/>
              </w:rPr>
              <w:t xml:space="preserve"> </w:t>
            </w:r>
            <w:r>
              <w:rPr>
                <w:noProof/>
              </w:rPr>
              <w:br/>
            </w:r>
            <w:r>
              <w:rPr>
                <w:rFonts w:ascii="Times New Roman" w:hAnsi="Times New Roman"/>
                <w:noProof/>
                <w:sz w:val="12"/>
              </w:rPr>
              <w:t>modificată prin Decizia C (2021) 7699 final din 21.10.2021 și</w:t>
            </w:r>
            <w:r>
              <w:rPr>
                <w:noProof/>
              </w:rPr>
              <w:t xml:space="preserve"> </w:t>
            </w:r>
            <w:r>
              <w:rPr>
                <w:noProof/>
              </w:rPr>
              <w:br/>
            </w:r>
            <w:r>
              <w:rPr>
                <w:rFonts w:ascii="Times New Roman" w:hAnsi="Times New Roman"/>
                <w:noProof/>
                <w:sz w:val="12"/>
              </w:rPr>
              <w:t>modificată ultima dată prin C(2022) 332 final din 14.1.2022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27.8.2020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136"/>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7"/>
              </w:rPr>
              <w:t>Competențele autorității împuternicite să facă numiri (AIPN)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C(2013) 3288 final – Decizia Comisiei privind exercitarea competențelor conferite prin Statutul funcționarilor autorității împuternicite să facă numiri (AIPN) și, prin Regimul aplicabil celorlalți agenți, autorității abilitate să încheie contracte de muncă (AHCC)</w:t>
            </w:r>
            <w:r>
              <w:rPr>
                <w:noProof/>
              </w:rPr>
              <w:t xml:space="preserve"> </w:t>
            </w:r>
            <w:r>
              <w:rPr>
                <w:noProof/>
              </w:rPr>
              <w:br/>
            </w:r>
            <w:r>
              <w:rPr>
                <w:rFonts w:ascii="Times New Roman" w:hAnsi="Times New Roman"/>
                <w:noProof/>
                <w:sz w:val="12"/>
              </w:rPr>
              <w:t xml:space="preserve"> [modificată ultima dată prin C(2016)1881 final] </w:t>
            </w:r>
            <w:r>
              <w:rPr>
                <w:noProof/>
              </w:rPr>
              <w:t xml:space="preserve"> </w:t>
            </w:r>
            <w:r>
              <w:rPr>
                <w:noProof/>
              </w:rPr>
              <w:br/>
            </w:r>
            <w:r>
              <w:rPr>
                <w:rFonts w:ascii="Times New Roman" w:hAnsi="Times New Roman"/>
                <w:noProof/>
                <w:sz w:val="12"/>
              </w:rPr>
              <w:t>[modificată prin Decizia C(2019)9435 final din 23.12.2019]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9.10.2013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16.2.2022</w:t>
            </w:r>
          </w:p>
        </w:tc>
        <w:tc>
          <w:tcPr>
            <w:tcW w:w="936" w:type="dxa"/>
            <w:vMerge w:val="restart"/>
            <w:tcBorders>
              <w:top w:val="single" w:sz="4" w:space="0" w:color="auto"/>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993"/>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C(2021) 9126 final – Decizia Comisiei din privind exercitarea competențelor conferite prin Statutul funcționarilor autorității împuternicite să facă numiri (AIPN) și, prin Regimul aplicabil celorlalți agenți, autorității abilitate să încheie contracte de muncă (AACM)</w:t>
            </w:r>
            <w:r>
              <w:rPr>
                <w:noProof/>
              </w:rPr>
              <w:t xml:space="preserve"> </w:t>
            </w:r>
            <w:r>
              <w:rPr>
                <w:noProof/>
              </w:rPr>
              <w:br/>
            </w:r>
            <w:r>
              <w:rPr>
                <w:rFonts w:ascii="Times New Roman" w:hAnsi="Times New Roman"/>
                <w:noProof/>
                <w:sz w:val="12"/>
              </w:rPr>
              <w:t>[modificată ultima dată prin C(2023) 6797 final din 13.10.2023)</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16.2.2022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6" w:space="0" w:color="000000"/>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anexa 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7"/>
              </w:rPr>
              <w:t>Tipuri de posturi și titlurile posturilor</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C(2013)8979 final – Decizia Comisiei </w:t>
            </w:r>
            <w:r>
              <w:rPr>
                <w:noProof/>
              </w:rPr>
              <w:t xml:space="preserve"> </w:t>
            </w:r>
            <w:r>
              <w:rPr>
                <w:noProof/>
              </w:rPr>
              <w:br/>
            </w:r>
            <w:r>
              <w:rPr>
                <w:rFonts w:ascii="Times New Roman" w:hAnsi="Times New Roman"/>
                <w:noProof/>
                <w:sz w:val="12"/>
              </w:rPr>
              <w:t>privind tipurile de posturi și titlurile posturilor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C(2016)3214 final – Decizia Comisiei privind funcția de consilier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8.6.2016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C(2010)453 final – Decizia Comisiei privind majorarea cotei de consilieri nestructurali în cadrul Direcției Generale Informatică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2.2.2010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986"/>
        </w:trPr>
        <w:tc>
          <w:tcPr>
            <w:tcW w:w="1156" w:type="dxa"/>
            <w:tcBorders>
              <w:top w:val="single" w:sz="6" w:space="0" w:color="000000"/>
              <w:left w:val="single" w:sz="4" w:space="0" w:color="000000"/>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 xml:space="preserve">5 + anexele I și XIII </w:t>
            </w:r>
            <w:r>
              <w:rPr>
                <w:noProof/>
              </w:rPr>
              <w:t xml:space="preserve"> </w:t>
            </w:r>
            <w:r>
              <w:rPr>
                <w:noProof/>
              </w:rPr>
              <w:br/>
            </w:r>
            <w:r>
              <w:rPr>
                <w:rFonts w:ascii="Times New Roman" w:hAnsi="Times New Roman"/>
                <w:b/>
                <w:noProof/>
                <w:sz w:val="12"/>
              </w:rPr>
              <w:t>(articolele 30 și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 xml:space="preserve">Repartizarea funcționarilor care dețineau </w:t>
            </w:r>
            <w:r>
              <w:rPr>
                <w:rFonts w:ascii="Times New Roman" w:hAnsi="Times New Roman"/>
                <w:b/>
                <w:noProof/>
                <w:sz w:val="17"/>
              </w:rPr>
              <w:t xml:space="preserve">responsabilități speciale pentru „șef de </w:t>
            </w:r>
            <w:r>
              <w:rPr>
                <w:rFonts w:ascii="Times New Roman" w:hAnsi="Times New Roman"/>
                <w:b/>
                <w:noProof/>
                <w:sz w:val="16"/>
              </w:rPr>
              <w:t xml:space="preserve">unitate sau echivalent” sau „consilier sau echivalent” înainte de 31 decembrie </w:t>
            </w:r>
            <w:r>
              <w:rPr>
                <w:rFonts w:ascii="Times New Roman" w:hAnsi="Times New Roman"/>
                <w:b/>
                <w:noProof/>
                <w:sz w:val="17"/>
              </w:rPr>
              <w:t>2015</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C(2013) 8979 final – Decizia Comisiei privind tipurile de posturi și titlurile posturilor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val="restart"/>
            <w:tcBorders>
              <w:top w:val="single" w:sz="6" w:space="0" w:color="000000"/>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7</w:t>
            </w:r>
          </w:p>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7"/>
              </w:rPr>
              <w:t>Transferul</w:t>
            </w:r>
          </w:p>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C(2008)3983 final – Decizia Comisiei de stabilire a normelor privind rotația funcționarilor în Reprezentanțe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C(2009) 7839 final de stabilire a normelor de punere în aplicare privind ocuparea temporară a posturilor de conducere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20.10.2009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6"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SEC(2002)146 – Orientări privind mobilitatea </w:t>
            </w:r>
            <w:r>
              <w:rPr>
                <w:noProof/>
              </w:rPr>
              <w:t xml:space="preserve"> </w:t>
            </w:r>
            <w:r>
              <w:rPr>
                <w:noProof/>
              </w:rPr>
              <w:br/>
            </w:r>
            <w:r>
              <w:rPr>
                <w:rFonts w:ascii="Times New Roman" w:hAnsi="Times New Roman"/>
                <w:noProof/>
                <w:sz w:val="12"/>
              </w:rPr>
              <w:t>[astfel cum au fost modificate prin C(2003)3985 – Modificarea orientărilor privind mobilitatea]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12.2.2002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6" w:space="0" w:color="000000"/>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9</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Comitetele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Norme din 22.10.1997 privind stabilirea componenței și a funcționării Comitetului pentru personal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23.12.1997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C(2011)3588 final privind resursele umane și financiare pentru Comitetul pentru personal al Comisiei Europene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27.5.2011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C(2005)2665 privind îmbunătățirea dialogului social în cadrul Comisiei prin intermediul comisiilor paritare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15.7.2005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Titlul II – Drepturile și obligațiile funcționarului</w:t>
            </w:r>
          </w:p>
        </w:tc>
      </w:tr>
      <w:tr>
        <w:trPr>
          <w:trHeight w:val="611"/>
        </w:trPr>
        <w:tc>
          <w:tcPr>
            <w:tcW w:w="1156" w:type="dxa"/>
            <w:vMerge w:val="restart"/>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pacing w:val="1"/>
                <w:w w:val="105"/>
                <w:sz w:val="12"/>
              </w:rPr>
            </w:pPr>
            <w:r>
              <w:rPr>
                <w:rFonts w:ascii="Times New Roman" w:hAnsi="Times New Roman"/>
                <w:b/>
                <w:noProof/>
                <w:sz w:val="12"/>
              </w:rPr>
              <w:t>11-21</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3"/>
                <w:sz w:val="16"/>
                <w:szCs w:val="16"/>
              </w:rPr>
            </w:pPr>
            <w:r>
              <w:rPr>
                <w:rFonts w:ascii="Times New Roman" w:hAnsi="Times New Roman"/>
                <w:b/>
                <w:noProof/>
                <w:sz w:val="16"/>
              </w:rPr>
              <w:t>Etică și integritate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 xml:space="preserve"> Comunicarea administrativă nr. 4-2019 din 8 ianuarie</w:t>
            </w:r>
          </w:p>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2019 referitoare la orientările adresate personalului cu privire la platformele de comunicare socială</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8.1.2019</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rPr>
            </w:pPr>
            <w:r>
              <w:rPr>
                <w:rFonts w:ascii="Times New Roman" w:hAnsi="Times New Roman"/>
                <w:noProof/>
                <w:sz w:val="12"/>
              </w:rPr>
              <w:t>9.6.2023</w:t>
            </w:r>
          </w:p>
        </w:tc>
        <w:tc>
          <w:tcPr>
            <w:tcW w:w="936" w:type="dxa"/>
            <w:vMerge w:val="restart"/>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611"/>
        </w:trPr>
        <w:tc>
          <w:tcPr>
            <w:tcW w:w="1156" w:type="dxa"/>
            <w:vMerge/>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z w:val="12"/>
                <w:szCs w:val="12"/>
              </w:rPr>
            </w:pPr>
          </w:p>
        </w:tc>
        <w:tc>
          <w:tcPr>
            <w:tcW w:w="2551" w:type="dxa"/>
            <w:vMerge/>
            <w:tcBorders>
              <w:top w:val="single" w:sz="5"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z w:val="16"/>
                <w:szCs w:val="16"/>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Comunicarea administrativă nr. 22-2023 Orientări adresate personalului Comisiei cu privire la platformele de comunicare socială</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9.6.2023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lang w:val="en-US"/>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611"/>
        </w:trPr>
        <w:tc>
          <w:tcPr>
            <w:tcW w:w="1156" w:type="dxa"/>
            <w:vMerge/>
            <w:tcBorders>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pacing w:val="1"/>
                <w:w w:val="105"/>
                <w:sz w:val="12"/>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3"/>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 xml:space="preserve">SEC(2012) 167 final – Comunicarea vicepreședintelui Šefčovič către Comisie referitoare la orientările adresate personalului privind cadourile și ospitalitatea </w:t>
            </w:r>
            <w:r>
              <w:rPr>
                <w:noProof/>
              </w:rPr>
              <w:t xml:space="preserve"> </w:t>
            </w:r>
            <w:r>
              <w:rPr>
                <w:noProof/>
              </w:rPr>
              <w:br/>
            </w:r>
            <w:r>
              <w:rPr>
                <w:rFonts w:ascii="Times New Roman" w:hAnsi="Times New Roman"/>
                <w:noProof/>
                <w:sz w:val="12"/>
              </w:rPr>
              <w:t>publicată sub forma comunicării administrative nr. 07-2012</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7.3.2012</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lang w:val="en-US"/>
              </w:rPr>
            </w:pPr>
          </w:p>
        </w:tc>
        <w:tc>
          <w:tcPr>
            <w:tcW w:w="936" w:type="dxa"/>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611"/>
        </w:trPr>
        <w:tc>
          <w:tcPr>
            <w:tcW w:w="1156" w:type="dxa"/>
            <w:tcBorders>
              <w:left w:val="single" w:sz="4" w:space="0" w:color="000000"/>
              <w:right w:val="single" w:sz="3" w:space="0" w:color="000000"/>
            </w:tcBorders>
            <w:vAlign w:val="center"/>
          </w:tcPr>
          <w:p>
            <w:pPr>
              <w:widowControl w:val="0"/>
              <w:spacing w:after="200" w:line="240" w:lineRule="auto"/>
              <w:ind w:right="2"/>
              <w:jc w:val="center"/>
              <w:rPr>
                <w:rFonts w:ascii="Times New Roman" w:hAnsi="Times New Roman" w:cs="Times New Roman"/>
                <w:b/>
                <w:noProof/>
                <w:spacing w:val="1"/>
                <w:w w:val="105"/>
                <w:sz w:val="12"/>
                <w:lang w:val="en-US"/>
              </w:rPr>
            </w:pPr>
          </w:p>
        </w:tc>
        <w:tc>
          <w:tcPr>
            <w:tcW w:w="2551" w:type="dxa"/>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3"/>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hAnsi="Times New Roman" w:cs="Times New Roman"/>
                <w:noProof/>
                <w:w w:val="105"/>
                <w:sz w:val="12"/>
                <w:szCs w:val="12"/>
              </w:rPr>
            </w:pPr>
            <w:r>
              <w:rPr>
                <w:rFonts w:ascii="Times New Roman" w:hAnsi="Times New Roman"/>
                <w:noProof/>
                <w:sz w:val="12"/>
              </w:rPr>
              <w:t>Comunicarea administrativă 24-2016 – Orientări adresate personalului privind utilizarea serviciilor Comisiei de tehnologie a informației și comunicațiilor</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18.5.2016</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lang w:val="en-US"/>
              </w:rPr>
            </w:pPr>
          </w:p>
        </w:tc>
        <w:tc>
          <w:tcPr>
            <w:tcW w:w="936" w:type="dxa"/>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611"/>
        </w:trPr>
        <w:tc>
          <w:tcPr>
            <w:tcW w:w="1156" w:type="dxa"/>
            <w:vMerge w:val="restart"/>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12a</w:t>
            </w:r>
            <w:r>
              <w:rPr>
                <w:noProof/>
              </w:rPr>
              <w:t xml:space="preserve"> </w:t>
            </w:r>
            <w:r>
              <w:rPr>
                <w:noProof/>
              </w:rPr>
              <w:br/>
            </w:r>
            <w:r>
              <w:rPr>
                <w:rFonts w:ascii="Times New Roman" w:hAnsi="Times New Roman"/>
                <w:b/>
                <w:noProof/>
                <w:sz w:val="12"/>
              </w:rPr>
              <w:t xml:space="preserve"> (1d, 12, 24, 110)</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Hărțuirea</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C(2006)1624/3 – Decizia Comisiei privind politica Comisiei Europene privind protecția demnității persoanei și prevenirea hărțuirii morale și a hărțuirii sexuale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27.4.2006</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13.12.2023</w:t>
            </w:r>
          </w:p>
        </w:tc>
        <w:tc>
          <w:tcPr>
            <w:tcW w:w="936" w:type="dxa"/>
            <w:vMerge w:val="restart"/>
            <w:tcBorders>
              <w:top w:val="single" w:sz="5"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48"/>
        </w:trPr>
        <w:tc>
          <w:tcPr>
            <w:tcW w:w="1156" w:type="dxa"/>
            <w:vMerge/>
            <w:tcBorders>
              <w:left w:val="single" w:sz="4" w:space="0" w:color="000000"/>
              <w:bottom w:val="single" w:sz="3"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C(2023)8630 final – Decizia Comisiei privind prevenirea și combaterea hărțuirii psihologice și sexuale și de abrogare a Deciziei C(2006) 1624/3</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13.12.2023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12b</w:t>
            </w:r>
            <w:r>
              <w:rPr>
                <w:noProof/>
              </w:rPr>
              <w:t xml:space="preserve"> </w:t>
            </w:r>
            <w:r>
              <w:rPr>
                <w:noProof/>
              </w:rPr>
              <w:br/>
            </w:r>
            <w:r>
              <w:rPr>
                <w:rFonts w:ascii="Times New Roman" w:hAnsi="Times New Roman"/>
                <w:b/>
                <w:noProof/>
                <w:sz w:val="12"/>
              </w:rPr>
              <w:t xml:space="preserve"> (11 - 11a - 12 - 15 - 16 - 17 - 17a - 19 - 40 - 55)</w:t>
            </w:r>
          </w:p>
        </w:tc>
        <w:tc>
          <w:tcPr>
            <w:tcW w:w="2551" w:type="dxa"/>
            <w:tcBorders>
              <w:top w:val="single" w:sz="3" w:space="0" w:color="000000"/>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6"/>
              </w:rPr>
              <w:t>Activitățile externe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C(2018) 4048 final – Decizia Comisiei privind activitățile și sarcinile externe, precum și privind activitățile profesionale după încetarea raporturilor de muncă</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1.9.2018</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rPr>
            </w:pPr>
            <w:r>
              <w:rPr>
                <w:rFonts w:ascii="Times New Roman" w:hAnsi="Times New Roman"/>
                <w:b/>
                <w:noProof/>
                <w:sz w:val="12"/>
              </w:rPr>
              <w:t>15</w:t>
            </w:r>
            <w:r>
              <w:rPr>
                <w:noProof/>
              </w:rPr>
              <w:t xml:space="preserve"> </w:t>
            </w:r>
            <w:r>
              <w:rPr>
                <w:noProof/>
              </w:rPr>
              <w:br/>
            </w:r>
            <w:r>
              <w:rPr>
                <w:rFonts w:ascii="Times New Roman" w:hAnsi="Times New Roman"/>
                <w:b/>
                <w:noProof/>
                <w:sz w:val="12"/>
              </w:rPr>
              <w:t>(11a - 12 - 17)</w:t>
            </w:r>
          </w:p>
        </w:tc>
        <w:tc>
          <w:tcPr>
            <w:tcW w:w="2551" w:type="dxa"/>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 xml:space="preserve">Activitățile externe – </w:t>
            </w:r>
            <w:r>
              <w:rPr>
                <w:noProof/>
              </w:rPr>
              <w:t xml:space="preserve"> </w:t>
            </w:r>
            <w:r>
              <w:rPr>
                <w:noProof/>
              </w:rPr>
              <w:br/>
            </w:r>
            <w:r>
              <w:rPr>
                <w:rFonts w:ascii="Times New Roman" w:hAnsi="Times New Roman"/>
                <w:b/>
                <w:noProof/>
                <w:sz w:val="16"/>
              </w:rPr>
              <w:t>conduita personalului legată de alegeri</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C(2019)1120 final – Decizia Comisiei privind conduita funcționarilor și a celorlalți agenți în timpul campaniei pentru alegerile europene din 2019</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200" w:line="240" w:lineRule="auto"/>
              <w:jc w:val="center"/>
              <w:rPr>
                <w:rFonts w:ascii="Times New Roman" w:hAnsi="Times New Roman" w:cs="Times New Roman"/>
                <w:b/>
                <w:noProof/>
                <w:w w:val="105"/>
                <w:sz w:val="12"/>
              </w:rPr>
            </w:pPr>
            <w:r>
              <w:rPr>
                <w:rFonts w:ascii="Times New Roman" w:hAnsi="Times New Roman"/>
                <w:b/>
                <w:noProof/>
                <w:sz w:val="12"/>
              </w:rPr>
              <w:t>22</w:t>
            </w:r>
          </w:p>
        </w:tc>
        <w:tc>
          <w:tcPr>
            <w:tcW w:w="2551" w:type="dxa"/>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b/>
                <w:noProof/>
                <w:spacing w:val="-1"/>
                <w:w w:val="105"/>
                <w:sz w:val="16"/>
                <w:szCs w:val="16"/>
              </w:rPr>
            </w:pPr>
            <w:r>
              <w:rPr>
                <w:rFonts w:ascii="Times New Roman" w:hAnsi="Times New Roman"/>
                <w:b/>
                <w:noProof/>
                <w:sz w:val="16"/>
              </w:rPr>
              <w:t>Responsabilitatea financiară</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hAnsi="Times New Roman" w:cs="Times New Roman"/>
                <w:noProof/>
                <w:w w:val="105"/>
                <w:sz w:val="12"/>
                <w:szCs w:val="12"/>
              </w:rPr>
            </w:pPr>
            <w:r>
              <w:rPr>
                <w:rFonts w:ascii="Times New Roman" w:hAnsi="Times New Roman"/>
                <w:noProof/>
                <w:sz w:val="12"/>
              </w:rPr>
              <w:t>SEC(2004)730/5 – Orientări privind aplicarea articolului 22 din Statutul funcționarilor (Răspunderea financiară a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9.6.2004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3" w:space="0" w:color="000000"/>
              <w:left w:val="single" w:sz="4" w:space="0" w:color="000000"/>
              <w:right w:val="single" w:sz="3"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22a - 22c</w:t>
            </w:r>
          </w:p>
        </w:tc>
        <w:tc>
          <w:tcPr>
            <w:tcW w:w="2551" w:type="dxa"/>
            <w:tcBorders>
              <w:top w:val="single" w:sz="3" w:space="0" w:color="000000"/>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Avertizarea în interes public</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Comunicarea administrativă 16-2013 – Comunicarea vicepreședintelui Šefčovič către Comisie referitoare la Orientările privind avertizarea în interes public [SEC(2012) 679]</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6.12.2012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24a</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Formarea profesională</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C(2016)3827 final – Decizia Comisiei de abrogare a normelor existente privind învățarea și dezvoltarea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25.6.2016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4" w:space="0" w:color="auto"/>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055"/>
        </w:trPr>
        <w:tc>
          <w:tcPr>
            <w:tcW w:w="1156" w:type="dxa"/>
            <w:vMerge/>
            <w:tcBorders>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C(2016)3828 final – Decizia Comisiei privind de acces la formare, în aplicarea Strategiei privind învățarea și dezvoltarea a Comisiei Europene</w:t>
            </w:r>
            <w:r>
              <w:rPr>
                <w:noProof/>
              </w:rPr>
              <w:t xml:space="preserve"> </w:t>
            </w:r>
            <w:r>
              <w:rPr>
                <w:noProof/>
              </w:rPr>
              <w:br/>
            </w:r>
            <w:r>
              <w:rPr>
                <w:rFonts w:ascii="Times New Roman" w:hAnsi="Times New Roman"/>
                <w:noProof/>
                <w:sz w:val="12"/>
              </w:rPr>
              <w:t xml:space="preserve">C(2016)3829 final – Comunicare către Comisie privind Strategia de învățare și dezvoltare a Comisiei Europene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auto"/>
              <w:bottom w:val="single" w:sz="6" w:space="0" w:color="000000"/>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24a</w:t>
            </w:r>
            <w:r>
              <w:rPr>
                <w:noProof/>
              </w:rPr>
              <w:t xml:space="preserve"> </w:t>
            </w:r>
            <w:r>
              <w:rPr>
                <w:noProof/>
              </w:rPr>
              <w:br/>
            </w:r>
            <w:r>
              <w:rPr>
                <w:rFonts w:ascii="Times New Roman" w:hAnsi="Times New Roman"/>
                <w:b/>
                <w:noProof/>
                <w:sz w:val="12"/>
              </w:rPr>
              <w:t>(57, anexa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Formarea din proprie inițiativă</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C(2016)3855 final – Decizia Comisiei privind formarea la inițiativa membrului personalului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25.6.2016</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III – Cariera funcționarului</w:t>
            </w:r>
          </w:p>
        </w:tc>
      </w:tr>
      <w:tr>
        <w:trPr>
          <w:trHeight w:hRule="exact" w:val="35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hRule="exact" w:val="75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32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Recrutarea</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C(2013) 8970 final – Decizia Comisiei de stabilire a dispozițiilor generale de punere în aplicare privind criteriile aplicabile încadrării în treaptă la momentul numirii sau al angajării</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29</w:t>
            </w:r>
            <w:r>
              <w:rPr>
                <w:noProof/>
              </w:rPr>
              <w:t xml:space="preserve"> </w:t>
            </w:r>
            <w:r>
              <w:rPr>
                <w:noProof/>
              </w:rPr>
              <w:br/>
            </w:r>
            <w:r>
              <w:rPr>
                <w:rFonts w:ascii="Times New Roman" w:hAnsi="Times New Roman"/>
                <w:b/>
                <w:noProof/>
                <w:sz w:val="12"/>
              </w:rPr>
              <w:t>(4, 43)</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Numirea membrilor personalului cu funcții superioare de conducere</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r>
              <w:rPr>
                <w:rFonts w:ascii="Times New Roman" w:hAnsi="Times New Roman"/>
                <w:noProof/>
                <w:sz w:val="12"/>
              </w:rPr>
              <w:t>C(2007)380 – Decizia Comisiei de stabilire a regulamentului de procedură al Comitetului consultativ privind numirile (CCN)</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7.2.2007</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29</w:t>
            </w:r>
            <w:r>
              <w:rPr>
                <w:noProof/>
              </w:rPr>
              <w:t xml:space="preserve"> </w:t>
            </w:r>
            <w:r>
              <w:rPr>
                <w:noProof/>
              </w:rPr>
              <w:br/>
            </w:r>
            <w:r>
              <w:rPr>
                <w:rFonts w:ascii="Times New Roman" w:hAnsi="Times New Roman"/>
                <w:b/>
                <w:noProof/>
                <w:sz w:val="12"/>
              </w:rPr>
              <w:t>(4, 5, 7)</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Cadrele medii de conducere</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76" w:after="0" w:line="254" w:lineRule="auto"/>
              <w:ind w:right="165"/>
              <w:jc w:val="center"/>
              <w:rPr>
                <w:noProof/>
              </w:rPr>
            </w:pPr>
            <w:r>
              <w:rPr>
                <w:rFonts w:ascii="Times New Roman" w:hAnsi="Times New Roman"/>
                <w:noProof/>
                <w:sz w:val="12"/>
              </w:rPr>
              <w:t>C(2016)3288 final – Decizia Comisiei privind personalul cu funcții medii de conducere</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16.6.2016</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noProof/>
        </w:rPr>
        <w:tab/>
        <w:t xml:space="preserve"> </w:t>
      </w:r>
      <w:r>
        <w:rPr>
          <w:noProof/>
        </w:rPr>
        <w:br/>
        <w:t xml:space="preserve"> </w:t>
      </w:r>
      <w:r>
        <w:rPr>
          <w:noProof/>
        </w:rPr>
        <w:br/>
        <w:t xml:space="preserve"> </w:t>
      </w:r>
      <w:r>
        <w:rPr>
          <w:noProof/>
        </w:rPr>
        <w:br/>
        <w:t xml:space="preserve"> </w:t>
      </w:r>
      <w:r>
        <w:rPr>
          <w:noProof/>
        </w:rPr>
        <w:br/>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2 – Detașarea</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38</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Detașarea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C(2013)5555 final – Decizia Comisiei privind aspectele administrative ale mobilității externe</w:t>
            </w:r>
            <w:r>
              <w:rPr>
                <w:noProof/>
              </w:rPr>
              <w:t xml:space="preserve"> </w:t>
            </w:r>
            <w:r>
              <w:rPr>
                <w:noProof/>
              </w:rPr>
              <w:br/>
            </w:r>
            <w:r>
              <w:rPr>
                <w:rFonts w:ascii="Times New Roman" w:hAnsi="Times New Roman"/>
                <w:noProof/>
                <w:sz w:val="12"/>
              </w:rPr>
              <w:t>C(2013) 5554 final privind Orientările privind mobilitatea externă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3.9.2013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3 – Concediul pentru interese personale</w:t>
            </w:r>
          </w:p>
        </w:tc>
      </w:tr>
      <w:tr>
        <w:trPr>
          <w:trHeight w:hRule="exact" w:val="73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interese personale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C(2013)9054 final – Decizia Comisiei privind măsurile referitoare la concediul pentru interese personale pentru funcționari și la concediul fără plată pentru agenții temporari și contractuali ai Uniunii Europene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creșterea copilului</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C(2010)7572 final – Decizia Comisiei privind dispozițiile generale de punere în aplicare a articolului 42a din Statutul funcționarilor privind concediul pentru creșterea copilului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1.1.2011</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din motive familiale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C(2010)7494 final – Decizia Comisiei privind articolul 42b din Statutul funcționarilor referitor la concediul din motive familiale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4" w:space="0" w:color="auto"/>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1108"/>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43 - 44 alineatul (1)</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Raportul anual</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 xml:space="preserve">C(2013)8985 final – Decizia Comisiei de stabilire a dispozițiilor generale de punere în aplicare a articolului 43 din Statutul funcționarilor și de punere în aplicare a articolului 44 primul paragraf din Statutul funcționarilor </w:t>
            </w:r>
            <w:r>
              <w:rPr>
                <w:noProof/>
              </w:rPr>
              <w:t xml:space="preserve"> </w:t>
            </w:r>
            <w:r>
              <w:rPr>
                <w:noProof/>
              </w:rPr>
              <w:br/>
            </w:r>
            <w:r>
              <w:rPr>
                <w:rFonts w:ascii="Times New Roman" w:hAnsi="Times New Roman"/>
                <w:noProof/>
                <w:sz w:val="12"/>
              </w:rPr>
              <w:t>[modificată ultima dată prin Decizia C(2016) 7270 final din 17.11.2016]</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55"/>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44 alineatul (2) - 46</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Confirmarea în funcțiile de conducere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C(2004) 1891/2 – Decizia Comisiei privind aplicarea articolului 44 alineatul (2) și a articolului 46 din Statutul funcționarilor și a articolului 7 alineatul (4) din anexa XIII la Statutul funcționarilor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0"/>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Promovarea</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C(2013)8968 final – Decizia Comisiei de stabilire a dispozițiilor generale de punere în aplicare a articolului 45 din Statutul funcționarilor</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val="539"/>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45a</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Certificarea</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C(2013) 6859 final – Decizia Comisiei din 22 octombrie 2013 privind dispozițiile generale de punere în aplicare a articolului 45a din Statutul funcționarilor</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29.10.2013</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Capitolul 4 – Încetarea raporturilor de muncă</w:t>
            </w:r>
          </w:p>
        </w:tc>
      </w:tr>
      <w:tr>
        <w:trPr>
          <w:trHeight w:hRule="exact" w:val="39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Secțiunea 4 – Procedurile privind incompetența profesională</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r>
              <w:rPr>
                <w:noProof/>
              </w:rPr>
              <w:t xml:space="preserve"> </w:t>
            </w:r>
            <w:r>
              <w:rPr>
                <w:noProof/>
              </w:rPr>
              <w:br/>
            </w:r>
            <w:r>
              <w:rPr>
                <w:rFonts w:ascii="Times New Roman" w:hAnsi="Times New Roman"/>
                <w:b/>
                <w:noProof/>
                <w:sz w:val="12"/>
              </w:rPr>
              <w:t>(9, 43, 44, 110 și anexa II articolul 12)</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Incompetența profesională</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C(2019) 6855 final privind procedurile de abordare a incompeten</w:t>
            </w:r>
            <w:r>
              <w:rPr>
                <w:rFonts w:ascii="Times New Roman"/>
                <w:noProof/>
                <w:sz w:val="12"/>
              </w:rPr>
              <w:t>ț</w:t>
            </w:r>
            <w:r>
              <w:rPr>
                <w:rFonts w:ascii="Times New Roman"/>
                <w:noProof/>
                <w:sz w:val="12"/>
              </w:rPr>
              <w:t>ei profesionale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4.10.2019</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 xml:space="preserve">                 Secțiunea 6 – Titlul onorific</w:t>
            </w:r>
          </w:p>
        </w:tc>
      </w:tr>
      <w:tr>
        <w:trPr>
          <w:trHeight w:hRule="exact" w:val="513"/>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54</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Titlul onorific</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C(2012)3192 final – Decizia Comisiei privind acordarea titlurilor onorifice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7.6.2012</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Timpul de lucru</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C(2014)2502 final – Decizia Comisiei privind timpul de lucru</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noProof/>
              </w:rPr>
              <w:t xml:space="preserve"> </w:t>
            </w:r>
            <w:r>
              <w:rPr>
                <w:noProof/>
              </w:rPr>
              <w:br/>
            </w:r>
            <w:r>
              <w:rPr>
                <w:rFonts w:ascii="Times New Roman" w:hAnsi="Times New Roman"/>
                <w:noProof/>
                <w:sz w:val="12"/>
              </w:rPr>
              <w:t>1.4.2022</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r>
              <w:rPr>
                <w:noProof/>
              </w:rPr>
              <w:t xml:space="preserve"> </w:t>
            </w:r>
            <w:r>
              <w:rPr>
                <w:noProof/>
              </w:rPr>
              <w:br/>
            </w:r>
            <w:r>
              <w:rPr>
                <w:rFonts w:ascii="Times New Roman" w:hAnsi="Times New Roman"/>
                <w:b/>
                <w:noProof/>
                <w:sz w:val="12"/>
              </w:rPr>
              <w:t>[1e alineatele (1) și (2)]</w:t>
            </w: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C(2022)1788 final – Decizia Comisiei privind timpul de lucru și munca hibridă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bookmarkStart w:id="9" w:name="_Hlk225245947"/>
            <w:r>
              <w:rPr>
                <w:rFonts w:ascii="Times New Roman" w:hAnsi="Times New Roman"/>
                <w:noProof/>
                <w:sz w:val="12"/>
              </w:rPr>
              <w:t>1.4. 2022</w:t>
            </w:r>
            <w:bookmarkEnd w:id="9"/>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Munca de la distanță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C(2015)9151 final – Decizia Comisiei privind punerea în aplicare a muncii la distanță în departamentele Comisiei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1.4.2022</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C(2022)1788 final – Decizia Comisiei privind timpul de lucru și munca hibridă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1.4. 2022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55a + </w:t>
            </w:r>
            <w:r>
              <w:rPr>
                <w:noProof/>
              </w:rPr>
              <w:t xml:space="preserve"> </w:t>
            </w:r>
            <w:r>
              <w:rPr>
                <w:noProof/>
              </w:rPr>
              <w:br/>
            </w:r>
            <w:r>
              <w:rPr>
                <w:rFonts w:ascii="Times New Roman" w:hAnsi="Times New Roman"/>
                <w:b/>
                <w:noProof/>
                <w:sz w:val="12"/>
              </w:rPr>
              <w:t>anexa IVa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Activitatea cu normă redusă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C(2015)9720 final – Decizia Comisiei privind articolul 55a din Statutul funcționarilor și anexa IVa la acesta în ceea ce privește exercitarea activității cu normă redusă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55b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7"/>
              </w:rPr>
              <w:t>Împărțirea activității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C(2004)1314 – Decizia Comisiei privind articolul 55b din Statutul funcționarilor referitor la împărțirea activității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56</w:t>
            </w:r>
            <w:r>
              <w:rPr>
                <w:noProof/>
              </w:rPr>
              <w:t xml:space="preserve"> </w:t>
            </w:r>
            <w:r>
              <w:rPr>
                <w:noProof/>
              </w:rPr>
              <w:br/>
            </w:r>
            <w:r>
              <w:rPr>
                <w:rFonts w:ascii="Times New Roman" w:hAnsi="Times New Roman"/>
                <w:b/>
                <w:noProof/>
                <w:sz w:val="12"/>
              </w:rPr>
              <w:t xml:space="preserve">Anexa VI </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Orele suplimentare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C(2004)1318/5 – Decizia Comisiei privind sarcinile șoferilor Comisiei </w:t>
            </w:r>
            <w:r>
              <w:rPr>
                <w:noProof/>
              </w:rPr>
              <w:t xml:space="preserve"> </w:t>
            </w:r>
            <w:r>
              <w:rPr>
                <w:noProof/>
              </w:rPr>
              <w:br/>
            </w:r>
            <w:r>
              <w:rPr>
                <w:rFonts w:ascii="Times New Roman"/>
                <w:noProof/>
                <w:sz w:val="12"/>
              </w:rPr>
              <w:t>[modificat</w:t>
            </w:r>
            <w:r>
              <w:rPr>
                <w:rFonts w:ascii="Times New Roman"/>
                <w:noProof/>
                <w:sz w:val="12"/>
              </w:rPr>
              <w:t>ă</w:t>
            </w:r>
            <w:r>
              <w:rPr>
                <w:rFonts w:ascii="Times New Roman"/>
                <w:noProof/>
                <w:sz w:val="12"/>
              </w:rPr>
              <w:t xml:space="preserve"> ultima dat</w:t>
            </w:r>
            <w:r>
              <w:rPr>
                <w:rFonts w:ascii="Times New Roman"/>
                <w:noProof/>
                <w:sz w:val="12"/>
              </w:rPr>
              <w:t>ă</w:t>
            </w:r>
            <w:r>
              <w:rPr>
                <w:rFonts w:ascii="Times New Roman"/>
                <w:noProof/>
                <w:sz w:val="12"/>
              </w:rPr>
              <w:t xml:space="preserve"> prin C(2019) 7822 final din 30.10.2019]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1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C(1986)0905/6 – Decizia Comisiei privind orele suplimentare ale funcționarilor și agenților C din cadrul cabinetelor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1.5.1985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hRule="exact" w:val="415"/>
        </w:trPr>
        <w:tc>
          <w:tcPr>
            <w:tcW w:w="1156" w:type="dxa"/>
            <w:vMerge w:val="restart"/>
            <w:shd w:val="clear" w:color="auto" w:fill="C6D9F1"/>
            <w:vAlign w:val="center"/>
          </w:tcPr>
          <w:p>
            <w:pPr>
              <w:widowControl w:val="0"/>
              <w:spacing w:before="94"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57 - 58 + anexa V</w:t>
            </w:r>
          </w:p>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val="restart"/>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Concediul anual și concediul special</w:t>
            </w:r>
          </w:p>
        </w:tc>
        <w:tc>
          <w:tcPr>
            <w:tcW w:w="3029" w:type="dxa"/>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C(2013)9051 final – Decizia Comisiei privind concediile</w:t>
            </w:r>
            <w:r>
              <w:rPr>
                <w:noProof/>
              </w:rPr>
              <w:t xml:space="preserve"> </w:t>
            </w:r>
            <w:r>
              <w:rPr>
                <w:noProof/>
              </w:rPr>
              <w:br/>
            </w:r>
            <w:r>
              <w:rPr>
                <w:rFonts w:ascii="Times New Roman" w:hAnsi="Times New Roman"/>
                <w:noProof/>
                <w:sz w:val="12"/>
              </w:rPr>
              <w:t xml:space="preserve">[modificată ultima dată prin Decizia C(2020)1559 final] </w:t>
            </w:r>
          </w:p>
        </w:tc>
        <w:tc>
          <w:tcPr>
            <w:tcW w:w="1511" w:type="dxa"/>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25"/>
        </w:trPr>
        <w:tc>
          <w:tcPr>
            <w:tcW w:w="1156" w:type="dxa"/>
            <w:vMerge/>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C(2013) 9035 final – Decizia Comisiei</w:t>
            </w:r>
            <w:r>
              <w:rPr>
                <w:noProof/>
              </w:rPr>
              <w:t xml:space="preserve"> </w:t>
            </w:r>
            <w:r>
              <w:rPr>
                <w:noProof/>
              </w:rPr>
              <w:br/>
            </w:r>
            <w:r>
              <w:rPr>
                <w:rFonts w:ascii="Times New Roman" w:hAnsi="Times New Roman"/>
                <w:noProof/>
                <w:sz w:val="12"/>
              </w:rPr>
              <w:t xml:space="preserve">privind concediul pentru vizitarea țării de origine pentru funcționari, agenți temporari și agenți contractuali detașați în țări terțe </w:t>
            </w:r>
            <w:r>
              <w:rPr>
                <w:noProof/>
              </w:rPr>
              <w:t xml:space="preserve"> </w:t>
            </w:r>
            <w:r>
              <w:rPr>
                <w:noProof/>
              </w:rPr>
              <w:br/>
            </w:r>
            <w:r>
              <w:rPr>
                <w:rFonts w:ascii="Times New Roman" w:hAnsi="Times New Roman"/>
                <w:noProof/>
                <w:sz w:val="12"/>
              </w:rPr>
              <w:t>(articolul 7 al doilea paragraf din anexa V la Statutul funcționarilor)</w:t>
            </w:r>
            <w:r>
              <w:rPr>
                <w:noProof/>
              </w:rPr>
              <w:t xml:space="preserve"> </w:t>
            </w:r>
            <w:r>
              <w:rPr>
                <w:noProof/>
              </w:rPr>
              <w:br/>
            </w:r>
          </w:p>
        </w:tc>
        <w:tc>
          <w:tcPr>
            <w:tcW w:w="1511" w:type="dxa"/>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val="restart"/>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48"/>
        </w:trPr>
        <w:tc>
          <w:tcPr>
            <w:tcW w:w="1156" w:type="dxa"/>
            <w:vMerge/>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rPr>
            </w:pPr>
            <w:r>
              <w:rPr>
                <w:rFonts w:ascii="Times New Roman" w:hAnsi="Times New Roman"/>
                <w:noProof/>
                <w:sz w:val="12"/>
              </w:rPr>
              <w:t>C(2022)1715 final – Decizia Comisiei</w:t>
            </w:r>
            <w:r>
              <w:rPr>
                <w:noProof/>
              </w:rPr>
              <w:t xml:space="preserve"> </w:t>
            </w:r>
            <w:r>
              <w:rPr>
                <w:noProof/>
              </w:rPr>
              <w:br/>
            </w:r>
            <w:r>
              <w:rPr>
                <w:rFonts w:ascii="Times New Roman" w:hAnsi="Times New Roman"/>
                <w:noProof/>
                <w:sz w:val="12"/>
              </w:rPr>
              <w:t>privind concediul pentru vizitarea țării de origine pentru funcționari, agenți temporari și agenți contractuali detașați în țări terțe</w:t>
            </w:r>
            <w:r>
              <w:rPr>
                <w:noProof/>
              </w:rPr>
              <w:t xml:space="preserve"> </w:t>
            </w:r>
            <w:r>
              <w:rPr>
                <w:noProof/>
              </w:rPr>
              <w:br/>
            </w:r>
            <w:r>
              <w:rPr>
                <w:rFonts w:ascii="Times New Roman" w:hAnsi="Times New Roman"/>
                <w:noProof/>
                <w:sz w:val="12"/>
              </w:rPr>
              <w:t>(articolul 7 al doilea paragraf din anexa V la Statutul funcționarilor)</w:t>
            </w:r>
            <w:r>
              <w:rPr>
                <w:noProof/>
              </w:rPr>
              <w:t xml:space="preserve"> </w:t>
            </w:r>
            <w:r>
              <w:rPr>
                <w:noProof/>
              </w:rPr>
              <w:br/>
            </w:r>
          </w:p>
        </w:tc>
        <w:tc>
          <w:tcPr>
            <w:tcW w:w="1511" w:type="dxa"/>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1.1.2022</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53"/>
        </w:trPr>
        <w:tc>
          <w:tcPr>
            <w:tcW w:w="1156" w:type="dxa"/>
            <w:vMerge/>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shd w:val="clear" w:color="auto" w:fill="DA9694"/>
            <w:vAlign w:val="center"/>
          </w:tcPr>
          <w:p>
            <w:pPr>
              <w:widowControl w:val="0"/>
              <w:spacing w:before="62" w:after="0" w:line="254" w:lineRule="auto"/>
              <w:ind w:right="114"/>
              <w:jc w:val="center"/>
              <w:rPr>
                <w:rFonts w:ascii="Times New Roman" w:eastAsia="Calibri" w:hAnsi="Times New Roman" w:cs="Times New Roman"/>
                <w:strike/>
                <w:noProof/>
                <w:sz w:val="12"/>
                <w:szCs w:val="12"/>
              </w:rPr>
            </w:pPr>
            <w:r>
              <w:rPr>
                <w:rFonts w:ascii="Times New Roman" w:hAnsi="Times New Roman"/>
                <w:noProof/>
                <w:sz w:val="12"/>
              </w:rPr>
              <w:t>C(2023)622 final – Decizia Comisiei privind condițiile specifice de încadrare în muncă aplicabile personalului repartizat la Biroul Comisiei din Nuuk, Groenlanda</w:t>
            </w:r>
          </w:p>
        </w:tc>
        <w:tc>
          <w:tcPr>
            <w:tcW w:w="1511"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27.1.2023</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91"/>
        </w:trPr>
        <w:tc>
          <w:tcPr>
            <w:tcW w:w="1156" w:type="dxa"/>
            <w:vAlign w:val="center"/>
          </w:tcPr>
          <w:p>
            <w:pPr>
              <w:widowControl w:val="0"/>
              <w:spacing w:before="107" w:after="0" w:line="240" w:lineRule="auto"/>
              <w:jc w:val="center"/>
              <w:rPr>
                <w:rFonts w:ascii="Times New Roman" w:eastAsia="Times New Roman" w:hAnsi="Times New Roman" w:cs="Times New Roman"/>
                <w:noProof/>
                <w:sz w:val="12"/>
                <w:szCs w:val="12"/>
              </w:rPr>
            </w:pPr>
            <w:bookmarkStart w:id="10" w:name="_Hlk164080119"/>
            <w:r>
              <w:rPr>
                <w:rFonts w:ascii="Times New Roman" w:hAnsi="Times New Roman"/>
                <w:b/>
                <w:noProof/>
                <w:sz w:val="12"/>
              </w:rPr>
              <w:t>57 - 58</w:t>
            </w:r>
          </w:p>
        </w:tc>
        <w:tc>
          <w:tcPr>
            <w:tcW w:w="2551" w:type="dxa"/>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Concediul de maternitate</w:t>
            </w:r>
          </w:p>
        </w:tc>
        <w:tc>
          <w:tcPr>
            <w:tcW w:w="3029" w:type="dxa"/>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C(2013)9051 final – Decizia Comisiei privind concediile</w:t>
            </w:r>
            <w:r>
              <w:rPr>
                <w:noProof/>
              </w:rPr>
              <w:t xml:space="preserve"> </w:t>
            </w:r>
            <w:r>
              <w:rPr>
                <w:noProof/>
              </w:rPr>
              <w:br/>
            </w:r>
            <w:r>
              <w:rPr>
                <w:rFonts w:ascii="Times New Roman" w:hAnsi="Times New Roman"/>
                <w:noProof/>
                <w:sz w:val="12"/>
              </w:rPr>
              <w:t>[modificată ultima dată prin C(2020)1559 final]</w:t>
            </w:r>
          </w:p>
        </w:tc>
        <w:tc>
          <w:tcPr>
            <w:tcW w:w="1511" w:type="dxa"/>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bookmarkEnd w:id="10"/>
      <w:tr>
        <w:trPr>
          <w:trHeight w:hRule="exact" w:val="443"/>
        </w:trPr>
        <w:tc>
          <w:tcPr>
            <w:tcW w:w="1156" w:type="dxa"/>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59 - 60</w:t>
            </w:r>
          </w:p>
        </w:tc>
        <w:tc>
          <w:tcPr>
            <w:tcW w:w="2551" w:type="dxa"/>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Concediul medical</w:t>
            </w:r>
          </w:p>
        </w:tc>
        <w:tc>
          <w:tcPr>
            <w:tcW w:w="3029" w:type="dxa"/>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C(2004)1597/11 – Decizia Comisiei privind instituirea de dispoziții de punere în aplicare în ceea ce privește absența din motiv de boală sau de accident</w:t>
            </w:r>
          </w:p>
        </w:tc>
        <w:tc>
          <w:tcPr>
            <w:tcW w:w="1511" w:type="dxa"/>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1.5.2004</w:t>
            </w:r>
          </w:p>
        </w:tc>
        <w:tc>
          <w:tcPr>
            <w:tcW w:w="1498" w:type="dxa"/>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583"/>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before="10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Anexa VII (articolele 1-3)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Alocațiile familiale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C(2004)1364 final/4 – Decizie a Comisiei – Dispoziții generale de punere în aplicare a articolelor 67 și 68 din Statutul funcționarilor și articolelor1, 2 și 3 din anexa VII la acesta</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99"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 [articolul 1 alineatul (2) litera (d)]</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Alocația pentru locuință prin decizie specială</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C(2004)1364 final/1 – Dispoziții generale de punere în aplicare privind acordarea alocației pentru locuință prin decizie specială</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b/>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 [articolul 2 alineatul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Persoana considerată copil aflat în întreținere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C(2004)1364 final/2 – Decizia Comisiei de punere în aplicare a dispozițiilor privind persoanele care trebuie considerate copii aflați în întreținere [articolul 2 alineatul (4) din anexa VII la Statutul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noProof/>
                <w:sz w:val="12"/>
                <w:szCs w:val="12"/>
              </w:rPr>
            </w:pPr>
            <w:r>
              <w:rPr>
                <w:rFonts w:ascii="Times New Roman" w:hAnsi="Times New Roman"/>
                <w:b/>
                <w:noProof/>
                <w:sz w:val="12"/>
              </w:rPr>
              <w:t>67b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 (articolul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Alocația școlară</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C(2013)8971 final – Decizia Comisiei privind dispozițiile generale de punere în aplicare referitoare la acordarea alocației școlare (articolul 3 din anexa VII la Statutul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Secțiunea 3 – Rambursarea cheltuielilor</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71 + </w:t>
            </w:r>
            <w:r>
              <w:rPr>
                <w:noProof/>
              </w:rPr>
              <w:t xml:space="preserve"> </w:t>
            </w:r>
            <w:r>
              <w:rPr>
                <w:noProof/>
              </w:rPr>
              <w:br/>
            </w:r>
            <w:r>
              <w:rPr>
                <w:rFonts w:ascii="Times New Roman" w:hAnsi="Times New Roman"/>
                <w:b/>
                <w:noProof/>
                <w:sz w:val="12"/>
              </w:rPr>
              <w:t xml:space="preserve">anexa VII </w:t>
            </w:r>
            <w:r>
              <w:rPr>
                <w:noProof/>
              </w:rPr>
              <w:t xml:space="preserve"> </w:t>
            </w:r>
            <w:r>
              <w:rPr>
                <w:noProof/>
              </w:rPr>
              <w:br/>
            </w:r>
            <w:r>
              <w:rPr>
                <w:rFonts w:ascii="Times New Roman" w:hAnsi="Times New Roman"/>
                <w:b/>
                <w:noProof/>
                <w:sz w:val="12"/>
              </w:rPr>
              <w:t>(articolul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Cheltuielile de călătorie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C(2013)8987 final – Decizia Comisiei de stabilire a dispozițiilor generale de punere în aplicare a articolului 8 din anexa VII la Statutul funcționarilor</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w:t>
            </w:r>
            <w:r>
              <w:rPr>
                <w:noProof/>
              </w:rPr>
              <w:t xml:space="preserve"> </w:t>
            </w:r>
            <w:r>
              <w:rPr>
                <w:noProof/>
              </w:rPr>
              <w:br/>
            </w:r>
            <w:r>
              <w:rPr>
                <w:rFonts w:ascii="Times New Roman" w:hAnsi="Times New Roman"/>
                <w:b/>
                <w:noProof/>
                <w:sz w:val="12"/>
              </w:rPr>
              <w:t>anexa VII</w:t>
            </w:r>
            <w:r>
              <w:rPr>
                <w:noProof/>
              </w:rPr>
              <w:t xml:space="preserve"> </w:t>
            </w:r>
            <w:r>
              <w:rPr>
                <w:noProof/>
              </w:rPr>
              <w:br/>
            </w:r>
            <w:r>
              <w:rPr>
                <w:rFonts w:ascii="Times New Roman" w:hAnsi="Times New Roman"/>
                <w:b/>
                <w:noProof/>
                <w:sz w:val="12"/>
              </w:rPr>
              <w:t>[articolul 7 alineatul (4)]</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Locul de origine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Times New Roman"/>
                <w:noProof/>
                <w:sz w:val="12"/>
              </w:rPr>
              <w:t>C(2013)8982 final – Decizia Comisiei de stabilire a dispozițiilor generale de punere în aplicare a articolului 7 alineatul (4) din anexa VII la Statutul funcționarilor privind stabilirea locului de origine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w:t>
            </w:r>
            <w:r>
              <w:rPr>
                <w:noProof/>
              </w:rPr>
              <w:t xml:space="preserve"> </w:t>
            </w:r>
            <w:r>
              <w:rPr>
                <w:noProof/>
              </w:rPr>
              <w:br/>
            </w:r>
            <w:r>
              <w:rPr>
                <w:rFonts w:ascii="Times New Roman" w:hAnsi="Times New Roman"/>
                <w:b/>
                <w:noProof/>
                <w:sz w:val="12"/>
              </w:rPr>
              <w:t>anexa VII</w:t>
            </w:r>
            <w:r>
              <w:rPr>
                <w:noProof/>
              </w:rPr>
              <w:t xml:space="preserve"> </w:t>
            </w:r>
            <w:r>
              <w:rPr>
                <w:noProof/>
              </w:rPr>
              <w:br/>
            </w:r>
            <w:r>
              <w:rPr>
                <w:rFonts w:ascii="Times New Roman" w:hAnsi="Times New Roman"/>
                <w:b/>
                <w:noProof/>
                <w:sz w:val="12"/>
              </w:rPr>
              <w:t xml:space="preserve"> (articolul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 de mutare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C(2013)9040 final privind dispozițiile generale de punere în aplicare în legătură cu cheltuielile de mutare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vMerge w:val="restart"/>
            <w:tcBorders>
              <w:top w:val="single" w:sz="3" w:space="0" w:color="000000"/>
              <w:left w:val="single" w:sz="4"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w:t>
            </w:r>
            <w:r>
              <w:rPr>
                <w:noProof/>
              </w:rPr>
              <w:t xml:space="preserve"> </w:t>
            </w:r>
            <w:r>
              <w:rPr>
                <w:noProof/>
              </w:rPr>
              <w:br/>
            </w:r>
            <w:r>
              <w:rPr>
                <w:rFonts w:ascii="Times New Roman" w:hAnsi="Times New Roman"/>
                <w:b/>
                <w:noProof/>
                <w:sz w:val="12"/>
              </w:rPr>
              <w:t xml:space="preserve">anexa VII </w:t>
            </w:r>
            <w:r>
              <w:rPr>
                <w:noProof/>
              </w:rPr>
              <w:t xml:space="preserve"> </w:t>
            </w:r>
            <w:r>
              <w:rPr>
                <w:noProof/>
              </w:rPr>
              <w:br/>
            </w:r>
            <w:r>
              <w:rPr>
                <w:rFonts w:ascii="Times New Roman" w:hAnsi="Times New Roman"/>
                <w:b/>
                <w:noProof/>
                <w:sz w:val="12"/>
              </w:rPr>
              <w:t>(articolele 11 - 13)</w:t>
            </w:r>
          </w:p>
        </w:tc>
        <w:tc>
          <w:tcPr>
            <w:tcW w:w="2551" w:type="dxa"/>
            <w:vMerge w:val="restart"/>
            <w:tcBorders>
              <w:top w:val="single" w:sz="3" w:space="0" w:color="000000"/>
              <w:left w:val="single" w:sz="3"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Cheltuielile de misiune și de deplasare</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hAnsi="Times New Roman"/>
                <w:noProof/>
                <w:sz w:val="12"/>
              </w:rPr>
              <w:t>C(2002)98 de stabilire a ratelor diurnelor și a plafoanelor pentru rambursarea cheltuielilor de cazare la hotel pentru delegațiile în afara UE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24.1.2002</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93"/>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noProof/>
                <w:sz w:val="12"/>
              </w:rPr>
              <w:t>C(2017)5323 final privind dispozi</w:t>
            </w:r>
            <w:r>
              <w:rPr>
                <w:rFonts w:ascii="Times New Roman"/>
                <w:noProof/>
                <w:sz w:val="12"/>
              </w:rPr>
              <w:t>ț</w:t>
            </w:r>
            <w:r>
              <w:rPr>
                <w:rFonts w:ascii="Times New Roman"/>
                <w:noProof/>
                <w:sz w:val="12"/>
              </w:rPr>
              <w:t xml:space="preserve">iile generale de punere </w:t>
            </w:r>
            <w:r>
              <w:rPr>
                <w:rFonts w:ascii="Times New Roman"/>
                <w:noProof/>
                <w:sz w:val="12"/>
              </w:rPr>
              <w:t>î</w:t>
            </w:r>
            <w:r>
              <w:rPr>
                <w:rFonts w:ascii="Times New Roman"/>
                <w:noProof/>
                <w:sz w:val="12"/>
              </w:rPr>
              <w:t xml:space="preserve">n aplicare a articolelor 11, 12 </w:t>
            </w:r>
            <w:r>
              <w:rPr>
                <w:rFonts w:ascii="Times New Roman"/>
                <w:noProof/>
                <w:sz w:val="12"/>
              </w:rPr>
              <w:t>ș</w:t>
            </w:r>
            <w:r>
              <w:rPr>
                <w:rFonts w:ascii="Times New Roman"/>
                <w:noProof/>
                <w:sz w:val="12"/>
              </w:rPr>
              <w:t>i 13 din anexa VII la Statutul func</w:t>
            </w:r>
            <w:r>
              <w:rPr>
                <w:rFonts w:ascii="Times New Roman"/>
                <w:noProof/>
                <w:sz w:val="12"/>
              </w:rPr>
              <w:t>ț</w:t>
            </w:r>
            <w:r>
              <w:rPr>
                <w:rFonts w:ascii="Times New Roman"/>
                <w:noProof/>
                <w:sz w:val="12"/>
              </w:rPr>
              <w:t>ionarilor (cheltuielile de delega</w:t>
            </w:r>
            <w:r>
              <w:rPr>
                <w:rFonts w:ascii="Times New Roman"/>
                <w:noProof/>
                <w:sz w:val="12"/>
              </w:rPr>
              <w:t>ț</w:t>
            </w:r>
            <w:r>
              <w:rPr>
                <w:rFonts w:ascii="Times New Roman"/>
                <w:noProof/>
                <w:sz w:val="12"/>
              </w:rPr>
              <w:t xml:space="preserve">ie) </w:t>
            </w:r>
            <w:r>
              <w:rPr>
                <w:rFonts w:ascii="Times New Roman"/>
                <w:noProof/>
                <w:sz w:val="12"/>
              </w:rPr>
              <w:t>ș</w:t>
            </w:r>
            <w:r>
              <w:rPr>
                <w:rFonts w:ascii="Times New Roman"/>
                <w:noProof/>
                <w:sz w:val="12"/>
              </w:rPr>
              <w:t>i privind c</w:t>
            </w:r>
            <w:r>
              <w:rPr>
                <w:rFonts w:ascii="Times New Roman"/>
                <w:noProof/>
                <w:sz w:val="12"/>
              </w:rPr>
              <w:t>ă</w:t>
            </w:r>
            <w:r>
              <w:rPr>
                <w:rFonts w:ascii="Times New Roman"/>
                <w:noProof/>
                <w:sz w:val="12"/>
              </w:rPr>
              <w:t>l</w:t>
            </w:r>
            <w:r>
              <w:rPr>
                <w:rFonts w:ascii="Times New Roman"/>
                <w:noProof/>
                <w:sz w:val="12"/>
              </w:rPr>
              <w:t>ă</w:t>
            </w:r>
            <w:r>
              <w:rPr>
                <w:rFonts w:ascii="Times New Roman"/>
                <w:noProof/>
                <w:sz w:val="12"/>
              </w:rPr>
              <w:t xml:space="preserve">toriile autorizate </w:t>
            </w:r>
            <w:r>
              <w:rPr>
                <w:rFonts w:ascii="Times New Roman"/>
                <w:noProof/>
                <w:sz w:val="12"/>
              </w:rPr>
              <w:t>–</w:t>
            </w:r>
            <w:r>
              <w:rPr>
                <w:noProof/>
              </w:rPr>
              <w:t xml:space="preserve"> </w:t>
            </w:r>
            <w:r>
              <w:rPr>
                <w:noProof/>
              </w:rPr>
              <w:br/>
            </w:r>
            <w:r>
              <w:rPr>
                <w:rFonts w:ascii="Times New Roman"/>
                <w:noProof/>
                <w:sz w:val="12"/>
              </w:rPr>
              <w:t xml:space="preserve"> Ghidul privind delega</w:t>
            </w:r>
            <w:r>
              <w:rPr>
                <w:rFonts w:ascii="Times New Roman"/>
                <w:noProof/>
                <w:sz w:val="12"/>
              </w:rPr>
              <w:t>ț</w:t>
            </w:r>
            <w:r>
              <w:rPr>
                <w:rFonts w:ascii="Times New Roman"/>
                <w:noProof/>
                <w:sz w:val="12"/>
              </w:rPr>
              <w:t xml:space="preserve">iile </w:t>
            </w:r>
            <w:r>
              <w:rPr>
                <w:rFonts w:ascii="Times New Roman"/>
                <w:noProof/>
                <w:sz w:val="12"/>
              </w:rPr>
              <w:t>ș</w:t>
            </w:r>
            <w:r>
              <w:rPr>
                <w:rFonts w:ascii="Times New Roman"/>
                <w:noProof/>
                <w:sz w:val="12"/>
              </w:rPr>
              <w:t>i c</w:t>
            </w:r>
            <w:r>
              <w:rPr>
                <w:rFonts w:ascii="Times New Roman"/>
                <w:noProof/>
                <w:sz w:val="12"/>
              </w:rPr>
              <w:t>ă</w:t>
            </w:r>
            <w:r>
              <w:rPr>
                <w:rFonts w:ascii="Times New Roman"/>
                <w:noProof/>
                <w:sz w:val="12"/>
              </w:rPr>
              <w:t>l</w:t>
            </w:r>
            <w:r>
              <w:rPr>
                <w:rFonts w:ascii="Times New Roman"/>
                <w:noProof/>
                <w:sz w:val="12"/>
              </w:rPr>
              <w:t>ă</w:t>
            </w:r>
            <w:r>
              <w:rPr>
                <w:rFonts w:ascii="Times New Roman"/>
                <w:noProof/>
                <w:sz w:val="12"/>
              </w:rPr>
              <w:t>toriile autorizate</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28.9.2017</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5" w:after="200" w:line="240" w:lineRule="auto"/>
              <w:jc w:val="center"/>
              <w:rPr>
                <w:rFonts w:ascii="Times New Roman" w:eastAsia="Calibri" w:hAnsi="Times New Roman" w:cs="Times New Roman"/>
                <w:noProof/>
                <w:sz w:val="19"/>
                <w:szCs w:val="19"/>
              </w:rPr>
            </w:pPr>
            <w:r>
              <w:rPr>
                <w:rFonts w:ascii="Times New Roman" w:hAnsi="Times New Roman"/>
                <w:b/>
                <w:noProof/>
                <w:sz w:val="19"/>
              </w:rPr>
              <w:t>Capitolul 2 – Asigurările sociale</w:t>
            </w:r>
          </w:p>
        </w:tc>
      </w:tr>
      <w:tr>
        <w:trPr>
          <w:trHeight w:hRule="exact" w:val="946"/>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83" w:after="200" w:line="254" w:lineRule="auto"/>
              <w:ind w:right="31"/>
              <w:jc w:val="center"/>
              <w:rPr>
                <w:rFonts w:ascii="Times New Roman" w:eastAsia="Calibri" w:hAnsi="Times New Roman" w:cs="Times New Roman"/>
                <w:noProof/>
                <w:sz w:val="12"/>
                <w:szCs w:val="12"/>
              </w:rPr>
            </w:pPr>
            <w:r>
              <w:rPr>
                <w:rFonts w:ascii="Times New Roman" w:hAnsi="Times New Roman"/>
                <w:b/>
                <w:noProof/>
                <w:sz w:val="12"/>
              </w:rPr>
              <w:t>72</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5" w:after="200" w:line="240" w:lineRule="auto"/>
              <w:jc w:val="center"/>
              <w:rPr>
                <w:rFonts w:ascii="Times New Roman" w:eastAsia="Calibri" w:hAnsi="Times New Roman" w:cs="Times New Roman"/>
                <w:noProof/>
                <w:sz w:val="16"/>
                <w:szCs w:val="16"/>
              </w:rPr>
            </w:pPr>
            <w:r>
              <w:rPr>
                <w:rFonts w:ascii="Times New Roman" w:hAnsi="Times New Roman"/>
                <w:b/>
                <w:noProof/>
                <w:sz w:val="16"/>
              </w:rPr>
              <w:t>Rambursarea cheltuielilor medicale</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9" w:after="200" w:line="254" w:lineRule="auto"/>
              <w:ind w:right="121"/>
              <w:jc w:val="center"/>
              <w:rPr>
                <w:rFonts w:ascii="Times New Roman" w:eastAsia="Calibri" w:hAnsi="Times New Roman" w:cs="Times New Roman"/>
                <w:noProof/>
                <w:sz w:val="12"/>
                <w:szCs w:val="12"/>
              </w:rPr>
            </w:pPr>
            <w:r>
              <w:rPr>
                <w:rFonts w:ascii="Times New Roman" w:hAnsi="Times New Roman"/>
                <w:noProof/>
                <w:sz w:val="12"/>
              </w:rPr>
              <w:t xml:space="preserve">C(2007)3195 final – Decizia Comisiei de stabilire a dispozițiilor generale de punere în aplicare privind rambursarea cheltuielilor medicale </w:t>
            </w:r>
            <w:r>
              <w:rPr>
                <w:noProof/>
              </w:rPr>
              <w:t xml:space="preserve"> </w:t>
            </w:r>
            <w:r>
              <w:rPr>
                <w:noProof/>
              </w:rPr>
              <w:br/>
            </w:r>
            <w:r>
              <w:rPr>
                <w:rFonts w:ascii="Times New Roman"/>
                <w:noProof/>
                <w:sz w:val="12"/>
              </w:rPr>
              <w:t>[modificat</w:t>
            </w:r>
            <w:r>
              <w:rPr>
                <w:rFonts w:ascii="Times New Roman"/>
                <w:noProof/>
                <w:sz w:val="12"/>
              </w:rPr>
              <w:t>ă</w:t>
            </w:r>
            <w:r>
              <w:rPr>
                <w:rFonts w:ascii="Times New Roman"/>
                <w:noProof/>
                <w:sz w:val="12"/>
              </w:rPr>
              <w:t xml:space="preserve"> ultima dat</w:t>
            </w:r>
            <w:r>
              <w:rPr>
                <w:rFonts w:ascii="Times New Roman"/>
                <w:noProof/>
                <w:sz w:val="12"/>
              </w:rPr>
              <w:t>ă</w:t>
            </w:r>
            <w:r>
              <w:rPr>
                <w:rFonts w:ascii="Times New Roman"/>
                <w:noProof/>
                <w:sz w:val="12"/>
              </w:rPr>
              <w:t xml:space="preserve"> prin C(2019)2084 final din 25.3.2019]</w:t>
            </w:r>
            <w:r>
              <w:rPr>
                <w:noProof/>
              </w:rPr>
              <w:t xml:space="preserve"> </w:t>
            </w:r>
            <w:r>
              <w:rPr>
                <w:noProof/>
              </w:rPr>
              <w:br/>
            </w:r>
            <w:r>
              <w:rPr>
                <w:rFonts w:ascii="Times New Roman"/>
                <w:noProof/>
                <w:sz w:val="12"/>
              </w:rPr>
              <w:t>[modificat</w:t>
            </w:r>
            <w:r>
              <w:rPr>
                <w:rFonts w:ascii="Times New Roman"/>
                <w:noProof/>
                <w:sz w:val="12"/>
              </w:rPr>
              <w:t>ă</w:t>
            </w:r>
            <w:r>
              <w:rPr>
                <w:rFonts w:ascii="Times New Roman"/>
                <w:noProof/>
                <w:sz w:val="12"/>
              </w:rPr>
              <w:t xml:space="preserve"> prin Decizia C (2020) 3002 final din 12.5.2020]</w:t>
            </w:r>
            <w:r>
              <w:rPr>
                <w:noProof/>
              </w:rPr>
              <w:t xml:space="preserve"> </w:t>
            </w:r>
            <w:r>
              <w:rPr>
                <w:noProof/>
              </w:rPr>
              <w:br/>
            </w:r>
            <w:r>
              <w:rPr>
                <w:rFonts w:ascii="Times New Roman"/>
                <w:noProof/>
                <w:sz w:val="12"/>
              </w:rPr>
              <w:t>[modificat</w:t>
            </w:r>
            <w:r>
              <w:rPr>
                <w:rFonts w:ascii="Times New Roman"/>
                <w:noProof/>
                <w:sz w:val="12"/>
              </w:rPr>
              <w:t>ă</w:t>
            </w:r>
            <w:r>
              <w:rPr>
                <w:rFonts w:ascii="Times New Roman"/>
                <w:noProof/>
                <w:sz w:val="12"/>
              </w:rPr>
              <w:t xml:space="preserve"> ultima dat</w:t>
            </w:r>
            <w:r>
              <w:rPr>
                <w:rFonts w:ascii="Times New Roman"/>
                <w:noProof/>
                <w:sz w:val="12"/>
              </w:rPr>
              <w:t>ă</w:t>
            </w:r>
            <w:r>
              <w:rPr>
                <w:rFonts w:ascii="Times New Roman"/>
                <w:noProof/>
                <w:sz w:val="12"/>
              </w:rPr>
              <w:t xml:space="preserve"> prin C(2023)7673 final din 17.11.2023]</w:t>
            </w:r>
            <w:r>
              <w:rPr>
                <w:noProof/>
              </w:rPr>
              <w:t xml:space="preserve"> </w:t>
            </w:r>
            <w:r>
              <w:rPr>
                <w:noProof/>
              </w:rPr>
              <w:br/>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200" w:line="240" w:lineRule="auto"/>
              <w:jc w:val="center"/>
              <w:rPr>
                <w:rFonts w:ascii="Times New Roman" w:eastAsia="Calibri" w:hAnsi="Times New Roman" w:cs="Times New Roman"/>
                <w:noProof/>
                <w:sz w:val="12"/>
                <w:szCs w:val="12"/>
              </w:rPr>
            </w:pPr>
            <w:r>
              <w:rPr>
                <w:rFonts w:ascii="Times New Roman" w:hAnsi="Times New Roman"/>
                <w:noProof/>
                <w:sz w:val="12"/>
              </w:rPr>
              <w:t>1.7.2007</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200" w:line="240" w:lineRule="auto"/>
              <w:jc w:val="center"/>
              <w:rPr>
                <w:rFonts w:ascii="Times New Roman" w:eastAsia="Calibri" w:hAnsi="Times New Roman" w:cs="Times New Roman"/>
                <w:noProof/>
                <w:lang w:val="en-GB"/>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1002"/>
        </w:trPr>
        <w:tc>
          <w:tcPr>
            <w:tcW w:w="1156" w:type="dxa"/>
            <w:tcBorders>
              <w:top w:val="single" w:sz="6" w:space="0" w:color="000000"/>
              <w:left w:val="single" w:sz="4" w:space="0" w:color="000000"/>
              <w:bottom w:val="single" w:sz="6" w:space="0" w:color="000000"/>
              <w:right w:val="single" w:sz="3" w:space="0" w:color="000000"/>
            </w:tcBorders>
            <w:vAlign w:val="center"/>
          </w:tcPr>
          <w:p>
            <w:pPr>
              <w:widowControl w:val="0"/>
              <w:spacing w:before="83" w:after="200" w:line="254" w:lineRule="auto"/>
              <w:ind w:right="31"/>
              <w:jc w:val="center"/>
              <w:rPr>
                <w:rFonts w:ascii="Times New Roman" w:eastAsia="Calibri" w:hAnsi="Times New Roman" w:cs="Times New Roman"/>
                <w:noProof/>
                <w:sz w:val="12"/>
                <w:szCs w:val="12"/>
              </w:rPr>
            </w:pPr>
            <w:r>
              <w:rPr>
                <w:rFonts w:ascii="Times New Roman" w:hAnsi="Times New Roman"/>
                <w:b/>
                <w:noProof/>
                <w:sz w:val="12"/>
              </w:rPr>
              <w:t>76</w:t>
            </w:r>
          </w:p>
        </w:tc>
        <w:tc>
          <w:tcPr>
            <w:tcW w:w="2551"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135" w:after="200" w:line="240" w:lineRule="auto"/>
              <w:jc w:val="center"/>
              <w:rPr>
                <w:rFonts w:ascii="Times New Roman" w:eastAsia="Calibri" w:hAnsi="Times New Roman" w:cs="Times New Roman"/>
                <w:noProof/>
                <w:sz w:val="16"/>
                <w:szCs w:val="16"/>
              </w:rPr>
            </w:pPr>
            <w:r>
              <w:rPr>
                <w:rFonts w:ascii="Times New Roman" w:hAnsi="Times New Roman"/>
                <w:b/>
                <w:noProof/>
                <w:sz w:val="16"/>
              </w:rPr>
              <w:t>Subvenții și împrumuturi sociale</w:t>
            </w:r>
          </w:p>
        </w:tc>
        <w:tc>
          <w:tcPr>
            <w:tcW w:w="3029"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before="9" w:after="200" w:line="254" w:lineRule="auto"/>
              <w:ind w:right="121"/>
              <w:jc w:val="center"/>
              <w:rPr>
                <w:rFonts w:ascii="Times New Roman" w:eastAsia="Calibri" w:hAnsi="Times New Roman" w:cs="Times New Roman"/>
                <w:noProof/>
                <w:sz w:val="12"/>
                <w:szCs w:val="12"/>
              </w:rPr>
            </w:pPr>
            <w:r>
              <w:rPr>
                <w:rFonts w:ascii="Times New Roman"/>
                <w:noProof/>
                <w:sz w:val="12"/>
              </w:rPr>
              <w:t xml:space="preserve">C(2008)6610 final </w:t>
            </w:r>
            <w:r>
              <w:rPr>
                <w:rFonts w:ascii="Times New Roman" w:hAnsi="Times New Roman"/>
                <w:noProof/>
                <w:sz w:val="12"/>
              </w:rPr>
              <w:t>privind reorganizarea Comitetului consultativ mixt pentru subvenții și împrumuturi sociale (CCOPS) – fostul Comitet consultativ pentru subvenții și împrumuturi sociale – și revizuirea normelor referitoare la condițiile și procedurile de acordare a unei astfel de asistențe excepționale</w:t>
            </w:r>
          </w:p>
        </w:tc>
        <w:tc>
          <w:tcPr>
            <w:tcW w:w="1322"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12.11.2008</w:t>
            </w:r>
          </w:p>
        </w:tc>
        <w:tc>
          <w:tcPr>
            <w:tcW w:w="1687" w:type="dxa"/>
            <w:tcBorders>
              <w:top w:val="single" w:sz="6" w:space="0" w:color="000000"/>
              <w:left w:val="single" w:sz="3" w:space="0" w:color="000000"/>
              <w:bottom w:val="single" w:sz="6"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GB"/>
              </w:rPr>
            </w:pPr>
          </w:p>
        </w:tc>
        <w:tc>
          <w:tcPr>
            <w:tcW w:w="936" w:type="dxa"/>
            <w:tcBorders>
              <w:top w:val="single" w:sz="6" w:space="0" w:color="000000"/>
              <w:left w:val="single" w:sz="3" w:space="0" w:color="000000"/>
              <w:bottom w:val="single" w:sz="6"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anexele VIII și XIII – Pensiile și prestația de invaliditate</w:t>
            </w:r>
          </w:p>
        </w:tc>
      </w:tr>
      <w:tr>
        <w:trPr>
          <w:trHeight w:hRule="exact" w:val="93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w:t>
            </w:r>
            <w:r>
              <w:rPr>
                <w:noProof/>
              </w:rPr>
              <w:t xml:space="preserve"> </w:t>
            </w:r>
            <w:r>
              <w:rPr>
                <w:noProof/>
              </w:rPr>
              <w:br/>
            </w:r>
            <w:r>
              <w:rPr>
                <w:rFonts w:ascii="Times New Roman" w:hAnsi="Times New Roman"/>
                <w:b/>
                <w:noProof/>
                <w:sz w:val="12"/>
              </w:rPr>
              <w:t>anexa VIII (articolul 4)</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Calcularea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C(2004)1364 final/6 – Decizia Comisiei privind dispozițiile generale de punere în aplicare a articolului 4 din anexa VIII la Statutul funcționarilor în ceea ce privește luarea în considerare, în scopul calculării drepturilor de pensie, a perioadelor de activitate realizate anterior de către personal înainte de reluarea activității</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52"/>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77 + </w:t>
            </w:r>
            <w:r>
              <w:rPr>
                <w:noProof/>
              </w:rPr>
              <w:t xml:space="preserve"> </w:t>
            </w:r>
            <w:r>
              <w:rPr>
                <w:noProof/>
              </w:rPr>
              <w:br/>
            </w:r>
            <w:r>
              <w:rPr>
                <w:rFonts w:ascii="Times New Roman" w:hAnsi="Times New Roman"/>
                <w:b/>
                <w:noProof/>
                <w:sz w:val="12"/>
              </w:rPr>
              <w:t>anexa VIII (articolul 9)</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Pensionarea anticipată</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C(2004)1588 final/5 – Decizia Comisiei privind dispozițiile generale de punere în aplicare referitoare la pensionarea anticipată a funcționarilor și a agenților temporari fără reducerea drepturilor de pensie</w:t>
            </w:r>
            <w:r>
              <w:rPr>
                <w:noProof/>
              </w:rPr>
              <w:t xml:space="preserve"> </w:t>
            </w:r>
            <w:r>
              <w:rPr>
                <w:noProof/>
              </w:rPr>
              <w:br/>
            </w:r>
            <w:r>
              <w:rPr>
                <w:rFonts w:ascii="Times New Roman" w:hAnsi="Times New Roman"/>
                <w:noProof/>
                <w:sz w:val="12"/>
              </w:rPr>
              <w:t xml:space="preserve"> [modificată ultima dată prin C(2006) 3581 din 10.8.2006]</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5"/>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w:t>
            </w:r>
            <w:r>
              <w:rPr>
                <w:noProof/>
              </w:rPr>
              <w:t xml:space="preserve"> </w:t>
            </w:r>
            <w:r>
              <w:rPr>
                <w:noProof/>
              </w:rPr>
              <w:br/>
            </w:r>
            <w:r>
              <w:rPr>
                <w:rFonts w:ascii="Times New Roman" w:hAnsi="Times New Roman"/>
                <w:b/>
                <w:noProof/>
                <w:sz w:val="12"/>
              </w:rPr>
              <w:t xml:space="preserve">anexa XIII </w:t>
            </w:r>
            <w:r>
              <w:rPr>
                <w:noProof/>
              </w:rPr>
              <w:t xml:space="preserve"> </w:t>
            </w:r>
            <w:r>
              <w:rPr>
                <w:noProof/>
              </w:rPr>
              <w:br/>
            </w:r>
            <w:r>
              <w:rPr>
                <w:rFonts w:ascii="Times New Roman" w:hAnsi="Times New Roman"/>
                <w:b/>
                <w:noProof/>
                <w:sz w:val="12"/>
              </w:rPr>
              <w:t>(articolul 26)</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Transferul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 xml:space="preserve">C(2004) 1588 final/2 </w:t>
            </w:r>
            <w:r>
              <w:rPr>
                <w:rFonts w:ascii="Times New Roman"/>
                <w:noProof/>
                <w:sz w:val="12"/>
              </w:rPr>
              <w:t>–</w:t>
            </w:r>
            <w:r>
              <w:rPr>
                <w:rFonts w:ascii="Times New Roman"/>
                <w:noProof/>
                <w:sz w:val="12"/>
              </w:rPr>
              <w:t xml:space="preserve"> Dispozi</w:t>
            </w:r>
            <w:r>
              <w:rPr>
                <w:rFonts w:ascii="Times New Roman"/>
                <w:noProof/>
                <w:sz w:val="12"/>
              </w:rPr>
              <w:t>ț</w:t>
            </w:r>
            <w:r>
              <w:rPr>
                <w:rFonts w:ascii="Times New Roman"/>
                <w:noProof/>
                <w:sz w:val="12"/>
              </w:rPr>
              <w:t xml:space="preserve">iile generale de punere </w:t>
            </w:r>
            <w:r>
              <w:rPr>
                <w:rFonts w:ascii="Times New Roman"/>
                <w:noProof/>
                <w:sz w:val="12"/>
              </w:rPr>
              <w:t>î</w:t>
            </w:r>
            <w:r>
              <w:rPr>
                <w:rFonts w:ascii="Times New Roman"/>
                <w:noProof/>
                <w:sz w:val="12"/>
              </w:rPr>
              <w:t>n aplicare a articolului 26 din anexa XIII la Statutul func</w:t>
            </w:r>
            <w:r>
              <w:rPr>
                <w:rFonts w:ascii="Times New Roman"/>
                <w:noProof/>
                <w:sz w:val="12"/>
              </w:rPr>
              <w:t>ț</w:t>
            </w:r>
            <w:r>
              <w:rPr>
                <w:rFonts w:ascii="Times New Roman"/>
                <w:noProof/>
                <w:sz w:val="12"/>
              </w:rPr>
              <w:t>ionarilor privind transferul drepturilor de pensie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15"/>
        </w:trPr>
        <w:tc>
          <w:tcPr>
            <w:tcW w:w="1156"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w:t>
            </w:r>
            <w:r>
              <w:rPr>
                <w:noProof/>
              </w:rPr>
              <w:t xml:space="preserve"> </w:t>
            </w:r>
            <w:r>
              <w:rPr>
                <w:noProof/>
              </w:rPr>
              <w:br/>
            </w:r>
            <w:r>
              <w:rPr>
                <w:rFonts w:ascii="Times New Roman" w:hAnsi="Times New Roman"/>
                <w:b/>
                <w:noProof/>
                <w:sz w:val="12"/>
              </w:rPr>
              <w:t xml:space="preserve">anexa VIII </w:t>
            </w:r>
            <w:r>
              <w:rPr>
                <w:noProof/>
              </w:rPr>
              <w:t xml:space="preserve"> </w:t>
            </w:r>
            <w:r>
              <w:rPr>
                <w:noProof/>
              </w:rPr>
              <w:br/>
            </w:r>
            <w:r>
              <w:rPr>
                <w:rFonts w:ascii="Times New Roman" w:hAnsi="Times New Roman"/>
                <w:b/>
                <w:noProof/>
                <w:sz w:val="12"/>
              </w:rPr>
              <w:t>(articolele 11 și 12)</w:t>
            </w: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C(2011) 1278 final – Decizia Comisiei privind dispozițiile generale de punere în aplicare a articolelor 11 și 12 din anexa VIII privind transferul drepturilor de pensie</w:t>
            </w:r>
            <w:r>
              <w:rPr>
                <w:noProof/>
              </w:rPr>
              <w:t xml:space="preserve"> </w:t>
            </w:r>
            <w:r>
              <w:rPr>
                <w:noProof/>
              </w:rPr>
              <w:br/>
            </w:r>
            <w:r>
              <w:rPr>
                <w:rFonts w:ascii="Times New Roman" w:hAnsi="Times New Roman"/>
                <w:noProof/>
                <w:sz w:val="12"/>
              </w:rPr>
              <w:t>[modificată prin C(2020)4818 final din 20.7.2020]</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 – Regimul disciplinar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86 + </w:t>
            </w:r>
            <w:r>
              <w:rPr>
                <w:noProof/>
              </w:rPr>
              <w:t xml:space="preserve"> </w:t>
            </w:r>
            <w:r>
              <w:rPr>
                <w:noProof/>
              </w:rPr>
              <w:br/>
            </w:r>
            <w:r>
              <w:rPr>
                <w:rFonts w:ascii="Times New Roman" w:hAnsi="Times New Roman"/>
                <w:b/>
                <w:noProof/>
                <w:sz w:val="12"/>
              </w:rPr>
              <w:t>anexa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 xml:space="preserve">Procedura disciplinară și </w:t>
            </w:r>
            <w:r>
              <w:rPr>
                <w:rFonts w:ascii="Times New Roman" w:hAnsi="Times New Roman"/>
                <w:b/>
                <w:noProof/>
                <w:sz w:val="16"/>
              </w:rPr>
              <w:t>anchetele administrative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 xml:space="preserve">C(2019)4231 final </w:t>
            </w:r>
            <w:r>
              <w:rPr>
                <w:rFonts w:ascii="Times New Roman"/>
                <w:noProof/>
                <w:sz w:val="12"/>
              </w:rPr>
              <w:t>–</w:t>
            </w:r>
            <w:r>
              <w:rPr>
                <w:rFonts w:ascii="Times New Roman"/>
                <w:noProof/>
                <w:sz w:val="12"/>
              </w:rPr>
              <w:t xml:space="preserve"> Decizia Comisiei de stabilire a dispozi</w:t>
            </w:r>
            <w:r>
              <w:rPr>
                <w:rFonts w:ascii="Times New Roman"/>
                <w:noProof/>
                <w:sz w:val="12"/>
              </w:rPr>
              <w:t>ț</w:t>
            </w:r>
            <w:r>
              <w:rPr>
                <w:rFonts w:ascii="Times New Roman"/>
                <w:noProof/>
                <w:sz w:val="12"/>
              </w:rPr>
              <w:t xml:space="preserve">iilor generale de punere </w:t>
            </w:r>
            <w:r>
              <w:rPr>
                <w:rFonts w:ascii="Times New Roman"/>
                <w:noProof/>
                <w:sz w:val="12"/>
              </w:rPr>
              <w:t>î</w:t>
            </w:r>
            <w:r>
              <w:rPr>
                <w:rFonts w:ascii="Times New Roman"/>
                <w:noProof/>
                <w:sz w:val="12"/>
              </w:rPr>
              <w:t>n aplicare privind desf</w:t>
            </w:r>
            <w:r>
              <w:rPr>
                <w:rFonts w:ascii="Times New Roman"/>
                <w:noProof/>
                <w:sz w:val="12"/>
              </w:rPr>
              <w:t>ăș</w:t>
            </w:r>
            <w:r>
              <w:rPr>
                <w:rFonts w:ascii="Times New Roman"/>
                <w:noProof/>
                <w:sz w:val="12"/>
              </w:rPr>
              <w:t xml:space="preserve">urarea anchetelor administrative </w:t>
            </w:r>
            <w:r>
              <w:rPr>
                <w:rFonts w:ascii="Times New Roman"/>
                <w:noProof/>
                <w:sz w:val="12"/>
              </w:rPr>
              <w:t>ș</w:t>
            </w:r>
            <w:r>
              <w:rPr>
                <w:rFonts w:ascii="Times New Roman"/>
                <w:noProof/>
                <w:sz w:val="12"/>
              </w:rPr>
              <w:t>i a procedurii disciplinare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12.6.2019</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Titlul VIIIa – Dispoziții speciale aplicabile SEAE</w:t>
            </w:r>
          </w:p>
        </w:tc>
      </w:tr>
      <w:tr>
        <w:trPr>
          <w:trHeight w:hRule="exact" w:val="774"/>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96</w:t>
            </w:r>
          </w:p>
        </w:tc>
        <w:tc>
          <w:tcPr>
            <w:tcW w:w="2551"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Gestionarea delegațiilor UE</w:t>
            </w:r>
          </w:p>
        </w:tc>
        <w:tc>
          <w:tcPr>
            <w:tcW w:w="3029"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JOIN(2012) 8 final – Decizia comună a Comisiei și a Înaltului Reprezentant al Uniunii pentru afaceri externe și politica de securitate privind mecanismul de cooperare în ceea ce privește gestionarea delegațiilor Uniunii Europene</w:t>
            </w:r>
          </w:p>
        </w:tc>
        <w:tc>
          <w:tcPr>
            <w:tcW w:w="1322"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28.3.2012</w:t>
            </w:r>
          </w:p>
        </w:tc>
        <w:tc>
          <w:tcPr>
            <w:tcW w:w="1687"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VIIIb + anexa X – Dispoziții speciale și derogatorii aplicabile funcționarilor repartizați</w:t>
            </w:r>
            <w:r>
              <w:rPr>
                <w:noProof/>
              </w:rPr>
              <w:t xml:space="preserve"> </w:t>
            </w:r>
            <w:r>
              <w:rPr>
                <w:noProof/>
              </w:rPr>
              <w:br/>
            </w:r>
            <w:r>
              <w:rPr>
                <w:rFonts w:ascii="Times New Roman" w:hAnsi="Times New Roman"/>
                <w:b/>
                <w:noProof/>
                <w:sz w:val="25"/>
              </w:rPr>
              <w:t xml:space="preserve"> într-o țară terță </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Anexa X</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Capitolul 1 – Dispoziții generale</w:t>
            </w:r>
          </w:p>
        </w:tc>
      </w:tr>
      <w:tr>
        <w:trPr>
          <w:trHeight w:hRule="exact" w:val="980"/>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 xml:space="preserve">Anexa X </w:t>
            </w:r>
            <w:r>
              <w:rPr>
                <w:noProof/>
              </w:rPr>
              <w:t xml:space="preserve"> </w:t>
            </w:r>
            <w:r>
              <w:rPr>
                <w:noProof/>
              </w:rPr>
              <w:br/>
            </w:r>
            <w:r>
              <w:rPr>
                <w:rFonts w:ascii="Times New Roman" w:hAnsi="Times New Roman"/>
                <w:b/>
                <w:noProof/>
                <w:sz w:val="12"/>
              </w:rPr>
              <w:t>(articolele 1 și 25)</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Dispoziții generale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C(2005)1871 – Decizia Comisiei privind dispozițiile generale de punere în aplicare în ceea ce privește asigurarea împotriva riscurilor de accidente pentru soțul/soția, copiii și alte persoane aflate în întreținerea unui funcționar, agent temporar sau contractual al Comunităților Europene repartizat într-o țară terță</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16.5.2005</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vMerge w:val="restart"/>
            <w:tcBorders>
              <w:top w:val="single" w:sz="4" w:space="0" w:color="000000"/>
              <w:left w:val="single" w:sz="4" w:space="0" w:color="000000"/>
              <w:right w:val="single" w:sz="3" w:space="0" w:color="000000"/>
            </w:tcBorders>
            <w:shd w:val="clear" w:color="auto" w:fill="DA9694"/>
            <w:vAlign w:val="center"/>
          </w:tcPr>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 xml:space="preserve">Anexa X </w:t>
            </w:r>
            <w:r>
              <w:rPr>
                <w:noProof/>
              </w:rPr>
              <w:t xml:space="preserve"> </w:t>
            </w:r>
            <w:r>
              <w:rPr>
                <w:noProof/>
              </w:rPr>
              <w:br/>
            </w:r>
            <w:r>
              <w:rPr>
                <w:rFonts w:ascii="Times New Roman" w:hAnsi="Times New Roman"/>
                <w:b/>
                <w:noProof/>
                <w:sz w:val="13"/>
              </w:rPr>
              <w:t>(articolele 2 și 3)</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Mobilitatea</w:t>
            </w:r>
          </w:p>
        </w:tc>
        <w:tc>
          <w:tcPr>
            <w:tcW w:w="3029" w:type="dxa"/>
            <w:tcBorders>
              <w:top w:val="single" w:sz="3" w:space="0" w:color="000000"/>
              <w:left w:val="single" w:sz="3" w:space="0" w:color="000000"/>
              <w:right w:val="single" w:sz="3" w:space="0" w:color="000000"/>
            </w:tcBorders>
            <w:shd w:val="clear" w:color="auto" w:fill="DA9694"/>
          </w:tcPr>
          <w:p>
            <w:pPr>
              <w:widowControl w:val="0"/>
              <w:spacing w:before="6" w:after="0" w:line="240" w:lineRule="auto"/>
              <w:jc w:val="center"/>
              <w:rPr>
                <w:rFonts w:ascii="Times New Roman" w:eastAsia="Times New Roman" w:hAnsi="Times New Roman" w:cs="Times New Roman"/>
                <w:noProof/>
                <w:sz w:val="12"/>
                <w:szCs w:val="12"/>
                <w:lang w:val="en-US"/>
              </w:rPr>
            </w:pPr>
          </w:p>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noProof/>
                <w:sz w:val="12"/>
              </w:rPr>
              <w:t xml:space="preserve">C(2016)5378 final </w:t>
            </w:r>
            <w:r>
              <w:rPr>
                <w:rFonts w:ascii="Times New Roman"/>
                <w:noProof/>
                <w:sz w:val="12"/>
              </w:rPr>
              <w:t>–</w:t>
            </w:r>
            <w:r>
              <w:rPr>
                <w:rFonts w:ascii="Times New Roman"/>
                <w:noProof/>
                <w:sz w:val="12"/>
              </w:rPr>
              <w:t xml:space="preserve"> Decizia Comisiei privind mobilitatea personalului Comisiei Europene repartizat </w:t>
            </w:r>
            <w:r>
              <w:rPr>
                <w:rFonts w:ascii="Times New Roman"/>
                <w:noProof/>
                <w:sz w:val="12"/>
              </w:rPr>
              <w:t>î</w:t>
            </w:r>
            <w:r>
              <w:rPr>
                <w:rFonts w:ascii="Times New Roman"/>
                <w:noProof/>
                <w:sz w:val="12"/>
              </w:rPr>
              <w:t>n delega</w:t>
            </w:r>
            <w:r>
              <w:rPr>
                <w:rFonts w:ascii="Times New Roman"/>
                <w:noProof/>
                <w:sz w:val="12"/>
              </w:rPr>
              <w:t>ț</w:t>
            </w:r>
            <w:r>
              <w:rPr>
                <w:rFonts w:ascii="Times New Roman"/>
                <w:noProof/>
                <w:sz w:val="12"/>
              </w:rPr>
              <w:t>iile Uniunii Europene</w:t>
            </w:r>
            <w:r>
              <w:rPr>
                <w:noProof/>
              </w:rPr>
              <w:t xml:space="preserve"> </w:t>
            </w:r>
            <w:r>
              <w:rPr>
                <w:noProof/>
              </w:rPr>
              <w:br/>
            </w:r>
            <w:r>
              <w:rPr>
                <w:rFonts w:ascii="Times New Roman"/>
                <w:noProof/>
                <w:sz w:val="12"/>
              </w:rPr>
              <w:t>[modificat</w:t>
            </w:r>
            <w:r>
              <w:rPr>
                <w:rFonts w:ascii="Times New Roman"/>
                <w:noProof/>
                <w:sz w:val="12"/>
              </w:rPr>
              <w:t>ă</w:t>
            </w:r>
            <w:r>
              <w:rPr>
                <w:rFonts w:ascii="Times New Roman"/>
                <w:noProof/>
                <w:sz w:val="12"/>
              </w:rPr>
              <w:t xml:space="preserve"> prin C(2018)4765 final din 24.7.2018]</w:t>
            </w:r>
          </w:p>
        </w:tc>
        <w:tc>
          <w:tcPr>
            <w:tcW w:w="1322" w:type="dxa"/>
            <w:tcBorders>
              <w:top w:val="single" w:sz="3" w:space="0" w:color="000000"/>
              <w:left w:val="single" w:sz="3" w:space="0" w:color="000000"/>
              <w:right w:val="single" w:sz="3" w:space="0" w:color="000000"/>
            </w:tcBorders>
            <w:shd w:val="clear" w:color="auto" w:fill="DA9694"/>
          </w:tcPr>
          <w:p>
            <w:pPr>
              <w:widowControl w:val="0"/>
              <w:spacing w:after="0" w:line="240" w:lineRule="auto"/>
              <w:jc w:val="center"/>
              <w:rPr>
                <w:rFonts w:ascii="Times New Roman" w:eastAsia="Times New Roman" w:hAnsi="Times New Roman" w:cs="Times New Roman"/>
                <w:noProof/>
                <w:sz w:val="12"/>
                <w:szCs w:val="12"/>
                <w:lang w:val="en-US"/>
              </w:rPr>
            </w:pPr>
          </w:p>
          <w:p>
            <w:pPr>
              <w:widowControl w:val="0"/>
              <w:spacing w:after="0" w:line="240" w:lineRule="auto"/>
              <w:jc w:val="center"/>
              <w:rPr>
                <w:rFonts w:ascii="Times New Roman" w:eastAsia="Times New Roman" w:hAnsi="Times New Roman" w:cs="Times New Roman"/>
                <w:noProof/>
                <w:sz w:val="12"/>
                <w:szCs w:val="12"/>
                <w:lang w:val="en-US"/>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30.8.2016 </w:t>
            </w:r>
          </w:p>
        </w:tc>
        <w:tc>
          <w:tcPr>
            <w:tcW w:w="1687" w:type="dxa"/>
            <w:tcBorders>
              <w:top w:val="single" w:sz="3" w:space="0" w:color="000000"/>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26.2.2020</w:t>
            </w:r>
          </w:p>
        </w:tc>
        <w:tc>
          <w:tcPr>
            <w:tcW w:w="936" w:type="dxa"/>
            <w:vMerge w:val="restart"/>
            <w:tcBorders>
              <w:top w:val="single" w:sz="3"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before="8"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 w:after="0" w:line="240" w:lineRule="auto"/>
              <w:jc w:val="center"/>
              <w:rPr>
                <w:rFonts w:ascii="Times New Roman" w:eastAsia="Times New Roman" w:hAnsi="Times New Roman" w:cs="Times New Roman"/>
                <w:noProof/>
                <w:sz w:val="12"/>
                <w:szCs w:val="12"/>
              </w:rPr>
            </w:pPr>
            <w:r>
              <w:rPr>
                <w:rFonts w:ascii="Times New Roman" w:hAnsi="Times New Roman"/>
                <w:noProof/>
                <w:sz w:val="12"/>
              </w:rPr>
              <w:t>C(2020)997 final – Decizia Comisiei privind mobilitatea agenților contractuali ai Comisiei Europene repartizați în delegațiile Uniunii Europene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26.2.2020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6" w:space="0" w:color="000000"/>
            </w:tcBorders>
            <w:shd w:val="clear" w:color="auto" w:fill="DA9694"/>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690"/>
        </w:trPr>
        <w:tc>
          <w:tcPr>
            <w:tcW w:w="1156" w:type="dxa"/>
            <w:vMerge/>
            <w:tcBorders>
              <w:left w:val="single" w:sz="4" w:space="0" w:color="000000"/>
              <w:bottom w:val="single" w:sz="6" w:space="0" w:color="000000"/>
              <w:right w:val="single" w:sz="3" w:space="0" w:color="000000"/>
            </w:tcBorders>
            <w:shd w:val="clear" w:color="auto" w:fill="DA9694"/>
            <w:vAlign w:val="center"/>
          </w:tcPr>
          <w:p>
            <w:pPr>
              <w:widowControl w:val="0"/>
              <w:spacing w:before="8"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C(2019)8633 final – Decizia Comisiei de stabilire a normelor detaliate de punere în aplicare privind transferurile periodice ale funcționarilor repartizați în delegații printr-o procedură specifică (procedura de mobilitate) + rectificarea C(2020)1813</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Capitolul 2 – Obligații</w:t>
            </w:r>
          </w:p>
        </w:tc>
      </w:tr>
      <w:tr>
        <w:trPr>
          <w:trHeight w:hRule="exact" w:val="567"/>
        </w:trPr>
        <w:tc>
          <w:tcPr>
            <w:tcW w:w="1156" w:type="dxa"/>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Articolul 101a + anexa X (articolele 5 și 23)</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Cazarea</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C(2013)8965 final – Decizia Comisiei privind normele de punere în aplicare a politicii privind locuințele în cadrul delegațiilor UE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Anexa X</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Dispoziții speciale privind Groenlanda</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Times New Roman"/>
                <w:noProof/>
                <w:sz w:val="12"/>
              </w:rPr>
              <w:t>C(2023)622 final – Decizia Comisiei privind condițiile specifice de încadrare în muncă aplicabile personalului repartizat la Biroul Comisiei din Nuuk, Groenlanda</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27.1.2023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Capitolul 3 – Condițiile de muncă</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 Anexa X</w:t>
            </w:r>
            <w:r>
              <w:rPr>
                <w:noProof/>
              </w:rPr>
              <w:t xml:space="preserve"> </w:t>
            </w:r>
            <w:r>
              <w:rPr>
                <w:noProof/>
              </w:rPr>
              <w:br/>
            </w:r>
            <w:r>
              <w:rPr>
                <w:rFonts w:ascii="Times New Roman" w:hAnsi="Times New Roman"/>
                <w:b/>
                <w:noProof/>
                <w:sz w:val="12"/>
              </w:rPr>
              <w:t xml:space="preserve"> (articolul 8)</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Concediul de odihnă</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C(2013) 9027 final – Decizia Comisiei privind gestionarea concediilor de odihnă în temeiul articolului 8 din anexa X la Statutul funcționarilor</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Capitolul 4 – Regimul financiar și prestațiile de asigurări sociale</w:t>
            </w:r>
          </w:p>
        </w:tc>
      </w:tr>
      <w:tr>
        <w:trPr>
          <w:trHeight w:hRule="exact" w:val="28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hAnsi="Times New Roman" w:cs="Times New Roman"/>
                <w:b/>
                <w:noProof/>
                <w:spacing w:val="-1"/>
                <w:w w:val="105"/>
                <w:sz w:val="19"/>
              </w:rPr>
            </w:pPr>
            <w:r>
              <w:rPr>
                <w:rFonts w:ascii="Times New Roman" w:hAnsi="Times New Roman"/>
                <w:b/>
                <w:noProof/>
                <w:sz w:val="17"/>
              </w:rPr>
              <w:t>Secțiunea 1 – Regimul financiar și alocațiile de familie</w:t>
            </w:r>
          </w:p>
        </w:tc>
      </w:tr>
      <w:tr>
        <w:trPr>
          <w:trHeight w:hRule="exact" w:val="711"/>
        </w:trPr>
        <w:tc>
          <w:tcPr>
            <w:tcW w:w="1156" w:type="dxa"/>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Anexa X</w:t>
            </w:r>
            <w:r>
              <w:rPr>
                <w:noProof/>
              </w:rPr>
              <w:t xml:space="preserve"> </w:t>
            </w:r>
            <w:r>
              <w:rPr>
                <w:noProof/>
              </w:rPr>
              <w:br/>
            </w:r>
            <w:r>
              <w:rPr>
                <w:rFonts w:ascii="Times New Roman" w:hAnsi="Times New Roman"/>
                <w:b/>
                <w:noProof/>
                <w:sz w:val="12"/>
              </w:rPr>
              <w:t xml:space="preserve"> (articolul 10)</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Indemnizația pentru condiții de viață</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C(2013) 9032 final – Decizia Comisiei privind indemnizația pentru condițiile de viață și indemnizația suplimentară menționată la articolul 10 din anexa X la Statutul funcționarilor</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Anexa X</w:t>
            </w:r>
            <w:r>
              <w:rPr>
                <w:noProof/>
              </w:rPr>
              <w:t xml:space="preserve"> </w:t>
            </w:r>
            <w:r>
              <w:rPr>
                <w:noProof/>
              </w:rPr>
              <w:br/>
            </w:r>
            <w:r>
              <w:rPr>
                <w:rFonts w:ascii="Times New Roman" w:hAnsi="Times New Roman"/>
                <w:b/>
                <w:noProof/>
                <w:sz w:val="12"/>
              </w:rPr>
              <w:t xml:space="preserve"> (articolele 12 și 13)</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Moneda și coeficientul corector</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bookmarkStart w:id="11" w:name="_Hlk164159118"/>
            <w:r>
              <w:rPr>
                <w:rFonts w:ascii="Times New Roman" w:hAnsi="Times New Roman"/>
                <w:noProof/>
                <w:sz w:val="12"/>
              </w:rPr>
              <w:t>C(2004)1597/1 privind ajustarea coeficienților corectori și a ratelor de schimb corespunzătoare menționate la articolele 12 și 13 din anexa X</w:t>
            </w:r>
            <w:bookmarkEnd w:id="11"/>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266"/>
        </w:trPr>
        <w:tc>
          <w:tcPr>
            <w:tcW w:w="1156" w:type="dxa"/>
            <w:tcBorders>
              <w:top w:val="single" w:sz="4" w:space="0" w:color="000000"/>
              <w:left w:val="single" w:sz="4" w:space="0" w:color="000000"/>
              <w:bottom w:val="single" w:sz="6" w:space="0" w:color="000000"/>
              <w:right w:val="single" w:sz="4"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Anexa X</w:t>
            </w:r>
            <w:r>
              <w:rPr>
                <w:noProof/>
              </w:rPr>
              <w:t xml:space="preserve"> </w:t>
            </w:r>
            <w:r>
              <w:rPr>
                <w:noProof/>
              </w:rPr>
              <w:br/>
            </w:r>
            <w:r>
              <w:rPr>
                <w:rFonts w:ascii="Times New Roman" w:hAnsi="Times New Roman"/>
                <w:b/>
                <w:noProof/>
                <w:sz w:val="12"/>
              </w:rPr>
              <w:t>(articolele 3 și 15)</w:t>
            </w:r>
          </w:p>
        </w:tc>
        <w:tc>
          <w:tcPr>
            <w:tcW w:w="2551" w:type="dxa"/>
            <w:tcBorders>
              <w:top w:val="single" w:sz="3" w:space="0" w:color="000000"/>
              <w:left w:val="single" w:sz="4" w:space="0" w:color="000000"/>
              <w:bottom w:val="single" w:sz="6"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Plata alocației școlare</w:t>
            </w:r>
            <w:r>
              <w:rPr>
                <w:rFonts w:ascii="Times New Roman" w:hAnsi="Times New Roman"/>
                <w:b/>
                <w:noProof/>
                <w:sz w:val="12"/>
              </w:rPr>
              <w:t xml:space="preserve"> </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C(2021)8179 final – Decizia Comisiei</w:t>
            </w:r>
          </w:p>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de stabilire a dispozițiilor generale de punere în aplicare privind plata către membrii personalului a alocației școlare prevăzute la articolul 15 din anexa X la Statutul funcționarilor</w:t>
            </w:r>
          </w:p>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pe durata misiunilor temporare la sediul instituției sau la orice alt loc de desfășurare a activității</w:t>
            </w:r>
            <w:r>
              <w:rPr>
                <w:noProof/>
              </w:rPr>
              <w:t xml:space="preserve"> </w:t>
            </w:r>
            <w:r>
              <w:rPr>
                <w:noProof/>
              </w:rPr>
              <w:br/>
            </w:r>
            <w:r>
              <w:rPr>
                <w:rFonts w:ascii="Times New Roman" w:hAnsi="Times New Roman"/>
                <w:noProof/>
                <w:sz w:val="12"/>
              </w:rPr>
              <w:t xml:space="preserve"> din Uniune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17.11.2021</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Anexa X</w:t>
            </w:r>
            <w:r>
              <w:rPr>
                <w:noProof/>
              </w:rPr>
              <w:t xml:space="preserve"> </w:t>
            </w:r>
            <w:r>
              <w:rPr>
                <w:noProof/>
              </w:rPr>
              <w:br/>
            </w:r>
            <w:r>
              <w:rPr>
                <w:rFonts w:ascii="Times New Roman" w:hAnsi="Times New Roman"/>
                <w:b/>
                <w:noProof/>
                <w:sz w:val="12"/>
              </w:rPr>
              <w:t xml:space="preserve"> (articolul 16)</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Rambursările către funcționarii repartizați în țări terțe</w:t>
            </w:r>
          </w:p>
        </w:tc>
        <w:tc>
          <w:tcPr>
            <w:tcW w:w="3029" w:type="dxa"/>
            <w:tcBorders>
              <w:top w:val="single" w:sz="4" w:space="0" w:color="000000"/>
              <w:left w:val="single" w:sz="6" w:space="0" w:color="000000"/>
              <w:bottom w:val="single" w:sz="4" w:space="0" w:color="000000"/>
              <w:right w:val="single" w:sz="4" w:space="0" w:color="000000"/>
            </w:tcBorders>
            <w:shd w:val="clear" w:color="auto" w:fill="DA9694"/>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hAnsi="Times New Roman"/>
                <w:noProof/>
                <w:sz w:val="12"/>
              </w:rPr>
              <w:t>C(2013)8990 final privind rambursările datorate funcționarilor repartizați în țări terțe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2"/>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6"/>
              </w:rPr>
              <w:t>Secțiunea 2 – Norme privind rambursarea cheltuielilor</w:t>
            </w:r>
          </w:p>
        </w:tc>
      </w:tr>
      <w:tr>
        <w:trPr>
          <w:trHeight w:hRule="exact" w:val="799"/>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Anexa X </w:t>
            </w:r>
            <w:r>
              <w:rPr>
                <w:noProof/>
              </w:rPr>
              <w:t xml:space="preserve"> </w:t>
            </w:r>
            <w:r>
              <w:rPr>
                <w:noProof/>
              </w:rPr>
              <w:br/>
            </w:r>
            <w:r>
              <w:rPr>
                <w:rFonts w:ascii="Times New Roman" w:hAnsi="Times New Roman"/>
                <w:b/>
                <w:noProof/>
                <w:sz w:val="12"/>
              </w:rPr>
              <w:t>(articolul 22)</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Indemnizația pentru locuința temporară și cheltuielile de transport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bookmarkStart w:id="12" w:name="_Hlk164159178"/>
            <w:r>
              <w:rPr>
                <w:rFonts w:ascii="Times New Roman" w:hAnsi="Times New Roman"/>
                <w:noProof/>
                <w:sz w:val="12"/>
              </w:rPr>
              <w:t>C(2004)1597/2 – Decizia Comisiei privind aplicarea articolului 22 din anexa X privind recuperarea indemnizației pentru locuința temporară și cheltuielile de transport al efectelor personale ale soțului/soției și ale persoanelor aflate în întreținere</w:t>
            </w:r>
            <w:bookmarkEnd w:id="12"/>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6"/>
              </w:rPr>
              <w:t>Secțiunea 3 – Asigurările sociale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Anexa X</w:t>
            </w:r>
            <w:r>
              <w:rPr>
                <w:noProof/>
              </w:rPr>
              <w:t xml:space="preserve"> </w:t>
            </w:r>
            <w:r>
              <w:rPr>
                <w:noProof/>
              </w:rPr>
              <w:br/>
            </w:r>
            <w:r>
              <w:rPr>
                <w:rFonts w:ascii="Times New Roman" w:hAnsi="Times New Roman"/>
                <w:b/>
                <w:noProof/>
                <w:sz w:val="12"/>
              </w:rPr>
              <w:t xml:space="preserve"> (articolul 24)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Asigurarea de sănătate</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Comunicarea administrativă 642 – Decizia Comisiei privind dispozițiile generale de punere în aplicare a primului și al celui de al doilea paragraf al articolului 24 din anexa X</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17.9.1990</w:t>
            </w:r>
          </w:p>
        </w:tc>
        <w:tc>
          <w:tcPr>
            <w:tcW w:w="1687" w:type="dxa"/>
            <w:tcBorders>
              <w:top w:val="single" w:sz="5" w:space="0" w:color="000000"/>
              <w:left w:val="single" w:sz="3" w:space="0" w:color="000000"/>
              <w:bottom w:val="single" w:sz="5"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92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Anexa X</w:t>
            </w:r>
            <w:r>
              <w:rPr>
                <w:noProof/>
              </w:rPr>
              <w:t xml:space="preserve"> </w:t>
            </w:r>
            <w:r>
              <w:rPr>
                <w:noProof/>
              </w:rPr>
              <w:br/>
            </w:r>
            <w:r>
              <w:rPr>
                <w:rFonts w:ascii="Times New Roman" w:hAnsi="Times New Roman"/>
                <w:b/>
                <w:noProof/>
                <w:sz w:val="12"/>
              </w:rPr>
              <w:t xml:space="preserve"> (articolul 25)</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Asigurarea de accidente</w:t>
            </w:r>
          </w:p>
        </w:tc>
        <w:tc>
          <w:tcPr>
            <w:tcW w:w="3029" w:type="dxa"/>
            <w:tcBorders>
              <w:top w:val="single" w:sz="5" w:space="0" w:color="000000"/>
              <w:left w:val="single" w:sz="4" w:space="0" w:color="auto"/>
              <w:bottom w:val="single" w:sz="3" w:space="0" w:color="000000"/>
              <w:right w:val="single" w:sz="3" w:space="0" w:color="000000"/>
            </w:tcBorders>
            <w:shd w:val="clear" w:color="auto" w:fill="FFFF65"/>
            <w:vAlign w:val="center"/>
          </w:tcPr>
          <w:p>
            <w:pPr>
              <w:spacing w:before="103" w:after="0" w:line="268" w:lineRule="auto"/>
              <w:ind w:right="34"/>
              <w:jc w:val="center"/>
              <w:rPr>
                <w:rFonts w:ascii="Times New Roman" w:hAnsi="Times New Roman" w:cs="Times New Roman"/>
                <w:noProof/>
                <w:w w:val="105"/>
                <w:sz w:val="12"/>
              </w:rPr>
            </w:pPr>
            <w:r>
              <w:rPr>
                <w:rFonts w:ascii="Times New Roman" w:hAnsi="Times New Roman"/>
                <w:noProof/>
                <w:sz w:val="12"/>
              </w:rPr>
              <w:t>Decizia C(2005) 1871 a Comisiei privind dispozițiile generale de punere în aplicare în ceea ce privește asigurarea împotriva riscurilor de accidente pentru soțul/soția, copiii și alte persoane aflate în întreținerea unui funcționar, agent temporar sau contractual al Comunităților Europene repartizat într-o țară terță</w:t>
            </w:r>
          </w:p>
          <w:p>
            <w:pPr>
              <w:widowControl w:val="0"/>
              <w:spacing w:before="35" w:after="0" w:line="254" w:lineRule="auto"/>
              <w:ind w:right="71"/>
              <w:jc w:val="center"/>
              <w:rPr>
                <w:rFonts w:ascii="Times New Roman" w:eastAsia="Calibri" w:hAnsi="Times New Roman" w:cs="Times New Roman"/>
                <w:noProof/>
                <w:spacing w:val="-2"/>
                <w:sz w:val="12"/>
                <w:szCs w:val="12"/>
              </w:rPr>
            </w:pP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16.5.2005</w:t>
            </w:r>
          </w:p>
        </w:tc>
        <w:tc>
          <w:tcPr>
            <w:tcW w:w="1687" w:type="dxa"/>
            <w:tcBorders>
              <w:top w:val="single" w:sz="5" w:space="0" w:color="000000"/>
              <w:left w:val="single" w:sz="3" w:space="0" w:color="000000"/>
              <w:bottom w:val="single" w:sz="3"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65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IX – DISPOZIȚII TRANZITORII ȘI FINALE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1" w:after="0" w:line="240" w:lineRule="auto"/>
              <w:ind w:right="974"/>
              <w:jc w:val="center"/>
              <w:rPr>
                <w:rFonts w:ascii="Times New Roman" w:hAnsi="Times New Roman" w:cs="Times New Roman"/>
                <w:b/>
                <w:noProof/>
                <w:spacing w:val="-1"/>
                <w:w w:val="105"/>
                <w:sz w:val="19"/>
              </w:rPr>
            </w:pPr>
            <w:r>
              <w:rPr>
                <w:rFonts w:ascii="Times New Roman" w:hAnsi="Times New Roman"/>
                <w:b/>
                <w:noProof/>
                <w:sz w:val="19"/>
              </w:rPr>
              <w:t>Anexa XIII – Măsuri tranzitorii aplicabile funcționarilor (articolul 107a)</w:t>
            </w:r>
          </w:p>
          <w:p>
            <w:pPr>
              <w:widowControl w:val="0"/>
              <w:spacing w:before="75" w:after="0" w:line="240" w:lineRule="auto"/>
              <w:jc w:val="center"/>
              <w:rPr>
                <w:rFonts w:ascii="Times New Roman" w:eastAsia="Times New Roman" w:hAnsi="Times New Roman" w:cs="Times New Roman"/>
                <w:noProof/>
                <w:sz w:val="19"/>
                <w:szCs w:val="19"/>
                <w:lang w:val="en-US"/>
              </w:rPr>
            </w:pP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Anexa XIII</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Plata compensatorie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68" w:lineRule="auto"/>
              <w:ind w:right="87"/>
              <w:jc w:val="center"/>
              <w:rPr>
                <w:rFonts w:ascii="Times New Roman" w:eastAsia="Times New Roman" w:hAnsi="Times New Roman" w:cs="Times New Roman"/>
                <w:noProof/>
                <w:sz w:val="12"/>
                <w:szCs w:val="12"/>
              </w:rPr>
            </w:pPr>
            <w:r>
              <w:rPr>
                <w:rFonts w:ascii="Times New Roman" w:hAnsi="Times New Roman"/>
                <w:noProof/>
                <w:sz w:val="12"/>
              </w:rPr>
              <w:t>C(2008)6236 – Decizia Comisiei privind introducerea unei plăți compensatorii pentru funcționarii care și-au schimbat categoria de încadrare înainte de 1 mai 2004</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1.11.2008</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000000"/>
              <w:left w:val="single" w:sz="4" w:space="0" w:color="000000"/>
              <w:bottom w:val="single" w:sz="4" w:space="0" w:color="auto"/>
              <w:right w:val="single" w:sz="4"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Anexa XIII</w:t>
            </w:r>
            <w:r>
              <w:rPr>
                <w:noProof/>
              </w:rPr>
              <w:t xml:space="preserve"> </w:t>
            </w:r>
            <w:r>
              <w:rPr>
                <w:noProof/>
              </w:rPr>
              <w:br/>
            </w:r>
            <w:r>
              <w:rPr>
                <w:rFonts w:ascii="Times New Roman" w:hAnsi="Times New Roman"/>
                <w:b/>
                <w:noProof/>
                <w:sz w:val="12"/>
              </w:rPr>
              <w:t>(articolele 22 și 26)</w:t>
            </w:r>
          </w:p>
        </w:tc>
        <w:tc>
          <w:tcPr>
            <w:tcW w:w="2551" w:type="dxa"/>
            <w:tcBorders>
              <w:top w:val="single" w:sz="3" w:space="0" w:color="000000"/>
              <w:left w:val="single" w:sz="4" w:space="0" w:color="000000"/>
              <w:bottom w:val="single" w:sz="4" w:space="0" w:color="auto"/>
              <w:right w:val="single" w:sz="4"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Drepturile de pensie</w:t>
            </w:r>
          </w:p>
        </w:tc>
        <w:tc>
          <w:tcPr>
            <w:tcW w:w="3029" w:type="dxa"/>
            <w:tcBorders>
              <w:top w:val="single" w:sz="3" w:space="0" w:color="000000"/>
              <w:left w:val="single" w:sz="4" w:space="0" w:color="000000"/>
              <w:bottom w:val="single" w:sz="4" w:space="0" w:color="000000"/>
              <w:right w:val="single" w:sz="3" w:space="0" w:color="000000"/>
            </w:tcBorders>
            <w:shd w:val="clear" w:color="auto" w:fill="FFFF65"/>
            <w:vAlign w:val="center"/>
          </w:tcPr>
          <w:p>
            <w:pPr>
              <w:widowControl w:val="0"/>
              <w:spacing w:after="0" w:line="268" w:lineRule="auto"/>
              <w:ind w:right="87"/>
              <w:jc w:val="center"/>
              <w:rPr>
                <w:rFonts w:ascii="Times New Roman" w:eastAsia="Times New Roman" w:hAnsi="Times New Roman" w:cs="Times New Roman"/>
                <w:noProof/>
                <w:sz w:val="12"/>
                <w:szCs w:val="12"/>
              </w:rPr>
            </w:pPr>
            <w:r>
              <w:rPr>
                <w:rFonts w:ascii="Times New Roman" w:hAnsi="Times New Roman"/>
                <w:noProof/>
                <w:sz w:val="12"/>
              </w:rPr>
              <w:t>C(2004)1588 final/6 – Decizia Comisiei</w:t>
            </w:r>
          </w:p>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Dispozițiile generale de punere în aplicare a articolului 22 alineatul (4) din anexa XIII la Statutul funcționarilor</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 referitoare la alți agenți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525"/>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2</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Programul pentru tineri profesioniști</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 xml:space="preserve">C(2022)9068 final – Decizia Comisiei </w:t>
            </w:r>
          </w:p>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privind instituirea programului pentru tineri profesioniști</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1.1.2023</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14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2</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Durata maximă pentru care se recurge la personal nepermanent</w:t>
            </w:r>
          </w:p>
        </w:tc>
        <w:tc>
          <w:tcPr>
            <w:tcW w:w="3029" w:type="dxa"/>
            <w:tcBorders>
              <w:top w:val="single" w:sz="6" w:space="0" w:color="000000"/>
              <w:left w:val="single" w:sz="4" w:space="0" w:color="auto"/>
              <w:bottom w:val="single" w:sz="4"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r>
              <w:rPr>
                <w:rFonts w:ascii="Times New Roman" w:hAnsi="Times New Roman"/>
                <w:noProof/>
                <w:sz w:val="12"/>
              </w:rPr>
              <w:t xml:space="preserve">C(2004)1597/6 final – Decizia Comisiei privind durata maximă pentru care se recurge la personal nepermanent în serviciile Comisiei </w:t>
            </w:r>
            <w:r>
              <w:rPr>
                <w:noProof/>
              </w:rPr>
              <w:t xml:space="preserve"> </w:t>
            </w:r>
            <w:r>
              <w:rPr>
                <w:noProof/>
              </w:rPr>
              <w:br/>
            </w:r>
            <w:r>
              <w:rPr>
                <w:rFonts w:ascii="Times New Roman" w:hAnsi="Times New Roman"/>
                <w:noProof/>
                <w:sz w:val="12"/>
              </w:rPr>
              <w:t xml:space="preserve">[modificată prin C(2011)7071 final din 5.10.2011, </w:t>
            </w:r>
            <w:r>
              <w:rPr>
                <w:noProof/>
              </w:rPr>
              <w:t xml:space="preserve"> </w:t>
            </w:r>
            <w:r>
              <w:rPr>
                <w:noProof/>
              </w:rPr>
              <w:br/>
            </w:r>
            <w:r>
              <w:rPr>
                <w:rFonts w:ascii="Times New Roman" w:hAnsi="Times New Roman"/>
                <w:noProof/>
                <w:sz w:val="12"/>
              </w:rPr>
              <w:t xml:space="preserve">C(2013)9028 final din 16.12.2013 și </w:t>
            </w:r>
            <w:r>
              <w:rPr>
                <w:noProof/>
              </w:rPr>
              <w:t xml:space="preserve"> </w:t>
            </w:r>
            <w:r>
              <w:rPr>
                <w:noProof/>
              </w:rPr>
              <w:br/>
            </w:r>
            <w:r>
              <w:rPr>
                <w:rFonts w:ascii="Times New Roman" w:hAnsi="Times New Roman"/>
                <w:noProof/>
                <w:sz w:val="12"/>
              </w:rPr>
              <w:t>modificată ultima dată prin C(2019) 2548 final din 5.4.2019]</w:t>
            </w:r>
          </w:p>
        </w:tc>
        <w:tc>
          <w:tcPr>
            <w:tcW w:w="1322" w:type="dxa"/>
            <w:tcBorders>
              <w:top w:val="single" w:sz="5" w:space="0" w:color="000000"/>
              <w:left w:val="single" w:sz="4"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 – Agenții temporari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779"/>
        </w:trPr>
        <w:tc>
          <w:tcPr>
            <w:tcW w:w="1156" w:type="dxa"/>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2 + 8</w:t>
            </w:r>
          </w:p>
        </w:tc>
        <w:tc>
          <w:tcPr>
            <w:tcW w:w="2551" w:type="dxa"/>
            <w:tcBorders>
              <w:left w:val="single" w:sz="4" w:space="0" w:color="000000"/>
              <w:bottom w:val="single" w:sz="4" w:space="0" w:color="000000"/>
              <w:right w:val="single" w:sz="4" w:space="0" w:color="000000"/>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Politica generală privind angajarea și utilizarea agenților temporari</w:t>
            </w:r>
          </w:p>
        </w:tc>
        <w:tc>
          <w:tcPr>
            <w:tcW w:w="3029" w:type="dxa"/>
            <w:tcBorders>
              <w:top w:val="single" w:sz="6" w:space="0" w:color="000000"/>
              <w:left w:val="single" w:sz="4" w:space="0" w:color="000000"/>
              <w:bottom w:val="single" w:sz="4" w:space="0" w:color="000000"/>
              <w:right w:val="single" w:sz="4" w:space="0" w:color="000000"/>
            </w:tcBorders>
            <w:shd w:val="clear" w:color="auto" w:fill="D99594"/>
            <w:vAlign w:val="center"/>
          </w:tcPr>
          <w:p>
            <w:pPr>
              <w:widowControl w:val="0"/>
              <w:spacing w:before="35" w:after="0" w:line="254" w:lineRule="auto"/>
              <w:ind w:right="258"/>
              <w:jc w:val="center"/>
              <w:rPr>
                <w:noProof/>
              </w:rPr>
            </w:pPr>
            <w:r>
              <w:rPr>
                <w:rFonts w:ascii="Times New Roman" w:hAnsi="Times New Roman"/>
                <w:noProof/>
                <w:sz w:val="12"/>
              </w:rPr>
              <w:t>C(2013)9049 final privind politicile pentru angajarea și utilizarea agenților temporari</w:t>
            </w:r>
          </w:p>
        </w:tc>
        <w:tc>
          <w:tcPr>
            <w:tcW w:w="1322" w:type="dxa"/>
            <w:tcBorders>
              <w:top w:val="single" w:sz="5" w:space="0" w:color="000000"/>
              <w:left w:val="single" w:sz="4"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6" w:space="0" w:color="000000"/>
              <w:left w:val="single" w:sz="4" w:space="0" w:color="000000"/>
              <w:bottom w:val="single" w:sz="4" w:space="0" w:color="auto"/>
              <w:right w:val="single" w:sz="6"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4 – Condițiile de muncă</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de maternitate și alocația aferentă</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 xml:space="preserve">C(2013) 9020 final – Decizia Comisiei privind concediul maternitate și alocația aferentă pentru femeile al căror concediu de maternitate începe înainte de încheierea contractului lor </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08"/>
        </w:trPr>
        <w:tc>
          <w:tcPr>
            <w:tcW w:w="10681" w:type="dxa"/>
            <w:gridSpan w:val="6"/>
            <w:tcBorders>
              <w:top w:val="single" w:sz="4" w:space="0" w:color="auto"/>
              <w:left w:val="single" w:sz="4" w:space="0" w:color="auto"/>
              <w:bottom w:val="single" w:sz="4" w:space="0" w:color="auto"/>
              <w:right w:val="single" w:sz="4" w:space="0" w:color="auto"/>
            </w:tcBorders>
            <w:shd w:val="clear" w:color="auto" w:fill="DAEEF3"/>
            <w:vAlign w:val="center"/>
          </w:tcPr>
          <w:p>
            <w:pPr>
              <w:widowControl w:val="0"/>
              <w:spacing w:after="0" w:line="240" w:lineRule="auto"/>
              <w:rPr>
                <w:rFonts w:ascii="Times New Roman" w:eastAsia="Calibri" w:hAnsi="Times New Roman" w:cs="Times New Roman"/>
                <w:b/>
                <w:noProof/>
                <w:spacing w:val="1"/>
                <w:w w:val="105"/>
                <w:sz w:val="16"/>
                <w:szCs w:val="16"/>
              </w:rPr>
            </w:pPr>
            <w:r>
              <w:rPr>
                <w:rFonts w:ascii="Times New Roman" w:hAnsi="Times New Roman"/>
                <w:b/>
                <w:noProof/>
                <w:sz w:val="19"/>
              </w:rPr>
              <w:t xml:space="preserve">                                                                                      Capitolul 6 – Asigurările sociale</w:t>
            </w:r>
          </w:p>
        </w:tc>
      </w:tr>
      <w:tr>
        <w:trPr>
          <w:trHeight w:hRule="exact" w:val="1016"/>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39</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Calibri" w:hAnsi="Times New Roman" w:cs="Times New Roman"/>
                <w:b/>
                <w:bCs/>
                <w:noProof/>
                <w:sz w:val="16"/>
                <w:szCs w:val="16"/>
              </w:rPr>
            </w:pPr>
            <w:r>
              <w:rPr>
                <w:rFonts w:ascii="Times New Roman" w:hAnsi="Times New Roman"/>
                <w:b/>
                <w:noProof/>
                <w:sz w:val="16"/>
              </w:rPr>
              <w:t>Pensionarea anticipată</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71" w:lineRule="auto"/>
              <w:ind w:right="13"/>
              <w:jc w:val="center"/>
              <w:rPr>
                <w:rFonts w:ascii="Times New Roman" w:hAnsi="Times New Roman" w:cs="Times New Roman"/>
                <w:noProof/>
                <w:w w:val="105"/>
                <w:sz w:val="12"/>
              </w:rPr>
            </w:pPr>
          </w:p>
          <w:p>
            <w:pPr>
              <w:widowControl w:val="0"/>
              <w:spacing w:after="0" w:line="271" w:lineRule="auto"/>
              <w:ind w:right="13"/>
              <w:jc w:val="center"/>
              <w:rPr>
                <w:rFonts w:ascii="Times New Roman" w:hAnsi="Times New Roman" w:cs="Times New Roman"/>
                <w:noProof/>
                <w:w w:val="105"/>
                <w:sz w:val="12"/>
              </w:rPr>
            </w:pPr>
            <w:r>
              <w:rPr>
                <w:rFonts w:ascii="Times New Roman" w:hAnsi="Times New Roman"/>
                <w:noProof/>
                <w:sz w:val="12"/>
              </w:rPr>
              <w:t xml:space="preserve">C(2004)1588 final/5 – Decizia Comisiei privind dispozițiile generale de punere în aplicare referitoare la pensionarea anticipată a funcționarilor și a agenților temporari fără reducerea drepturilor de pensie </w:t>
            </w:r>
            <w:r>
              <w:rPr>
                <w:noProof/>
              </w:rPr>
              <w:t xml:space="preserve"> </w:t>
            </w:r>
            <w:r>
              <w:rPr>
                <w:noProof/>
              </w:rPr>
              <w:br/>
            </w:r>
            <w:r>
              <w:rPr>
                <w:rFonts w:ascii="Times New Roman" w:hAnsi="Times New Roman"/>
                <w:noProof/>
                <w:sz w:val="12"/>
              </w:rPr>
              <w:t>[modificată ultima dată prin C (2006) 3581 din 10.8.2006]</w:t>
            </w:r>
          </w:p>
          <w:p>
            <w:pPr>
              <w:widowControl w:val="0"/>
              <w:spacing w:before="83" w:after="0" w:line="254" w:lineRule="auto"/>
              <w:ind w:right="123"/>
              <w:jc w:val="center"/>
              <w:rPr>
                <w:rFonts w:ascii="Times New Roman" w:eastAsia="Calibri" w:hAnsi="Times New Roman" w:cs="Times New Roman"/>
                <w:noProof/>
                <w:sz w:val="12"/>
                <w:szCs w:val="12"/>
              </w:rPr>
            </w:pP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979"/>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noProof/>
                <w:sz w:val="12"/>
              </w:rPr>
              <w:t>79</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Utilizarea agenților contractuali</w:t>
            </w:r>
          </w:p>
        </w:tc>
        <w:tc>
          <w:tcPr>
            <w:tcW w:w="3029"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sz w:val="12"/>
              </w:rPr>
            </w:pPr>
            <w:r>
              <w:rPr>
                <w:rFonts w:ascii="Times New Roman" w:hAnsi="Times New Roman"/>
                <w:noProof/>
                <w:sz w:val="12"/>
              </w:rPr>
              <w:t xml:space="preserve">C(2004)1597/6 final – Decizia Comisiei privind durata maximă pentru care se recurge la personal nepermanent în serviciile Comisiei </w:t>
            </w:r>
            <w:r>
              <w:rPr>
                <w:noProof/>
              </w:rPr>
              <w:t xml:space="preserve"> </w:t>
            </w:r>
            <w:r>
              <w:rPr>
                <w:noProof/>
              </w:rPr>
              <w:br/>
            </w:r>
            <w:r>
              <w:rPr>
                <w:rFonts w:ascii="Times New Roman" w:hAnsi="Times New Roman"/>
                <w:noProof/>
                <w:sz w:val="12"/>
              </w:rPr>
              <w:t xml:space="preserve">[modificată prin C(2011)7071 final din 5.10.2011, </w:t>
            </w:r>
            <w:r>
              <w:rPr>
                <w:noProof/>
              </w:rPr>
              <w:t xml:space="preserve"> </w:t>
            </w:r>
            <w:r>
              <w:rPr>
                <w:noProof/>
              </w:rPr>
              <w:br/>
            </w:r>
            <w:r>
              <w:rPr>
                <w:rFonts w:ascii="Times New Roman" w:hAnsi="Times New Roman"/>
                <w:noProof/>
                <w:sz w:val="12"/>
              </w:rPr>
              <w:t xml:space="preserve">C(2013)9028 final din 16.12.2013 și </w:t>
            </w:r>
          </w:p>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modificată ultima dată prin C(2019) 2548 final din 5.4.2019]</w:t>
            </w:r>
          </w:p>
        </w:tc>
        <w:tc>
          <w:tcPr>
            <w:tcW w:w="1322"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993"/>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noProof/>
                <w:sz w:val="12"/>
              </w:rPr>
              <w:t>C(2017)6760 final privind dispozi</w:t>
            </w:r>
            <w:r>
              <w:rPr>
                <w:rFonts w:ascii="Times New Roman"/>
                <w:noProof/>
                <w:sz w:val="12"/>
              </w:rPr>
              <w:t>ț</w:t>
            </w:r>
            <w:r>
              <w:rPr>
                <w:rFonts w:ascii="Times New Roman"/>
                <w:noProof/>
                <w:sz w:val="12"/>
              </w:rPr>
              <w:t xml:space="preserve">iile generale de punere </w:t>
            </w:r>
            <w:r>
              <w:rPr>
                <w:rFonts w:ascii="Times New Roman"/>
                <w:noProof/>
                <w:sz w:val="12"/>
              </w:rPr>
              <w:t>î</w:t>
            </w:r>
            <w:r>
              <w:rPr>
                <w:rFonts w:ascii="Times New Roman"/>
                <w:noProof/>
                <w:sz w:val="12"/>
              </w:rPr>
              <w:t>n aplicare a articolului 79 alineatul (2) din Regimul aplicabil celorlal</w:t>
            </w:r>
            <w:r>
              <w:rPr>
                <w:rFonts w:ascii="Times New Roman"/>
                <w:noProof/>
                <w:sz w:val="12"/>
              </w:rPr>
              <w:t>ț</w:t>
            </w:r>
            <w:r>
              <w:rPr>
                <w:rFonts w:ascii="Times New Roman"/>
                <w:noProof/>
                <w:sz w:val="12"/>
              </w:rPr>
              <w:t>i agen</w:t>
            </w:r>
            <w:r>
              <w:rPr>
                <w:rFonts w:ascii="Times New Roman"/>
                <w:noProof/>
                <w:sz w:val="12"/>
              </w:rPr>
              <w:t>ț</w:t>
            </w:r>
            <w:r>
              <w:rPr>
                <w:rFonts w:ascii="Times New Roman"/>
                <w:noProof/>
                <w:sz w:val="12"/>
              </w:rPr>
              <w:t>i ai Uniunii Europene care reglementeaz</w:t>
            </w:r>
            <w:r>
              <w:rPr>
                <w:rFonts w:ascii="Times New Roman"/>
                <w:noProof/>
                <w:sz w:val="12"/>
              </w:rPr>
              <w:t>ă</w:t>
            </w:r>
            <w:r>
              <w:rPr>
                <w:rFonts w:ascii="Times New Roman"/>
                <w:noProof/>
                <w:sz w:val="12"/>
              </w:rPr>
              <w:t xml:space="preserve"> condi</w:t>
            </w:r>
            <w:r>
              <w:rPr>
                <w:rFonts w:ascii="Times New Roman"/>
                <w:noProof/>
                <w:sz w:val="12"/>
              </w:rPr>
              <w:t>ț</w:t>
            </w:r>
            <w:r>
              <w:rPr>
                <w:rFonts w:ascii="Times New Roman"/>
                <w:noProof/>
                <w:sz w:val="12"/>
              </w:rPr>
              <w:t xml:space="preserve">iile de </w:t>
            </w:r>
            <w:r>
              <w:rPr>
                <w:rFonts w:ascii="Times New Roman"/>
                <w:noProof/>
                <w:sz w:val="12"/>
              </w:rPr>
              <w:t>î</w:t>
            </w:r>
            <w:r>
              <w:rPr>
                <w:rFonts w:ascii="Times New Roman"/>
                <w:noProof/>
                <w:sz w:val="12"/>
              </w:rPr>
              <w:t xml:space="preserve">ncadrare </w:t>
            </w:r>
            <w:r>
              <w:rPr>
                <w:rFonts w:ascii="Times New Roman"/>
                <w:noProof/>
                <w:sz w:val="12"/>
              </w:rPr>
              <w:t>î</w:t>
            </w:r>
            <w:r>
              <w:rPr>
                <w:rFonts w:ascii="Times New Roman"/>
                <w:noProof/>
                <w:sz w:val="12"/>
              </w:rPr>
              <w:t>n munc</w:t>
            </w:r>
            <w:r>
              <w:rPr>
                <w:rFonts w:ascii="Times New Roman"/>
                <w:noProof/>
                <w:sz w:val="12"/>
              </w:rPr>
              <w:t>ă</w:t>
            </w:r>
            <w:r>
              <w:rPr>
                <w:rFonts w:ascii="Times New Roman"/>
                <w:noProof/>
                <w:sz w:val="12"/>
              </w:rPr>
              <w:t xml:space="preserve"> a agen</w:t>
            </w:r>
            <w:r>
              <w:rPr>
                <w:rFonts w:ascii="Times New Roman"/>
                <w:noProof/>
                <w:sz w:val="12"/>
              </w:rPr>
              <w:t>ț</w:t>
            </w:r>
            <w:r>
              <w:rPr>
                <w:rFonts w:ascii="Times New Roman"/>
                <w:noProof/>
                <w:sz w:val="12"/>
              </w:rPr>
              <w:t>ilor contractuali angaja</w:t>
            </w:r>
            <w:r>
              <w:rPr>
                <w:rFonts w:ascii="Times New Roman"/>
                <w:noProof/>
                <w:sz w:val="12"/>
              </w:rPr>
              <w:t>ț</w:t>
            </w:r>
            <w:r>
              <w:rPr>
                <w:rFonts w:ascii="Times New Roman"/>
                <w:noProof/>
                <w:sz w:val="12"/>
              </w:rPr>
              <w:t xml:space="preserve">i de Comisie </w:t>
            </w:r>
            <w:r>
              <w:rPr>
                <w:rFonts w:ascii="Times New Roman"/>
                <w:noProof/>
                <w:sz w:val="12"/>
              </w:rPr>
              <w:t>î</w:t>
            </w:r>
            <w:r>
              <w:rPr>
                <w:rFonts w:ascii="Times New Roman"/>
                <w:noProof/>
                <w:sz w:val="12"/>
              </w:rPr>
              <w:t xml:space="preserve">n temeiul </w:t>
            </w:r>
            <w:r>
              <w:rPr>
                <w:noProof/>
              </w:rPr>
              <w:t xml:space="preserve"> </w:t>
            </w:r>
            <w:r>
              <w:rPr>
                <w:noProof/>
              </w:rPr>
              <w:br/>
            </w:r>
            <w:r>
              <w:rPr>
                <w:rFonts w:ascii="Times New Roman"/>
                <w:noProof/>
                <w:sz w:val="12"/>
              </w:rPr>
              <w:t xml:space="preserve">articolelor 3a </w:t>
            </w:r>
            <w:r>
              <w:rPr>
                <w:rFonts w:ascii="Times New Roman"/>
                <w:noProof/>
                <w:sz w:val="12"/>
              </w:rPr>
              <w:t>ș</w:t>
            </w:r>
            <w:r>
              <w:rPr>
                <w:rFonts w:ascii="Times New Roman"/>
                <w:noProof/>
                <w:sz w:val="12"/>
              </w:rPr>
              <w:t>i 3b din regim</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1.11.2017</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1148"/>
        </w:trPr>
        <w:tc>
          <w:tcPr>
            <w:tcW w:w="1156" w:type="dxa"/>
            <w:vMerge w:val="restart"/>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Procedurile de recrutare pentru</w:t>
            </w:r>
          </w:p>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Agenții contractuali</w:t>
            </w:r>
          </w:p>
        </w:tc>
        <w:tc>
          <w:tcPr>
            <w:tcW w:w="3029" w:type="dxa"/>
            <w:tcBorders>
              <w:top w:val="single" w:sz="6" w:space="0" w:color="000000"/>
              <w:left w:val="single" w:sz="3" w:space="0" w:color="000000"/>
              <w:bottom w:val="single" w:sz="4" w:space="0" w:color="auto"/>
              <w:right w:val="single" w:sz="4" w:space="0" w:color="000000"/>
            </w:tcBorders>
            <w:shd w:val="clear" w:color="auto" w:fill="D99594"/>
            <w:vAlign w:val="center"/>
          </w:tcPr>
          <w:p>
            <w:pPr>
              <w:widowControl w:val="0"/>
              <w:spacing w:after="0" w:line="271" w:lineRule="auto"/>
              <w:ind w:right="65"/>
              <w:jc w:val="center"/>
              <w:rPr>
                <w:noProof/>
              </w:rPr>
            </w:pPr>
            <w:r>
              <w:rPr>
                <w:rFonts w:ascii="Times New Roman" w:hAnsi="Times New Roman"/>
                <w:noProof/>
                <w:sz w:val="12"/>
              </w:rPr>
              <w:t xml:space="preserve">C(2004)1597/6 final – Decizia Comisiei privind durata maximă pentru care se recurge la personal nepermanent în serviciile Comisiei </w:t>
            </w:r>
            <w:r>
              <w:rPr>
                <w:noProof/>
              </w:rPr>
              <w:t xml:space="preserve"> </w:t>
            </w:r>
            <w:r>
              <w:rPr>
                <w:noProof/>
              </w:rPr>
              <w:br/>
            </w:r>
            <w:r>
              <w:rPr>
                <w:rFonts w:ascii="Times New Roman" w:hAnsi="Times New Roman"/>
                <w:noProof/>
                <w:sz w:val="12"/>
              </w:rPr>
              <w:t xml:space="preserve">[modificată prin C(2011)7071 final din 5.10.2011, </w:t>
            </w:r>
            <w:r>
              <w:rPr>
                <w:noProof/>
              </w:rPr>
              <w:t xml:space="preserve"> </w:t>
            </w:r>
            <w:r>
              <w:rPr>
                <w:noProof/>
              </w:rPr>
              <w:br/>
            </w:r>
            <w:r>
              <w:rPr>
                <w:rFonts w:ascii="Times New Roman" w:hAnsi="Times New Roman"/>
                <w:noProof/>
                <w:sz w:val="12"/>
              </w:rPr>
              <w:t xml:space="preserve">C(2013)9028 final din 16.12.2013 și </w:t>
            </w:r>
            <w:r>
              <w:rPr>
                <w:noProof/>
              </w:rPr>
              <w:t xml:space="preserve"> </w:t>
            </w:r>
            <w:r>
              <w:rPr>
                <w:noProof/>
              </w:rPr>
              <w:br/>
            </w:r>
            <w:r>
              <w:rPr>
                <w:rFonts w:ascii="Times New Roman" w:hAnsi="Times New Roman"/>
                <w:noProof/>
                <w:sz w:val="12"/>
              </w:rPr>
              <w:t>modificată ultima dată prin C(2019) 2548 final din 5.4.2019]</w:t>
            </w:r>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6" w:space="0" w:color="000000"/>
              <w:left w:val="single" w:sz="4" w:space="0" w:color="000000"/>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989"/>
        </w:trPr>
        <w:tc>
          <w:tcPr>
            <w:tcW w:w="1156" w:type="dxa"/>
            <w:vMerge/>
            <w:tcBorders>
              <w:left w:val="single" w:sz="4"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3" w:space="0" w:color="000000"/>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noProof/>
                <w:sz w:val="12"/>
              </w:rPr>
              <w:t>C(2017)6760 final privind dispozi</w:t>
            </w:r>
            <w:r>
              <w:rPr>
                <w:rFonts w:ascii="Times New Roman"/>
                <w:noProof/>
                <w:sz w:val="12"/>
              </w:rPr>
              <w:t>ț</w:t>
            </w:r>
            <w:r>
              <w:rPr>
                <w:rFonts w:ascii="Times New Roman"/>
                <w:noProof/>
                <w:sz w:val="12"/>
              </w:rPr>
              <w:t xml:space="preserve">iile generale de punere </w:t>
            </w:r>
            <w:r>
              <w:rPr>
                <w:rFonts w:ascii="Times New Roman"/>
                <w:noProof/>
                <w:sz w:val="12"/>
              </w:rPr>
              <w:t>î</w:t>
            </w:r>
            <w:r>
              <w:rPr>
                <w:rFonts w:ascii="Times New Roman"/>
                <w:noProof/>
                <w:sz w:val="12"/>
              </w:rPr>
              <w:t>n aplicare a articolului 79 alineatul (2) din Regimul aplicabil celorlal</w:t>
            </w:r>
            <w:r>
              <w:rPr>
                <w:rFonts w:ascii="Times New Roman"/>
                <w:noProof/>
                <w:sz w:val="12"/>
              </w:rPr>
              <w:t>ț</w:t>
            </w:r>
            <w:r>
              <w:rPr>
                <w:rFonts w:ascii="Times New Roman"/>
                <w:noProof/>
                <w:sz w:val="12"/>
              </w:rPr>
              <w:t>i agen</w:t>
            </w:r>
            <w:r>
              <w:rPr>
                <w:rFonts w:ascii="Times New Roman"/>
                <w:noProof/>
                <w:sz w:val="12"/>
              </w:rPr>
              <w:t>ț</w:t>
            </w:r>
            <w:r>
              <w:rPr>
                <w:rFonts w:ascii="Times New Roman"/>
                <w:noProof/>
                <w:sz w:val="12"/>
              </w:rPr>
              <w:t>i ai Uniunii Europene, care reglementeaz</w:t>
            </w:r>
            <w:r>
              <w:rPr>
                <w:rFonts w:ascii="Times New Roman"/>
                <w:noProof/>
                <w:sz w:val="12"/>
              </w:rPr>
              <w:t>ă</w:t>
            </w:r>
            <w:r>
              <w:rPr>
                <w:rFonts w:ascii="Times New Roman"/>
                <w:noProof/>
                <w:sz w:val="12"/>
              </w:rPr>
              <w:t xml:space="preserve"> condi</w:t>
            </w:r>
            <w:r>
              <w:rPr>
                <w:rFonts w:ascii="Times New Roman"/>
                <w:noProof/>
                <w:sz w:val="12"/>
              </w:rPr>
              <w:t>ț</w:t>
            </w:r>
            <w:r>
              <w:rPr>
                <w:rFonts w:ascii="Times New Roman"/>
                <w:noProof/>
                <w:sz w:val="12"/>
              </w:rPr>
              <w:t xml:space="preserve">iile de </w:t>
            </w:r>
            <w:r>
              <w:rPr>
                <w:rFonts w:ascii="Times New Roman"/>
                <w:noProof/>
                <w:sz w:val="12"/>
              </w:rPr>
              <w:t>î</w:t>
            </w:r>
            <w:r>
              <w:rPr>
                <w:rFonts w:ascii="Times New Roman"/>
                <w:noProof/>
                <w:sz w:val="12"/>
              </w:rPr>
              <w:t xml:space="preserve">ncadrare </w:t>
            </w:r>
            <w:r>
              <w:rPr>
                <w:rFonts w:ascii="Times New Roman"/>
                <w:noProof/>
                <w:sz w:val="12"/>
              </w:rPr>
              <w:t>î</w:t>
            </w:r>
            <w:r>
              <w:rPr>
                <w:rFonts w:ascii="Times New Roman"/>
                <w:noProof/>
                <w:sz w:val="12"/>
              </w:rPr>
              <w:t>n munc</w:t>
            </w:r>
            <w:r>
              <w:rPr>
                <w:rFonts w:ascii="Times New Roman"/>
                <w:noProof/>
                <w:sz w:val="12"/>
              </w:rPr>
              <w:t>ă</w:t>
            </w:r>
            <w:r>
              <w:rPr>
                <w:rFonts w:ascii="Times New Roman"/>
                <w:noProof/>
                <w:sz w:val="12"/>
              </w:rPr>
              <w:t xml:space="preserve"> a agen</w:t>
            </w:r>
            <w:r>
              <w:rPr>
                <w:rFonts w:ascii="Times New Roman"/>
                <w:noProof/>
                <w:sz w:val="12"/>
              </w:rPr>
              <w:t>ț</w:t>
            </w:r>
            <w:r>
              <w:rPr>
                <w:rFonts w:ascii="Times New Roman"/>
                <w:noProof/>
                <w:sz w:val="12"/>
              </w:rPr>
              <w:t>ilor contractuali angaja</w:t>
            </w:r>
            <w:r>
              <w:rPr>
                <w:rFonts w:ascii="Times New Roman"/>
                <w:noProof/>
                <w:sz w:val="12"/>
              </w:rPr>
              <w:t>ț</w:t>
            </w:r>
            <w:r>
              <w:rPr>
                <w:rFonts w:ascii="Times New Roman"/>
                <w:noProof/>
                <w:sz w:val="12"/>
              </w:rPr>
              <w:t xml:space="preserve">i de Comisie </w:t>
            </w:r>
            <w:r>
              <w:rPr>
                <w:rFonts w:ascii="Times New Roman"/>
                <w:noProof/>
                <w:sz w:val="12"/>
              </w:rPr>
              <w:t>î</w:t>
            </w:r>
            <w:r>
              <w:rPr>
                <w:rFonts w:ascii="Times New Roman"/>
                <w:noProof/>
                <w:sz w:val="12"/>
              </w:rPr>
              <w:t xml:space="preserve">n temeiul </w:t>
            </w:r>
            <w:r>
              <w:rPr>
                <w:noProof/>
              </w:rPr>
              <w:t xml:space="preserve"> </w:t>
            </w:r>
            <w:r>
              <w:rPr>
                <w:noProof/>
              </w:rPr>
              <w:br/>
            </w:r>
            <w:r>
              <w:rPr>
                <w:rFonts w:ascii="Times New Roman"/>
                <w:noProof/>
                <w:sz w:val="12"/>
              </w:rPr>
              <w:t xml:space="preserve">articolelor 3a </w:t>
            </w:r>
            <w:r>
              <w:rPr>
                <w:rFonts w:ascii="Times New Roman"/>
                <w:noProof/>
                <w:sz w:val="12"/>
              </w:rPr>
              <w:t>ș</w:t>
            </w:r>
            <w:r>
              <w:rPr>
                <w:rFonts w:ascii="Times New Roman"/>
                <w:noProof/>
                <w:sz w:val="12"/>
              </w:rPr>
              <w:t>i 3b din regim</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1.11.2017</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Capitolul 4 – Dispoziții speciale aplicabile agenților contractuali menționați la articolul 3a</w:t>
            </w:r>
          </w:p>
        </w:tc>
      </w:tr>
      <w:tr>
        <w:trPr>
          <w:trHeight w:hRule="exact" w:val="976"/>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85</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rPr>
            </w:pPr>
            <w:r>
              <w:rPr>
                <w:rFonts w:ascii="Times New Roman" w:hAnsi="Times New Roman"/>
                <w:b/>
                <w:noProof/>
                <w:sz w:val="16"/>
              </w:rPr>
              <w:t>Membrii personalului angajați în temeiul dreptului intern care nu pot deveni agenți contractuali</w:t>
            </w:r>
          </w:p>
        </w:tc>
        <w:tc>
          <w:tcPr>
            <w:tcW w:w="3029" w:type="dxa"/>
            <w:tcBorders>
              <w:top w:val="single" w:sz="6" w:space="0" w:color="000000"/>
              <w:left w:val="single" w:sz="4" w:space="0" w:color="auto"/>
              <w:bottom w:val="single" w:sz="4" w:space="0" w:color="auto"/>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w w:val="105"/>
                <w:sz w:val="12"/>
              </w:rPr>
            </w:pPr>
            <w:r>
              <w:rPr>
                <w:rFonts w:ascii="Times New Roman" w:hAnsi="Times New Roman"/>
                <w:noProof/>
                <w:sz w:val="12"/>
              </w:rPr>
              <w:t>C(2008)4593 final – Decizia Comisiei</w:t>
            </w:r>
          </w:p>
          <w:p>
            <w:pPr>
              <w:widowControl w:val="0"/>
              <w:spacing w:after="0" w:line="271" w:lineRule="auto"/>
              <w:ind w:right="65"/>
              <w:jc w:val="center"/>
              <w:rPr>
                <w:rFonts w:ascii="Times New Roman" w:hAnsi="Times New Roman" w:cs="Times New Roman"/>
                <w:noProof/>
                <w:w w:val="105"/>
                <w:sz w:val="12"/>
              </w:rPr>
            </w:pPr>
            <w:r>
              <w:rPr>
                <w:rFonts w:ascii="Times New Roman" w:hAnsi="Times New Roman"/>
                <w:noProof/>
                <w:sz w:val="12"/>
              </w:rPr>
              <w:t xml:space="preserve">privind anumite categorii de personal angajat de Comisia Europeană în </w:t>
            </w:r>
          </w:p>
          <w:p>
            <w:pPr>
              <w:widowControl w:val="0"/>
              <w:spacing w:after="0" w:line="271" w:lineRule="auto"/>
              <w:ind w:right="65"/>
              <w:jc w:val="center"/>
              <w:rPr>
                <w:rFonts w:ascii="Times New Roman" w:hAnsi="Times New Roman" w:cs="Times New Roman"/>
                <w:noProof/>
                <w:w w:val="105"/>
                <w:sz w:val="12"/>
              </w:rPr>
            </w:pPr>
            <w:r>
              <w:rPr>
                <w:rFonts w:ascii="Times New Roman" w:hAnsi="Times New Roman"/>
                <w:noProof/>
                <w:sz w:val="12"/>
              </w:rPr>
              <w:t xml:space="preserve">Uniunea Europeană în temeiul unui contract pe durată nedeterminată în conformitate cu dreptul intern al unuia </w:t>
            </w:r>
          </w:p>
          <w:p>
            <w:pPr>
              <w:widowControl w:val="0"/>
              <w:spacing w:after="0" w:line="271" w:lineRule="auto"/>
              <w:ind w:right="65"/>
              <w:jc w:val="center"/>
              <w:rPr>
                <w:noProof/>
              </w:rPr>
            </w:pPr>
            <w:r>
              <w:rPr>
                <w:rFonts w:ascii="Times New Roman" w:hAnsi="Times New Roman"/>
                <w:noProof/>
                <w:sz w:val="12"/>
              </w:rPr>
              <w:t>dintre statele membre</w:t>
            </w:r>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28.8.2008</w:t>
            </w:r>
          </w:p>
        </w:tc>
        <w:tc>
          <w:tcPr>
            <w:tcW w:w="1687" w:type="dxa"/>
            <w:tcBorders>
              <w:top w:val="single" w:sz="6" w:space="0" w:color="000000"/>
              <w:left w:val="single" w:sz="4" w:space="0" w:color="000000"/>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998"/>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86</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Încadrarea în grad la momentul recrutării</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C(2004)1597/6 final – Decizia Comisiei privind durata maximă pentru care se recurge la personal nepermanent în serviciile Comisiei </w:t>
            </w:r>
            <w:r>
              <w:rPr>
                <w:noProof/>
              </w:rPr>
              <w:t xml:space="preserve"> </w:t>
            </w:r>
            <w:r>
              <w:rPr>
                <w:noProof/>
              </w:rPr>
              <w:br/>
            </w:r>
            <w:r>
              <w:rPr>
                <w:rFonts w:ascii="Times New Roman" w:hAnsi="Times New Roman"/>
                <w:noProof/>
                <w:sz w:val="12"/>
              </w:rPr>
              <w:t xml:space="preserve">[modificată prin C(2011)7071 final din 5.10.2011, </w:t>
            </w:r>
            <w:r>
              <w:rPr>
                <w:noProof/>
              </w:rPr>
              <w:t xml:space="preserve"> </w:t>
            </w:r>
            <w:r>
              <w:rPr>
                <w:noProof/>
              </w:rPr>
              <w:br/>
            </w:r>
            <w:r>
              <w:rPr>
                <w:rFonts w:ascii="Times New Roman" w:hAnsi="Times New Roman"/>
                <w:noProof/>
                <w:sz w:val="12"/>
              </w:rPr>
              <w:t xml:space="preserve">C(2013)9028 final din 16.12.2013 și </w:t>
            </w:r>
            <w:r>
              <w:rPr>
                <w:noProof/>
              </w:rPr>
              <w:t xml:space="preserve"> </w:t>
            </w:r>
            <w:r>
              <w:rPr>
                <w:noProof/>
              </w:rPr>
              <w:br/>
            </w:r>
            <w:r>
              <w:rPr>
                <w:rFonts w:ascii="Times New Roman" w:hAnsi="Times New Roman"/>
                <w:noProof/>
                <w:sz w:val="12"/>
              </w:rPr>
              <w:t>modificată ultima dată prin C(2019) 2548 final din 5.4.2019]</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985"/>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noProof/>
                <w:sz w:val="12"/>
              </w:rPr>
              <w:t>C(2017)6760 final privind dispozi</w:t>
            </w:r>
            <w:r>
              <w:rPr>
                <w:rFonts w:ascii="Times New Roman"/>
                <w:noProof/>
                <w:sz w:val="12"/>
              </w:rPr>
              <w:t>ț</w:t>
            </w:r>
            <w:r>
              <w:rPr>
                <w:rFonts w:ascii="Times New Roman"/>
                <w:noProof/>
                <w:sz w:val="12"/>
              </w:rPr>
              <w:t xml:space="preserve">iile generale de punere </w:t>
            </w:r>
            <w:r>
              <w:rPr>
                <w:rFonts w:ascii="Times New Roman"/>
                <w:noProof/>
                <w:sz w:val="12"/>
              </w:rPr>
              <w:t>î</w:t>
            </w:r>
            <w:r>
              <w:rPr>
                <w:rFonts w:ascii="Times New Roman"/>
                <w:noProof/>
                <w:sz w:val="12"/>
              </w:rPr>
              <w:t>n aplicare a articolului 79 alineatul (2) din Regimul aplicabil celorlal</w:t>
            </w:r>
            <w:r>
              <w:rPr>
                <w:rFonts w:ascii="Times New Roman"/>
                <w:noProof/>
                <w:sz w:val="12"/>
              </w:rPr>
              <w:t>ț</w:t>
            </w:r>
            <w:r>
              <w:rPr>
                <w:rFonts w:ascii="Times New Roman"/>
                <w:noProof/>
                <w:sz w:val="12"/>
              </w:rPr>
              <w:t>i agen</w:t>
            </w:r>
            <w:r>
              <w:rPr>
                <w:rFonts w:ascii="Times New Roman"/>
                <w:noProof/>
                <w:sz w:val="12"/>
              </w:rPr>
              <w:t>ț</w:t>
            </w:r>
            <w:r>
              <w:rPr>
                <w:rFonts w:ascii="Times New Roman"/>
                <w:noProof/>
                <w:sz w:val="12"/>
              </w:rPr>
              <w:t>i ai Uniunii Europene care reglementeaz</w:t>
            </w:r>
            <w:r>
              <w:rPr>
                <w:rFonts w:ascii="Times New Roman"/>
                <w:noProof/>
                <w:sz w:val="12"/>
              </w:rPr>
              <w:t>ă</w:t>
            </w:r>
            <w:r>
              <w:rPr>
                <w:rFonts w:ascii="Times New Roman"/>
                <w:noProof/>
                <w:sz w:val="12"/>
              </w:rPr>
              <w:t xml:space="preserve"> condi</w:t>
            </w:r>
            <w:r>
              <w:rPr>
                <w:rFonts w:ascii="Times New Roman"/>
                <w:noProof/>
                <w:sz w:val="12"/>
              </w:rPr>
              <w:t>ț</w:t>
            </w:r>
            <w:r>
              <w:rPr>
                <w:rFonts w:ascii="Times New Roman"/>
                <w:noProof/>
                <w:sz w:val="12"/>
              </w:rPr>
              <w:t xml:space="preserve">iile de </w:t>
            </w:r>
            <w:r>
              <w:rPr>
                <w:rFonts w:ascii="Times New Roman"/>
                <w:noProof/>
                <w:sz w:val="12"/>
              </w:rPr>
              <w:t>î</w:t>
            </w:r>
            <w:r>
              <w:rPr>
                <w:rFonts w:ascii="Times New Roman"/>
                <w:noProof/>
                <w:sz w:val="12"/>
              </w:rPr>
              <w:t xml:space="preserve">ncadrare </w:t>
            </w:r>
            <w:r>
              <w:rPr>
                <w:rFonts w:ascii="Times New Roman"/>
                <w:noProof/>
                <w:sz w:val="12"/>
              </w:rPr>
              <w:t>î</w:t>
            </w:r>
            <w:r>
              <w:rPr>
                <w:rFonts w:ascii="Times New Roman"/>
                <w:noProof/>
                <w:sz w:val="12"/>
              </w:rPr>
              <w:t>n munc</w:t>
            </w:r>
            <w:r>
              <w:rPr>
                <w:rFonts w:ascii="Times New Roman"/>
                <w:noProof/>
                <w:sz w:val="12"/>
              </w:rPr>
              <w:t>ă</w:t>
            </w:r>
            <w:r>
              <w:rPr>
                <w:rFonts w:ascii="Times New Roman"/>
                <w:noProof/>
                <w:sz w:val="12"/>
              </w:rPr>
              <w:t xml:space="preserve"> a agen</w:t>
            </w:r>
            <w:r>
              <w:rPr>
                <w:rFonts w:ascii="Times New Roman"/>
                <w:noProof/>
                <w:sz w:val="12"/>
              </w:rPr>
              <w:t>ț</w:t>
            </w:r>
            <w:r>
              <w:rPr>
                <w:rFonts w:ascii="Times New Roman"/>
                <w:noProof/>
                <w:sz w:val="12"/>
              </w:rPr>
              <w:t>ilor contractuali angaja</w:t>
            </w:r>
            <w:r>
              <w:rPr>
                <w:rFonts w:ascii="Times New Roman"/>
                <w:noProof/>
                <w:sz w:val="12"/>
              </w:rPr>
              <w:t>ț</w:t>
            </w:r>
            <w:r>
              <w:rPr>
                <w:rFonts w:ascii="Times New Roman"/>
                <w:noProof/>
                <w:sz w:val="12"/>
              </w:rPr>
              <w:t xml:space="preserve">i de Comisie </w:t>
            </w:r>
            <w:r>
              <w:rPr>
                <w:rFonts w:ascii="Times New Roman"/>
                <w:noProof/>
                <w:sz w:val="12"/>
              </w:rPr>
              <w:t>î</w:t>
            </w:r>
            <w:r>
              <w:rPr>
                <w:rFonts w:ascii="Times New Roman"/>
                <w:noProof/>
                <w:sz w:val="12"/>
              </w:rPr>
              <w:t xml:space="preserve">n temeiul </w:t>
            </w:r>
            <w:r>
              <w:rPr>
                <w:noProof/>
              </w:rPr>
              <w:t xml:space="preserve"> </w:t>
            </w:r>
            <w:r>
              <w:rPr>
                <w:noProof/>
              </w:rPr>
              <w:br/>
            </w:r>
            <w:r>
              <w:rPr>
                <w:rFonts w:ascii="Times New Roman"/>
                <w:noProof/>
                <w:sz w:val="12"/>
              </w:rPr>
              <w:t xml:space="preserve">articolelor 3a </w:t>
            </w:r>
            <w:r>
              <w:rPr>
                <w:rFonts w:ascii="Times New Roman"/>
                <w:noProof/>
                <w:sz w:val="12"/>
              </w:rPr>
              <w:t>ș</w:t>
            </w:r>
            <w:r>
              <w:rPr>
                <w:rFonts w:ascii="Times New Roman"/>
                <w:noProof/>
                <w:sz w:val="12"/>
              </w:rPr>
              <w:t>i 3b din regim</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1.11.2017</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84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Evaluarea agenților contractuali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C(2014) 2226 final – Decizia Comisiei privind dispozițiile generale de punere în aplicare a articolului 87 alineatul (1) din Regimul aplicabil celorlalți agenți ai Uniunii Europene și de punere în aplicare a articolului 44 primul paragraf din Statutul funcționarilor</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7.4.2014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43"/>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 alineatul (3)</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Reclasificarea agenților contractuali</w:t>
            </w:r>
          </w:p>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C(2013)2529 final – Decizia Comisiei privind dispozițiile generale de punere în aplicare a articolului 87 alineatul (3) din Regimul aplicabil celorlalți agenți ai Uniunii Europene </w:t>
            </w:r>
            <w:r>
              <w:rPr>
                <w:noProof/>
              </w:rPr>
              <w:t xml:space="preserve"> </w:t>
            </w:r>
            <w:r>
              <w:rPr>
                <w:noProof/>
              </w:rPr>
              <w:br/>
            </w:r>
            <w:r>
              <w:rPr>
                <w:rFonts w:ascii="Times New Roman" w:hAnsi="Times New Roman"/>
                <w:noProof/>
                <w:sz w:val="12"/>
              </w:rPr>
              <w:t>[modificată ultima dată prin C(2014)2222 final din 7.4.2014]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3.5.2013</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45"/>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90</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Interpreți de conferință</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 xml:space="preserve">C(2006)6975 – Normele Comisiei aplicabile interpreților de conferință angajați în conformitate cu articolele 78 și 90 din Regimul aplicabil celorlalți agenți </w:t>
            </w:r>
            <w:r>
              <w:rPr>
                <w:noProof/>
              </w:rPr>
              <w:t xml:space="preserve"> </w:t>
            </w:r>
            <w:r>
              <w:rPr>
                <w:noProof/>
              </w:rPr>
              <w:br/>
            </w:r>
            <w:r>
              <w:rPr>
                <w:rFonts w:ascii="Times New Roman" w:hAnsi="Times New Roman"/>
                <w:noProof/>
                <w:sz w:val="12"/>
              </w:rPr>
              <w:t>ai Comunităților Europene</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22.12.2006</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Capitolul 11 – Dispoziții speciale și derogatorii aplicabile agenților contractuali repartizați într-o țară terță</w:t>
            </w:r>
          </w:p>
        </w:tc>
      </w:tr>
      <w:tr>
        <w:trPr>
          <w:trHeight w:hRule="exact" w:val="680"/>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118</w:t>
            </w:r>
          </w:p>
        </w:tc>
        <w:tc>
          <w:tcPr>
            <w:tcW w:w="2551" w:type="dxa"/>
            <w:vMerge w:val="restart"/>
            <w:tcBorders>
              <w:top w:val="single" w:sz="4" w:space="0" w:color="auto"/>
              <w:left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rPr>
            </w:pPr>
            <w:r>
              <w:rPr>
                <w:rFonts w:ascii="Times New Roman" w:hAnsi="Times New Roman"/>
                <w:b/>
                <w:noProof/>
                <w:sz w:val="16"/>
              </w:rPr>
              <w:t>Mobilitatea</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noProof/>
              </w:rPr>
            </w:pPr>
            <w:r>
              <w:rPr>
                <w:rFonts w:ascii="Times New Roman"/>
                <w:noProof/>
                <w:sz w:val="12"/>
              </w:rPr>
              <w:t xml:space="preserve">C(2016)5378 final </w:t>
            </w:r>
            <w:r>
              <w:rPr>
                <w:rFonts w:ascii="Times New Roman"/>
                <w:noProof/>
                <w:sz w:val="12"/>
              </w:rPr>
              <w:t>–</w:t>
            </w:r>
            <w:r>
              <w:rPr>
                <w:rFonts w:ascii="Times New Roman"/>
                <w:noProof/>
                <w:sz w:val="12"/>
              </w:rPr>
              <w:t xml:space="preserve"> Decizia Comisiei privind mobilitatea personalului Comisiei Europene repartizat </w:t>
            </w:r>
            <w:r>
              <w:rPr>
                <w:rFonts w:ascii="Times New Roman"/>
                <w:noProof/>
                <w:sz w:val="12"/>
              </w:rPr>
              <w:t>î</w:t>
            </w:r>
            <w:r>
              <w:rPr>
                <w:rFonts w:ascii="Times New Roman"/>
                <w:noProof/>
                <w:sz w:val="12"/>
              </w:rPr>
              <w:t>n delega</w:t>
            </w:r>
            <w:r>
              <w:rPr>
                <w:rFonts w:ascii="Times New Roman"/>
                <w:noProof/>
                <w:sz w:val="12"/>
              </w:rPr>
              <w:t>ț</w:t>
            </w:r>
            <w:r>
              <w:rPr>
                <w:rFonts w:ascii="Times New Roman"/>
                <w:noProof/>
                <w:sz w:val="12"/>
              </w:rPr>
              <w:t>iile Uniunii Europene</w:t>
            </w:r>
            <w:r>
              <w:rPr>
                <w:noProof/>
              </w:rPr>
              <w:t xml:space="preserve"> </w:t>
            </w:r>
            <w:r>
              <w:rPr>
                <w:noProof/>
              </w:rPr>
              <w:br/>
            </w:r>
            <w:r>
              <w:rPr>
                <w:rFonts w:ascii="Times New Roman"/>
                <w:noProof/>
                <w:sz w:val="12"/>
              </w:rPr>
              <w:t>[modificat</w:t>
            </w:r>
            <w:r>
              <w:rPr>
                <w:rFonts w:ascii="Times New Roman"/>
                <w:noProof/>
                <w:sz w:val="12"/>
              </w:rPr>
              <w:t>ă</w:t>
            </w:r>
            <w:r>
              <w:rPr>
                <w:rFonts w:ascii="Times New Roman"/>
                <w:noProof/>
                <w:sz w:val="12"/>
              </w:rPr>
              <w:t xml:space="preserve"> prin C(2018)4765 final din 24.7.2018]</w:t>
            </w:r>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30.8.2016</w:t>
            </w:r>
          </w:p>
        </w:tc>
        <w:tc>
          <w:tcPr>
            <w:tcW w:w="1687" w:type="dxa"/>
            <w:tcBorders>
              <w:top w:val="single" w:sz="6" w:space="0" w:color="000000"/>
              <w:left w:val="single" w:sz="4" w:space="0" w:color="000000"/>
              <w:bottom w:val="single" w:sz="6"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26.2.2020</w:t>
            </w:r>
          </w:p>
        </w:tc>
        <w:tc>
          <w:tcPr>
            <w:tcW w:w="936" w:type="dxa"/>
            <w:vMerge w:val="restart"/>
            <w:tcBorders>
              <w:top w:val="single" w:sz="4" w:space="0" w:color="auto"/>
              <w:left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4" w:space="0" w:color="auto"/>
              <w:right w:val="single" w:sz="4" w:space="0" w:color="000000"/>
            </w:tcBorders>
            <w:shd w:val="clear" w:color="auto" w:fill="D99594"/>
            <w:vAlign w:val="center"/>
          </w:tcPr>
          <w:p>
            <w:pPr>
              <w:widowControl w:val="0"/>
              <w:spacing w:before="6" w:after="0" w:line="240" w:lineRule="auto"/>
              <w:jc w:val="center"/>
              <w:rPr>
                <w:rFonts w:ascii="Times New Roman" w:eastAsia="Times New Roman" w:hAnsi="Times New Roman" w:cs="Times New Roman"/>
                <w:noProof/>
                <w:sz w:val="12"/>
                <w:szCs w:val="12"/>
              </w:rPr>
            </w:pPr>
            <w:r>
              <w:rPr>
                <w:rFonts w:ascii="Times New Roman" w:hAnsi="Times New Roman"/>
                <w:noProof/>
                <w:sz w:val="12"/>
              </w:rPr>
              <w:t>C(2020)997 final – Decizia Comisiei privind mobilitatea agenților contractuali ai Comisiei Europene repartizați în delegațiile Uniunii Europene</w:t>
            </w:r>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26.2.2020</w:t>
            </w:r>
          </w:p>
        </w:tc>
        <w:tc>
          <w:tcPr>
            <w:tcW w:w="1687" w:type="dxa"/>
            <w:tcBorders>
              <w:top w:val="single" w:sz="6" w:space="0" w:color="000000"/>
              <w:left w:val="single" w:sz="4" w:space="0" w:color="000000"/>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Agenții locali</w:t>
            </w:r>
          </w:p>
        </w:tc>
      </w:tr>
      <w:tr>
        <w:trPr>
          <w:trHeight w:hRule="exact" w:val="567"/>
        </w:trPr>
        <w:tc>
          <w:tcPr>
            <w:tcW w:w="1156" w:type="dxa"/>
            <w:vMerge w:val="restart"/>
            <w:tcBorders>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4 + 120</w:t>
            </w:r>
          </w:p>
        </w:tc>
        <w:tc>
          <w:tcPr>
            <w:tcW w:w="2551" w:type="dxa"/>
            <w:vMerge w:val="restart"/>
            <w:tcBorders>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7"/>
              </w:rPr>
              <w:t>Condițiile de încadrare în muncă</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r>
              <w:rPr>
                <w:rFonts w:ascii="Times New Roman" w:hAnsi="Times New Roman"/>
                <w:noProof/>
                <w:sz w:val="12"/>
              </w:rPr>
              <w:t>Normele-cadru ale Comisiei de stabilire a condițiilor de angajare a agenților locali repartizați în cadrul birourilor și delegațiilor Uniunii Europene</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30.9.2002</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07"/>
        </w:trPr>
        <w:tc>
          <w:tcPr>
            <w:tcW w:w="1156" w:type="dxa"/>
            <w:vMerge/>
            <w:tcBorders>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Norme-cadru de stabilire a condițiilor de angajare a personalului local al Comisiei Comunităților Europene repartizat în țări terțe, adoptate de Comisie la 21 noiembrie 1989</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hAnsi="Times New Roman" w:cs="Times New Roman"/>
                <w:noProof/>
                <w:w w:val="105"/>
                <w:sz w:val="12"/>
              </w:rPr>
            </w:pPr>
            <w:r>
              <w:rPr>
                <w:rFonts w:ascii="Times New Roman" w:hAnsi="Times New Roman"/>
                <w:noProof/>
                <w:sz w:val="12"/>
              </w:rPr>
              <w:t>1.1.1990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990"/>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C(2019)5686 final – Decizia comună a Comisiei și a Înaltului Reprezentant al Uniunii pentru afaceri externe și politica de securitate privind condițiile de angajare a agenților locali ai Uniunii Europene în locuri din afara Uniunii Europene</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0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120 + 121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7"/>
              </w:rPr>
              <w:t>Comisiile paritare pentru agenții locali</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r>
              <w:rPr>
                <w:rFonts w:ascii="Times New Roman" w:hAnsi="Times New Roman"/>
                <w:noProof/>
                <w:sz w:val="12"/>
              </w:rPr>
              <w:t>JOIN(2020)1 final – Decizia comună a Comisiei și a Înaltului Reprezentant al Uniunii pentru afaceri externe și politica de securitate privind comisiile paritare interinstituționale pentru anumite politici privind agenții locali</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14.1.2020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000"/>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121</w:t>
            </w:r>
          </w:p>
        </w:tc>
        <w:tc>
          <w:tcPr>
            <w:tcW w:w="2551" w:type="dxa"/>
            <w:vMerge w:val="restart"/>
            <w:tcBorders>
              <w:top w:val="single" w:sz="4" w:space="0" w:color="auto"/>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7"/>
              </w:rPr>
              <w:t>Securitatea socială</w:t>
            </w: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bookmarkStart w:id="13" w:name="_Hlk164259635"/>
            <w:r>
              <w:rPr>
                <w:rFonts w:ascii="Times New Roman" w:hAnsi="Times New Roman"/>
                <w:noProof/>
                <w:sz w:val="12"/>
              </w:rPr>
              <w:t xml:space="preserve">C(2015)3461 final – Decizie comună a Comisiei </w:t>
            </w:r>
            <w:bookmarkEnd w:id="13"/>
            <w:r>
              <w:rPr>
                <w:rFonts w:ascii="Times New Roman" w:hAnsi="Times New Roman"/>
                <w:noProof/>
                <w:sz w:val="12"/>
              </w:rPr>
              <w:t>și a Înaltului Reprezentant al Uniunii pentru afaceri externe și politica de securitate privind gestionarea administrativă și financiară a activelor schemelor instituite pentru a asigura sisteme autonome sau complementare de securitate socială pentru personalul local din delegațiile Uniunii</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28.5.2015</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056"/>
        </w:trPr>
        <w:tc>
          <w:tcPr>
            <w:tcW w:w="1156" w:type="dxa"/>
            <w:vMerge/>
            <w:tcBorders>
              <w:left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C(2019)5684 final – Decizie comună a Comisiei și a Înaltului Reprezentant al Uniunii pentru afaceri externe și politica de securitate privind asigurarea medicală autonomă sau complementară pentru personalul local din delegațiile Uniunii în țările în care acoperirea prin sistemul local fie nu există, fie este insuficientă</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128"/>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6" w:space="0" w:color="000000"/>
              <w:right w:val="single" w:sz="4" w:space="0" w:color="000000"/>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C(2019)5685 final – Decizie comună a Comisiei și a Înaltului Reprezentant al Uniunii pentru afaceri externe și politica de securitate privind prestațiile de pensie autonome sau complementare pentru personalul local din delegațiile Uniunii în țările în care acoperirea prin sistemul local fie nu există, fie este insuficientă</w:t>
            </w:r>
          </w:p>
        </w:tc>
        <w:tc>
          <w:tcPr>
            <w:tcW w:w="1322" w:type="dxa"/>
            <w:tcBorders>
              <w:top w:val="single" w:sz="5" w:space="0" w:color="000000"/>
              <w:left w:val="single" w:sz="4"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1.6.2020</w:t>
            </w:r>
          </w:p>
        </w:tc>
        <w:tc>
          <w:tcPr>
            <w:tcW w:w="1687" w:type="dxa"/>
            <w:tcBorders>
              <w:top w:val="single" w:sz="5" w:space="0" w:color="000000"/>
              <w:left w:val="single" w:sz="3" w:space="0" w:color="000000"/>
              <w:bottom w:val="single" w:sz="5" w:space="0" w:color="000000"/>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4" w:space="0" w:color="auto"/>
              <w:left w:val="single" w:sz="4" w:space="0" w:color="auto"/>
              <w:bottom w:val="single" w:sz="4" w:space="0" w:color="auto"/>
              <w:right w:val="single" w:sz="4" w:space="0" w:color="auto"/>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VI – Consilierii speciali</w:t>
            </w:r>
          </w:p>
        </w:tc>
      </w:tr>
      <w:tr>
        <w:trPr>
          <w:trHeight w:hRule="exact" w:val="462"/>
        </w:trPr>
        <w:tc>
          <w:tcPr>
            <w:tcW w:w="1156" w:type="dxa"/>
            <w:vMerge w:val="restart"/>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5 +123 +124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Consilierii speciali</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65"/>
              <w:jc w:val="center"/>
              <w:rPr>
                <w:rFonts w:ascii="Times New Roman" w:hAnsi="Times New Roman" w:cs="Times New Roman"/>
                <w:noProof/>
                <w:spacing w:val="-1"/>
                <w:w w:val="105"/>
                <w:sz w:val="12"/>
              </w:rPr>
            </w:pPr>
            <w:r>
              <w:rPr>
                <w:rFonts w:ascii="Times New Roman" w:hAnsi="Times New Roman"/>
                <w:noProof/>
                <w:sz w:val="12"/>
              </w:rPr>
              <w:t>C(2007)6655 – Normele privind consilierii speciali ai Comisiei</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19.12.2007</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140"/>
              <w:jc w:val="center"/>
              <w:rPr>
                <w:rFonts w:ascii="Times New Roman" w:hAnsi="Times New Roman" w:cs="Times New Roman"/>
                <w:noProof/>
                <w:w w:val="105"/>
                <w:sz w:val="12"/>
              </w:rPr>
            </w:pPr>
            <w:r>
              <w:rPr>
                <w:rFonts w:ascii="Times New Roman" w:hAnsi="Times New Roman"/>
                <w:noProof/>
                <w:sz w:val="12"/>
              </w:rPr>
              <w:t>C(2016)1962 final – Decizia Comisiei privind numirea consilierilor speciali</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1.4.2016</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rPr>
      </w:pPr>
      <w:bookmarkStart w:id="14" w:name="_Hlk160015025"/>
      <w:r>
        <w:rPr>
          <w:rFonts w:ascii="Times New Roman" w:hAnsi="Times New Roman"/>
          <w:b/>
          <w:i/>
          <w:noProof/>
          <w:sz w:val="24"/>
          <w:u w:val="single"/>
        </w:rPr>
        <w:t>Legendă</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58240"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 name="Rectangle 1"/>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178.4pt;margin-top:17.9pt;width:156.2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Dispoziții generale de punere în aplicare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Alte norme de punere în aplicare</w:t>
            </w:r>
          </w:p>
        </w:tc>
      </w:tr>
      <w:bookmarkEnd w:id="14"/>
    </w:tbl>
    <w:p>
      <w:pPr>
        <w:rPr>
          <w:noProof/>
        </w:rPr>
      </w:pPr>
    </w:p>
    <w:p>
      <w:pPr>
        <w:rPr>
          <w:noProof/>
        </w:rPr>
      </w:pPr>
    </w:p>
    <w:p>
      <w:pPr>
        <w:rPr>
          <w:noProof/>
        </w:rPr>
      </w:pPr>
    </w:p>
    <w:p>
      <w:pPr>
        <w:rPr>
          <w:noProof/>
        </w:rPr>
      </w:pPr>
    </w:p>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1295"/>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t xml:space="preserve">CURTEA DE JUSTIȚIE </w:t>
            </w:r>
            <w:r>
              <w:rPr>
                <w:noProof/>
              </w:rPr>
              <w:t xml:space="preserve"> </w:t>
            </w:r>
            <w:r>
              <w:rPr>
                <w:noProof/>
              </w:rPr>
              <w:br/>
            </w:r>
            <w:r>
              <w:rPr>
                <w:rFonts w:ascii="Times New Roman" w:hAnsi="Times New Roman"/>
                <w:b/>
                <w:noProof/>
                <w:sz w:val="50"/>
              </w:rPr>
              <w:t xml:space="preserve">A UNIUNII EUROPENE </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748"/>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1d alineatul (4)</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Decizia grefierului Curții de Justiție din 17 octombrie 2022 privind aranjamentele de cazare rezonabile care permit unei persoane </w:t>
            </w:r>
            <w:r>
              <w:rPr>
                <w:noProof/>
              </w:rPr>
              <w:t xml:space="preserve"> </w:t>
            </w:r>
            <w:r>
              <w:rPr>
                <w:noProof/>
              </w:rPr>
              <w:br/>
            </w:r>
            <w:r>
              <w:rPr>
                <w:rFonts w:ascii="Times New Roman" w:hAnsi="Times New Roman"/>
                <w:noProof/>
                <w:sz w:val="12"/>
              </w:rPr>
              <w:t xml:space="preserve">cu handicap să aibă acces la un post și să exercite atribuțiile </w:t>
            </w:r>
            <w:r>
              <w:rPr>
                <w:noProof/>
              </w:rPr>
              <w:t xml:space="preserve"> </w:t>
            </w:r>
            <w:r>
              <w:rPr>
                <w:noProof/>
              </w:rPr>
              <w:br/>
            </w:r>
            <w:r>
              <w:rPr>
                <w:rFonts w:ascii="Times New Roman" w:hAnsi="Times New Roman"/>
                <w:noProof/>
                <w:sz w:val="12"/>
              </w:rPr>
              <w:t>aferente acestuia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1e alineatul (1)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Munca de la distanță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a Uniunii Europene din 12 iulie 2021 de instituire a unui sistem de muncă de la distanță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1.5.2022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31"/>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1e alineatul (2)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Sănătate</w:t>
            </w:r>
            <w:r>
              <w:rPr>
                <w:rFonts w:ascii="Times New Roman" w:hAnsi="Times New Roman"/>
                <w:b/>
                <w:noProof/>
                <w:sz w:val="17"/>
              </w:rPr>
              <w:t xml:space="preserve"> și siguranță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grefierului Curții de Justiție</w:t>
            </w:r>
            <w:r>
              <w:rPr>
                <w:noProof/>
              </w:rPr>
              <w:t xml:space="preserve"> </w:t>
            </w:r>
            <w:r>
              <w:rPr>
                <w:noProof/>
              </w:rPr>
              <w:br/>
            </w:r>
            <w:r>
              <w:rPr>
                <w:rFonts w:ascii="Times New Roman" w:hAnsi="Times New Roman"/>
                <w:noProof/>
                <w:sz w:val="12"/>
              </w:rPr>
              <w:t xml:space="preserve"> din 15 noiembrie 2016 privind numirea lucrătorilor responsabili cu protecția și prevenirea riscurilor profesionale </w:t>
            </w:r>
            <w:r>
              <w:rPr>
                <w:noProof/>
              </w:rPr>
              <w:t xml:space="preserve"> </w:t>
            </w:r>
            <w:r>
              <w:rPr>
                <w:noProof/>
              </w:rPr>
              <w:br/>
            </w:r>
            <w:r>
              <w:rPr>
                <w:rFonts w:ascii="Times New Roman" w:hAnsi="Times New Roman"/>
                <w:noProof/>
                <w:sz w:val="12"/>
              </w:rPr>
              <w:t>(modificată prin Decizia din 12 iulie 2021)</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15.11.2016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1e</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Măsurile sociale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bookmarkStart w:id="15" w:name="_Hlk187219716"/>
            <w:r>
              <w:rPr>
                <w:rFonts w:ascii="Times New Roman" w:hAnsi="Times New Roman"/>
                <w:noProof/>
                <w:sz w:val="12"/>
              </w:rPr>
              <w:t>Decizia grefierului Curții de Justiție</w:t>
            </w:r>
            <w:r>
              <w:rPr>
                <w:noProof/>
              </w:rPr>
              <w:t xml:space="preserve"> </w:t>
            </w:r>
            <w:r>
              <w:rPr>
                <w:noProof/>
              </w:rPr>
              <w:br/>
            </w:r>
            <w:r>
              <w:rPr>
                <w:rFonts w:ascii="Times New Roman" w:hAnsi="Times New Roman"/>
                <w:noProof/>
                <w:sz w:val="12"/>
              </w:rPr>
              <w:t xml:space="preserve"> din 15 decembrie 2017 privind acordarea de asistență socială agenților instituției a căror remunerație este inferioară</w:t>
            </w:r>
            <w:r>
              <w:rPr>
                <w:noProof/>
              </w:rPr>
              <w:t xml:space="preserve"> </w:t>
            </w:r>
            <w:r>
              <w:rPr>
                <w:noProof/>
              </w:rPr>
              <w:br/>
            </w:r>
            <w:r>
              <w:rPr>
                <w:rFonts w:ascii="Times New Roman" w:hAnsi="Times New Roman"/>
                <w:noProof/>
                <w:sz w:val="12"/>
              </w:rPr>
              <w:t xml:space="preserve"> salariului social minim din Luxemburg</w:t>
            </w:r>
            <w:r>
              <w:rPr>
                <w:noProof/>
              </w:rPr>
              <w:t xml:space="preserve"> </w:t>
            </w:r>
            <w:r>
              <w:rPr>
                <w:noProof/>
              </w:rPr>
              <w:br/>
            </w:r>
            <w:r>
              <w:rPr>
                <w:rFonts w:ascii="Times New Roman" w:hAnsi="Times New Roman"/>
                <w:noProof/>
                <w:sz w:val="12"/>
              </w:rPr>
              <w:t xml:space="preserve"> (modificată prin Decizia din 11 ianuarie 2024)</w:t>
            </w:r>
            <w:bookmarkEnd w:id="15"/>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981"/>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Competențele autorității împuternicite să facă numiri (AIPN) – Curtea de Justiție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Curții de Justiție din 4 mai 2004 privind exercitarea competențelor conferite prin Statutul funcționarilor autorității împuternicite să facă numiri și prin Regimul aplicabil celorlalți agenți autorității abilitate să încheie contracte</w:t>
            </w:r>
            <w:r>
              <w:rPr>
                <w:noProof/>
              </w:rPr>
              <w:t xml:space="preserve"> </w:t>
            </w:r>
            <w:r>
              <w:rPr>
                <w:noProof/>
              </w:rPr>
              <w:br/>
            </w:r>
            <w:r>
              <w:rPr>
                <w:rFonts w:ascii="Times New Roman" w:hAnsi="Times New Roman"/>
                <w:noProof/>
                <w:sz w:val="12"/>
              </w:rPr>
              <w:t xml:space="preserve"> de muncă</w:t>
            </w:r>
            <w:r>
              <w:rPr>
                <w:noProof/>
              </w:rPr>
              <w:t xml:space="preserve"> </w:t>
            </w:r>
            <w:r>
              <w:rPr>
                <w:noProof/>
              </w:rPr>
              <w:br/>
            </w:r>
            <w:r>
              <w:rPr>
                <w:rFonts w:ascii="Times New Roman" w:hAnsi="Times New Roman"/>
                <w:noProof/>
                <w:sz w:val="12"/>
              </w:rPr>
              <w:t xml:space="preserve"> (modificată ultima dată prin Decizia din 5 februarie 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4.5.2004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noProof/>
              </w:rPr>
              <w:t xml:space="preserve"> </w:t>
            </w:r>
            <w:r>
              <w:rPr>
                <w:noProof/>
              </w:rPr>
              <w:br/>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Competențele autorității împuternicite să facă numiri (AIPN) – Tribunalul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Tribunalului din 22 septembrie 2014 </w:t>
            </w:r>
            <w:r>
              <w:rPr>
                <w:noProof/>
              </w:rPr>
              <w:t xml:space="preserve"> </w:t>
            </w:r>
            <w:r>
              <w:rPr>
                <w:noProof/>
              </w:rPr>
              <w:br/>
            </w:r>
            <w:r>
              <w:rPr>
                <w:rFonts w:ascii="Times New Roman" w:hAnsi="Times New Roman"/>
                <w:noProof/>
                <w:sz w:val="12"/>
              </w:rPr>
              <w:t xml:space="preserve">privind competențele autorității împuternicite să facă numiri (AIPN) </w:t>
            </w:r>
            <w:r>
              <w:rPr>
                <w:noProof/>
              </w:rPr>
              <w:t xml:space="preserve"> </w:t>
            </w:r>
            <w:r>
              <w:rPr>
                <w:noProof/>
              </w:rPr>
              <w:br/>
            </w:r>
            <w:r>
              <w:rPr>
                <w:rFonts w:ascii="Times New Roman" w:hAnsi="Times New Roman"/>
                <w:noProof/>
                <w:sz w:val="12"/>
              </w:rPr>
              <w:t>(modificată ultima dată prin Decizia din 14 decembrie 2016)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22.9.2014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Tribunalului de constituire a unui comitet</w:t>
            </w:r>
            <w:r>
              <w:rPr>
                <w:noProof/>
              </w:rPr>
              <w:t xml:space="preserve"> </w:t>
            </w:r>
            <w:r>
              <w:rPr>
                <w:noProof/>
              </w:rPr>
              <w:br/>
            </w:r>
            <w:r>
              <w:rPr>
                <w:rFonts w:ascii="Times New Roman" w:hAnsi="Times New Roman"/>
                <w:noProof/>
                <w:sz w:val="12"/>
              </w:rPr>
              <w:t xml:space="preserve"> pentru anumite competențe ale autorității împuternicite să facă numiri (AIPN)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22.9.2014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855"/>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Tribunalului din 11 decembrie 2019 de modificare a Deciziei Tribunalului din 22 septembrie 2014 de stabilire a autorității împuternicite să facă numiri și a autorității abilitate să încheie contracte de muncă pentru funcționarii și ceilalți agenți repartizați Tribunalului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11.12.2019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936" w:type="dxa"/>
            <w:vMerge/>
            <w:tcBorders>
              <w:left w:val="single" w:sz="4" w:space="0" w:color="auto"/>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841"/>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Tribunalului din 15 decembrie 2021 privind exercitarea competențelor autorității împuternicite să facă numiri și ale autorității abilitate să încheie contracte de muncă față de funcționari și ceilalți agenți repartizați Tribunalului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grefierului Tribunalului din 1 februarie 2022 de delegare a competenței de a semna contracte de muncă și modificări ale contractelor respective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48"/>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grefierului Tribunalului din 1 februarie 2022 de delegare a competențelor autorității împuternicite să facă numiri și ale autorității abilitate să încheie contracte de muncă către funcționari și ceilalți agenți repartizați Tribunalului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3.2.2022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62"/>
        </w:trPr>
        <w:tc>
          <w:tcPr>
            <w:tcW w:w="1156" w:type="dxa"/>
            <w:vMerge w:val="restart"/>
            <w:tcBorders>
              <w:top w:val="single" w:sz="6" w:space="0" w:color="000000"/>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 xml:space="preserve">5 + anexele I și XIII </w:t>
            </w:r>
            <w:r>
              <w:rPr>
                <w:noProof/>
              </w:rPr>
              <w:t xml:space="preserve"> </w:t>
            </w:r>
            <w:r>
              <w:rPr>
                <w:noProof/>
              </w:rPr>
              <w:br/>
            </w:r>
            <w:r>
              <w:rPr>
                <w:rFonts w:ascii="Times New Roman" w:hAnsi="Times New Roman"/>
                <w:b/>
                <w:noProof/>
                <w:sz w:val="12"/>
              </w:rPr>
              <w:t>(articolele 30 și 31)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Tipuri de posturi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Comitetului administrativ al Curții de Justiție din 12 mai 2004 de stabilire a dispozițiilor generale de punere în aplicare referitoare la corespondența dintre tipurile de posturi, pe de o parte, și categorii și grade, pe de altă parte, și de descriere a funcțiilor și a responsabilităților aferente acestora</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12.5.2004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00"/>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grefierului Curții de Justiție </w:t>
            </w:r>
            <w:r>
              <w:rPr>
                <w:noProof/>
              </w:rPr>
              <w:t xml:space="preserve"> </w:t>
            </w:r>
            <w:r>
              <w:rPr>
                <w:noProof/>
              </w:rPr>
              <w:br/>
            </w:r>
            <w:r>
              <w:rPr>
                <w:rFonts w:ascii="Times New Roman" w:hAnsi="Times New Roman"/>
                <w:noProof/>
                <w:sz w:val="12"/>
              </w:rPr>
              <w:t xml:space="preserve">din 17 noiembrie 2014 de clasificare a funcționarilor în activitate </w:t>
            </w:r>
            <w:r>
              <w:rPr>
                <w:noProof/>
              </w:rPr>
              <w:t xml:space="preserve"> </w:t>
            </w:r>
            <w:r>
              <w:rPr>
                <w:noProof/>
              </w:rPr>
              <w:br/>
            </w:r>
            <w:r>
              <w:rPr>
                <w:rFonts w:ascii="Times New Roman" w:hAnsi="Times New Roman"/>
                <w:noProof/>
                <w:sz w:val="12"/>
              </w:rPr>
              <w:t>la 31 decembrie 2013 în grupa de funcții AD în posturi-tip</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10"/>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grefierului Curții de Justiție </w:t>
            </w:r>
            <w:r>
              <w:rPr>
                <w:noProof/>
              </w:rPr>
              <w:t xml:space="preserve"> </w:t>
            </w:r>
            <w:r>
              <w:rPr>
                <w:noProof/>
              </w:rPr>
              <w:br/>
            </w:r>
            <w:r>
              <w:rPr>
                <w:rFonts w:ascii="Times New Roman" w:hAnsi="Times New Roman"/>
                <w:noProof/>
                <w:sz w:val="12"/>
              </w:rPr>
              <w:t xml:space="preserve">din 3 decembrie 2014 de clasificare a funcționarilor în activitate </w:t>
            </w:r>
            <w:r>
              <w:rPr>
                <w:noProof/>
              </w:rPr>
              <w:t xml:space="preserve"> </w:t>
            </w:r>
            <w:r>
              <w:rPr>
                <w:noProof/>
              </w:rPr>
              <w:br/>
            </w:r>
            <w:r>
              <w:rPr>
                <w:rFonts w:ascii="Times New Roman" w:hAnsi="Times New Roman"/>
                <w:noProof/>
                <w:sz w:val="12"/>
              </w:rPr>
              <w:t>la 31 decembrie 2013 în grupa de funcții AST în posturi-tip</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4.1.2014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I IR</w:t>
            </w:r>
          </w:p>
        </w:tc>
      </w:tr>
      <w:tr>
        <w:trPr>
          <w:trHeight w:hRule="exact" w:val="989"/>
        </w:trPr>
        <w:tc>
          <w:tcPr>
            <w:tcW w:w="1156" w:type="dxa"/>
            <w:vMerge/>
            <w:tcBorders>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grefierului Curții de Justiție</w:t>
            </w:r>
            <w:r>
              <w:rPr>
                <w:noProof/>
              </w:rPr>
              <w:t xml:space="preserve"> </w:t>
            </w:r>
            <w:r>
              <w:rPr>
                <w:noProof/>
              </w:rPr>
              <w:br/>
            </w:r>
            <w:r>
              <w:rPr>
                <w:rFonts w:ascii="Times New Roman" w:hAnsi="Times New Roman"/>
                <w:noProof/>
                <w:sz w:val="12"/>
              </w:rPr>
              <w:t xml:space="preserve"> din 17 noiembrie 2014 de stabilire a criteriilor generale privind încadrarea funcționarilor în gradele AD9 și AD14, având responsabilități specifice în ceea ce privește tipul de post</w:t>
            </w:r>
            <w:r>
              <w:rPr>
                <w:noProof/>
              </w:rPr>
              <w:t xml:space="preserve"> </w:t>
            </w:r>
            <w:r>
              <w:rPr>
                <w:noProof/>
              </w:rPr>
              <w:br/>
            </w:r>
            <w:r>
              <w:rPr>
                <w:rFonts w:ascii="Times New Roman" w:hAnsi="Times New Roman"/>
                <w:noProof/>
                <w:sz w:val="12"/>
              </w:rPr>
              <w:t xml:space="preserve"> „șef de unitate sau echivalent” și „consilier sau echivalent”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17.11.2014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 xml:space="preserve">9 + </w:t>
            </w:r>
            <w:r>
              <w:rPr>
                <w:rFonts w:ascii="Times New Roman" w:hAnsi="Times New Roman"/>
                <w:b/>
                <w:noProof/>
                <w:sz w:val="12"/>
                <w:shd w:val="clear" w:color="auto" w:fill="DA9694"/>
              </w:rPr>
              <w:t>ane</w:t>
            </w:r>
            <w:r>
              <w:rPr>
                <w:rFonts w:ascii="Times New Roman" w:hAnsi="Times New Roman"/>
                <w:b/>
                <w:noProof/>
                <w:sz w:val="12"/>
              </w:rPr>
              <w:t>xa II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Comitete și comisii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din 31 octombrie 1974 de adoptare a dispozițiilor privind instituirea unui Comitet pentru personal</w:t>
            </w:r>
            <w:r>
              <w:rPr>
                <w:noProof/>
              </w:rPr>
              <w:t xml:space="preserve"> </w:t>
            </w:r>
            <w:r>
              <w:rPr>
                <w:noProof/>
              </w:rPr>
              <w:br/>
            </w:r>
            <w:r>
              <w:rPr>
                <w:rFonts w:ascii="Times New Roman" w:hAnsi="Times New Roman"/>
                <w:noProof/>
                <w:sz w:val="12"/>
              </w:rPr>
              <w:t xml:space="preserve"> (modificată ultima dată prin Decizia din 10 decembrie 2012)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1.11.1974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 xml:space="preserve">9 + </w:t>
            </w:r>
            <w:r>
              <w:rPr>
                <w:rFonts w:ascii="Times New Roman" w:hAnsi="Times New Roman"/>
                <w:b/>
                <w:noProof/>
                <w:sz w:val="12"/>
                <w:shd w:val="clear" w:color="auto" w:fill="DA9694"/>
              </w:rPr>
              <w:t>ane</w:t>
            </w:r>
            <w:r>
              <w:rPr>
                <w:rFonts w:ascii="Times New Roman" w:hAnsi="Times New Roman"/>
                <w:b/>
                <w:noProof/>
                <w:sz w:val="12"/>
              </w:rPr>
              <w:t>xa II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Comitete și comisii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grefierului Curții de Justiție</w:t>
            </w:r>
            <w:r>
              <w:rPr>
                <w:noProof/>
              </w:rPr>
              <w:t xml:space="preserve"> </w:t>
            </w:r>
            <w:r>
              <w:rPr>
                <w:noProof/>
              </w:rPr>
              <w:br/>
            </w:r>
            <w:r>
              <w:rPr>
                <w:rFonts w:ascii="Times New Roman" w:hAnsi="Times New Roman"/>
                <w:noProof/>
                <w:sz w:val="12"/>
              </w:rPr>
              <w:t xml:space="preserve"> din 8 decembrie 1987 privind constituirea Comitetului mixt de securitate și sănătate în muncă</w:t>
            </w:r>
            <w:r>
              <w:rPr>
                <w:noProof/>
              </w:rPr>
              <w:t xml:space="preserve"> </w:t>
            </w:r>
            <w:r>
              <w:rPr>
                <w:noProof/>
              </w:rPr>
              <w:br/>
            </w:r>
            <w:r>
              <w:rPr>
                <w:rFonts w:ascii="Times New Roman" w:hAnsi="Times New Roman"/>
                <w:noProof/>
                <w:sz w:val="12"/>
              </w:rPr>
              <w:t xml:space="preserve"> (modificată prin Decizia din 30 aprilie 1996)</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8.12.1987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grefierului Curții de Justiție din 9 ianuarie 2006 de instituire a unui comitet mixt pentru activități sociale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10.1.2006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grefierului Curții de Justiție din 10 iulie 1995 de instituire a unui comitet mixt pentru egalitatea de șanse între femei și bărbați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1.9.1995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Titlul II – Drepturile și obligațiile funcționarului</w:t>
            </w:r>
          </w:p>
        </w:tc>
      </w:tr>
      <w:tr>
        <w:trPr>
          <w:trHeight w:val="567"/>
        </w:trPr>
        <w:tc>
          <w:tcPr>
            <w:tcW w:w="1156" w:type="dxa"/>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3"/>
              </w:rPr>
              <w:t>12a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7"/>
              </w:rPr>
              <w:t>Hărțuirea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 xml:space="preserve">Comunicarea către personal nr. 18/06 din 20 noiembrie 2006. </w:t>
            </w:r>
            <w:r>
              <w:rPr>
                <w:noProof/>
              </w:rPr>
              <w:t xml:space="preserve"> </w:t>
            </w:r>
            <w:r>
              <w:rPr>
                <w:noProof/>
              </w:rPr>
              <w:br/>
            </w:r>
            <w:r>
              <w:rPr>
                <w:rFonts w:ascii="Times New Roman" w:hAnsi="Times New Roman"/>
                <w:noProof/>
                <w:sz w:val="12"/>
              </w:rPr>
              <w:t>(Respectarea demnității umane)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20.11.2006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3"/>
              </w:rPr>
              <w:t>22a - 22c</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7"/>
              </w:rPr>
              <w:t>Avertizarea în interes public</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din 22 februarie 2016 de adoptare a orientărilor referitoare la informațiile avertizorilor și protejarea acestora</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22.2.2016</w:t>
            </w:r>
          </w:p>
        </w:tc>
        <w:tc>
          <w:tcPr>
            <w:tcW w:w="1687" w:type="dxa"/>
            <w:tcBorders>
              <w:top w:val="single" w:sz="4" w:space="0" w:color="auto"/>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din 25 septembrie 2017 de adoptare a unui cadru general de raportare a neregulilor grave</w:t>
            </w:r>
            <w:r>
              <w:rPr>
                <w:noProof/>
              </w:rPr>
              <w:t xml:space="preserve"> </w:t>
            </w:r>
            <w:r>
              <w:rPr>
                <w:noProof/>
              </w:rPr>
              <w:br/>
            </w:r>
            <w:r>
              <w:rPr>
                <w:rFonts w:ascii="Times New Roman" w:hAnsi="Times New Roman"/>
                <w:noProof/>
                <w:sz w:val="12"/>
              </w:rPr>
              <w:t xml:space="preserve"> (modificată prin Decizia din 11 iunie 2018)</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25.9.2017</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noProof/>
              </w:rPr>
              <w:t xml:space="preserve"> </w:t>
            </w:r>
            <w:r>
              <w:rPr>
                <w:noProof/>
              </w:rPr>
              <w:br/>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Curții de Justiție din 12 iulie 2011 privind condițiile și modalitățile pentru investigațiile interne referitoare la combaterea fraudei, a corupției și a oricăror activități ilegale care aduc atingere intereselor Uniunii Europene </w:t>
            </w:r>
            <w:r>
              <w:rPr>
                <w:noProof/>
              </w:rPr>
              <w:t xml:space="preserve"> </w:t>
            </w:r>
            <w:r>
              <w:rPr>
                <w:noProof/>
              </w:rPr>
              <w:br/>
            </w:r>
            <w:r>
              <w:rPr>
                <w:rFonts w:ascii="Times New Roman" w:hAnsi="Times New Roman"/>
                <w:noProof/>
                <w:sz w:val="12"/>
              </w:rPr>
              <w:t>(modificată prin Decizia din 6 martie 2018)</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12.7.2011</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noProof/>
              </w:rPr>
              <w:t xml:space="preserve"> </w:t>
            </w:r>
            <w:r>
              <w:rPr>
                <w:noProof/>
              </w:rPr>
              <w:br/>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678"/>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3"/>
              </w:rPr>
              <w:t>24b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7"/>
              </w:rPr>
              <w:t>Sindicatele</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de Justiție din 23 septembrie 2013 de stabilire a normelor privind recunoașterea și reprezentativitatea sindicatelor și a organizațiilor profesionale (OSP)</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23.9.2013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III – Cariera funcționarului</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hRule="exact" w:val="926"/>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3"/>
              </w:rPr>
              <w:t>27 - 34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Recrutarea</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din 12 mai 2004 de stabilire a dispozițiilor generale de punere în aplicare pentru încadrarea în treaptă la momentul numirii funcționarilor sau al angajării agenților temporari</w:t>
            </w:r>
            <w:r>
              <w:rPr>
                <w:noProof/>
              </w:rPr>
              <w:t xml:space="preserve"> </w:t>
            </w:r>
            <w:r>
              <w:rPr>
                <w:noProof/>
              </w:rPr>
              <w:br/>
            </w:r>
            <w:r>
              <w:rPr>
                <w:rFonts w:ascii="Times New Roman" w:hAnsi="Times New Roman"/>
                <w:noProof/>
                <w:sz w:val="12"/>
              </w:rPr>
              <w:t xml:space="preserve"> (modificată ultima dată prin Decizia din 24 martie 2014)</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noProof/>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567"/>
        </w:trPr>
        <w:tc>
          <w:tcPr>
            <w:tcW w:w="1156" w:type="dxa"/>
            <w:tcBorders>
              <w:left w:val="single" w:sz="4" w:space="0" w:color="000000"/>
              <w:bottom w:val="single" w:sz="4" w:space="0" w:color="000000"/>
              <w:right w:val="single" w:sz="4" w:space="0" w:color="000000"/>
            </w:tcBorders>
            <w:shd w:val="clear" w:color="auto" w:fill="FFFF65"/>
          </w:tcPr>
          <w:p>
            <w:pPr>
              <w:widowControl w:val="0"/>
              <w:spacing w:before="8" w:after="0" w:line="240" w:lineRule="auto"/>
              <w:jc w:val="center"/>
              <w:rPr>
                <w:rFonts w:ascii="Times New Roman" w:eastAsia="Times New Roman" w:hAnsi="Times New Roman" w:cs="Times New Roman"/>
                <w:noProof/>
                <w:sz w:val="11"/>
                <w:szCs w:val="11"/>
                <w:lang w:val="en-US"/>
              </w:rPr>
            </w:pPr>
          </w:p>
          <w:p>
            <w:pPr>
              <w:widowControl w:val="0"/>
              <w:spacing w:before="107" w:after="0" w:line="240" w:lineRule="auto"/>
              <w:ind w:right="2"/>
              <w:jc w:val="center"/>
              <w:rPr>
                <w:rFonts w:ascii="Times New Roman" w:eastAsia="Calibri" w:hAnsi="Times New Roman" w:cs="Times New Roman"/>
                <w:b/>
                <w:noProof/>
                <w:sz w:val="12"/>
              </w:rPr>
            </w:pPr>
            <w:r>
              <w:rPr>
                <w:rFonts w:ascii="Times New Roman" w:hAnsi="Calibri"/>
                <w:b/>
                <w:noProof/>
                <w:sz w:val="13"/>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Calibri"/>
                <w:b/>
                <w:noProof/>
                <w:sz w:val="17"/>
              </w:rPr>
              <w:t>Concediul pentru cre</w:t>
            </w:r>
            <w:r>
              <w:rPr>
                <w:rFonts w:ascii="Times New Roman" w:hAnsi="Calibri"/>
                <w:b/>
                <w:noProof/>
                <w:sz w:val="17"/>
              </w:rPr>
              <w:t>ș</w:t>
            </w:r>
            <w:r>
              <w:rPr>
                <w:rFonts w:ascii="Times New Roman" w:hAnsi="Calibri"/>
                <w:b/>
                <w:noProof/>
                <w:sz w:val="17"/>
              </w:rPr>
              <w:t>terea copilului</w:t>
            </w:r>
          </w:p>
        </w:tc>
        <w:tc>
          <w:tcPr>
            <w:tcW w:w="3029" w:type="dxa"/>
            <w:tcBorders>
              <w:top w:val="single" w:sz="3" w:space="0" w:color="000000"/>
              <w:left w:val="single" w:sz="3" w:space="0" w:color="000000"/>
              <w:bottom w:val="single" w:sz="3" w:space="0" w:color="000000"/>
              <w:right w:val="single" w:sz="3" w:space="0" w:color="000000"/>
            </w:tcBorders>
            <w:shd w:val="clear" w:color="auto" w:fill="FFFF66"/>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3"/>
              </w:rPr>
              <w:t xml:space="preserve">Decizia </w:t>
            </w:r>
            <w:r>
              <w:rPr>
                <w:rFonts w:ascii="Times New Roman" w:hAnsi="Times New Roman"/>
                <w:noProof/>
                <w:sz w:val="12"/>
              </w:rPr>
              <w:t>comitetului administrativ al Curții</w:t>
            </w:r>
            <w:r>
              <w:rPr>
                <w:noProof/>
              </w:rPr>
              <w:t xml:space="preserve"> </w:t>
            </w:r>
            <w:r>
              <w:rPr>
                <w:noProof/>
              </w:rPr>
              <w:br/>
            </w:r>
            <w:r>
              <w:rPr>
                <w:rFonts w:ascii="Times New Roman" w:hAnsi="Times New Roman"/>
                <w:noProof/>
                <w:sz w:val="12"/>
              </w:rPr>
              <w:t xml:space="preserve"> de Justiție din 12 mai 2004 de stabilire a </w:t>
            </w:r>
            <w:r>
              <w:rPr>
                <w:rFonts w:ascii="Times New Roman" w:hAnsi="Times New Roman"/>
                <w:noProof/>
                <w:sz w:val="13"/>
              </w:rPr>
              <w:t>dispozițiilor generale de punere în aplicare privind concediul pentru creșterea copilului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6"/>
          </w:tcPr>
          <w:p>
            <w:pPr>
              <w:widowControl w:val="0"/>
              <w:spacing w:before="3" w:after="0" w:line="240" w:lineRule="auto"/>
              <w:jc w:val="center"/>
              <w:rPr>
                <w:rFonts w:ascii="Times New Roman" w:eastAsia="Times New Roman" w:hAnsi="Times New Roman" w:cs="Times New Roman"/>
                <w:noProof/>
                <w:sz w:val="11"/>
                <w:szCs w:val="11"/>
                <w:lang w:val="fr-BE"/>
              </w:rPr>
            </w:pPr>
          </w:p>
          <w:p>
            <w:pPr>
              <w:widowControl w:val="0"/>
              <w:spacing w:before="105" w:after="0" w:line="240" w:lineRule="auto"/>
              <w:jc w:val="center"/>
              <w:rPr>
                <w:rFonts w:ascii="Times New Roman" w:eastAsia="Calibri" w:hAnsi="Times New Roman" w:cs="Times New Roman"/>
                <w:noProof/>
                <w:sz w:val="12"/>
                <w:szCs w:val="12"/>
              </w:rPr>
            </w:pPr>
            <w:r>
              <w:rPr>
                <w:rFonts w:ascii="Times New Roman" w:hAnsi="Calibri"/>
                <w:noProof/>
                <w:sz w:val="13"/>
              </w:rPr>
              <w:t>12.5.2004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tcPr>
          <w:p>
            <w:pPr>
              <w:widowControl w:val="0"/>
              <w:spacing w:before="8" w:after="0" w:line="240" w:lineRule="auto"/>
              <w:jc w:val="center"/>
              <w:rPr>
                <w:rFonts w:ascii="Times New Roman" w:eastAsia="Times New Roman" w:hAnsi="Times New Roman" w:cs="Times New Roman"/>
                <w:noProof/>
                <w:sz w:val="11"/>
                <w:szCs w:val="11"/>
                <w:lang w:val="en-US"/>
              </w:rPr>
            </w:pPr>
          </w:p>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731"/>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3"/>
              </w:rPr>
              <w:t>43</w:t>
            </w:r>
          </w:p>
        </w:tc>
        <w:tc>
          <w:tcPr>
            <w:tcW w:w="2551"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Raportul anual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din 18 octombrie 2000 de stabilire a dispozițiilor generale de punere în aplicare privind rapoartele de evaluare</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3"/>
              </w:rPr>
              <w:t>18.10.2000</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7" w:type="dxa"/>
            <w:tcBorders>
              <w:top w:val="single" w:sz="6" w:space="0" w:color="000000"/>
              <w:left w:val="single" w:sz="6" w:space="0" w:color="000000"/>
              <w:bottom w:val="single" w:sz="4" w:space="0" w:color="auto"/>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3"/>
              </w:rPr>
              <w:t>45</w:t>
            </w:r>
          </w:p>
        </w:tc>
        <w:tc>
          <w:tcPr>
            <w:tcW w:w="2551"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Promovarea</w:t>
            </w:r>
          </w:p>
        </w:tc>
        <w:tc>
          <w:tcPr>
            <w:tcW w:w="3029"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Comitetului administrativ al Curții de Justiție din 19 octombrie 2005 privind promovările </w:t>
            </w:r>
            <w:r>
              <w:rPr>
                <w:noProof/>
              </w:rPr>
              <w:t xml:space="preserve"> </w:t>
            </w:r>
            <w:r>
              <w:rPr>
                <w:noProof/>
              </w:rPr>
              <w:br/>
            </w:r>
            <w:r>
              <w:rPr>
                <w:rFonts w:ascii="Times New Roman" w:hAnsi="Times New Roman"/>
                <w:noProof/>
                <w:sz w:val="12"/>
              </w:rPr>
              <w:t>(modificată ultima dată prin Decizia din 6 mai 2009)</w:t>
            </w:r>
          </w:p>
        </w:tc>
        <w:tc>
          <w:tcPr>
            <w:tcW w:w="1322"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3"/>
              </w:rPr>
              <w:t>19.10.2005</w:t>
            </w:r>
          </w:p>
        </w:tc>
        <w:tc>
          <w:tcPr>
            <w:tcW w:w="1687"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42"/>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3"/>
              </w:rPr>
              <w:t>45a</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Certificarea</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din 15 iunie 2005 de stabilire a dispozițiilor generale de punere în aplicare a articolului 45a din Statutul funcționarilor</w:t>
            </w:r>
            <w:r>
              <w:rPr>
                <w:noProof/>
              </w:rPr>
              <w:t xml:space="preserve"> </w:t>
            </w:r>
            <w:r>
              <w:rPr>
                <w:noProof/>
              </w:rPr>
              <w:br/>
            </w:r>
            <w:r>
              <w:rPr>
                <w:rFonts w:ascii="Times New Roman" w:hAnsi="Times New Roman"/>
                <w:noProof/>
                <w:sz w:val="12"/>
              </w:rPr>
              <w:t xml:space="preserve"> (modificată prin Decizia din 26 octombrie 2006)</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3"/>
              </w:rPr>
              <w:t>15.6.2005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Capitolul 4 – Încetarea raporturilor de muncă</w:t>
            </w:r>
          </w:p>
        </w:tc>
      </w:tr>
      <w:tr>
        <w:trPr>
          <w:trHeight w:hRule="exact" w:val="32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Secțiunea 4 – Procedurile privind incompetența profesională</w:t>
            </w:r>
          </w:p>
        </w:tc>
      </w:tr>
      <w:tr>
        <w:trPr>
          <w:trHeight w:hRule="exact" w:val="620"/>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3"/>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Incompetența profesională</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de Justiție din 9 decembrie 2013 privind procedurile de abordare a incompetenței profesionale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val="632"/>
        </w:trPr>
        <w:tc>
          <w:tcPr>
            <w:tcW w:w="1156" w:type="dxa"/>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Timpul de lucru</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din 25 ianuarie 2006 privind timpul de lucru</w:t>
            </w:r>
            <w:r>
              <w:rPr>
                <w:noProof/>
              </w:rPr>
              <w:t xml:space="preserve"> </w:t>
            </w:r>
            <w:r>
              <w:rPr>
                <w:noProof/>
              </w:rPr>
              <w:br/>
            </w:r>
            <w:r>
              <w:rPr>
                <w:rFonts w:ascii="Times New Roman" w:hAnsi="Times New Roman"/>
                <w:noProof/>
                <w:sz w:val="12"/>
              </w:rPr>
              <w:t xml:space="preserve"> (modificată ultima dată prin Decizia din 9 decembrie 2013)</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30.9.2009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679"/>
        </w:trPr>
        <w:tc>
          <w:tcPr>
            <w:tcW w:w="1156" w:type="dxa"/>
            <w:vMerge w:val="restart"/>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 xml:space="preserve">55a + </w:t>
            </w:r>
            <w:r>
              <w:rPr>
                <w:noProof/>
              </w:rPr>
              <w:t xml:space="preserve"> </w:t>
            </w:r>
            <w:r>
              <w:rPr>
                <w:noProof/>
              </w:rPr>
              <w:br/>
            </w:r>
            <w:r>
              <w:rPr>
                <w:rFonts w:ascii="Times New Roman" w:hAnsi="Times New Roman"/>
                <w:b/>
                <w:noProof/>
                <w:sz w:val="12"/>
              </w:rPr>
              <w:t>anexa IVa</w:t>
            </w:r>
          </w:p>
        </w:tc>
        <w:tc>
          <w:tcPr>
            <w:tcW w:w="2551" w:type="dxa"/>
            <w:vMerge w:val="restart"/>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Bold" w:hAnsi="Times New Roman Bold"/>
                <w:b/>
                <w:noProof/>
                <w:sz w:val="16"/>
              </w:rPr>
              <w:t>Activitatea cu normă redusă</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din 11 mai 2005 de stabilire a normelor de punere în aplicare referitoare la exercitarea activității cu normă redusă </w:t>
            </w:r>
            <w:r>
              <w:rPr>
                <w:noProof/>
              </w:rPr>
              <w:t xml:space="preserve"> </w:t>
            </w:r>
            <w:r>
              <w:rPr>
                <w:noProof/>
              </w:rPr>
              <w:br/>
            </w:r>
            <w:r>
              <w:rPr>
                <w:rFonts w:ascii="Times New Roman" w:hAnsi="Times New Roman"/>
                <w:noProof/>
                <w:sz w:val="12"/>
              </w:rPr>
              <w:t>(modificată ultima dată prin Decizia din 9 decembrie 2013)</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1.6.2006</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608"/>
        </w:trPr>
        <w:tc>
          <w:tcPr>
            <w:tcW w:w="1156" w:type="dxa"/>
            <w:vMerge/>
            <w:tcBorders>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grefierului Curții de Justiție din 3 mai 2014 de stabilire a condițiilor în care se aplică articolul 55a alineatul (2) litera (d) </w:t>
            </w:r>
            <w:r>
              <w:rPr>
                <w:noProof/>
              </w:rPr>
              <w:t xml:space="preserve"> </w:t>
            </w:r>
            <w:r>
              <w:rPr>
                <w:noProof/>
              </w:rPr>
              <w:br/>
            </w:r>
            <w:r>
              <w:rPr>
                <w:rFonts w:ascii="Times New Roman" w:hAnsi="Times New Roman"/>
                <w:noProof/>
                <w:sz w:val="12"/>
              </w:rPr>
              <w:t>din Statutul funcționarilor</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4.5.2014</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val="restart"/>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 xml:space="preserve">55a + </w:t>
            </w:r>
            <w:r>
              <w:rPr>
                <w:noProof/>
              </w:rPr>
              <w:t xml:space="preserve"> </w:t>
            </w:r>
            <w:r>
              <w:rPr>
                <w:noProof/>
              </w:rPr>
              <w:br/>
            </w:r>
            <w:r>
              <w:rPr>
                <w:rFonts w:ascii="Times New Roman" w:hAnsi="Times New Roman"/>
                <w:b/>
                <w:noProof/>
                <w:sz w:val="12"/>
              </w:rPr>
              <w:t>anexa IVa</w:t>
            </w:r>
          </w:p>
        </w:tc>
        <w:tc>
          <w:tcPr>
            <w:tcW w:w="2551" w:type="dxa"/>
            <w:vMerge w:val="restart"/>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Munca de la distanță</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Comitetului administrativ din 27 ianuarie 2010 privind punerea în aplicare a muncii de la distanță</w:t>
            </w:r>
            <w:r>
              <w:rPr>
                <w:noProof/>
              </w:rPr>
              <w:t xml:space="preserve"> </w:t>
            </w:r>
            <w:r>
              <w:rPr>
                <w:noProof/>
              </w:rPr>
              <w:br/>
            </w:r>
            <w:r>
              <w:rPr>
                <w:rFonts w:ascii="Times New Roman" w:hAnsi="Times New Roman"/>
                <w:noProof/>
                <w:sz w:val="12"/>
              </w:rPr>
              <w:t xml:space="preserve"> (modificată ultima dată prin Decizia din 20 mai 2019)</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27.1.2010</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1.5.2022</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Decizia grefierului Curții de Justiție </w:t>
            </w:r>
            <w:r>
              <w:rPr>
                <w:noProof/>
              </w:rPr>
              <w:t xml:space="preserve"> </w:t>
            </w:r>
            <w:r>
              <w:rPr>
                <w:noProof/>
              </w:rPr>
              <w:br/>
            </w:r>
            <w:r>
              <w:rPr>
                <w:rFonts w:ascii="Times New Roman" w:hAnsi="Times New Roman"/>
                <w:noProof/>
                <w:sz w:val="12"/>
              </w:rPr>
              <w:t>din 19 decembrie 2017 de stabilire a serviciilor și/sau a categoriilor de personal autorizate să participe la sistemul de muncă de la distanță</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19.12.2017</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1.5.2022</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grefierului Curții de Justiție</w:t>
            </w:r>
            <w:r>
              <w:rPr>
                <w:noProof/>
              </w:rPr>
              <w:t xml:space="preserve"> </w:t>
            </w:r>
            <w:r>
              <w:rPr>
                <w:noProof/>
              </w:rPr>
              <w:br/>
            </w:r>
            <w:r>
              <w:rPr>
                <w:rFonts w:ascii="Times New Roman" w:hAnsi="Times New Roman"/>
                <w:noProof/>
                <w:sz w:val="12"/>
              </w:rPr>
              <w:t xml:space="preserve"> din 19 decembrie 2017 privind delegarea competențelor cu privire la munca de la distanță</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19.12.2017</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1.5.2022</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4" w:space="0" w:color="auto"/>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Directorului General al Direcției Generale Administrație privind delegarea de competențe în ceea ce privește munca de la distanță</w:t>
            </w:r>
          </w:p>
        </w:tc>
        <w:tc>
          <w:tcPr>
            <w:tcW w:w="1322" w:type="dxa"/>
            <w:tcBorders>
              <w:top w:val="single" w:sz="4" w:space="0" w:color="000000"/>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14.2.2018</w:t>
            </w:r>
          </w:p>
        </w:tc>
        <w:tc>
          <w:tcPr>
            <w:tcW w:w="1687" w:type="dxa"/>
            <w:tcBorders>
              <w:top w:val="single" w:sz="4"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1.5.2022</w:t>
            </w: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top w:val="single" w:sz="4" w:space="0" w:color="auto"/>
              <w:left w:val="single" w:sz="3"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Calibri"/>
                <w:b/>
                <w:noProof/>
                <w:sz w:val="16"/>
              </w:rPr>
              <w:t>Munca de la distan</w:t>
            </w:r>
            <w:r>
              <w:rPr>
                <w:rFonts w:ascii="Times New Roman" w:hAnsi="Calibri"/>
                <w:b/>
                <w:noProof/>
                <w:sz w:val="16"/>
              </w:rPr>
              <w:t>ță</w:t>
            </w:r>
            <w:r>
              <w:rPr>
                <w:rFonts w:ascii="Times New Roman" w:hAnsi="Calibri"/>
                <w:b/>
                <w:noProof/>
                <w:sz w:val="16"/>
              </w:rPr>
              <w:t xml:space="preserve"> ocazional</w:t>
            </w:r>
            <w:r>
              <w:rPr>
                <w:rFonts w:ascii="Times New Roman" w:hAnsi="Calibri"/>
                <w:b/>
                <w:noProof/>
                <w:sz w:val="16"/>
              </w:rPr>
              <w:t>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Comitetului administrativ din 20 mai 2019 de instituire a sistemului ocazional de muncă de la distanță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20.5.2019</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1.5.2022</w:t>
            </w: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1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Munca de la distanță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a Uniunii Europene din 12 iulie 2021 de instituire a unui sistem de muncă de la distanță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1.5.2022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1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56b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Bold" w:hAnsi="Times New Roman Bold"/>
                <w:b/>
                <w:noProof/>
                <w:sz w:val="16"/>
              </w:rPr>
              <w:t>Rămânerea la dispoziția instituției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Decizia grefierului Curții de Justiție</w:t>
            </w:r>
            <w:r>
              <w:rPr>
                <w:noProof/>
              </w:rPr>
              <w:t xml:space="preserve"> </w:t>
            </w:r>
            <w:r>
              <w:rPr>
                <w:noProof/>
              </w:rPr>
              <w:br/>
            </w:r>
            <w:r>
              <w:rPr>
                <w:rFonts w:ascii="Times New Roman" w:hAnsi="Times New Roman"/>
                <w:noProof/>
                <w:sz w:val="12"/>
              </w:rPr>
              <w:t xml:space="preserve"> din 7 decembrie 2013 de stabilire a normelor aplicabile funcționarilor și celorlalți agenți care trebuie să rămână la dispoziția instituției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Calibri"/>
                <w:noProof/>
                <w:sz w:val="12"/>
              </w:rPr>
              <w:t>1.1.2013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hRule="exact" w:val="485"/>
        </w:trPr>
        <w:tc>
          <w:tcPr>
            <w:tcW w:w="1156" w:type="dxa"/>
            <w:tcBorders>
              <w:left w:val="single" w:sz="4" w:space="0" w:color="000000"/>
              <w:right w:val="single" w:sz="4" w:space="0" w:color="auto"/>
            </w:tcBorders>
            <w:shd w:val="clear" w:color="auto" w:fill="C6D9F1"/>
            <w:vAlign w:val="center"/>
          </w:tcPr>
          <w:p>
            <w:pPr>
              <w:widowControl w:val="0"/>
              <w:spacing w:after="0" w:line="240" w:lineRule="auto"/>
              <w:jc w:val="center"/>
              <w:rPr>
                <w:rFonts w:ascii="Times New Roman" w:eastAsia="Calibri" w:hAnsi="Times New Roman" w:cs="Times New Roman"/>
                <w:noProof/>
                <w:sz w:val="10"/>
                <w:szCs w:val="10"/>
              </w:rPr>
            </w:pPr>
            <w:r>
              <w:rPr>
                <w:rFonts w:ascii="Times New Roman" w:hAnsi="Times New Roman"/>
                <w:b/>
                <w:noProof/>
                <w:sz w:val="12"/>
              </w:rPr>
              <w:t>57 + anexa V</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Concediul anual și concediul special</w:t>
            </w:r>
          </w:p>
        </w:tc>
        <w:tc>
          <w:tcPr>
            <w:tcW w:w="3029" w:type="dxa"/>
            <w:vMerge w:val="restart"/>
            <w:tcBorders>
              <w:top w:val="single" w:sz="3" w:space="0" w:color="000000"/>
              <w:left w:val="single" w:sz="4" w:space="0" w:color="auto"/>
              <w:right w:val="single" w:sz="4" w:space="0" w:color="000000"/>
            </w:tcBorders>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rPr>
            </w:pPr>
            <w:r>
              <w:rPr>
                <w:rFonts w:ascii="Times New Roman" w:hAnsi="Times New Roman"/>
                <w:noProof/>
                <w:sz w:val="12"/>
              </w:rPr>
              <w:t>Decizia grefierului Curții de Justiție din 26 mai 2005 de stabilire a normelor privind concediul</w:t>
            </w:r>
            <w:r>
              <w:rPr>
                <w:noProof/>
              </w:rPr>
              <w:t xml:space="preserve"> </w:t>
            </w:r>
            <w:r>
              <w:rPr>
                <w:noProof/>
              </w:rPr>
              <w:br/>
            </w:r>
            <w:r>
              <w:rPr>
                <w:rFonts w:ascii="Times New Roman" w:hAnsi="Times New Roman"/>
                <w:noProof/>
                <w:sz w:val="12"/>
              </w:rPr>
              <w:t xml:space="preserve"> (modificată prin Decizia din 23 ianuarie 2015)</w:t>
            </w:r>
          </w:p>
        </w:tc>
        <w:tc>
          <w:tcPr>
            <w:tcW w:w="151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26.5.2005</w:t>
            </w:r>
          </w:p>
        </w:tc>
        <w:tc>
          <w:tcPr>
            <w:tcW w:w="1498"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val="restart"/>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443"/>
        </w:trPr>
        <w:tc>
          <w:tcPr>
            <w:tcW w:w="1156" w:type="dxa"/>
            <w:tcBorders>
              <w:top w:val="single" w:sz="6" w:space="0" w:color="000000"/>
              <w:left w:val="single" w:sz="6" w:space="0" w:color="000000"/>
              <w:bottom w:val="single" w:sz="6" w:space="0" w:color="000000"/>
              <w:right w:val="single" w:sz="4" w:space="0" w:color="auto"/>
            </w:tcBorders>
            <w:vAlign w:val="center"/>
          </w:tcPr>
          <w:p>
            <w:pPr>
              <w:widowControl w:val="0"/>
              <w:spacing w:after="0" w:line="240" w:lineRule="auto"/>
              <w:ind w:right="2"/>
              <w:jc w:val="center"/>
              <w:rPr>
                <w:rFonts w:ascii="Times New Roman" w:eastAsia="Calibri" w:hAnsi="Times New Roman" w:cs="Times New Roman"/>
                <w:b/>
                <w:noProof/>
                <w:sz w:val="10"/>
                <w:szCs w:val="10"/>
              </w:rPr>
            </w:pPr>
            <w:r>
              <w:rPr>
                <w:rFonts w:ascii="Times New Roman" w:hAnsi="Times New Roman"/>
                <w:b/>
                <w:noProof/>
                <w:sz w:val="12"/>
              </w:rPr>
              <w:t>58</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Concediul de maternitate</w:t>
            </w:r>
          </w:p>
        </w:tc>
        <w:tc>
          <w:tcPr>
            <w:tcW w:w="3029" w:type="dxa"/>
            <w:vMerge/>
            <w:tcBorders>
              <w:left w:val="single" w:sz="4" w:space="0" w:color="auto"/>
              <w:bottom w:val="single" w:sz="6" w:space="0" w:color="000000"/>
              <w:right w:val="single" w:sz="4"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lang w:val="en-US"/>
              </w:rPr>
            </w:pPr>
          </w:p>
        </w:tc>
        <w:tc>
          <w:tcPr>
            <w:tcW w:w="151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lang w:val="en-US"/>
              </w:rPr>
            </w:pPr>
          </w:p>
        </w:tc>
        <w:tc>
          <w:tcPr>
            <w:tcW w:w="1498" w:type="dxa"/>
            <w:vMerge/>
            <w:tcBorders>
              <w:left w:val="single" w:sz="4"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616"/>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59 - 60</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 xml:space="preserve">Concediul medical </w:t>
            </w:r>
            <w:r>
              <w:rPr>
                <w:noProof/>
              </w:rPr>
              <w:t xml:space="preserve"> </w:t>
            </w:r>
            <w:r>
              <w:rPr>
                <w:noProof/>
              </w:rPr>
              <w:br/>
            </w:r>
            <w:r>
              <w:rPr>
                <w:rFonts w:ascii="Times New Roman" w:hAnsi="Times New Roman"/>
                <w:b/>
                <w:noProof/>
                <w:sz w:val="17"/>
              </w:rPr>
              <w:t>(inclusiv activitatea cu normă redusă din motive medicale)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Decizia grefierului Curții de Justiție</w:t>
            </w:r>
            <w:r>
              <w:rPr>
                <w:noProof/>
              </w:rPr>
              <w:t xml:space="preserve"> </w:t>
            </w:r>
            <w:r>
              <w:rPr>
                <w:noProof/>
              </w:rPr>
              <w:br/>
            </w:r>
            <w:r>
              <w:rPr>
                <w:rFonts w:ascii="Times New Roman" w:hAnsi="Times New Roman"/>
                <w:noProof/>
                <w:sz w:val="12"/>
              </w:rPr>
              <w:t xml:space="preserve"> din 29 noiembrie 2021 privind activitatea cu normă redusă din motive medicale</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1.12.2021</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811"/>
        </w:trPr>
        <w:tc>
          <w:tcPr>
            <w:tcW w:w="1156" w:type="dxa"/>
            <w:tcBorders>
              <w:top w:val="single" w:sz="6"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67 - 68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3"/>
              </w:rPr>
              <w:t>Anexa VII</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Alocațiile familiale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de Justiție din 12 mai 2004 de stabilire a dispozițiilor generale de punere în aplicare a articolelor 67 și 68 din Statutul funcționarilor și a articolelor 1, 2 și 3 din anexa VII la acesta</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690"/>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Anexa VII (articolul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Alocația școlară</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de Justiție din 12 mai 2004 de stabilire a dispozițiilor generale de punere în aplicare privind acordarea alocației școlare (modificată prin Decizia din 27 ianuarie 2014)</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52"/>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67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Anexa VII</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Persoana considerată copil aflat în întreținere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din 12 mai 2004 de stabilire a dispozițiilor generale de punere în aplicare a articolului 2 alineatul (4) din anexa VII la Statutul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13"/>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67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Anexa VII</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Alocația pentru locuință prin decizie specială</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de Justiție din 12 mai 2004 de stabilire a dispozițiilor generale de punere în aplicare privind acordarea alocației pentru locuință prin decizie specială</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Secțiunea 3 – Rambursarea cheltuielilor</w:t>
            </w:r>
          </w:p>
        </w:tc>
      </w:tr>
      <w:tr>
        <w:trPr>
          <w:trHeight w:hRule="exact" w:val="680"/>
        </w:trPr>
        <w:tc>
          <w:tcPr>
            <w:tcW w:w="1156" w:type="dxa"/>
            <w:tcBorders>
              <w:left w:val="single" w:sz="4" w:space="0" w:color="000000"/>
              <w:bottom w:val="single" w:sz="4" w:space="0" w:color="000000"/>
              <w:right w:val="single" w:sz="4" w:space="0" w:color="000000"/>
            </w:tcBorders>
            <w:vAlign w:val="center"/>
          </w:tcPr>
          <w:p>
            <w:pPr>
              <w:widowControl w:val="0"/>
              <w:spacing w:before="45"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71 + anexa</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3"/>
              </w:rPr>
              <w:t>VII (articolul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Locul de origine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din 12 mai 2004 de stabilire a dispozițiilor generale de punere în aplicare a articolului 7 alineatul (3) din anexa VII la Statutul funcționarilor</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3"/>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680"/>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67" w:after="0" w:line="240" w:lineRule="auto"/>
              <w:jc w:val="center"/>
              <w:rPr>
                <w:rFonts w:ascii="Times New Roman" w:eastAsia="Times New Roman" w:hAnsi="Times New Roman" w:cs="Times New Roman"/>
                <w:noProof/>
                <w:sz w:val="13"/>
                <w:szCs w:val="13"/>
              </w:rPr>
            </w:pPr>
            <w:r>
              <w:rPr>
                <w:rFonts w:ascii="Times New Roman" w:hAnsi="Times New Roman"/>
                <w:b/>
                <w:noProof/>
                <w:sz w:val="13"/>
              </w:rPr>
              <w:t>71 + anexa</w:t>
            </w:r>
          </w:p>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3"/>
              </w:rPr>
              <w:t>VII (articolul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Cheltuieli de mutare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de Justiție din 27 ianuarie 2014 de stabilire a dispozițiilor generale de punere în aplicare referitoare la cheltuielile de mutare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68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3"/>
              </w:rPr>
              <w:t>71 + anexa VII (articolele 11 - 13a)</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 xml:space="preserve">Delegațiile </w:t>
            </w: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din 12 mai 2004 de stabilire a dispozițiilor generale de punere în aplicare pentru rambursarea cheltuielilor de delegație</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12.5.2004</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anexele VIII și XIII – Pensiile și prestația de invaliditate</w:t>
            </w:r>
          </w:p>
        </w:tc>
      </w:tr>
      <w:tr>
        <w:trPr>
          <w:trHeight w:hRule="exact" w:val="1071"/>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3"/>
              </w:rPr>
              <w:t>77 + anexa VIII (articolele 11 și 12)</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Calcularea drepturilor de pensie – Transferul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de Justiție din 12 mai 2004 de stabilire a dispozițiilor generale de punere în aplicare privind luarea în considerare, în scopul calculării drepturilor de pensie, a perioadelor de activitate realizate anterior de personal înainte de reluarea activității</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12.5.2004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14"/>
        </w:trPr>
        <w:tc>
          <w:tcPr>
            <w:tcW w:w="1156" w:type="dxa"/>
            <w:vMerge/>
            <w:tcBorders>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din 12 mai 2004 de stabilire a dispozițiilor generale de punere în aplicare a articolelor 11 și 12 din anexa VIII la Statutul funcționarilor privind transferul drepturilor de pensie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 – Regimul disciplinar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3"/>
              </w:rPr>
              <w:t>86 + anexa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Procedura disciplinară și anchetele administrative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Comitetului administrativ al Curții de Justiție din 19 septembrie 2011 de stabilire a dispozițiilor generale de punere în aplicare privind anchetele administrative (modificată prin Decizia din 9 decembrie 2019)</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20.9.2011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74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3"/>
              </w:rPr>
              <w:t>79 alineatul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Utilizarea agenților contractuali</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comitetului administrativ al Curții</w:t>
            </w:r>
            <w:r>
              <w:rPr>
                <w:noProof/>
              </w:rPr>
              <w:t xml:space="preserve"> </w:t>
            </w:r>
            <w:r>
              <w:rPr>
                <w:noProof/>
              </w:rPr>
              <w:br/>
            </w:r>
            <w:r>
              <w:rPr>
                <w:rFonts w:ascii="Times New Roman" w:hAnsi="Times New Roman"/>
                <w:noProof/>
                <w:sz w:val="12"/>
              </w:rPr>
              <w:t xml:space="preserve"> de Justiție din 15 iunie 2005 de stabilire a dispozițiilor generale de punere în aplicare privind angajarea și utilizarea agenților contractuali</w:t>
            </w:r>
            <w:r>
              <w:rPr>
                <w:noProof/>
              </w:rPr>
              <w:t xml:space="preserve"> </w:t>
            </w:r>
            <w:r>
              <w:rPr>
                <w:noProof/>
              </w:rPr>
              <w:br/>
            </w:r>
            <w:r>
              <w:rPr>
                <w:rFonts w:ascii="Times New Roman" w:hAnsi="Times New Roman"/>
                <w:noProof/>
                <w:sz w:val="12"/>
              </w:rPr>
              <w:t xml:space="preserve"> (modificată ultima dată prin Decizia din 24 martie 2014)</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15.6.2005</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3"/>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7"/>
              </w:rPr>
              <w:t>Procedurile de recrutare pentru agenții contractuali</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de Justiție din 15 iunie 2005 de stabilire a dispozițiilor generale de punere în aplicare privind angajarea și utilizarea agenților contractuali (modificată ultima dată prin Decizia din 24 martie 2014)</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3"/>
              </w:rPr>
              <w:t>15.6.2005</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Încadrarea în grad la momentul recrutării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de Justiție din 15 iunie 2005 de stabilire a dispozițiilor generale de punere în aplicare privind angajarea și utilizarea agenților contractuali (modificată ultima dată prin Decizia din 24 martie 2014)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15.6.2005</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3"/>
              </w:rPr>
              <w:t>87 alineatul (3)</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Clasificarea agenților contractuali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Decizia comitetului administrativ al Curții </w:t>
            </w:r>
            <w:r>
              <w:rPr>
                <w:noProof/>
              </w:rPr>
              <w:t xml:space="preserve"> </w:t>
            </w:r>
            <w:r>
              <w:rPr>
                <w:noProof/>
              </w:rPr>
              <w:br/>
            </w:r>
            <w:r>
              <w:rPr>
                <w:rFonts w:ascii="Times New Roman" w:hAnsi="Times New Roman"/>
                <w:noProof/>
                <w:sz w:val="12"/>
              </w:rPr>
              <w:t xml:space="preserve">de Justiție din 17 octombrie 2007 privind reclasificarea agenților contractuali angajați în temeiul articolului 3a din Regimul aplicabil celorlalți agenți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18.10.2007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Legendă</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60288"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080561149" name="Rectangle 1080561149"/>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80561149" o:spid="_x0000_s1027" style="position:absolute;margin-left:178.4pt;margin-top:17.9pt;width:156.2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Dispoziții generale de punere în aplicare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Alte norme de punere în aplicare</w:t>
            </w:r>
          </w:p>
        </w:tc>
      </w:tr>
    </w:tbl>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8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noProof/>
              </w:rPr>
              <w:br w:type="page"/>
            </w:r>
            <w:r>
              <w:rPr>
                <w:rFonts w:ascii="Times New Roman" w:hAnsi="Times New Roman"/>
                <w:b/>
                <w:noProof/>
                <w:sz w:val="50"/>
              </w:rPr>
              <w:t>CURTEA DE CONTURI EUROPEANĂ</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Competențele autorității împuternicite să facă numiri (AIPN)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Decizia 71 privind exercitarea competențelor conferite </w:t>
            </w:r>
            <w:r>
              <w:rPr>
                <w:noProof/>
              </w:rPr>
              <w:t xml:space="preserve"> </w:t>
            </w:r>
            <w:r>
              <w:rPr>
                <w:noProof/>
              </w:rPr>
              <w:br/>
            </w:r>
            <w:r>
              <w:rPr>
                <w:rFonts w:ascii="Times New Roman" w:hAnsi="Times New Roman"/>
                <w:noProof/>
                <w:sz w:val="12"/>
              </w:rPr>
              <w:t>prin Statutul funcționarilor autorității împuternicite să facă numiri și, prin regimul aplicabil celorlalți agenți, autorității abilitate să încheie contracte de muncă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4.9.2015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8.11.2023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85"/>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bookmarkStart w:id="16" w:name="_Hlk162620425"/>
            <w:r>
              <w:rPr>
                <w:rFonts w:ascii="Times New Roman" w:hAnsi="Times New Roman"/>
                <w:noProof/>
                <w:sz w:val="12"/>
              </w:rPr>
              <w:t xml:space="preserve">Decizia nr. 56-2023 privind exercitarea competențelor conferite prin Statutul funcționarilor autorității împuternicite să facă numiri și, prin regimul aplicabil celorlalți agenți, autorității abilitate să încheie </w:t>
            </w:r>
            <w:r>
              <w:rPr>
                <w:noProof/>
              </w:rPr>
              <w:t xml:space="preserve"> </w:t>
            </w:r>
            <w:r>
              <w:rPr>
                <w:noProof/>
              </w:rPr>
              <w:br/>
            </w:r>
            <w:r>
              <w:rPr>
                <w:rFonts w:ascii="Times New Roman" w:hAnsi="Times New Roman"/>
                <w:noProof/>
                <w:sz w:val="12"/>
              </w:rPr>
              <w:t>contracte de muncă</w:t>
            </w:r>
            <w:bookmarkEnd w:id="16"/>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8.11.2023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853"/>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nr. 40-2017 privind delegarea anumitor competențe delegate autorității împuternicite să facă numiri/AHCC</w:t>
            </w:r>
            <w:r>
              <w:rPr>
                <w:noProof/>
              </w:rPr>
              <w:t xml:space="preserve"> </w:t>
            </w:r>
            <w:r>
              <w:rPr>
                <w:noProof/>
              </w:rPr>
              <w:br/>
            </w:r>
            <w:r>
              <w:rPr>
                <w:rFonts w:ascii="Times New Roman" w:hAnsi="Times New Roman"/>
                <w:noProof/>
                <w:sz w:val="12"/>
              </w:rPr>
              <w:t xml:space="preserve"> în vederea punerii în aplicare a acordului privind prestarea de servicii dintre Curtea de Conturi și Oficiul </w:t>
            </w:r>
            <w:r>
              <w:rPr>
                <w:noProof/>
              </w:rPr>
              <w:t xml:space="preserve"> </w:t>
            </w:r>
            <w:r>
              <w:rPr>
                <w:noProof/>
              </w:rPr>
              <w:br/>
            </w:r>
            <w:r>
              <w:rPr>
                <w:rFonts w:ascii="Times New Roman" w:hAnsi="Times New Roman"/>
                <w:noProof/>
                <w:sz w:val="12"/>
              </w:rPr>
              <w:t>de Administrare și Plată a Drepturilor Individuale (PMO)</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18.12.2017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24.6.2021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51"/>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bookmarkStart w:id="17" w:name="_Hlk162620437"/>
            <w:r>
              <w:rPr>
                <w:rFonts w:ascii="Times New Roman" w:hAnsi="Times New Roman"/>
                <w:noProof/>
                <w:sz w:val="12"/>
              </w:rPr>
              <w:t xml:space="preserve">Decizia nr. 52-2021 </w:t>
            </w:r>
            <w:bookmarkEnd w:id="17"/>
            <w:r>
              <w:rPr>
                <w:rFonts w:ascii="Times New Roman" w:hAnsi="Times New Roman"/>
                <w:noProof/>
                <w:sz w:val="12"/>
              </w:rPr>
              <w:t>privind delegarea anumitor competențe delegate autorității împuternicite să facă numiri/AHCC</w:t>
            </w:r>
            <w:r>
              <w:rPr>
                <w:noProof/>
              </w:rPr>
              <w:t xml:space="preserve"> </w:t>
            </w:r>
            <w:r>
              <w:rPr>
                <w:noProof/>
              </w:rPr>
              <w:br/>
            </w:r>
            <w:r>
              <w:rPr>
                <w:rFonts w:ascii="Times New Roman" w:hAnsi="Times New Roman"/>
                <w:noProof/>
                <w:sz w:val="12"/>
              </w:rPr>
              <w:t xml:space="preserve"> în vederea punerii în aplicare a acordului privind prestarea de servicii dintre Curtea de Conturi și Oficiul </w:t>
            </w:r>
            <w:r>
              <w:rPr>
                <w:noProof/>
              </w:rPr>
              <w:t xml:space="preserve"> </w:t>
            </w:r>
            <w:r>
              <w:rPr>
                <w:noProof/>
              </w:rPr>
              <w:br/>
            </w:r>
            <w:r>
              <w:rPr>
                <w:rFonts w:ascii="Times New Roman" w:hAnsi="Times New Roman"/>
                <w:noProof/>
                <w:sz w:val="12"/>
              </w:rPr>
              <w:t>de Administrare și Plată a Drepturilor Individuale (PMO)</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24.6.2021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04"/>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112" w:lineRule="exact"/>
              <w:ind w:left="162"/>
              <w:jc w:val="center"/>
              <w:rPr>
                <w:rFonts w:ascii="Times New Roman" w:eastAsia="Times New Roman" w:hAnsi="Times New Roman" w:cs="Times New Roman"/>
                <w:noProof/>
                <w:sz w:val="12"/>
                <w:szCs w:val="12"/>
              </w:rPr>
            </w:pPr>
            <w:r>
              <w:rPr>
                <w:rFonts w:ascii="Times New Roman" w:hAnsi="Times New Roman"/>
                <w:b/>
                <w:noProof/>
                <w:sz w:val="12"/>
              </w:rPr>
              <w:t>5 + anexa I și</w:t>
            </w:r>
          </w:p>
          <w:p>
            <w:pPr>
              <w:widowControl w:val="0"/>
              <w:spacing w:after="0" w:line="112" w:lineRule="exact"/>
              <w:ind w:left="162"/>
              <w:jc w:val="center"/>
              <w:rPr>
                <w:rFonts w:ascii="Times New Roman" w:eastAsia="Times New Roman" w:hAnsi="Times New Roman" w:cs="Times New Roman"/>
                <w:noProof/>
                <w:sz w:val="12"/>
                <w:szCs w:val="12"/>
              </w:rPr>
            </w:pPr>
            <w:r>
              <w:rPr>
                <w:rFonts w:ascii="Times New Roman" w:hAnsi="Times New Roman"/>
                <w:b/>
                <w:noProof/>
                <w:sz w:val="12"/>
              </w:rPr>
              <w:t>Anexa XIII</w:t>
            </w:r>
            <w:r>
              <w:rPr>
                <w:noProof/>
              </w:rPr>
              <w:t xml:space="preserve"> </w:t>
            </w:r>
            <w:r>
              <w:rPr>
                <w:noProof/>
              </w:rPr>
              <w:br/>
            </w:r>
            <w:r>
              <w:rPr>
                <w:rFonts w:ascii="Times New Roman" w:hAnsi="Times New Roman"/>
                <w:b/>
                <w:noProof/>
                <w:sz w:val="12"/>
              </w:rPr>
              <w:t xml:space="preserve"> (articolele 30 și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Tipurile de posturi și titlurile posturilor</w:t>
            </w:r>
          </w:p>
        </w:tc>
        <w:tc>
          <w:tcPr>
            <w:tcW w:w="3029"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21-2015 privind tipul de posturi și titlurile posturilor</w:t>
            </w:r>
          </w:p>
        </w:tc>
        <w:tc>
          <w:tcPr>
            <w:tcW w:w="1322"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1.1.2016</w:t>
            </w:r>
          </w:p>
        </w:tc>
        <w:tc>
          <w:tcPr>
            <w:tcW w:w="1687"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1011"/>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7" w:lineRule="auto"/>
              <w:ind w:left="99" w:right="100" w:firstLine="129"/>
              <w:jc w:val="center"/>
              <w:rPr>
                <w:rFonts w:ascii="Times New Roman" w:eastAsia="Times New Roman" w:hAnsi="Times New Roman" w:cs="Times New Roman"/>
                <w:noProof/>
                <w:sz w:val="16"/>
                <w:szCs w:val="16"/>
              </w:rPr>
            </w:pPr>
            <w:r>
              <w:rPr>
                <w:rFonts w:ascii="Times New Roman" w:hAnsi="Times New Roman"/>
                <w:b/>
                <w:noProof/>
                <w:sz w:val="16"/>
              </w:rPr>
              <w:t>Repartizarea funcționarilor cu responsabilități speciale pe posturile de „șef de unitate sau echivalent” ori „consilier sau echivalent”</w:t>
            </w:r>
          </w:p>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înainte de 31 decembrie 2015</w:t>
            </w:r>
          </w:p>
        </w:tc>
        <w:tc>
          <w:tcPr>
            <w:tcW w:w="3029" w:type="dxa"/>
            <w:vMerge/>
            <w:tcBorders>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p>
        </w:tc>
        <w:tc>
          <w:tcPr>
            <w:tcW w:w="1322" w:type="dxa"/>
            <w:vMerge/>
            <w:tcBorders>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lang w:val="en-GB"/>
              </w:rPr>
            </w:pPr>
          </w:p>
        </w:tc>
        <w:tc>
          <w:tcPr>
            <w:tcW w:w="1687"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p>
        </w:tc>
      </w:tr>
      <w:tr>
        <w:trPr>
          <w:trHeight w:hRule="exact" w:val="567"/>
        </w:trPr>
        <w:tc>
          <w:tcPr>
            <w:tcW w:w="1156" w:type="dxa"/>
            <w:vMerge w:val="restart"/>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9 + anexa II</w:t>
            </w:r>
            <w:r>
              <w:rPr>
                <w:noProof/>
              </w:rPr>
              <w:t xml:space="preserve"> </w:t>
            </w:r>
            <w:r>
              <w:rPr>
                <w:noProof/>
              </w:rPr>
              <w:br/>
            </w:r>
            <w:r>
              <w:rPr>
                <w:rFonts w:ascii="Times New Roman" w:hAnsi="Times New Roman"/>
                <w:b/>
                <w:noProof/>
                <w:sz w:val="12"/>
              </w:rPr>
              <w:t>Anexa IX secțiunea 2</w:t>
            </w:r>
          </w:p>
        </w:tc>
        <w:tc>
          <w:tcPr>
            <w:tcW w:w="2551" w:type="dxa"/>
            <w:vMerge w:val="restart"/>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Comitetele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17-2016 de instituire a unui Comitet mixt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1.5.2016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31-2017 de instituire a unui Comitet mixt pentru sănătate, securitate, catering și bunăstare la locul de muncă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10.5.2017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26-2018 privind mandatul și componența</w:t>
            </w:r>
            <w:r>
              <w:rPr>
                <w:noProof/>
              </w:rPr>
              <w:t xml:space="preserve"> </w:t>
            </w:r>
            <w:r>
              <w:rPr>
                <w:noProof/>
              </w:rPr>
              <w:br/>
            </w:r>
            <w:r>
              <w:rPr>
                <w:rFonts w:ascii="Times New Roman" w:hAnsi="Times New Roman"/>
                <w:noProof/>
                <w:sz w:val="12"/>
              </w:rPr>
              <w:t xml:space="preserve"> Comitetului mixt pentru egalitatea de șanse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18.6.2018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24-2018 de instituire a unui comitet disciplinar extins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18.4.2018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24.4.2020</w:t>
            </w:r>
          </w:p>
        </w:tc>
        <w:tc>
          <w:tcPr>
            <w:tcW w:w="936" w:type="dxa"/>
            <w:vMerge w:val="restart"/>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7-2020 de instituire a unui comitet disciplinar extins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24.4.2020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18.1.2023</w:t>
            </w:r>
          </w:p>
        </w:tc>
        <w:tc>
          <w:tcPr>
            <w:tcW w:w="936" w:type="dxa"/>
            <w:vMerge/>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4-2023 de instituire a unui comitet disciplinar extins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18.1.2023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6.9.2023</w:t>
            </w:r>
          </w:p>
        </w:tc>
        <w:tc>
          <w:tcPr>
            <w:tcW w:w="936" w:type="dxa"/>
            <w:vMerge/>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45-2023 de instituire a unui comitet disciplinar extins</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6.9.2023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Titlul II – Drepturile și obligațiile funcționarului</w:t>
            </w:r>
          </w:p>
        </w:tc>
      </w:tr>
      <w:tr>
        <w:trPr>
          <w:trHeight w:val="567"/>
        </w:trPr>
        <w:tc>
          <w:tcPr>
            <w:tcW w:w="1156" w:type="dxa"/>
            <w:vMerge w:val="restart"/>
            <w:tcBorders>
              <w:top w:val="single" w:sz="5" w:space="0" w:color="000000"/>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noProof/>
              </w:rPr>
              <w:t xml:space="preserve"> </w:t>
            </w:r>
            <w:r>
              <w:rPr>
                <w:noProof/>
              </w:rPr>
              <w:br/>
            </w:r>
            <w:r>
              <w:rPr>
                <w:rFonts w:ascii="Times New Roman" w:hAnsi="Times New Roman"/>
                <w:b/>
                <w:noProof/>
                <w:sz w:val="12"/>
              </w:rPr>
              <w:t>12a și 24</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Hărțuirea sexuală și morală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Decizia nr. 26-2017 privind politica de menținere a unui mediu de lucru satisfăcător și de combatere a hărțuirii psihologice și sexuale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6.4.2017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17.12.2022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Decizia nr. 50-2022 privind politica Curții de Conturi Europene</w:t>
            </w:r>
          </w:p>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pentru asigurarea unui mediu de lucru bazat pe respect reciproc și lipsit de hărțuire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17.12.2022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20</w:t>
            </w:r>
          </w:p>
        </w:tc>
        <w:tc>
          <w:tcPr>
            <w:tcW w:w="2551" w:type="dxa"/>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6"/>
              </w:rPr>
              <w:t>Domiciliul</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Decizia nr. 61-2021 privind aplicarea articolului 20 din Statutul funcționarilor Uniunii Europene, aplicabil prin analogie agenților temporari și contractuali și experților naționali detașați</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13.9.2021</w:t>
            </w:r>
          </w:p>
        </w:tc>
        <w:tc>
          <w:tcPr>
            <w:tcW w:w="1687" w:type="dxa"/>
            <w:tcBorders>
              <w:top w:val="single" w:sz="4" w:space="0" w:color="auto"/>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22a - 22c</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bookmarkStart w:id="18" w:name="_Hlk177238038"/>
            <w:r>
              <w:rPr>
                <w:rFonts w:ascii="Times New Roman" w:hAnsi="Times New Roman"/>
                <w:b/>
                <w:noProof/>
                <w:sz w:val="16"/>
              </w:rPr>
              <w:t>Avertizarea în interes public</w:t>
            </w:r>
            <w:bookmarkEnd w:id="18"/>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Regulamentul de procedură pentru furnizarea de informații în eventualitatea unor încălcări grave („denunțarea”)</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31.10.2014</w:t>
            </w:r>
          </w:p>
        </w:tc>
        <w:tc>
          <w:tcPr>
            <w:tcW w:w="1687" w:type="dxa"/>
            <w:tcBorders>
              <w:top w:val="single" w:sz="4" w:space="0" w:color="auto"/>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14.7.2023</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36-2023 de adoptare a normelor interne de raportare a neregulilor grave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14.7.2023</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678"/>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24a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Formarea profesională</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Decizia 71-2016 de stabilire a normelor interne privind formarea profesională (modificată ultima dată prin Decizia nr. 33-2022 din 27.7.2022)</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15.11.2016</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3" w:space="0" w:color="000000"/>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III – Cariera funcționarului</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bookmarkStart w:id="19" w:name="_Hlk182300883"/>
            <w:r>
              <w:rPr>
                <w:rFonts w:ascii="Times New Roman" w:hAnsi="Times New Roman"/>
                <w:b/>
                <w:noProof/>
                <w:sz w:val="12"/>
              </w:rPr>
              <w:t>27 - 34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Recrutarea</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Decizia 6-2014 de stabilire a normelor generale de punere în aplicare privind criteriile aplicabile încadrării în treaptă la momentul numirii sau angajării</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bookmarkEnd w:id="19"/>
      <w:tr>
        <w:trPr>
          <w:trHeight w:hRule="exact" w:val="567"/>
        </w:trPr>
        <w:tc>
          <w:tcPr>
            <w:tcW w:w="1156" w:type="dxa"/>
            <w:vMerge w:val="restart"/>
            <w:tcBorders>
              <w:top w:val="single" w:sz="6" w:space="0" w:color="000000"/>
              <w:left w:val="single" w:sz="4" w:space="0" w:color="000000"/>
              <w:right w:val="single" w:sz="4"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29 alineatul (2) - 34 - 46</w:t>
            </w:r>
          </w:p>
        </w:tc>
        <w:tc>
          <w:tcPr>
            <w:tcW w:w="2551" w:type="dxa"/>
            <w:tcBorders>
              <w:top w:val="single" w:sz="6" w:space="0" w:color="000000"/>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Perioada de probă</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Calibri" w:hAnsi="Times New Roman" w:cs="Times New Roman"/>
                <w:noProof/>
                <w:spacing w:val="-2"/>
                <w:sz w:val="12"/>
              </w:rPr>
            </w:pPr>
            <w:r>
              <w:rPr>
                <w:rFonts w:ascii="Times New Roman" w:hAnsi="Times New Roman"/>
                <w:noProof/>
                <w:sz w:val="12"/>
              </w:rPr>
              <w:t xml:space="preserve">Decizia nr. 23-2011 a Curții de Conturi de stabilire a criteriilor de întocmire a rapoartelor de evaluare a perioadei de probă pentru membrii personalului de conducere nou numiți </w:t>
            </w:r>
          </w:p>
          <w:p>
            <w:pPr>
              <w:widowControl w:val="0"/>
              <w:spacing w:before="76" w:after="0" w:line="254" w:lineRule="auto"/>
              <w:ind w:right="165"/>
              <w:jc w:val="center"/>
              <w:rPr>
                <w:rFonts w:ascii="Times New Roman" w:eastAsia="Calibri" w:hAnsi="Times New Roman" w:cs="Times New Roman"/>
                <w:noProof/>
                <w:spacing w:val="-2"/>
                <w:sz w:val="12"/>
              </w:rPr>
            </w:pPr>
            <w:r>
              <w:rPr>
                <w:rFonts w:ascii="Times New Roman" w:hAnsi="Times New Roman"/>
                <w:noProof/>
                <w:sz w:val="12"/>
              </w:rPr>
              <w:t>(șefi de unitate și directori)</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28.3.2011</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 xml:space="preserve">Recrutarea membrilor personalului cu funcții superioare de conducere </w:t>
            </w:r>
            <w:r>
              <w:rPr>
                <w:noProof/>
              </w:rPr>
              <w:t xml:space="preserve"> </w:t>
            </w:r>
            <w:r>
              <w:rPr>
                <w:noProof/>
              </w:rPr>
              <w:br/>
            </w:r>
            <w:r>
              <w:rPr>
                <w:rFonts w:ascii="Times New Roman" w:hAnsi="Times New Roman"/>
                <w:b/>
                <w:noProof/>
                <w:sz w:val="16"/>
              </w:rPr>
              <w:t>(AD și AST)</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Decizia 30-2015 privind numirea administratorilor cu funcții superioare</w:t>
            </w:r>
            <w:r>
              <w:rPr>
                <w:noProof/>
              </w:rPr>
              <w:t xml:space="preserve"> </w:t>
            </w:r>
            <w:r>
              <w:rPr>
                <w:noProof/>
              </w:rPr>
              <w:br/>
            </w:r>
            <w:r>
              <w:rPr>
                <w:rFonts w:ascii="Times New Roman" w:hAnsi="Times New Roman"/>
                <w:noProof/>
                <w:sz w:val="12"/>
              </w:rPr>
              <w:t xml:space="preserve"> (modificată ultima dată prin Decizia nr. 43-2021 din 20.5.2021)</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3.9.2015</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 xml:space="preserve">Decizia 32-2015 privind numirea asistenților cu experiență </w:t>
            </w:r>
            <w:r>
              <w:rPr>
                <w:noProof/>
              </w:rPr>
              <w:t xml:space="preserve"> </w:t>
            </w:r>
            <w:r>
              <w:rPr>
                <w:noProof/>
              </w:rPr>
              <w:br/>
            </w:r>
            <w:r>
              <w:rPr>
                <w:rFonts w:ascii="Times New Roman" w:hAnsi="Times New Roman"/>
                <w:noProof/>
                <w:sz w:val="12"/>
              </w:rPr>
              <w:t>(modificată ultima dată prin Decizia nr. 43-2021 din 20.5.2021)</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3.9.2015</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Decizia 31-2015 privind procedurile pentru selectarea managerilor principali și a directorilor</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4.9.2015</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9.11.2023</w:t>
            </w: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Decizia nr. 58-2023 privind procedura pentru selectarea managerilor principali ai Curții de Conturi Europene</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9.11.2023</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6" w:space="0" w:color="000000"/>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130" w:after="0" w:line="240" w:lineRule="auto"/>
              <w:jc w:val="center"/>
              <w:rPr>
                <w:rFonts w:ascii="Times New Roman" w:eastAsia="Times New Roman" w:hAnsi="Times New Roman" w:cs="Times New Roman"/>
                <w:noProof/>
                <w:sz w:val="16"/>
                <w:szCs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 xml:space="preserve">Decizia nr. 57-2023 </w:t>
            </w:r>
            <w:bookmarkStart w:id="20" w:name="_Hlk162620370"/>
            <w:r>
              <w:rPr>
                <w:rFonts w:ascii="Times New Roman" w:hAnsi="Times New Roman"/>
                <w:noProof/>
                <w:sz w:val="12"/>
              </w:rPr>
              <w:t>privind pentru selectarea directorilor Curții de Conturi Europene</w:t>
            </w:r>
            <w:bookmarkEnd w:id="20"/>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9.11.2023</w:t>
            </w:r>
          </w:p>
        </w:tc>
        <w:tc>
          <w:tcPr>
            <w:tcW w:w="1687"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noProof/>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b/>
                <w:bCs/>
                <w:noProof/>
                <w:sz w:val="17"/>
                <w:szCs w:val="17"/>
              </w:rPr>
            </w:pPr>
            <w:r>
              <w:rPr>
                <w:rFonts w:ascii="Times New Roman" w:hAnsi="Times New Roman"/>
                <w:b/>
                <w:noProof/>
                <w:sz w:val="17"/>
              </w:rPr>
              <w:t xml:space="preserve">Secțiunea 2 – Detașarea </w:t>
            </w:r>
          </w:p>
        </w:tc>
      </w:tr>
      <w:tr>
        <w:trPr>
          <w:trHeight w:hRule="exact" w:val="567"/>
        </w:trPr>
        <w:tc>
          <w:tcPr>
            <w:tcW w:w="1156" w:type="dxa"/>
            <w:tcBorders>
              <w:top w:val="single" w:sz="4" w:space="0" w:color="auto"/>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szCs w:val="12"/>
              </w:rPr>
            </w:pPr>
            <w:r>
              <w:rPr>
                <w:rFonts w:ascii="Times New Roman" w:hAnsi="Times New Roman"/>
                <w:b/>
                <w:noProof/>
                <w:sz w:val="12"/>
              </w:rPr>
              <w:t>37-39</w:t>
            </w:r>
          </w:p>
        </w:tc>
        <w:tc>
          <w:tcPr>
            <w:tcW w:w="2551" w:type="dxa"/>
            <w:tcBorders>
              <w:top w:val="single" w:sz="4" w:space="0" w:color="auto"/>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z w:val="16"/>
                <w:szCs w:val="16"/>
              </w:rPr>
            </w:pPr>
            <w:r>
              <w:rPr>
                <w:rFonts w:ascii="Times New Roman" w:hAnsi="Times New Roman"/>
                <w:b/>
                <w:noProof/>
                <w:sz w:val="16"/>
              </w:rPr>
              <w:t>Detașarea</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z w:val="12"/>
                <w:szCs w:val="12"/>
              </w:rPr>
            </w:pPr>
            <w:r>
              <w:rPr>
                <w:rFonts w:ascii="Times New Roman" w:hAnsi="Times New Roman"/>
                <w:noProof/>
                <w:sz w:val="12"/>
              </w:rPr>
              <w:t>Decizia nr. 44-2010 a Curții de Conturi Europene privind condițiile de detașare a funcționarilor Curții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rPr>
            </w:pPr>
            <w:r>
              <w:rPr>
                <w:rFonts w:ascii="Times New Roman" w:hAnsi="Times New Roman"/>
                <w:noProof/>
                <w:sz w:val="12"/>
              </w:rPr>
              <w:t>15.7.2010</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lang w:val="en-US"/>
              </w:rPr>
            </w:pPr>
          </w:p>
        </w:tc>
        <w:tc>
          <w:tcPr>
            <w:tcW w:w="936" w:type="dxa"/>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37 + 10 RAA +</w:t>
            </w:r>
            <w:r>
              <w:rPr>
                <w:noProof/>
              </w:rPr>
              <w:t xml:space="preserve"> </w:t>
            </w:r>
            <w:r>
              <w:rPr>
                <w:noProof/>
              </w:rPr>
              <w:br/>
            </w:r>
            <w:r>
              <w:rPr>
                <w:rFonts w:ascii="Times New Roman" w:hAnsi="Times New Roman"/>
                <w:b/>
                <w:noProof/>
                <w:sz w:val="12"/>
              </w:rPr>
              <w:t>15 RAA</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bookmarkStart w:id="21" w:name="_Hlk177238373"/>
            <w:r>
              <w:rPr>
                <w:rFonts w:ascii="Times New Roman" w:hAnsi="Times New Roman"/>
                <w:b/>
                <w:noProof/>
                <w:sz w:val="16"/>
              </w:rPr>
              <w:t>Detașarea la Cabinet</w:t>
            </w:r>
            <w:bookmarkEnd w:id="21"/>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 xml:space="preserve">Decizia 6-2004 privind procedura de recrutare </w:t>
            </w:r>
            <w:r>
              <w:rPr>
                <w:noProof/>
              </w:rPr>
              <w:t xml:space="preserve"> </w:t>
            </w:r>
            <w:r>
              <w:rPr>
                <w:noProof/>
              </w:rPr>
              <w:br/>
            </w:r>
            <w:r>
              <w:rPr>
                <w:rFonts w:ascii="Times New Roman" w:hAnsi="Times New Roman"/>
                <w:noProof/>
                <w:sz w:val="12"/>
              </w:rPr>
              <w:t>a personalului pentru cabinetele private ale membrilor</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15.1.2004</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bookmarkStart w:id="22" w:name="_Hlk162620489"/>
            <w:r>
              <w:rPr>
                <w:rFonts w:ascii="Times New Roman" w:hAnsi="Times New Roman"/>
                <w:noProof/>
                <w:sz w:val="12"/>
              </w:rPr>
              <w:t>Decizia nr. 57-2019 privind recrutarea personalului pentru cabinetele membrilor și pentru cabinetul secretarului general al Curții de Conturi</w:t>
            </w:r>
            <w:bookmarkEnd w:id="22"/>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1687" w:type="dxa"/>
            <w:tcBorders>
              <w:top w:val="single" w:sz="3"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17"/>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Decizia nr. 59-2004 a Curții de stabilire a criteriilor aplicabile încadrării în grad și treaptă a personalului repartizat în cabinetele private ale membrilor CCE (abrogată prin Decizia nr. 56-2019 din 1.1.2020)</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16.7.2004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936" w:type="dxa"/>
            <w:vMerge w:val="restart"/>
            <w:tcBorders>
              <w:top w:val="single" w:sz="4" w:space="0" w:color="auto"/>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1"/>
              <w:jc w:val="center"/>
              <w:rPr>
                <w:rFonts w:ascii="Times New Roman" w:eastAsia="Calibri" w:hAnsi="Times New Roman" w:cs="Times New Roman"/>
                <w:noProof/>
                <w:spacing w:val="-2"/>
                <w:sz w:val="12"/>
                <w:szCs w:val="12"/>
              </w:rPr>
            </w:pPr>
            <w:r>
              <w:rPr>
                <w:rFonts w:ascii="Times New Roman" w:hAnsi="Times New Roman"/>
                <w:noProof/>
                <w:sz w:val="12"/>
              </w:rPr>
              <w:t xml:space="preserve">Decizia 27-2015 privind beneficiile pentru secretarii care lucrează direct pentru membrii Curții de Conturi </w:t>
            </w:r>
            <w:r>
              <w:rPr>
                <w:noProof/>
              </w:rPr>
              <w:t xml:space="preserve"> </w:t>
            </w:r>
            <w:r>
              <w:rPr>
                <w:noProof/>
              </w:rPr>
              <w:br/>
            </w:r>
            <w:r>
              <w:rPr>
                <w:rFonts w:ascii="Times New Roman" w:hAnsi="Times New Roman"/>
                <w:noProof/>
                <w:sz w:val="12"/>
              </w:rPr>
              <w:t xml:space="preserve">(anulată prin Decizia nr. 56-2019 din 1.1.2020)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18"/>
        </w:trPr>
        <w:tc>
          <w:tcPr>
            <w:tcW w:w="1156" w:type="dxa"/>
            <w:vMerge/>
            <w:tcBorders>
              <w:left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Decizia nr. 56-2019 de stabilire a criteriilor aplicabile</w:t>
            </w:r>
            <w:r>
              <w:rPr>
                <w:noProof/>
              </w:rPr>
              <w:t xml:space="preserve"> </w:t>
            </w:r>
            <w:r>
              <w:rPr>
                <w:noProof/>
              </w:rPr>
              <w:br/>
            </w:r>
            <w:r>
              <w:rPr>
                <w:rFonts w:ascii="Times New Roman" w:hAnsi="Times New Roman"/>
                <w:noProof/>
                <w:sz w:val="12"/>
              </w:rPr>
              <w:t xml:space="preserve"> încadrării în grad și treaptă a personalului repartizat</w:t>
            </w:r>
            <w:r>
              <w:rPr>
                <w:noProof/>
              </w:rPr>
              <w:t xml:space="preserve"> </w:t>
            </w:r>
            <w:r>
              <w:rPr>
                <w:noProof/>
              </w:rPr>
              <w:br/>
            </w:r>
            <w:r>
              <w:rPr>
                <w:rFonts w:ascii="Times New Roman" w:hAnsi="Times New Roman"/>
                <w:noProof/>
                <w:sz w:val="12"/>
              </w:rPr>
              <w:t xml:space="preserve"> în cabinetele membrilor și în cabinetul secretarului general </w:t>
            </w:r>
            <w:r>
              <w:rPr>
                <w:noProof/>
              </w:rPr>
              <w:t xml:space="preserve"> </w:t>
            </w:r>
            <w:r>
              <w:rPr>
                <w:noProof/>
              </w:rPr>
              <w:br/>
            </w:r>
            <w:r>
              <w:rPr>
                <w:rFonts w:ascii="Times New Roman" w:hAnsi="Times New Roman"/>
                <w:noProof/>
                <w:sz w:val="12"/>
              </w:rPr>
              <w:t>al Curții de Conturi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16.3.2023</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01"/>
        </w:trPr>
        <w:tc>
          <w:tcPr>
            <w:tcW w:w="1156" w:type="dxa"/>
            <w:vMerge/>
            <w:tcBorders>
              <w:left w:val="single" w:sz="4" w:space="0" w:color="auto"/>
              <w:bottom w:val="single" w:sz="4" w:space="0" w:color="000000"/>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auto"/>
              <w:bottom w:val="single" w:sz="3" w:space="0" w:color="000000"/>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bookmarkStart w:id="23" w:name="_Hlk162620499"/>
            <w:r>
              <w:rPr>
                <w:rFonts w:ascii="Times New Roman" w:hAnsi="Times New Roman"/>
                <w:noProof/>
                <w:sz w:val="12"/>
              </w:rPr>
              <w:t xml:space="preserve">Decizia nr. 22-2023 de stabilire a criteriilor aplicabile </w:t>
            </w:r>
            <w:r>
              <w:rPr>
                <w:noProof/>
              </w:rPr>
              <w:t xml:space="preserve"> </w:t>
            </w:r>
            <w:r>
              <w:rPr>
                <w:noProof/>
              </w:rPr>
              <w:br/>
            </w:r>
            <w:r>
              <w:rPr>
                <w:rFonts w:ascii="Times New Roman" w:hAnsi="Times New Roman"/>
                <w:noProof/>
                <w:sz w:val="12"/>
              </w:rPr>
              <w:t>încadrării în grad și treaptă a personalului repartizat</w:t>
            </w:r>
            <w:r>
              <w:rPr>
                <w:noProof/>
              </w:rPr>
              <w:t xml:space="preserve"> </w:t>
            </w:r>
            <w:r>
              <w:rPr>
                <w:noProof/>
              </w:rPr>
              <w:br/>
            </w:r>
            <w:r>
              <w:rPr>
                <w:rFonts w:ascii="Times New Roman" w:hAnsi="Times New Roman"/>
                <w:noProof/>
                <w:sz w:val="12"/>
              </w:rPr>
              <w:t xml:space="preserve"> în cabinetele membrilor și în cabinetul secretarului general al Curții de Conturi</w:t>
            </w:r>
            <w:bookmarkEnd w:id="23"/>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16.3.2023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42a</w:t>
            </w:r>
          </w:p>
        </w:tc>
        <w:tc>
          <w:tcPr>
            <w:tcW w:w="2551"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creșterea copilului</w:t>
            </w:r>
          </w:p>
        </w:tc>
        <w:tc>
          <w:tcPr>
            <w:tcW w:w="3029" w:type="dxa"/>
            <w:tcBorders>
              <w:top w:val="single" w:sz="3" w:space="0" w:color="000000"/>
              <w:left w:val="single" w:sz="4" w:space="0" w:color="auto"/>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Decizia 31-2016 de stabilire a dispozițiilor generale de punere în aplicare a articolului 42a privind concediul pentru creșterea copilului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3.6.2016</w:t>
            </w:r>
          </w:p>
        </w:tc>
        <w:tc>
          <w:tcPr>
            <w:tcW w:w="1687" w:type="dxa"/>
            <w:tcBorders>
              <w:top w:val="single" w:sz="3" w:space="0" w:color="000000"/>
              <w:left w:val="single" w:sz="3" w:space="0" w:color="000000"/>
              <w:bottom w:val="single" w:sz="3" w:space="0" w:color="000000"/>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42b</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din motive familiale</w:t>
            </w:r>
          </w:p>
        </w:tc>
        <w:tc>
          <w:tcPr>
            <w:tcW w:w="3029" w:type="dxa"/>
            <w:tcBorders>
              <w:top w:val="single" w:sz="4" w:space="0" w:color="auto"/>
              <w:left w:val="single" w:sz="4" w:space="0" w:color="auto"/>
              <w:bottom w:val="single" w:sz="3" w:space="0" w:color="000000"/>
              <w:right w:val="single" w:sz="3"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Decizia 32-2016 privind articolul 42b referitor la concediul din motive familiale</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3.6.2016</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rPr>
      </w:pPr>
      <w:r>
        <w:rPr>
          <w:noProof/>
        </w:rPr>
        <w:t xml:space="preserve"> </w:t>
      </w:r>
      <w:r>
        <w:rPr>
          <w:noProof/>
        </w:rPr>
        <w:br/>
        <w:t xml:space="preserve"> </w:t>
      </w:r>
      <w:r>
        <w:rPr>
          <w:noProof/>
        </w:rPr>
        <w:br/>
      </w: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442"/>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tcBorders>
              <w:top w:val="single" w:sz="6" w:space="0" w:color="000000"/>
              <w:left w:val="single" w:sz="6" w:space="0" w:color="000000"/>
              <w:bottom w:val="single" w:sz="6" w:space="0" w:color="000000"/>
              <w:right w:val="single" w:sz="4"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Raportul anual</w:t>
            </w:r>
          </w:p>
        </w:tc>
        <w:tc>
          <w:tcPr>
            <w:tcW w:w="3029" w:type="dxa"/>
            <w:vMerge w:val="restart"/>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Decizia 39-2014 de stabilire a dispozițiilor generale de punere în aplicare a articolelor 43, 44.1 și 52 - Procedura de evaluare periodică a personalului - Sistemul de evaluare a competențelor și performanțelor COMPASS - Procedura privind incompetența profesională</w:t>
            </w:r>
          </w:p>
        </w:tc>
        <w:tc>
          <w:tcPr>
            <w:tcW w:w="1322" w:type="dxa"/>
            <w:vMerge w:val="restart"/>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9.10.2014</w:t>
            </w:r>
          </w:p>
        </w:tc>
        <w:tc>
          <w:tcPr>
            <w:tcW w:w="1687" w:type="dxa"/>
            <w:vMerge w:val="restart"/>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val="restart"/>
            <w:tcBorders>
              <w:top w:val="single" w:sz="6" w:space="0" w:color="000000"/>
              <w:left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436"/>
        </w:trPr>
        <w:tc>
          <w:tcPr>
            <w:tcW w:w="1157"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44 alineatul (1)</w:t>
            </w:r>
          </w:p>
        </w:tc>
        <w:tc>
          <w:tcPr>
            <w:tcW w:w="2551" w:type="dxa"/>
            <w:tcBorders>
              <w:top w:val="single" w:sz="6" w:space="0" w:color="000000"/>
              <w:left w:val="single" w:sz="6" w:space="0" w:color="000000"/>
              <w:bottom w:val="single" w:sz="6" w:space="0" w:color="000000"/>
              <w:right w:val="single" w:sz="4"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Avansarea în treaptă</w:t>
            </w:r>
          </w:p>
        </w:tc>
        <w:tc>
          <w:tcPr>
            <w:tcW w:w="3029" w:type="dxa"/>
            <w:vMerge/>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lang w:val="en-GB"/>
              </w:rPr>
            </w:pPr>
          </w:p>
        </w:tc>
        <w:tc>
          <w:tcPr>
            <w:tcW w:w="1322" w:type="dxa"/>
            <w:vMerge/>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1687" w:type="dxa"/>
            <w:vMerge/>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413"/>
        </w:trPr>
        <w:tc>
          <w:tcPr>
            <w:tcW w:w="1157" w:type="dxa"/>
            <w:vMerge w:val="restart"/>
            <w:tcBorders>
              <w:top w:val="single" w:sz="6" w:space="0" w:color="000000"/>
              <w:left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Promovarea</w:t>
            </w:r>
          </w:p>
        </w:tc>
        <w:tc>
          <w:tcPr>
            <w:tcW w:w="3029"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53-2014 privind promovările</w:t>
            </w:r>
          </w:p>
        </w:tc>
        <w:tc>
          <w:tcPr>
            <w:tcW w:w="1322"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11.12.2014</w:t>
            </w:r>
          </w:p>
        </w:tc>
        <w:tc>
          <w:tcPr>
            <w:tcW w:w="1687"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14.12.2020</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418"/>
        </w:trPr>
        <w:tc>
          <w:tcPr>
            <w:tcW w:w="1157" w:type="dxa"/>
            <w:vMerge/>
            <w:tcBorders>
              <w:left w:val="single" w:sz="6" w:space="0" w:color="000000"/>
              <w:bottom w:val="single" w:sz="4" w:space="0" w:color="auto"/>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26-2020 privind promovările</w:t>
            </w:r>
          </w:p>
        </w:tc>
        <w:tc>
          <w:tcPr>
            <w:tcW w:w="1322"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14.12.2020</w:t>
            </w:r>
          </w:p>
        </w:tc>
        <w:tc>
          <w:tcPr>
            <w:tcW w:w="1687"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Certificarea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Decizia 30-2016 de stabilire a normelor de punere în aplicare a articolului 45a (procedura de certificare pentru trecerea dintr-o grupă de funcții în alta)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30.6.2016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Capitolul 4 – Încetarea raporturilor de muncă</w:t>
            </w:r>
          </w:p>
        </w:tc>
      </w:tr>
      <w:tr>
        <w:trPr>
          <w:trHeight w:hRule="exact" w:val="32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Secțiunea 4 – Procedurile privind incompetența profesională</w:t>
            </w:r>
          </w:p>
        </w:tc>
      </w:tr>
      <w:tr>
        <w:trPr>
          <w:trHeight w:hRule="exact" w:val="818"/>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Incompetența profesională</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39-2014 de stabilire a dispozițiilor generale de punere în aplicare a articolelor 43, 44.1 și 52 - Procedura de evaluare periodică a personalului - Sistemul de evaluare a competențelor și performanțelor COMPASS - Procedura privind incompetența profesională</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9.10.2014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val="567"/>
        </w:trPr>
        <w:tc>
          <w:tcPr>
            <w:tcW w:w="1156" w:type="dxa"/>
            <w:vMerge w:val="restart"/>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Timpul de lucru și munca de la distanță</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 xml:space="preserve">Decizia nr. 40-2018 privind timpul de lucru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1.3.2019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nr. 11-2017 privind munca de la distanță în serviciile lingvistice și de traducere</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9.2.2017</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67"/>
        </w:trPr>
        <w:tc>
          <w:tcPr>
            <w:tcW w:w="115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41-2018 privind munca de la distanță</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1.6.2019</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67"/>
        </w:trPr>
        <w:tc>
          <w:tcPr>
            <w:tcW w:w="115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74-2021 privind munca hibridă</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1687" w:type="dxa"/>
            <w:tcBorders>
              <w:top w:val="single" w:sz="4" w:space="0" w:color="000000"/>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55a + anexa IVa</w:t>
            </w:r>
          </w:p>
        </w:tc>
        <w:tc>
          <w:tcPr>
            <w:tcW w:w="2551" w:type="dxa"/>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Activitatea cu normă redusă</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23-2014 de stabilire a normelor de punere în aplicare a articolului 55a și anexei IV la Statutul funcționarilor privind exercitarea activității cu normă redusă</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56b</w:t>
            </w:r>
          </w:p>
        </w:tc>
        <w:tc>
          <w:tcPr>
            <w:tcW w:w="2551" w:type="dxa"/>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rPr>
            </w:pPr>
            <w:r>
              <w:rPr>
                <w:rFonts w:ascii="Times New Roman" w:hAnsi="Times New Roman"/>
                <w:b/>
                <w:noProof/>
                <w:sz w:val="16"/>
              </w:rPr>
              <w:t>Rămânerea la dispoziția instituției</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Calibri" w:hAnsi="Times New Roman" w:cs="Times New Roman"/>
                <w:noProof/>
                <w:spacing w:val="-2"/>
                <w:sz w:val="12"/>
              </w:rPr>
            </w:pPr>
            <w:r>
              <w:rPr>
                <w:rFonts w:ascii="Times New Roman" w:hAnsi="Times New Roman"/>
                <w:noProof/>
                <w:sz w:val="12"/>
              </w:rPr>
              <w:t>Decizia nr. 38-2021 privind normele aplicabile personalului care trebuie să rămână la dispoziția instituției la domiciliu</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rPr>
            </w:pPr>
            <w:r>
              <w:rPr>
                <w:rFonts w:ascii="Times New Roman" w:hAnsi="Times New Roman"/>
                <w:noProof/>
                <w:sz w:val="12"/>
              </w:rPr>
              <w:t>2.6.2021</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val="restart"/>
            <w:tcBorders>
              <w:top w:val="single" w:sz="4" w:space="0" w:color="auto"/>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56 + anexa VI</w:t>
            </w:r>
          </w:p>
        </w:tc>
        <w:tc>
          <w:tcPr>
            <w:tcW w:w="2551" w:type="dxa"/>
            <w:vMerge w:val="restart"/>
            <w:tcBorders>
              <w:top w:val="single" w:sz="6" w:space="0" w:color="000000"/>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Times New Roman"/>
                <w:b/>
                <w:noProof/>
                <w:sz w:val="16"/>
              </w:rPr>
              <w:t>Orele suplimentare</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Decizia 27-2015 privind prestațiile pentru secretarii care lucrează direct </w:t>
            </w:r>
            <w:r>
              <w:rPr>
                <w:noProof/>
              </w:rPr>
              <w:t xml:space="preserve"> </w:t>
            </w:r>
            <w:r>
              <w:rPr>
                <w:noProof/>
              </w:rPr>
              <w:br/>
            </w:r>
            <w:r>
              <w:rPr>
                <w:rFonts w:ascii="Times New Roman" w:hAnsi="Times New Roman"/>
                <w:noProof/>
                <w:sz w:val="12"/>
              </w:rPr>
              <w:t>pentru membrii Curții de Conturi (anulată prin Decizia nr. 56-2019 din 1.1.2020)</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nr. 56-2019 de stabilire</w:t>
            </w:r>
            <w:r>
              <w:rPr>
                <w:noProof/>
              </w:rPr>
              <w:t xml:space="preserve"> </w:t>
            </w:r>
            <w:r>
              <w:rPr>
                <w:rFonts w:ascii="Times New Roman" w:hAnsi="Times New Roman"/>
                <w:noProof/>
                <w:sz w:val="12"/>
              </w:rPr>
              <w:t>a criteriilor aplicabile</w:t>
            </w:r>
            <w:r>
              <w:rPr>
                <w:noProof/>
              </w:rPr>
              <w:t xml:space="preserve"> </w:t>
            </w:r>
            <w:r>
              <w:rPr>
                <w:noProof/>
              </w:rPr>
              <w:br/>
              <w:t xml:space="preserve"> </w:t>
            </w:r>
            <w:r>
              <w:rPr>
                <w:rFonts w:ascii="Times New Roman" w:hAnsi="Times New Roman"/>
                <w:noProof/>
                <w:sz w:val="12"/>
              </w:rPr>
              <w:t>cu privire la</w:t>
            </w:r>
            <w:r>
              <w:rPr>
                <w:noProof/>
              </w:rPr>
              <w:t xml:space="preserve"> </w:t>
            </w:r>
            <w:r>
              <w:rPr>
                <w:rFonts w:ascii="Times New Roman" w:hAnsi="Times New Roman"/>
                <w:noProof/>
                <w:sz w:val="12"/>
              </w:rPr>
              <w:t>încadrarea în grad și treaptă a</w:t>
            </w:r>
            <w:r>
              <w:rPr>
                <w:noProof/>
              </w:rPr>
              <w:t xml:space="preserve"> </w:t>
            </w:r>
            <w:r>
              <w:rPr>
                <w:rFonts w:ascii="Times New Roman" w:hAnsi="Times New Roman"/>
                <w:noProof/>
                <w:sz w:val="12"/>
              </w:rPr>
              <w:t>personalului repartizat în cabinetele membrilor și în cabinetul secretarului general al Curții</w:t>
            </w:r>
            <w:r>
              <w:rPr>
                <w:noProof/>
              </w:rPr>
              <w:t xml:space="preserve"> </w:t>
            </w:r>
            <w:r>
              <w:rPr>
                <w:noProof/>
              </w:rPr>
              <w:br/>
            </w:r>
            <w:r>
              <w:rPr>
                <w:rFonts w:ascii="Times New Roman" w:hAnsi="Times New Roman"/>
                <w:noProof/>
                <w:sz w:val="12"/>
              </w:rPr>
              <w:t xml:space="preserve"> de Conturi</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1.1.2020</w:t>
            </w:r>
          </w:p>
        </w:tc>
        <w:tc>
          <w:tcPr>
            <w:tcW w:w="1687" w:type="dxa"/>
            <w:tcBorders>
              <w:top w:val="single" w:sz="4"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16.3.2023</w:t>
            </w: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nr. 22-2023 de stabilire a criteriilor aplicabile</w:t>
            </w:r>
            <w:r>
              <w:rPr>
                <w:noProof/>
              </w:rPr>
              <w:t xml:space="preserve"> </w:t>
            </w:r>
            <w:r>
              <w:rPr>
                <w:noProof/>
              </w:rPr>
              <w:br/>
            </w:r>
            <w:r>
              <w:rPr>
                <w:rFonts w:ascii="Times New Roman" w:hAnsi="Times New Roman"/>
                <w:noProof/>
                <w:sz w:val="12"/>
              </w:rPr>
              <w:t xml:space="preserve"> încadrării în grad și treaptă a personalului repartizat</w:t>
            </w:r>
            <w:r>
              <w:rPr>
                <w:noProof/>
              </w:rPr>
              <w:t xml:space="preserve"> </w:t>
            </w:r>
            <w:r>
              <w:rPr>
                <w:noProof/>
              </w:rPr>
              <w:br/>
            </w:r>
            <w:r>
              <w:rPr>
                <w:rFonts w:ascii="Times New Roman" w:hAnsi="Times New Roman"/>
                <w:noProof/>
                <w:sz w:val="12"/>
              </w:rPr>
              <w:t xml:space="preserve"> în cabinetele membrilor și în cabinetul secretarului general </w:t>
            </w:r>
            <w:r>
              <w:rPr>
                <w:noProof/>
              </w:rPr>
              <w:t xml:space="preserve"> </w:t>
            </w:r>
            <w:r>
              <w:rPr>
                <w:noProof/>
              </w:rPr>
              <w:br/>
            </w:r>
            <w:r>
              <w:rPr>
                <w:rFonts w:ascii="Times New Roman" w:hAnsi="Times New Roman"/>
                <w:noProof/>
                <w:sz w:val="12"/>
              </w:rPr>
              <w:t>al Curții de Conturi</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16.3.2023</w:t>
            </w:r>
          </w:p>
        </w:tc>
        <w:tc>
          <w:tcPr>
            <w:tcW w:w="1687" w:type="dxa"/>
            <w:tcBorders>
              <w:top w:val="single" w:sz="4"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nr. 7-2019 privind plata indemnizațiilor fixe pentru condiții speciale de muncă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1.6.2019</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1.4.2023</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1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bookmarkStart w:id="24" w:name="_Hlk162620609"/>
            <w:r>
              <w:rPr>
                <w:rFonts w:ascii="Times New Roman" w:hAnsi="Times New Roman"/>
                <w:noProof/>
                <w:sz w:val="12"/>
              </w:rPr>
              <w:t>Decizia nr. 21-2023 privind plata indemnizațiilor fixe pentru condiții speciale de muncă</w:t>
            </w:r>
            <w:bookmarkEnd w:id="24"/>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1.4.2023</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vMerge/>
            <w:tcBorders>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hRule="exact" w:val="616"/>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noProof/>
                <w:sz w:val="12"/>
              </w:rPr>
              <w:t>59 alineatul (6)</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Vizita medicală anuală</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Decizia nr. 48-2017 privind consultațiile oftalmologice efectuate în cadrul unei politici de medicină preventivă și rambursarea costurilor aferente ochelarilor utilizați pentru lucrul pe ecran</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15.10.2017</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before="98"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67 - 68 + anexa VII</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(articolul 3)</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Alocația școlară</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 xml:space="preserve">Decizia 4-2014 privind dispozițiile generale de punere în aplicare privind acordarea alocației școlare </w:t>
            </w:r>
            <w:r>
              <w:rPr>
                <w:noProof/>
              </w:rPr>
              <w:t xml:space="preserve"> </w:t>
            </w:r>
            <w:r>
              <w:rPr>
                <w:noProof/>
              </w:rPr>
              <w:br/>
            </w:r>
            <w:r>
              <w:rPr>
                <w:rFonts w:ascii="Times New Roman" w:hAnsi="Times New Roman"/>
                <w:noProof/>
                <w:sz w:val="12"/>
              </w:rPr>
              <w:t>(articolul 3 din anexa VII la Statutul funcționarilor)</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Secțiunea 3 – Rambursarea cheltuielilor</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(articolele 7 și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Cheltuielile de călătorie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Decizia 2-2014 de stabilire a dispozițiilor generale de punere în aplicare a articolului 8 din anexa VII</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(articolul 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Locul de origine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Decizia 3-2014 de stabilire a dispozițiilor generale de punere în aplicare a articolului 7 alineatul (4) din anexa VII privind stabilirea</w:t>
            </w:r>
            <w:r>
              <w:rPr>
                <w:noProof/>
              </w:rPr>
              <w:t xml:space="preserve"> </w:t>
            </w:r>
            <w:r>
              <w:rPr>
                <w:noProof/>
              </w:rPr>
              <w:br/>
            </w:r>
            <w:r>
              <w:rPr>
                <w:rFonts w:ascii="Times New Roman" w:hAnsi="Times New Roman"/>
                <w:noProof/>
                <w:sz w:val="12"/>
              </w:rPr>
              <w:t xml:space="preserve"> locului de origine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(articolul 9)</w:t>
            </w:r>
          </w:p>
        </w:tc>
        <w:tc>
          <w:tcPr>
            <w:tcW w:w="2551"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 de mutare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Decizia 5-2014 privind dispozițiile generale de punere în aplicare</w:t>
            </w:r>
            <w:r>
              <w:rPr>
                <w:noProof/>
              </w:rPr>
              <w:t xml:space="preserve"> </w:t>
            </w:r>
            <w:r>
              <w:rPr>
                <w:noProof/>
              </w:rPr>
              <w:br/>
            </w:r>
            <w:r>
              <w:rPr>
                <w:rFonts w:ascii="Times New Roman" w:hAnsi="Times New Roman"/>
                <w:noProof/>
                <w:sz w:val="12"/>
              </w:rPr>
              <w:t xml:space="preserve"> referitoare la cheltuielile de mutare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w:t>
            </w:r>
            <w:r>
              <w:rPr>
                <w:noProof/>
              </w:rPr>
              <w:t xml:space="preserve"> </w:t>
            </w:r>
            <w:r>
              <w:rPr>
                <w:noProof/>
              </w:rPr>
              <w:br/>
            </w:r>
            <w:r>
              <w:rPr>
                <w:rFonts w:ascii="Times New Roman" w:hAnsi="Times New Roman"/>
                <w:b/>
                <w:noProof/>
                <w:sz w:val="12"/>
              </w:rPr>
              <w:t xml:space="preserve"> (articolele 11 - 13a)</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Cheltuielile de misiune și de deplasare</w:t>
            </w:r>
          </w:p>
        </w:tc>
        <w:tc>
          <w:tcPr>
            <w:tcW w:w="3029" w:type="dxa"/>
            <w:tcBorders>
              <w:top w:val="single" w:sz="3" w:space="0" w:color="000000"/>
              <w:left w:val="single" w:sz="4"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Decizia 60-2004 de stabilire a dispozițiilor generale de punere în aplicare pentru rambursarea cheltuielilor de delegație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1.9.2004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54"/>
        </w:trPr>
        <w:tc>
          <w:tcPr>
            <w:tcW w:w="1156"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Decizia nr. 50-2019 privind normele care reglementează rambursarea cheltuielilor de călătorie și de ședere ale candidaților invitați la testele organizate în cadrul unui concurs sau al unui anunț de post vacant sau</w:t>
            </w:r>
            <w:r>
              <w:rPr>
                <w:noProof/>
              </w:rPr>
              <w:t xml:space="preserve"> </w:t>
            </w:r>
            <w:r>
              <w:rPr>
                <w:noProof/>
              </w:rPr>
              <w:br/>
            </w:r>
            <w:r>
              <w:rPr>
                <w:rFonts w:ascii="Times New Roman" w:hAnsi="Times New Roman"/>
                <w:noProof/>
                <w:sz w:val="12"/>
              </w:rPr>
              <w:t xml:space="preserve"> la un interviu ori la vizita medicală</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1.11.2019</w:t>
            </w:r>
          </w:p>
        </w:tc>
        <w:tc>
          <w:tcPr>
            <w:tcW w:w="1687"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anexele VIII și XIII – Pensiile și prestația de invaliditate</w:t>
            </w:r>
          </w:p>
        </w:tc>
      </w:tr>
      <w:tr>
        <w:trPr>
          <w:trHeight w:hRule="exact" w:val="584"/>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77 + anexa VIII </w:t>
            </w:r>
            <w:r>
              <w:rPr>
                <w:noProof/>
              </w:rPr>
              <w:t xml:space="preserve"> </w:t>
            </w:r>
            <w:r>
              <w:rPr>
                <w:noProof/>
              </w:rPr>
              <w:br/>
            </w:r>
            <w:r>
              <w:rPr>
                <w:rFonts w:ascii="Times New Roman" w:hAnsi="Times New Roman"/>
                <w:b/>
                <w:noProof/>
                <w:sz w:val="12"/>
              </w:rPr>
              <w:t>(articolele 11 și 12)</w:t>
            </w:r>
          </w:p>
        </w:tc>
        <w:tc>
          <w:tcPr>
            <w:tcW w:w="2551"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Transferul drepturilor de pensie</w:t>
            </w:r>
          </w:p>
        </w:tc>
        <w:tc>
          <w:tcPr>
            <w:tcW w:w="3029"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69-2011 privind dispozițiile generale de punere în aplicare</w:t>
            </w:r>
            <w:r>
              <w:rPr>
                <w:noProof/>
              </w:rPr>
              <w:t xml:space="preserve"> </w:t>
            </w:r>
            <w:r>
              <w:rPr>
                <w:noProof/>
              </w:rPr>
              <w:br/>
            </w:r>
            <w:r>
              <w:rPr>
                <w:rFonts w:ascii="Times New Roman" w:hAnsi="Times New Roman"/>
                <w:noProof/>
                <w:sz w:val="12"/>
              </w:rPr>
              <w:t xml:space="preserve"> a articolelor 11 și 12 din anexa VIII privind transferul </w:t>
            </w:r>
            <w:r>
              <w:rPr>
                <w:noProof/>
              </w:rPr>
              <w:t xml:space="preserve"> </w:t>
            </w:r>
            <w:r>
              <w:rPr>
                <w:noProof/>
              </w:rPr>
              <w:br/>
            </w:r>
            <w:r>
              <w:rPr>
                <w:rFonts w:ascii="Times New Roman" w:hAnsi="Times New Roman"/>
                <w:noProof/>
                <w:sz w:val="12"/>
              </w:rPr>
              <w:t>drepturilor de pensie</w:t>
            </w:r>
          </w:p>
        </w:tc>
        <w:tc>
          <w:tcPr>
            <w:tcW w:w="1322"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30.11.2011</w:t>
            </w:r>
          </w:p>
        </w:tc>
        <w:tc>
          <w:tcPr>
            <w:tcW w:w="1687"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4" w:space="0" w:color="000000"/>
              <w:bottom w:val="single" w:sz="5"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               Titlul VI – Măsuri disciplinare</w:t>
            </w:r>
          </w:p>
        </w:tc>
      </w:tr>
      <w:tr>
        <w:trPr>
          <w:trHeight w:hRule="exact" w:val="567"/>
        </w:trPr>
        <w:tc>
          <w:tcPr>
            <w:tcW w:w="1156" w:type="dxa"/>
            <w:vMerge w:val="restart"/>
            <w:tcBorders>
              <w:left w:val="single" w:sz="4" w:space="0" w:color="000000"/>
              <w:right w:val="single" w:sz="3"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86 + anexa IX</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Procedura disciplinară și anchetele administrative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nr. 78-2006 a Curții de Conturi de stabilire a normelor de punere în aplicare a anexei IX la Statutul funcționarilor privind procedurile disciplinare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8.11.2006</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nr. 99-2007 a Curții de Conturi de stabilire a normelor generale de punere în aplicare privind desfășurarea investigațiilor administrative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rPr>
            </w:pPr>
            <w:r>
              <w:rPr>
                <w:rFonts w:ascii="Times New Roman" w:hAnsi="Times New Roman"/>
                <w:noProof/>
                <w:sz w:val="12"/>
              </w:rPr>
              <w:t>12.12.2007</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II – Agenții temporari</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 alineatul (5)</w:t>
            </w:r>
          </w:p>
        </w:tc>
        <w:tc>
          <w:tcPr>
            <w:tcW w:w="2551" w:type="dxa"/>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Procedurile de recrutare pentru agenții temporari</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34-2014 de stabilire a normelor aplicabile selecției și recrutării de agenți temporari</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18.9.2014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noProof/>
                <w:sz w:val="12"/>
              </w:rPr>
              <w:t>15</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Recrutarea</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Decizia 6-2014 de stabilire a normelor generale de punere în aplicare privind criteriile aplicabile încadrării în treaptă la momentul numirii sau angajării</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alineatul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Utilizarea agenților contractuali</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nr. 19-2014 a Curții de Conturi de stabilire a dispozițiilor generale de punere în aplicare privind procedurile de angajare și utilizare a agenților contractuali la Curtea de Conturi</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Procedurile de recrutare pentru agenții contractuali</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Decizia nr. 19-2014 a Curții de Conturi de stabilire a dispozițiilor generale de punere în aplicare privind procedurile de angajare și utilizare a agenților contractuali la Curtea de Conturi</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Încadrarea în grad la momentul recrutării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nr. 19-2014 a Curții de Conturi de stabilire a dispozițiilor generale de punere în aplicare privind procedurile de angajare și utilizare a agenților contractuali la Curtea de Conturi</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before="88" w:after="0" w:line="240" w:lineRule="auto"/>
        <w:jc w:val="center"/>
        <w:rPr>
          <w:rFonts w:ascii="Times New Roman" w:eastAsia="Times New Roman" w:hAnsi="Times New Roman" w:cs="Times New Roman"/>
          <w:b/>
          <w:noProof/>
          <w:sz w:val="24"/>
          <w:szCs w:val="24"/>
          <w:u w:val="single"/>
        </w:rPr>
      </w:pPr>
      <w:r>
        <w:rPr>
          <w:noProof/>
        </w:rPr>
        <w:br/>
      </w:r>
      <w:r>
        <w:rPr>
          <w:rFonts w:ascii="Times New Roman" w:hAnsi="Times New Roman"/>
          <w:b/>
          <w:i/>
          <w:noProof/>
          <w:sz w:val="24"/>
          <w:u w:val="single"/>
        </w:rPr>
        <w:t>Legendă</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74624"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79099145" name="Rectangle 79099145"/>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9099145" o:spid="_x0000_s1028" style="position:absolute;margin-left:178.4pt;margin-top:17.9pt;width:156.2pt;height:3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Dispoziții generale de punere în aplicare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Alte norme de punere în aplicare</w:t>
            </w:r>
          </w:p>
        </w:tc>
      </w:tr>
    </w:tbl>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128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t>SERVICIUL EUROPEAN</w:t>
            </w:r>
            <w:r>
              <w:rPr>
                <w:noProof/>
              </w:rPr>
              <w:t xml:space="preserve"> </w:t>
            </w:r>
            <w:r>
              <w:rPr>
                <w:noProof/>
              </w:rPr>
              <w:br/>
            </w:r>
            <w:r>
              <w:rPr>
                <w:rFonts w:ascii="Times New Roman" w:hAnsi="Times New Roman"/>
                <w:b/>
                <w:noProof/>
                <w:sz w:val="50"/>
              </w:rPr>
              <w:t xml:space="preserve"> DE ACȚIUNE EXTERNĂ</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748"/>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1d alineatul (4)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EEAS(2011)013 – Decizia Consiliului din 29 aprilie 2004 de adoptare a dispozițiilor generale de punere în aplicare a articolului 1d alineatul (4)</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1e alineatul (1)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Măsuri cu caracter social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C(2013) 4876 final a Comisiei privind orientările referitoare la asistența pentru îngrijirea la domiciliu sau îngrijirea unui copil bolnav</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25.4.2013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Competențele autorității împuternicite să facă numiri (AIPN)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HR DEC(2012) 012 privind delegarea și subdelegarea </w:t>
            </w:r>
            <w:r>
              <w:rPr>
                <w:noProof/>
              </w:rPr>
              <w:t xml:space="preserve"> </w:t>
            </w:r>
            <w:r>
              <w:rPr>
                <w:noProof/>
              </w:rPr>
              <w:br/>
            </w:r>
            <w:r>
              <w:rPr>
                <w:rFonts w:ascii="Times New Roman" w:hAnsi="Times New Roman"/>
                <w:noProof/>
                <w:sz w:val="12"/>
              </w:rPr>
              <w:t>competențelor autorității împuternicite să facă numiri (AIPN)/autorității abilitate să încheie contracte de muncă (AIICM) în cadrul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18.10.2012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EEAS DEC(2014) 001 privind subdelegarea </w:t>
            </w:r>
            <w:r>
              <w:rPr>
                <w:noProof/>
              </w:rPr>
              <w:t xml:space="preserve"> </w:t>
            </w:r>
            <w:r>
              <w:rPr>
                <w:noProof/>
              </w:rPr>
              <w:br/>
            </w:r>
            <w:r>
              <w:rPr>
                <w:rFonts w:ascii="Times New Roman" w:hAnsi="Times New Roman"/>
                <w:noProof/>
                <w:sz w:val="12"/>
              </w:rPr>
              <w:t>competențelor autorității împuternicite să facă numiri (AIPN)/autorității abilitate să încheie contracte de muncă (AIICM) în cadrul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7.1.2014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 (2015) 33 – Decizia privind exercitarea, delegarea și subdelegarea competențelor cu privire la personal și aspectele financiare și administrative în cadrul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14.9.2015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 (2015) 35 – Decizia privind exercitarea și subdelegarea conferite prin Statutul funcționarilor și</w:t>
            </w:r>
            <w:r>
              <w:rPr>
                <w:noProof/>
              </w:rPr>
              <w:t xml:space="preserve"> </w:t>
            </w:r>
            <w:r>
              <w:rPr>
                <w:noProof/>
              </w:rPr>
              <w:br/>
            </w:r>
            <w:r>
              <w:rPr>
                <w:rFonts w:ascii="Times New Roman" w:hAnsi="Times New Roman"/>
                <w:noProof/>
                <w:sz w:val="12"/>
              </w:rPr>
              <w:t xml:space="preserve"> Regimul aplicabil celorlalți agenți autorității împuternicite să facă numiri (AIPN) și autorității abilitate să încheie contracte de muncă (AIICM)</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15.9.2015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15.11.2019</w:t>
            </w:r>
          </w:p>
        </w:tc>
        <w:tc>
          <w:tcPr>
            <w:tcW w:w="936" w:type="dxa"/>
            <w:vMerge w:val="restart"/>
            <w:tcBorders>
              <w:left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 xml:space="preserve">ADMIN (2019) 31 </w:t>
            </w:r>
            <w:r>
              <w:rPr>
                <w:rFonts w:ascii="Times New Roman" w:hAnsi="Calibri"/>
                <w:noProof/>
                <w:sz w:val="12"/>
              </w:rPr>
              <w:t>–</w:t>
            </w:r>
            <w:r>
              <w:rPr>
                <w:rFonts w:ascii="Times New Roman" w:hAnsi="Calibri"/>
                <w:noProof/>
                <w:sz w:val="12"/>
              </w:rPr>
              <w:t xml:space="preserve"> Decizia secretarului general </w:t>
            </w:r>
            <w:r>
              <w:rPr>
                <w:noProof/>
              </w:rPr>
              <w:t xml:space="preserve"> </w:t>
            </w:r>
            <w:r>
              <w:rPr>
                <w:noProof/>
              </w:rPr>
              <w:br/>
            </w:r>
            <w:r>
              <w:rPr>
                <w:rFonts w:ascii="Times New Roman" w:hAnsi="Calibri"/>
                <w:noProof/>
                <w:sz w:val="12"/>
              </w:rPr>
              <w:t>al SEAE privind subdelegarea competen</w:t>
            </w:r>
            <w:r>
              <w:rPr>
                <w:rFonts w:ascii="Times New Roman" w:hAnsi="Calibri"/>
                <w:noProof/>
                <w:sz w:val="12"/>
              </w:rPr>
              <w:t>ț</w:t>
            </w:r>
            <w:r>
              <w:rPr>
                <w:rFonts w:ascii="Times New Roman" w:hAnsi="Calibri"/>
                <w:noProof/>
                <w:sz w:val="12"/>
              </w:rPr>
              <w:t>elor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Calibri"/>
                <w:noProof/>
                <w:sz w:val="12"/>
              </w:rPr>
              <w:t>15.11.2019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Cs/>
                <w:noProof/>
                <w:w w:val="105"/>
                <w:sz w:val="12"/>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bCs/>
                <w:noProof/>
                <w:spacing w:val="-1"/>
                <w:w w:val="105"/>
                <w:sz w:val="12"/>
              </w:rPr>
            </w:pPr>
            <w:r>
              <w:rPr>
                <w:rFonts w:ascii="Times New Roman" w:hAnsi="Calibri"/>
                <w:noProof/>
                <w:sz w:val="12"/>
              </w:rPr>
              <w:t>Decizia secretarului general al SEAE din 9.12.2022 privind competen</w:t>
            </w:r>
            <w:r>
              <w:rPr>
                <w:rFonts w:ascii="Times New Roman" w:hAnsi="Calibri"/>
                <w:noProof/>
                <w:sz w:val="12"/>
              </w:rPr>
              <w:t>ț</w:t>
            </w:r>
            <w:r>
              <w:rPr>
                <w:rFonts w:ascii="Times New Roman" w:hAnsi="Calibri"/>
                <w:noProof/>
                <w:sz w:val="12"/>
              </w:rPr>
              <w:t>ele autorit</w:t>
            </w:r>
            <w:r>
              <w:rPr>
                <w:rFonts w:ascii="Times New Roman" w:hAnsi="Calibri"/>
                <w:noProof/>
                <w:sz w:val="12"/>
              </w:rPr>
              <w:t>ăț</w:t>
            </w:r>
            <w:r>
              <w:rPr>
                <w:rFonts w:ascii="Times New Roman" w:hAnsi="Calibri"/>
                <w:noProof/>
                <w:sz w:val="12"/>
              </w:rPr>
              <w:t xml:space="preserve">ii </w:t>
            </w:r>
            <w:r>
              <w:rPr>
                <w:rFonts w:ascii="Times New Roman" w:hAnsi="Calibri"/>
                <w:noProof/>
                <w:sz w:val="12"/>
              </w:rPr>
              <w:t>î</w:t>
            </w:r>
            <w:r>
              <w:rPr>
                <w:rFonts w:ascii="Times New Roman" w:hAnsi="Calibri"/>
                <w:noProof/>
                <w:sz w:val="12"/>
              </w:rPr>
              <w:t>mputernicite s</w:t>
            </w:r>
            <w:r>
              <w:rPr>
                <w:rFonts w:ascii="Times New Roman" w:hAnsi="Calibri"/>
                <w:noProof/>
                <w:sz w:val="12"/>
              </w:rPr>
              <w:t>ă</w:t>
            </w:r>
            <w:r>
              <w:rPr>
                <w:rFonts w:ascii="Times New Roman" w:hAnsi="Calibri"/>
                <w:noProof/>
                <w:sz w:val="12"/>
              </w:rPr>
              <w:t xml:space="preserve"> fac</w:t>
            </w:r>
            <w:r>
              <w:rPr>
                <w:rFonts w:ascii="Times New Roman" w:hAnsi="Calibri"/>
                <w:noProof/>
                <w:sz w:val="12"/>
              </w:rPr>
              <w:t>ă</w:t>
            </w:r>
            <w:r>
              <w:rPr>
                <w:rFonts w:ascii="Times New Roman" w:hAnsi="Calibri"/>
                <w:noProof/>
                <w:sz w:val="12"/>
              </w:rPr>
              <w:t xml:space="preserve"> numiri (AIPN)/autorit</w:t>
            </w:r>
            <w:r>
              <w:rPr>
                <w:rFonts w:ascii="Times New Roman" w:hAnsi="Calibri"/>
                <w:noProof/>
                <w:sz w:val="12"/>
              </w:rPr>
              <w:t>ăț</w:t>
            </w:r>
            <w:r>
              <w:rPr>
                <w:rFonts w:ascii="Times New Roman" w:hAnsi="Calibri"/>
                <w:noProof/>
                <w:sz w:val="12"/>
              </w:rPr>
              <w:t>ii abilitate s</w:t>
            </w:r>
            <w:r>
              <w:rPr>
                <w:rFonts w:ascii="Times New Roman" w:hAnsi="Calibri"/>
                <w:noProof/>
                <w:sz w:val="12"/>
              </w:rPr>
              <w:t>ă</w:t>
            </w:r>
            <w:r>
              <w:rPr>
                <w:rFonts w:ascii="Times New Roman" w:hAnsi="Calibri"/>
                <w:noProof/>
                <w:sz w:val="12"/>
              </w:rPr>
              <w:t xml:space="preserve"> </w:t>
            </w:r>
            <w:r>
              <w:rPr>
                <w:rFonts w:ascii="Times New Roman" w:hAnsi="Calibri"/>
                <w:noProof/>
                <w:sz w:val="12"/>
              </w:rPr>
              <w:t>î</w:t>
            </w:r>
            <w:r>
              <w:rPr>
                <w:rFonts w:ascii="Times New Roman" w:hAnsi="Calibri"/>
                <w:noProof/>
                <w:sz w:val="12"/>
              </w:rPr>
              <w:t>ncheie contracte de munc</w:t>
            </w:r>
            <w:r>
              <w:rPr>
                <w:rFonts w:ascii="Times New Roman" w:hAnsi="Calibri"/>
                <w:noProof/>
                <w:sz w:val="12"/>
              </w:rPr>
              <w:t>ă</w:t>
            </w:r>
            <w:r>
              <w:rPr>
                <w:rFonts w:ascii="Times New Roman" w:hAnsi="Calibri"/>
                <w:noProof/>
                <w:sz w:val="12"/>
              </w:rPr>
              <w:t xml:space="preserve"> (AIICM) </w:t>
            </w:r>
            <w:r>
              <w:rPr>
                <w:rFonts w:ascii="Times New Roman" w:hAnsi="Calibri"/>
                <w:noProof/>
                <w:sz w:val="12"/>
              </w:rPr>
              <w:t>–</w:t>
            </w:r>
            <w:r>
              <w:rPr>
                <w:rFonts w:ascii="Times New Roman" w:hAnsi="Calibri"/>
                <w:noProof/>
                <w:sz w:val="12"/>
              </w:rPr>
              <w:t xml:space="preserve"> norme tranzitorii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bCs/>
                <w:noProof/>
                <w:w w:val="105"/>
                <w:sz w:val="12"/>
              </w:rPr>
            </w:pPr>
            <w:r>
              <w:rPr>
                <w:rFonts w:ascii="Times New Roman" w:hAnsi="Times New Roman"/>
                <w:noProof/>
                <w:sz w:val="12"/>
              </w:rPr>
              <w:t>9.12.2022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4</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Comitetul consultativ privind numirile (CCN)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ADMIN(2023)25 – Decizie referitoare la Comitetul consultativ privind numirile în cadrul Serviciului European de Acțiune Externă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11.7.2023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5 + anexa 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Tipuri de posturi și titlurile posturilor</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EEAS(2011)002 – Decizia Comisiei C(2008)5028 privind cadrele medii de conducere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EEAS(2011)002 – Decizia Comisiei C(2008)5029 privind funcția de consilier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448"/>
        </w:trPr>
        <w:tc>
          <w:tcPr>
            <w:tcW w:w="115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45" w:after="0" w:line="271" w:lineRule="auto"/>
              <w:ind w:right="28"/>
              <w:jc w:val="center"/>
              <w:rPr>
                <w:rFonts w:ascii="Times New Roman" w:eastAsia="Calibri" w:hAnsi="Calibri" w:cs="Times New Roman"/>
                <w:noProof/>
                <w:spacing w:val="-1"/>
                <w:w w:val="105"/>
                <w:sz w:val="12"/>
              </w:rPr>
            </w:pPr>
            <w:r>
              <w:rPr>
                <w:rFonts w:ascii="Times New Roman" w:hAnsi="Calibri"/>
                <w:noProof/>
                <w:sz w:val="12"/>
              </w:rPr>
              <w:t xml:space="preserve">ADMIN(2018)2 </w:t>
            </w:r>
            <w:r>
              <w:rPr>
                <w:rFonts w:ascii="Times New Roman" w:hAnsi="Calibri"/>
                <w:noProof/>
                <w:sz w:val="12"/>
              </w:rPr>
              <w:t>–</w:t>
            </w:r>
            <w:r>
              <w:rPr>
                <w:rFonts w:ascii="Times New Roman" w:hAnsi="Calibri"/>
                <w:noProof/>
                <w:sz w:val="12"/>
              </w:rPr>
              <w:t xml:space="preserve"> Decizia </w:t>
            </w:r>
            <w:r>
              <w:rPr>
                <w:rFonts w:ascii="Times New Roman" w:hAnsi="Calibri"/>
                <w:noProof/>
                <w:sz w:val="12"/>
              </w:rPr>
              <w:t>Î</w:t>
            </w:r>
            <w:r>
              <w:rPr>
                <w:rFonts w:ascii="Times New Roman" w:hAnsi="Calibri"/>
                <w:noProof/>
                <w:sz w:val="12"/>
              </w:rPr>
              <w:t>naltului Reprezentant</w:t>
            </w:r>
            <w:r>
              <w:rPr>
                <w:noProof/>
              </w:rPr>
              <w:t xml:space="preserve"> </w:t>
            </w:r>
            <w:r>
              <w:rPr>
                <w:noProof/>
              </w:rPr>
              <w:br/>
            </w:r>
            <w:r>
              <w:rPr>
                <w:rFonts w:ascii="Times New Roman" w:hAnsi="Calibri"/>
                <w:noProof/>
                <w:sz w:val="12"/>
              </w:rPr>
              <w:t xml:space="preserve"> al Uniunii pentru afaceri externe </w:t>
            </w:r>
            <w:r>
              <w:rPr>
                <w:rFonts w:ascii="Times New Roman" w:hAnsi="Calibri"/>
                <w:noProof/>
                <w:sz w:val="12"/>
              </w:rPr>
              <w:t>ș</w:t>
            </w:r>
            <w:r>
              <w:rPr>
                <w:rFonts w:ascii="Times New Roman" w:hAnsi="Calibri"/>
                <w:noProof/>
                <w:sz w:val="12"/>
              </w:rPr>
              <w:t xml:space="preserve">i politica de securitate </w:t>
            </w:r>
            <w:r>
              <w:rPr>
                <w:noProof/>
              </w:rPr>
              <w:t xml:space="preserve"> </w:t>
            </w:r>
            <w:r>
              <w:rPr>
                <w:noProof/>
              </w:rPr>
              <w:br/>
            </w:r>
            <w:r>
              <w:rPr>
                <w:rFonts w:ascii="Times New Roman" w:hAnsi="Calibri"/>
                <w:noProof/>
                <w:sz w:val="12"/>
              </w:rPr>
              <w:t xml:space="preserve">privind tipurile de posturi </w:t>
            </w:r>
            <w:r>
              <w:rPr>
                <w:rFonts w:ascii="Times New Roman" w:hAnsi="Calibri"/>
                <w:noProof/>
                <w:sz w:val="12"/>
              </w:rPr>
              <w:t>ș</w:t>
            </w:r>
            <w:r>
              <w:rPr>
                <w:rFonts w:ascii="Times New Roman" w:hAnsi="Calibri"/>
                <w:noProof/>
                <w:sz w:val="12"/>
              </w:rPr>
              <w:t>i titlurile posturilor</w:t>
            </w:r>
            <w:r>
              <w:rPr>
                <w:noProof/>
              </w:rPr>
              <w:t xml:space="preserve"> </w:t>
            </w:r>
            <w:r>
              <w:rPr>
                <w:noProof/>
              </w:rPr>
              <w:br/>
            </w:r>
            <w:r>
              <w:rPr>
                <w:rFonts w:ascii="Times New Roman" w:hAnsi="Calibri"/>
                <w:noProof/>
                <w:sz w:val="12"/>
              </w:rPr>
              <w:t xml:space="preserve">ADMIN(2023)26 din </w:t>
            </w:r>
            <w:r>
              <w:rPr>
                <w:rFonts w:ascii="Times New Roman" w:hAnsi="Times New Roman"/>
                <w:noProof/>
                <w:sz w:val="12"/>
              </w:rPr>
              <w:t>20.7.2023</w:t>
            </w:r>
            <w:r>
              <w:rPr>
                <w:rFonts w:ascii="Times New Roman" w:hAnsi="Calibri"/>
                <w:noProof/>
                <w:sz w:val="12"/>
              </w:rPr>
              <w:t xml:space="preserve"> </w:t>
            </w:r>
            <w:r>
              <w:rPr>
                <w:rFonts w:ascii="Times New Roman" w:hAnsi="Calibri"/>
                <w:noProof/>
                <w:sz w:val="12"/>
              </w:rPr>
              <w:t>–</w:t>
            </w:r>
            <w:r>
              <w:rPr>
                <w:rFonts w:ascii="Times New Roman" w:hAnsi="Calibri"/>
                <w:noProof/>
                <w:sz w:val="12"/>
              </w:rPr>
              <w:t xml:space="preserve"> Decizia secretarului general al Serviciului European de Ac</w:t>
            </w:r>
            <w:r>
              <w:rPr>
                <w:rFonts w:ascii="Times New Roman" w:hAnsi="Calibri"/>
                <w:noProof/>
                <w:sz w:val="12"/>
              </w:rPr>
              <w:t>ț</w:t>
            </w:r>
            <w:r>
              <w:rPr>
                <w:rFonts w:ascii="Times New Roman" w:hAnsi="Calibri"/>
                <w:noProof/>
                <w:sz w:val="12"/>
              </w:rPr>
              <w:t>iune Extern</w:t>
            </w:r>
            <w:r>
              <w:rPr>
                <w:rFonts w:ascii="Times New Roman" w:hAnsi="Calibri"/>
                <w:noProof/>
                <w:sz w:val="12"/>
              </w:rPr>
              <w:t>ă</w:t>
            </w:r>
            <w:r>
              <w:rPr>
                <w:rFonts w:ascii="Times New Roman" w:hAnsi="Calibri"/>
                <w:noProof/>
                <w:sz w:val="12"/>
              </w:rPr>
              <w:t xml:space="preserve"> de </w:t>
            </w:r>
            <w:r>
              <w:rPr>
                <w:rFonts w:ascii="Times New Roman" w:hAnsi="Calibri"/>
                <w:noProof/>
                <w:sz w:val="12"/>
              </w:rPr>
              <w:t>î</w:t>
            </w:r>
            <w:r>
              <w:rPr>
                <w:rFonts w:ascii="Times New Roman" w:hAnsi="Calibri"/>
                <w:noProof/>
                <w:sz w:val="12"/>
              </w:rPr>
              <w:t xml:space="preserve">nlocuire a anexei la Decizia ADMIN(2018)2 a </w:t>
            </w:r>
            <w:r>
              <w:rPr>
                <w:rFonts w:ascii="Times New Roman" w:hAnsi="Calibri"/>
                <w:noProof/>
                <w:sz w:val="12"/>
              </w:rPr>
              <w:t>Î</w:t>
            </w:r>
            <w:r>
              <w:rPr>
                <w:rFonts w:ascii="Times New Roman" w:hAnsi="Calibri"/>
                <w:noProof/>
                <w:sz w:val="12"/>
              </w:rPr>
              <w:t xml:space="preserve">naltului Reprezentant al Uniunii pentru afaceri externe </w:t>
            </w:r>
            <w:r>
              <w:rPr>
                <w:rFonts w:ascii="Times New Roman" w:hAnsi="Calibri"/>
                <w:noProof/>
                <w:sz w:val="12"/>
              </w:rPr>
              <w:t>ș</w:t>
            </w:r>
            <w:r>
              <w:rPr>
                <w:rFonts w:ascii="Times New Roman" w:hAnsi="Calibri"/>
                <w:noProof/>
                <w:sz w:val="12"/>
              </w:rPr>
              <w:t xml:space="preserve">i politica de securitate privind tipurile de posturi </w:t>
            </w:r>
            <w:r>
              <w:rPr>
                <w:rFonts w:ascii="Times New Roman" w:hAnsi="Calibri"/>
                <w:noProof/>
                <w:sz w:val="12"/>
              </w:rPr>
              <w:t>ș</w:t>
            </w:r>
            <w:r>
              <w:rPr>
                <w:rFonts w:ascii="Times New Roman" w:hAnsi="Calibri"/>
                <w:noProof/>
                <w:sz w:val="12"/>
              </w:rPr>
              <w:t>i titlurile posturilor</w:t>
            </w:r>
            <w:r>
              <w:rPr>
                <w:noProof/>
              </w:rPr>
              <w:t xml:space="preserve"> </w:t>
            </w:r>
            <w:r>
              <w:rPr>
                <w:noProof/>
              </w:rPr>
              <w:br/>
            </w:r>
          </w:p>
          <w:p>
            <w:pPr>
              <w:widowControl w:val="0"/>
              <w:spacing w:before="45" w:after="0" w:line="271" w:lineRule="auto"/>
              <w:ind w:right="28"/>
              <w:jc w:val="center"/>
              <w:rPr>
                <w:rFonts w:ascii="Times New Roman" w:eastAsia="Calibri" w:hAnsi="Calibri" w:cs="Times New Roman"/>
                <w:noProof/>
                <w:spacing w:val="-1"/>
                <w:w w:val="105"/>
                <w:sz w:val="12"/>
                <w:lang w:val="en-US"/>
              </w:rPr>
            </w:pPr>
          </w:p>
          <w:p>
            <w:pPr>
              <w:widowControl w:val="0"/>
              <w:spacing w:before="9" w:after="0" w:line="240" w:lineRule="auto"/>
              <w:jc w:val="center"/>
              <w:rPr>
                <w:rFonts w:ascii="Times New Roman" w:eastAsia="Calibri" w:hAnsi="Times New Roman" w:cs="Times New Roman"/>
                <w:noProof/>
                <w:sz w:val="12"/>
                <w:szCs w:val="12"/>
                <w:lang w:val="en-GB"/>
              </w:rPr>
            </w:pP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9.2.2018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7</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Transferul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EEAS(2011)002 – Decizia Comisiei C(94)3895 final privind mobilitatea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EEAS(2011)002 – Decizia C(2009)7839 final a Comisiei de stabilire a normelor de punere în aplicare</w:t>
            </w:r>
            <w:r>
              <w:rPr>
                <w:noProof/>
              </w:rPr>
              <w:t xml:space="preserve"> </w:t>
            </w:r>
            <w:r>
              <w:rPr>
                <w:noProof/>
              </w:rPr>
              <w:br/>
            </w:r>
            <w:r>
              <w:rPr>
                <w:rFonts w:ascii="Times New Roman" w:hAnsi="Times New Roman"/>
                <w:noProof/>
                <w:sz w:val="12"/>
              </w:rPr>
              <w:t xml:space="preserve"> în ceea ce privește ocuparea temporară a posturilor de conducere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05"/>
        </w:trPr>
        <w:tc>
          <w:tcPr>
            <w:tcW w:w="1156" w:type="dxa"/>
            <w:vMerge/>
            <w:tcBorders>
              <w:left w:val="single" w:sz="4" w:space="0" w:color="auto"/>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 (2015)14 – Decizia directorului general administrativ interimar al SEAE privind organizarea</w:t>
            </w:r>
            <w:r>
              <w:rPr>
                <w:noProof/>
              </w:rPr>
              <w:t xml:space="preserve"> </w:t>
            </w:r>
            <w:r>
              <w:rPr>
                <w:noProof/>
              </w:rPr>
              <w:br/>
            </w:r>
            <w:r>
              <w:rPr>
                <w:rFonts w:ascii="Times New Roman" w:hAnsi="Times New Roman"/>
                <w:noProof/>
                <w:sz w:val="12"/>
              </w:rPr>
              <w:t xml:space="preserve"> anuală a unui exercițiu de mobilitate internă a personalului din grupele de funcții AD și AST la sediul SEAEE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1.4.2015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bottom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auto"/>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 (2021) 221 – Decizia ÎR privind mandatul periodic al funcționarilor și al agenților temporari din delegațiile Uniunii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1.7.2021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10"/>
        </w:trPr>
        <w:tc>
          <w:tcPr>
            <w:tcW w:w="115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9 + anexa II articolul 1</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Alegerile pentru Comitetul pentru personal</w:t>
            </w: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ADMIN(2018)7 – Decizia directorului general pentru buget și administrație din cadrul Serviciului European de Acțiune Externă – Norme referitoare la organizarea unui referendum privind procedura de alegere a Comitetului pentru personal al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4.4.2018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18"/>
        </w:trPr>
        <w:tc>
          <w:tcPr>
            <w:tcW w:w="115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ADMIN(2018) 17 – Decizia directorului general pentru buget și administrație din cadrul Serviciului European de Acțiune Externă cu privire la adoptarea noii proceduri de desfășurare a alegerilor pentru Comitetul pentru personal al SEAE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9.8.2018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01"/>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lang w:val="en-GB"/>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ADMIN(2019) 29 – Decizia Înaltului Reprezentant al Uniunii pentru afaceri externe și politica de securitate privind normele referitoare la componența și procedura Comitetului pentru personal al Serviciului European de Acțiune Externă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4.11.2019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Titlul II – Drepturile și obligațiile funcționarului</w:t>
            </w:r>
          </w:p>
        </w:tc>
      </w:tr>
      <w:tr>
        <w:trPr>
          <w:trHeight w:val="567"/>
        </w:trPr>
        <w:tc>
          <w:tcPr>
            <w:tcW w:w="1156" w:type="dxa"/>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12a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Hărțuirea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PROC EEAS(2011)002 – C(2006)1624/3 privind politica referitoare la hărțuire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12b - 16 - 17</w:t>
            </w:r>
          </w:p>
        </w:tc>
        <w:tc>
          <w:tcPr>
            <w:tcW w:w="2551" w:type="dxa"/>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6"/>
              </w:rPr>
              <w:t>Activitățile externe</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ADMIN(2018) 23 – Decizia C(2018) 4048 final a Comisiei privind activitățile și sarcinile externe, precum și activitățile profesionale după încetarea raporturilor de muncă</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1.9.2018</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45"/>
        </w:trPr>
        <w:tc>
          <w:tcPr>
            <w:tcW w:w="115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22a - 22c</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Avertizarea în interes public</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PROC EEAS(2011)008 privind clauzele și condițiile pentru anchetele interne în legătură cu prevenirea fraudei, corupției și oricăror activități ilegale care prejudiciază interesul Uniunii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1.1.2011</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III – Cariera funcționarului</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hRule="exact" w:val="794"/>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Recrutarea</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 xml:space="preserve">HR DEC(2014) 02 – C(2013) 8970 de stabilire a dispozițiilor generale de punere în aplicare privind criteriile aplicabile încadrării în treaptă la momentul numirii </w:t>
            </w:r>
            <w:r>
              <w:rPr>
                <w:noProof/>
              </w:rPr>
              <w:t xml:space="preserve"> </w:t>
            </w:r>
            <w:r>
              <w:rPr>
                <w:noProof/>
              </w:rPr>
              <w:br/>
            </w:r>
            <w:r>
              <w:rPr>
                <w:rFonts w:ascii="Times New Roman" w:hAnsi="Times New Roman"/>
                <w:noProof/>
                <w:sz w:val="12"/>
              </w:rPr>
              <w:t>sau al angajării</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1.3.2014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noProof/>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3 – Concediul pentru interese personale</w:t>
            </w:r>
          </w:p>
        </w:tc>
      </w:tr>
      <w:tr>
        <w:trPr>
          <w:trHeight w:hRule="exact" w:val="720"/>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interese personale</w:t>
            </w:r>
          </w:p>
        </w:tc>
        <w:tc>
          <w:tcPr>
            <w:tcW w:w="3029"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EEAS DEC (2014)009 – Decizia Comisiei C(2013)9054 privind măsurile referitoare la concediul pentru interese personale pentru funcționari și concediul fără plată pentru agenții temporari și contractuali</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creșterea copilului</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PROC EEAS (2011)013 – C(2010) 7572 final privind dispozițiile generale de punere în aplicare a articolului 42a privind concediul pentru creșterea copilului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din motive familiale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PROC EEAS (2011)002 – C(2010) 7494 final privind articolul 42b referitor la concediul din motive familiale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837"/>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Articolul 43</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Raportul anual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ADMIN (2015) 1 de adoptare a dispozițiilor generale de punere în aplicare a articolului 43 și a primului paragraf</w:t>
            </w:r>
            <w:r>
              <w:rPr>
                <w:noProof/>
              </w:rPr>
              <w:t xml:space="preserve"> </w:t>
            </w:r>
            <w:r>
              <w:rPr>
                <w:noProof/>
              </w:rPr>
              <w:br/>
            </w:r>
            <w:r>
              <w:rPr>
                <w:rFonts w:ascii="Times New Roman" w:hAnsi="Times New Roman"/>
                <w:noProof/>
                <w:sz w:val="12"/>
              </w:rPr>
              <w:t xml:space="preserve"> al articolului 44 [modificată ultima dată prin ADMIN (2015) 1 REV 1 din 16 decembrie 2015] </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15.1.2015 </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48"/>
        </w:trPr>
        <w:tc>
          <w:tcPr>
            <w:tcW w:w="1157" w:type="dxa"/>
            <w:vMerge/>
            <w:tcBorders>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ADMIN(2022) 3 de adoptare a dispozițiilor generale de punere în aplicare a articolului 43 și a primului paragraf</w:t>
            </w:r>
            <w:r>
              <w:rPr>
                <w:noProof/>
              </w:rPr>
              <w:t xml:space="preserve"> </w:t>
            </w:r>
            <w:r>
              <w:rPr>
                <w:noProof/>
              </w:rPr>
              <w:br/>
            </w:r>
            <w:r>
              <w:rPr>
                <w:rFonts w:ascii="Times New Roman" w:hAnsi="Times New Roman"/>
                <w:noProof/>
                <w:sz w:val="12"/>
              </w:rPr>
              <w:t xml:space="preserve"> al articolului 44 din Statutul funcționarilor privind rapoartele de evaluare a funcționarilor și a agenților temporari</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ADMIN (2022) 9 de stabilire a criteriilor comune de evaluare a angajaților SEAE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31.1.2022</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0"/>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44</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Avansarea în treaptă și grad</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91" w:after="0" w:line="271" w:lineRule="auto"/>
              <w:ind w:right="36"/>
              <w:jc w:val="center"/>
              <w:rPr>
                <w:rFonts w:ascii="Times New Roman" w:eastAsia="Times New Roman" w:hAnsi="Times New Roman" w:cs="Times New Roman"/>
                <w:noProof/>
                <w:sz w:val="12"/>
                <w:szCs w:val="12"/>
              </w:rPr>
            </w:pPr>
            <w:r>
              <w:rPr>
                <w:rFonts w:ascii="Times New Roman" w:hAnsi="Times New Roman"/>
                <w:noProof/>
                <w:sz w:val="12"/>
              </w:rPr>
              <w:t>ADMIN (2015) 1 de adoptare a dispozițiilor de punere în aplicare</w:t>
            </w:r>
            <w:r>
              <w:rPr>
                <w:noProof/>
              </w:rPr>
              <w:t xml:space="preserve"> </w:t>
            </w:r>
            <w:r>
              <w:rPr>
                <w:noProof/>
              </w:rPr>
              <w:br/>
            </w:r>
            <w:r>
              <w:rPr>
                <w:rFonts w:ascii="Times New Roman" w:hAnsi="Times New Roman"/>
                <w:noProof/>
                <w:sz w:val="12"/>
              </w:rPr>
              <w:t xml:space="preserve"> a articolelor 43 și 44</w:t>
            </w:r>
            <w:r>
              <w:rPr>
                <w:noProof/>
              </w:rPr>
              <w:t xml:space="preserve"> </w:t>
            </w:r>
            <w:r>
              <w:rPr>
                <w:noProof/>
              </w:rPr>
              <w:br/>
            </w:r>
            <w:r>
              <w:rPr>
                <w:rFonts w:ascii="Times New Roman" w:hAnsi="Times New Roman"/>
                <w:noProof/>
                <w:sz w:val="12"/>
              </w:rPr>
              <w:t xml:space="preserve"> [modificată ultima dată prin ADMIN (2015) 1 REV 1 </w:t>
            </w:r>
            <w:r>
              <w:rPr>
                <w:noProof/>
              </w:rPr>
              <w:t xml:space="preserve"> </w:t>
            </w:r>
            <w:r>
              <w:rPr>
                <w:noProof/>
              </w:rPr>
              <w:br/>
            </w:r>
            <w:r>
              <w:rPr>
                <w:rFonts w:ascii="Times New Roman" w:hAnsi="Times New Roman"/>
                <w:noProof/>
                <w:sz w:val="12"/>
              </w:rPr>
              <w:t>din 16 decembrie 2015]</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15.1.2015</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24.1.2022</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39"/>
        </w:trPr>
        <w:tc>
          <w:tcPr>
            <w:tcW w:w="1157" w:type="dxa"/>
            <w:vMerge/>
            <w:tcBorders>
              <w:left w:val="single" w:sz="6" w:space="0" w:color="000000"/>
              <w:bottom w:val="single" w:sz="4"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bottom w:val="single" w:sz="4"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ADMIN(2022) 3 de adoptare a dispozițiilor generale de punere în aplicare a articolului 43 și a articolului 44 primul paragraf din Statutul funcționarilor privind rapoartele de evaluare a funcționarilor și a agenților temporari</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1687"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630"/>
        </w:trPr>
        <w:tc>
          <w:tcPr>
            <w:tcW w:w="1157"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Promovarea</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4" w:after="0" w:line="271" w:lineRule="auto"/>
              <w:ind w:right="43"/>
              <w:jc w:val="center"/>
              <w:rPr>
                <w:rFonts w:ascii="Times New Roman" w:eastAsia="Calibri" w:hAnsi="Times New Roman" w:cs="Times New Roman"/>
                <w:noProof/>
                <w:w w:val="105"/>
                <w:sz w:val="12"/>
              </w:rPr>
            </w:pPr>
            <w:r>
              <w:rPr>
                <w:rFonts w:ascii="Times New Roman" w:hAnsi="Times New Roman"/>
                <w:noProof/>
                <w:sz w:val="12"/>
              </w:rPr>
              <w:t>PROC HR(2011)013 – Decizia Consiliului din 13 iulie 1970 de stabilire a dispozițiilor generale de punere în aplicare în ceea ce privește data la care intră în vigoare vechimea în grad și data de la care produc efecte promovările</w:t>
            </w:r>
          </w:p>
          <w:p>
            <w:pPr>
              <w:widowControl w:val="0"/>
              <w:spacing w:after="0" w:line="254" w:lineRule="auto"/>
              <w:ind w:right="183"/>
              <w:jc w:val="center"/>
              <w:rPr>
                <w:rFonts w:ascii="Times New Roman" w:eastAsia="Calibri" w:hAnsi="Times New Roman" w:cs="Times New Roman"/>
                <w:noProof/>
                <w:sz w:val="12"/>
                <w:szCs w:val="12"/>
              </w:rPr>
            </w:pP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val="567"/>
        </w:trPr>
        <w:tc>
          <w:tcPr>
            <w:tcW w:w="1157" w:type="dxa"/>
            <w:vMerge/>
            <w:tcBorders>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ADMIN(2015) 17 privind o procedură pentru aplicarea articolului 45</w:t>
            </w:r>
            <w:r>
              <w:rPr>
                <w:noProof/>
              </w:rPr>
              <w:t xml:space="preserve"> </w:t>
            </w:r>
            <w:r>
              <w:rPr>
                <w:noProof/>
              </w:rPr>
              <w:br/>
            </w:r>
            <w:r>
              <w:rPr>
                <w:rFonts w:ascii="Times New Roman" w:hAnsi="Times New Roman"/>
                <w:noProof/>
                <w:sz w:val="12"/>
              </w:rPr>
              <w:t>[modificată ultima dată prin ADMIN (2015) COR 1]</w:t>
            </w:r>
            <w:r>
              <w:rPr>
                <w:noProof/>
              </w:rPr>
              <w:t xml:space="preserve"> </w:t>
            </w:r>
            <w:r>
              <w:rPr>
                <w:noProof/>
              </w:rPr>
              <w:br/>
            </w:r>
            <w:r>
              <w:rPr>
                <w:rFonts w:ascii="Times New Roman" w:hAnsi="Times New Roman"/>
                <w:noProof/>
                <w:sz w:val="12"/>
              </w:rPr>
              <w:t xml:space="preserve"> din 21 decembrie 2015]</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28.5.2015</w:t>
            </w:r>
          </w:p>
        </w:tc>
        <w:tc>
          <w:tcPr>
            <w:tcW w:w="1687"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vMerge/>
            <w:tcBorders>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 (2022)5 de adoptare a dispozițiilor generale de punere în aplicare a articolului 45 din Statutul funcționarilor privind promovarea funcționarilor și de stabilire a normelor privind reclasificarea într-un grad superior a agenților temporari</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24.1.2022</w:t>
            </w:r>
          </w:p>
        </w:tc>
        <w:tc>
          <w:tcPr>
            <w:tcW w:w="1687" w:type="dxa"/>
            <w:tcBorders>
              <w:top w:val="single" w:sz="6" w:space="0" w:color="000000"/>
              <w:left w:val="single" w:sz="4"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6"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val="539"/>
        </w:trPr>
        <w:tc>
          <w:tcPr>
            <w:tcW w:w="1157" w:type="dxa"/>
            <w:vMerge/>
            <w:tcBorders>
              <w:left w:val="single" w:sz="4" w:space="0" w:color="000000"/>
              <w:bottom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ADMIN(2016)14 – Decizia de adoptare a unei proceduri pentru promovarea și reclasificarea personalului de conducere de nivel superior și a gradelor echivalente AD 14 și AD 15</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29.8.2016</w:t>
            </w:r>
          </w:p>
        </w:tc>
        <w:tc>
          <w:tcPr>
            <w:tcW w:w="1687" w:type="dxa"/>
            <w:tcBorders>
              <w:top w:val="single" w:sz="6" w:space="0" w:color="000000"/>
              <w:left w:val="single" w:sz="4"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Articolul 45a</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Certificarea</w:t>
            </w: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ADMIN (2016)25 – Decizia Înaltului Reprezentant al Uniunii pentru afaceri externe și politica de securitate de adoptare a dispozițiilor generale de punere în aplicare a articolului 45a din Statutul funcționarilor referitor la cerificare</w:t>
            </w:r>
          </w:p>
        </w:tc>
        <w:tc>
          <w:tcPr>
            <w:tcW w:w="1322"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14.12.2016</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Timpul de lucru</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7" w:after="0" w:line="271" w:lineRule="auto"/>
              <w:ind w:right="24"/>
              <w:jc w:val="center"/>
              <w:rPr>
                <w:rFonts w:ascii="Times New Roman" w:eastAsia="Calibri" w:hAnsi="Times New Roman" w:cs="Times New Roman"/>
                <w:noProof/>
                <w:vanish/>
                <w:spacing w:val="-1"/>
                <w:w w:val="105"/>
                <w:sz w:val="12"/>
                <w:specVanish/>
              </w:rPr>
            </w:pPr>
            <w:r>
              <w:rPr>
                <w:rFonts w:ascii="Times New Roman" w:hAnsi="Times New Roman"/>
                <w:noProof/>
                <w:sz w:val="12"/>
              </w:rPr>
              <w:t>EEAS DEC(2014) 032 – C(2014) 2502 – Decizia privind tipul de lucru</w:t>
            </w:r>
          </w:p>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w w:val="105"/>
                <w:sz w:val="12"/>
              </w:rPr>
            </w:pPr>
            <w:r>
              <w:rPr>
                <w:rFonts w:ascii="Times New Roman" w:hAnsi="Times New Roman"/>
                <w:noProof/>
                <w:sz w:val="12"/>
              </w:rPr>
              <w:t>1.7.2014</w:t>
            </w:r>
          </w:p>
          <w:p>
            <w:pPr>
              <w:widowControl w:val="0"/>
              <w:spacing w:after="0" w:line="240" w:lineRule="auto"/>
              <w:jc w:val="center"/>
              <w:rPr>
                <w:rFonts w:ascii="Times New Roman" w:eastAsia="Times New Roman" w:hAnsi="Times New Roman" w:cs="Times New Roman"/>
                <w:noProof/>
                <w:sz w:val="12"/>
                <w:szCs w:val="12"/>
                <w:lang w:val="en-US"/>
              </w:rPr>
            </w:pP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1.10.2023</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Decizia ADMIN(2023) 39 a SEAE privind timpul de lucru și programele de lucru flexibile la sediu</w:t>
            </w:r>
            <w:r>
              <w:rPr>
                <w:noProof/>
              </w:rPr>
              <w:t xml:space="preserve"> </w:t>
            </w:r>
            <w:r>
              <w:rPr>
                <w:noProof/>
              </w:rPr>
              <w:br/>
            </w:r>
            <w:r>
              <w:rPr>
                <w:rFonts w:ascii="Times New Roman" w:hAnsi="Times New Roman"/>
                <w:noProof/>
                <w:sz w:val="12"/>
              </w:rPr>
              <w:t xml:space="preserve"> din 8 septembrie 2023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1.10.2023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Decizia ADMIN(2023) 42 a SEAE privind timpul de lucru și programele de lucru flexibile în delegații</w:t>
            </w:r>
            <w:r>
              <w:rPr>
                <w:noProof/>
              </w:rPr>
              <w:t xml:space="preserve"> </w:t>
            </w:r>
            <w:r>
              <w:rPr>
                <w:noProof/>
              </w:rPr>
              <w:br/>
            </w:r>
            <w:r>
              <w:rPr>
                <w:rFonts w:ascii="Times New Roman" w:hAnsi="Times New Roman"/>
                <w:noProof/>
                <w:sz w:val="12"/>
              </w:rPr>
              <w:t xml:space="preserve"> din 8 septembrie 2023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16.10.2023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tcBorders>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55a + anexa IVa</w:t>
            </w:r>
          </w:p>
        </w:tc>
        <w:tc>
          <w:tcPr>
            <w:tcW w:w="2551" w:type="dxa"/>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Activitatea cu normă redusă</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ADMIN (2016) 12 - C(2015) 9720 final din 8 ianuarie 2016 privind exercitarea activității cu normă redusă</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1.7.2016</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3" w:space="0" w:color="000000"/>
              <w:bottom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55a + anexa IVa</w:t>
            </w:r>
          </w:p>
        </w:tc>
        <w:tc>
          <w:tcPr>
            <w:tcW w:w="2551" w:type="dxa"/>
            <w:vMerge w:val="restart"/>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Munca de la distanță</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ADMIN (2016) 12 – C(2015) 9151 final din 17 decembrie 2015 punerea în aplicare a muncii la distanță</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1.7.2016</w:t>
            </w:r>
          </w:p>
        </w:tc>
        <w:tc>
          <w:tcPr>
            <w:tcW w:w="1687" w:type="dxa"/>
            <w:tcBorders>
              <w:top w:val="single" w:sz="3" w:space="0" w:color="000000"/>
              <w:left w:val="single" w:sz="3"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1.10.2023</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67"/>
        </w:trPr>
        <w:tc>
          <w:tcPr>
            <w:tcW w:w="115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67" w:after="0" w:line="271" w:lineRule="auto"/>
              <w:ind w:right="24"/>
              <w:jc w:val="center"/>
              <w:rPr>
                <w:rFonts w:ascii="Times New Roman" w:eastAsia="Calibri" w:hAnsi="Times New Roman" w:cs="Times New Roman"/>
                <w:noProof/>
                <w:spacing w:val="-1"/>
                <w:w w:val="105"/>
                <w:sz w:val="12"/>
              </w:rPr>
            </w:pPr>
            <w:r>
              <w:rPr>
                <w:rFonts w:ascii="Times New Roman" w:hAnsi="Times New Roman"/>
                <w:noProof/>
                <w:sz w:val="12"/>
              </w:rPr>
              <w:t>Decizia ADMIN(2023) 39 a SEAE privind timpul de lucru și programele de lucru flexibile la sediu</w:t>
            </w:r>
            <w:r>
              <w:rPr>
                <w:noProof/>
              </w:rPr>
              <w:t xml:space="preserve"> </w:t>
            </w:r>
            <w:r>
              <w:rPr>
                <w:noProof/>
              </w:rPr>
              <w:br/>
            </w:r>
            <w:r>
              <w:rPr>
                <w:rFonts w:ascii="Times New Roman" w:hAnsi="Times New Roman"/>
                <w:noProof/>
                <w:sz w:val="12"/>
              </w:rPr>
              <w:t xml:space="preserve"> din 8 septembrie 2023   </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1.10.2023</w:t>
            </w:r>
          </w:p>
        </w:tc>
        <w:tc>
          <w:tcPr>
            <w:tcW w:w="1687"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67"/>
        </w:trPr>
        <w:tc>
          <w:tcPr>
            <w:tcW w:w="115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3" w:space="0" w:color="000000"/>
              <w:bottom w:val="single" w:sz="4" w:space="0" w:color="000000"/>
              <w:right w:val="single" w:sz="4" w:space="0" w:color="000000"/>
            </w:tcBorders>
            <w:shd w:val="clear" w:color="auto" w:fill="DA9694"/>
            <w:vAlign w:val="center"/>
          </w:tcPr>
          <w:p>
            <w:pPr>
              <w:widowControl w:val="0"/>
              <w:spacing w:before="67" w:after="0" w:line="271" w:lineRule="auto"/>
              <w:ind w:right="24"/>
              <w:jc w:val="center"/>
              <w:rPr>
                <w:rFonts w:ascii="Times New Roman" w:eastAsia="Calibri" w:hAnsi="Times New Roman" w:cs="Times New Roman"/>
                <w:bCs/>
                <w:noProof/>
                <w:spacing w:val="-1"/>
                <w:w w:val="105"/>
                <w:sz w:val="12"/>
              </w:rPr>
            </w:pPr>
            <w:r>
              <w:rPr>
                <w:rFonts w:ascii="Times New Roman" w:hAnsi="Times New Roman"/>
                <w:noProof/>
                <w:sz w:val="12"/>
              </w:rPr>
              <w:t>Decizia ADMIN(2023) 42 a SEAE privind timpul de lucru și programele de lucru flexibile în delegații</w:t>
            </w:r>
            <w:r>
              <w:rPr>
                <w:noProof/>
              </w:rPr>
              <w:t xml:space="preserve"> </w:t>
            </w:r>
            <w:r>
              <w:rPr>
                <w:noProof/>
              </w:rPr>
              <w:br/>
            </w:r>
            <w:r>
              <w:rPr>
                <w:rFonts w:ascii="Times New Roman" w:hAnsi="Times New Roman"/>
                <w:noProof/>
                <w:sz w:val="12"/>
              </w:rPr>
              <w:t xml:space="preserve"> din 8 septembrie 2023  </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Cs/>
                <w:noProof/>
                <w:w w:val="105"/>
                <w:sz w:val="12"/>
              </w:rPr>
            </w:pPr>
            <w:r>
              <w:rPr>
                <w:rFonts w:ascii="Times New Roman" w:hAnsi="Times New Roman"/>
                <w:noProof/>
                <w:sz w:val="12"/>
              </w:rPr>
              <w:t>16.10.2023</w:t>
            </w:r>
          </w:p>
        </w:tc>
        <w:tc>
          <w:tcPr>
            <w:tcW w:w="1687"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hRule="exact" w:val="567"/>
        </w:trPr>
        <w:tc>
          <w:tcPr>
            <w:tcW w:w="1156" w:type="dxa"/>
            <w:vMerge w:val="restart"/>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 anexa V</w:t>
            </w: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anual și concediul special</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EEAS DEC(2014)009 – C(2013)9051 final </w:t>
            </w:r>
            <w:r>
              <w:rPr>
                <w:noProof/>
              </w:rPr>
              <w:t xml:space="preserve"> </w:t>
            </w:r>
            <w:r>
              <w:rPr>
                <w:noProof/>
              </w:rPr>
              <w:br/>
            </w:r>
            <w:r>
              <w:rPr>
                <w:rFonts w:ascii="Times New Roman" w:hAnsi="Times New Roman"/>
                <w:noProof/>
                <w:sz w:val="12"/>
              </w:rPr>
              <w:t>din 16 decembrie 2013 privind concediile</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ADMIN (2016) 3 privind concediul special în temeiul articolului 57 din Statutul funcționarilor și articolul 6 din anexa V la Statutul funcționarilor pentru procedurile administrative sau examenele medicale</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1.3.2016</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13.7.2023</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EEAS ADMIN (2023) 23 REV1 din 12 iulie 2023 privind concediul special pentru personalul din delegațiile Uniunii</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13.7.2023</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HR DEC(2013)014 – Decizia privind concediul pentru vizita în țara de origine pentru funcționari, agenți temporari și agenți contractuali care își desfășoară activitatea în țări terțe</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1.1.2022</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71" w:lineRule="auto"/>
              <w:ind w:right="133"/>
              <w:jc w:val="center"/>
              <w:rPr>
                <w:rFonts w:ascii="Times New Roman" w:hAnsi="Times New Roman" w:cs="Times New Roman"/>
                <w:noProof/>
                <w:spacing w:val="-1"/>
                <w:w w:val="105"/>
                <w:sz w:val="12"/>
              </w:rPr>
            </w:pPr>
            <w:r>
              <w:rPr>
                <w:rFonts w:ascii="Times New Roman" w:hAnsi="Times New Roman"/>
                <w:noProof/>
                <w:sz w:val="12"/>
              </w:rPr>
              <w:t>EEAS ADMIN (2022) 19 din 9 martie 2022 privind concediul pentru vizitarea țării de origine pentru funcționari, agenți temporari și agenți contractuali detașați în țări terțe</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1.1.2022</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58</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Concediul de maternitate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EEAS DEC(2014)009 – C(2013)9051 final</w:t>
            </w:r>
            <w:r>
              <w:rPr>
                <w:noProof/>
              </w:rPr>
              <w:t xml:space="preserve"> </w:t>
            </w:r>
            <w:r>
              <w:rPr>
                <w:noProof/>
              </w:rPr>
              <w:br/>
            </w:r>
            <w:r>
              <w:rPr>
                <w:rFonts w:ascii="Times New Roman" w:hAnsi="Times New Roman"/>
                <w:noProof/>
                <w:sz w:val="12"/>
              </w:rPr>
              <w:t xml:space="preserve"> din 16 decembrie 2013 privind concediile</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1.1.2014</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642"/>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59 - 60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Concediul medical</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59"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 002 – C(2004) 1597/11 privind instituirea de dispoziții de</w:t>
            </w:r>
          </w:p>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punere în aplicare în ceea ce privește absența din motiv de boală sau de accident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29.11.2011</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681"/>
        </w:trPr>
        <w:tc>
          <w:tcPr>
            <w:tcW w:w="1156" w:type="dxa"/>
            <w:tcBorders>
              <w:top w:val="single" w:sz="6" w:space="0" w:color="000000"/>
              <w:left w:val="single" w:sz="4" w:space="0" w:color="000000"/>
              <w:bottom w:val="single" w:sz="4" w:space="0" w:color="auto"/>
              <w:right w:val="single" w:sz="4"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 xml:space="preserve">Anexa VII </w:t>
            </w:r>
            <w:r>
              <w:rPr>
                <w:noProof/>
              </w:rPr>
              <w:t xml:space="preserve"> </w:t>
            </w:r>
            <w:r>
              <w:rPr>
                <w:noProof/>
              </w:rPr>
              <w:br/>
            </w:r>
            <w:r>
              <w:rPr>
                <w:rFonts w:ascii="Times New Roman" w:hAnsi="Times New Roman"/>
                <w:b/>
                <w:noProof/>
                <w:sz w:val="12"/>
              </w:rPr>
              <w:t>(articolele 1 - 3)</w:t>
            </w:r>
          </w:p>
        </w:tc>
        <w:tc>
          <w:tcPr>
            <w:tcW w:w="2551" w:type="dxa"/>
            <w:tcBorders>
              <w:top w:val="single" w:sz="5" w:space="0" w:color="000000"/>
              <w:left w:val="single" w:sz="4" w:space="0" w:color="000000"/>
              <w:bottom w:val="single" w:sz="4" w:space="0" w:color="auto"/>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Alocațiile familiale</w:t>
            </w:r>
          </w:p>
        </w:tc>
        <w:tc>
          <w:tcPr>
            <w:tcW w:w="3029"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 (2011)013 – C(2004) 1364/4 – Dispoziții</w:t>
            </w:r>
          </w:p>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generale de punere în aplicare a articolelor 67 și 68 din Statutul funcționarilor și articolelor 1, 2 și 3 din anexa VII</w:t>
            </w:r>
          </w:p>
        </w:tc>
        <w:tc>
          <w:tcPr>
            <w:tcW w:w="1322"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4" w:space="0" w:color="auto"/>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690"/>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9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Anexa VII </w:t>
            </w:r>
            <w:r>
              <w:rPr>
                <w:noProof/>
              </w:rPr>
              <w:t xml:space="preserve"> </w:t>
            </w:r>
            <w:r>
              <w:rPr>
                <w:noProof/>
              </w:rPr>
              <w:br/>
            </w:r>
            <w:r>
              <w:rPr>
                <w:rFonts w:ascii="Times New Roman" w:hAnsi="Times New Roman"/>
                <w:b/>
                <w:noProof/>
                <w:sz w:val="12"/>
              </w:rPr>
              <w:t>[articolul 1 alineatul (2) litera (d)]</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 xml:space="preserve">Alocația pentru locuință prin decizie </w:t>
            </w:r>
            <w:r>
              <w:rPr>
                <w:rFonts w:ascii="Times New Roman" w:hAnsi="Times New Roman"/>
                <w:b/>
                <w:noProof/>
                <w:sz w:val="16"/>
              </w:rPr>
              <w:t>specială</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8"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EEAS(2011)013 – C(2004)1364/1 – Dispoziții</w:t>
            </w:r>
          </w:p>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generale de punere în aplicare privind acordarea alocației pentru locuință prin decizie specială</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84"/>
        </w:trPr>
        <w:tc>
          <w:tcPr>
            <w:tcW w:w="1156" w:type="dxa"/>
            <w:tcBorders>
              <w:top w:val="single" w:sz="4" w:space="0" w:color="auto"/>
              <w:left w:val="single" w:sz="4" w:space="0" w:color="000000"/>
              <w:bottom w:val="single" w:sz="4" w:space="0" w:color="000000"/>
              <w:right w:val="single" w:sz="3" w:space="0" w:color="000000"/>
            </w:tcBorders>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w:t>
            </w:r>
            <w:r>
              <w:rPr>
                <w:noProof/>
              </w:rPr>
              <w:t xml:space="preserve"> </w:t>
            </w:r>
            <w:r>
              <w:rPr>
                <w:noProof/>
              </w:rPr>
              <w:br/>
            </w:r>
            <w:r>
              <w:rPr>
                <w:rFonts w:ascii="Times New Roman" w:hAnsi="Times New Roman"/>
                <w:b/>
                <w:noProof/>
                <w:sz w:val="12"/>
              </w:rPr>
              <w:t xml:space="preserve"> [articolul 2 alineatul (4)]</w:t>
            </w:r>
          </w:p>
        </w:tc>
        <w:tc>
          <w:tcPr>
            <w:tcW w:w="2551"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Persoana considerată copil aflat în întreținere</w:t>
            </w:r>
          </w:p>
        </w:tc>
        <w:tc>
          <w:tcPr>
            <w:tcW w:w="3029"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before="103"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 (2011)013 – C(2004) 1364/2 – Dispoziții generale de punere în aplicare privind persoanele care trebuie considerate copii aflați în întreținere</w:t>
            </w:r>
          </w:p>
        </w:tc>
        <w:tc>
          <w:tcPr>
            <w:tcW w:w="1322"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auto"/>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 xml:space="preserve">Anexa VII </w:t>
            </w:r>
            <w:r>
              <w:rPr>
                <w:noProof/>
              </w:rPr>
              <w:t xml:space="preserve"> </w:t>
            </w:r>
            <w:r>
              <w:rPr>
                <w:noProof/>
              </w:rPr>
              <w:br/>
            </w:r>
            <w:r>
              <w:rPr>
                <w:rFonts w:ascii="Times New Roman" w:hAnsi="Times New Roman"/>
                <w:b/>
                <w:noProof/>
                <w:sz w:val="12"/>
              </w:rPr>
              <w:t>(articolul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Alocația școlară</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HR DEC(2014)02 – C(2013)8971 privind dispozițiile generale de punere în aplicare privind acordarea alocației școlare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1.3.2014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Secțiunea 3 – Rambursarea cheltuielilor</w:t>
            </w:r>
          </w:p>
        </w:tc>
      </w:tr>
      <w:tr>
        <w:trPr>
          <w:trHeight w:hRule="exact" w:val="567"/>
        </w:trPr>
        <w:tc>
          <w:tcPr>
            <w:tcW w:w="1156" w:type="dxa"/>
            <w:vMerge w:val="restart"/>
            <w:tcBorders>
              <w:left w:val="single" w:sz="4" w:space="0" w:color="000000"/>
              <w:right w:val="single" w:sz="4"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71 + anexa</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VII (articolele 7 - 8)</w:t>
            </w:r>
          </w:p>
        </w:tc>
        <w:tc>
          <w:tcPr>
            <w:tcW w:w="2551" w:type="dxa"/>
            <w:vMerge w:val="restart"/>
            <w:tcBorders>
              <w:left w:val="single" w:sz="4"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Cheltuielile de călătorie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HR DEC(2014)02 – C(2013)8987 final de stabilire a dispozițiilor generale de punere în aplicare a articolului 8 din anexa VII</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1.3.2014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932"/>
        </w:trPr>
        <w:tc>
          <w:tcPr>
            <w:tcW w:w="1156" w:type="dxa"/>
            <w:vMerge/>
            <w:tcBorders>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Calibri"/>
                <w:noProof/>
                <w:sz w:val="12"/>
              </w:rPr>
              <w:t xml:space="preserve">ADMIN (2017)4 </w:t>
            </w:r>
            <w:r>
              <w:rPr>
                <w:rFonts w:ascii="Times New Roman" w:hAnsi="Calibri"/>
                <w:noProof/>
                <w:sz w:val="12"/>
              </w:rPr>
              <w:t>–</w:t>
            </w:r>
            <w:r>
              <w:rPr>
                <w:rFonts w:ascii="Times New Roman" w:hAnsi="Calibri"/>
                <w:noProof/>
                <w:sz w:val="12"/>
              </w:rPr>
              <w:t xml:space="preserve"> Decizia directorului general</w:t>
            </w:r>
            <w:r>
              <w:rPr>
                <w:noProof/>
              </w:rPr>
              <w:t xml:space="preserve"> </w:t>
            </w:r>
            <w:r>
              <w:rPr>
                <w:noProof/>
              </w:rPr>
              <w:br/>
            </w:r>
            <w:r>
              <w:rPr>
                <w:rFonts w:ascii="Times New Roman" w:hAnsi="Calibri"/>
                <w:noProof/>
                <w:sz w:val="12"/>
              </w:rPr>
              <w:t xml:space="preserve"> pentru buget </w:t>
            </w:r>
            <w:r>
              <w:rPr>
                <w:rFonts w:ascii="Times New Roman" w:hAnsi="Calibri"/>
                <w:noProof/>
                <w:sz w:val="12"/>
              </w:rPr>
              <w:t>ș</w:t>
            </w:r>
            <w:r>
              <w:rPr>
                <w:rFonts w:ascii="Times New Roman" w:hAnsi="Calibri"/>
                <w:noProof/>
                <w:sz w:val="12"/>
              </w:rPr>
              <w:t>i administra</w:t>
            </w:r>
            <w:r>
              <w:rPr>
                <w:rFonts w:ascii="Times New Roman" w:hAnsi="Calibri"/>
                <w:noProof/>
                <w:sz w:val="12"/>
              </w:rPr>
              <w:t>ț</w:t>
            </w:r>
            <w:r>
              <w:rPr>
                <w:rFonts w:ascii="Times New Roman" w:hAnsi="Calibri"/>
                <w:noProof/>
                <w:sz w:val="12"/>
              </w:rPr>
              <w:t>ie din cadrul Serviciului European de Ac</w:t>
            </w:r>
            <w:r>
              <w:rPr>
                <w:rFonts w:ascii="Times New Roman" w:hAnsi="Calibri"/>
                <w:noProof/>
                <w:sz w:val="12"/>
              </w:rPr>
              <w:t>ț</w:t>
            </w:r>
            <w:r>
              <w:rPr>
                <w:rFonts w:ascii="Times New Roman" w:hAnsi="Calibri"/>
                <w:noProof/>
                <w:sz w:val="12"/>
              </w:rPr>
              <w:t>iune Extern</w:t>
            </w:r>
            <w:r>
              <w:rPr>
                <w:rFonts w:ascii="Times New Roman" w:hAnsi="Calibri"/>
                <w:noProof/>
                <w:sz w:val="12"/>
              </w:rPr>
              <w:t>ă</w:t>
            </w:r>
            <w:r>
              <w:rPr>
                <w:rFonts w:ascii="Times New Roman" w:hAnsi="Calibri"/>
                <w:noProof/>
                <w:sz w:val="12"/>
              </w:rPr>
              <w:t xml:space="preserve"> privind orient</w:t>
            </w:r>
            <w:r>
              <w:rPr>
                <w:rFonts w:ascii="Times New Roman" w:hAnsi="Calibri"/>
                <w:noProof/>
                <w:sz w:val="12"/>
              </w:rPr>
              <w:t>ă</w:t>
            </w:r>
            <w:r>
              <w:rPr>
                <w:rFonts w:ascii="Times New Roman" w:hAnsi="Calibri"/>
                <w:noProof/>
                <w:sz w:val="12"/>
              </w:rPr>
              <w:t>rile de instituire a metodologiei de stabilire a pl</w:t>
            </w:r>
            <w:r>
              <w:rPr>
                <w:rFonts w:ascii="Times New Roman" w:hAnsi="Calibri"/>
                <w:noProof/>
                <w:sz w:val="12"/>
              </w:rPr>
              <w:t>ăț</w:t>
            </w:r>
            <w:r>
              <w:rPr>
                <w:rFonts w:ascii="Times New Roman" w:hAnsi="Calibri"/>
                <w:noProof/>
                <w:sz w:val="12"/>
              </w:rPr>
              <w:t>ii forfetare pentru cheltuielile de c</w:t>
            </w:r>
            <w:r>
              <w:rPr>
                <w:rFonts w:ascii="Times New Roman" w:hAnsi="Calibri"/>
                <w:noProof/>
                <w:sz w:val="12"/>
              </w:rPr>
              <w:t>ă</w:t>
            </w:r>
            <w:r>
              <w:rPr>
                <w:rFonts w:ascii="Times New Roman" w:hAnsi="Calibri"/>
                <w:noProof/>
                <w:sz w:val="12"/>
              </w:rPr>
              <w:t>l</w:t>
            </w:r>
            <w:r>
              <w:rPr>
                <w:rFonts w:ascii="Times New Roman" w:hAnsi="Calibri"/>
                <w:noProof/>
                <w:sz w:val="12"/>
              </w:rPr>
              <w:t>ă</w:t>
            </w:r>
            <w:r>
              <w:rPr>
                <w:rFonts w:ascii="Times New Roman" w:hAnsi="Calibri"/>
                <w:noProof/>
                <w:sz w:val="12"/>
              </w:rPr>
              <w:t xml:space="preserve">torie </w:t>
            </w:r>
            <w:r>
              <w:rPr>
                <w:rFonts w:ascii="Times New Roman" w:hAnsi="Calibri"/>
                <w:noProof/>
                <w:sz w:val="12"/>
              </w:rPr>
              <w:t>î</w:t>
            </w:r>
            <w:r>
              <w:rPr>
                <w:rFonts w:ascii="Times New Roman" w:hAnsi="Calibri"/>
                <w:noProof/>
                <w:sz w:val="12"/>
              </w:rPr>
              <w:t>n sensul articolului 7 alineatul (3) din anexa VII la Statutul</w:t>
            </w:r>
            <w:r>
              <w:rPr>
                <w:rFonts w:ascii="Times New Roman" w:hAnsi="Times New Roman"/>
                <w:noProof/>
                <w:sz w:val="12"/>
              </w:rPr>
              <w:t xml:space="preserve">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8.5.2017</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71 + anexa</w:t>
            </w:r>
          </w:p>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VII (articolul 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Locul de origine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HR DEC(2014)02 – C(2013)8982 final de stabilire a dispozițiilor generale de punere în aplicare a articolului 7 alineatul (4) din anexa VII privind stabilirea locului de origine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1.3.2014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15"/>
        </w:trPr>
        <w:tc>
          <w:tcPr>
            <w:tcW w:w="1156" w:type="dxa"/>
            <w:tcBorders>
              <w:left w:val="single" w:sz="4" w:space="0" w:color="000000"/>
              <w:bottom w:val="single" w:sz="4"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 (articolul 9)</w:t>
            </w:r>
          </w:p>
        </w:tc>
        <w:tc>
          <w:tcPr>
            <w:tcW w:w="2551" w:type="dxa"/>
            <w:tcBorders>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Cheltuieli de mutare</w:t>
            </w:r>
          </w:p>
        </w:tc>
        <w:tc>
          <w:tcPr>
            <w:tcW w:w="3029"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ADMIN(2015) 26 privind rambursarea cheltuielilor de mutare</w:t>
            </w:r>
            <w:r>
              <w:rPr>
                <w:noProof/>
              </w:rPr>
              <w:t xml:space="preserve"> </w:t>
            </w:r>
            <w:r>
              <w:rPr>
                <w:noProof/>
              </w:rPr>
              <w:br/>
            </w:r>
            <w:r>
              <w:rPr>
                <w:rFonts w:ascii="Times New Roman" w:hAnsi="Times New Roman"/>
                <w:noProof/>
                <w:sz w:val="12"/>
              </w:rPr>
              <w:t xml:space="preserve"> ale personalului provenind din serviciile diplomatice ale statelor membre și recrutat de SEAE fără schimbarea locului</w:t>
            </w:r>
            <w:r>
              <w:rPr>
                <w:noProof/>
              </w:rPr>
              <w:t xml:space="preserve"> </w:t>
            </w:r>
            <w:r>
              <w:rPr>
                <w:noProof/>
              </w:rPr>
              <w:br/>
            </w:r>
            <w:r>
              <w:rPr>
                <w:rFonts w:ascii="Times New Roman" w:hAnsi="Times New Roman"/>
                <w:noProof/>
                <w:sz w:val="12"/>
              </w:rPr>
              <w:t xml:space="preserve"> de reședință</w:t>
            </w:r>
          </w:p>
        </w:tc>
        <w:tc>
          <w:tcPr>
            <w:tcW w:w="1322"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30.7.2015</w:t>
            </w:r>
          </w:p>
        </w:tc>
        <w:tc>
          <w:tcPr>
            <w:tcW w:w="1687"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672"/>
        </w:trPr>
        <w:tc>
          <w:tcPr>
            <w:tcW w:w="1156"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w:t>
            </w:r>
            <w:r>
              <w:rPr>
                <w:noProof/>
              </w:rPr>
              <w:t xml:space="preserve"> </w:t>
            </w:r>
            <w:r>
              <w:rPr>
                <w:noProof/>
              </w:rPr>
              <w:br/>
            </w:r>
            <w:r>
              <w:rPr>
                <w:rFonts w:ascii="Times New Roman" w:hAnsi="Times New Roman"/>
                <w:b/>
                <w:noProof/>
                <w:sz w:val="12"/>
              </w:rPr>
              <w:t xml:space="preserve"> (articolele 11 - 13a)</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Cheltuielile de misiune și de deplasare</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PROC EEAS(2011)002 – C(2002)98 de stabilire a ratelor</w:t>
            </w:r>
            <w:r>
              <w:rPr>
                <w:noProof/>
              </w:rPr>
              <w:t xml:space="preserve"> </w:t>
            </w:r>
            <w:r>
              <w:rPr>
                <w:noProof/>
              </w:rPr>
              <w:br/>
            </w:r>
            <w:r>
              <w:rPr>
                <w:rFonts w:ascii="Times New Roman" w:hAnsi="Times New Roman"/>
                <w:noProof/>
                <w:sz w:val="12"/>
              </w:rPr>
              <w:t xml:space="preserve"> diurnelor și a plafoanelor</w:t>
            </w:r>
            <w:r>
              <w:rPr>
                <w:noProof/>
              </w:rPr>
              <w:t xml:space="preserve"> </w:t>
            </w:r>
            <w:r>
              <w:rPr>
                <w:noProof/>
              </w:rPr>
              <w:br/>
            </w:r>
            <w:r>
              <w:rPr>
                <w:rFonts w:ascii="Times New Roman" w:hAnsi="Times New Roman"/>
                <w:noProof/>
                <w:sz w:val="12"/>
              </w:rPr>
              <w:t xml:space="preserve"> pentru rambursarea cheltuielilor de cazare la hotel pentru delegațiile în afara UE</w:t>
            </w:r>
          </w:p>
        </w:tc>
        <w:tc>
          <w:tcPr>
            <w:tcW w:w="1322" w:type="dxa"/>
            <w:tcBorders>
              <w:top w:val="single" w:sz="4" w:space="0" w:color="000000"/>
              <w:left w:val="single" w:sz="4"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29.11.2011</w:t>
            </w:r>
          </w:p>
        </w:tc>
        <w:tc>
          <w:tcPr>
            <w:tcW w:w="1687" w:type="dxa"/>
            <w:tcBorders>
              <w:top w:val="single" w:sz="4"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47"/>
        </w:trPr>
        <w:tc>
          <w:tcPr>
            <w:tcW w:w="1156" w:type="dxa"/>
            <w:vMerge/>
            <w:tcBorders>
              <w:left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8" w:after="0" w:line="271" w:lineRule="auto"/>
              <w:ind w:right="21"/>
              <w:jc w:val="center"/>
              <w:rPr>
                <w:rFonts w:ascii="Times New Roman" w:eastAsia="Times New Roman" w:hAnsi="Times New Roman" w:cs="Times New Roman"/>
                <w:noProof/>
                <w:sz w:val="12"/>
                <w:szCs w:val="12"/>
              </w:rPr>
            </w:pPr>
            <w:r>
              <w:rPr>
                <w:rFonts w:ascii="Times New Roman" w:hAnsi="Times New Roman"/>
                <w:noProof/>
                <w:sz w:val="12"/>
              </w:rPr>
              <w:t xml:space="preserve">ADMIN(2018)5 – Decizia secretarului general al Serviciului European de Acțiune Externă privind dispozițiile generale de punere în aplicare a articolelor 11, 12 și 13 din anexa VII la Statutul funcționarilor (cheltuielile de delegație) și </w:t>
            </w:r>
            <w:r>
              <w:rPr>
                <w:noProof/>
              </w:rPr>
              <w:t xml:space="preserve"> </w:t>
            </w:r>
            <w:r>
              <w:rPr>
                <w:noProof/>
              </w:rPr>
              <w:br/>
            </w:r>
            <w:r>
              <w:rPr>
                <w:rFonts w:ascii="Times New Roman" w:hAnsi="Times New Roman"/>
                <w:noProof/>
                <w:sz w:val="12"/>
              </w:rPr>
              <w:t>privind călătoriile autorizate – ghidul privind delegațiile și călătoriile autorizate</w:t>
            </w:r>
          </w:p>
          <w:p>
            <w:pPr>
              <w:widowControl w:val="0"/>
              <w:spacing w:before="60" w:after="0" w:line="240" w:lineRule="auto"/>
              <w:ind w:left="45" w:right="17"/>
              <w:jc w:val="center"/>
              <w:rPr>
                <w:rFonts w:ascii="Times New Roman" w:eastAsia="Calibri" w:hAnsi="Calibri" w:cs="Times New Roman"/>
                <w:noProof/>
                <w:w w:val="105"/>
                <w:sz w:val="12"/>
              </w:rPr>
            </w:pPr>
          </w:p>
        </w:tc>
        <w:tc>
          <w:tcPr>
            <w:tcW w:w="1322" w:type="dxa"/>
            <w:tcBorders>
              <w:top w:val="single" w:sz="4" w:space="0" w:color="000000"/>
              <w:left w:val="single" w:sz="4"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27.3.2018</w:t>
            </w:r>
          </w:p>
        </w:tc>
        <w:tc>
          <w:tcPr>
            <w:tcW w:w="1687" w:type="dxa"/>
            <w:tcBorders>
              <w:top w:val="single" w:sz="4"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19"/>
        </w:trPr>
        <w:tc>
          <w:tcPr>
            <w:tcW w:w="1156"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before="18" w:after="0" w:line="271" w:lineRule="auto"/>
              <w:ind w:right="21"/>
              <w:jc w:val="center"/>
              <w:rPr>
                <w:rFonts w:ascii="Times New Roman" w:eastAsia="Times New Roman" w:hAnsi="Times New Roman" w:cs="Times New Roman"/>
                <w:bCs/>
                <w:noProof/>
                <w:sz w:val="12"/>
                <w:szCs w:val="12"/>
              </w:rPr>
            </w:pPr>
            <w:r>
              <w:rPr>
                <w:rFonts w:ascii="Times New Roman" w:hAnsi="Times New Roman"/>
                <w:noProof/>
                <w:sz w:val="12"/>
              </w:rPr>
              <w:t>ADMIN (2019)35 – Decizia secretarului general al Serviciului European de Acțiune Externă din 16.12.2019 de stabilire a unui perimetru care să marcheze limitele „împrejurimilor locului de muncă” pentru Bruxelles și delegațiile Uniunii.</w:t>
            </w:r>
            <w:r>
              <w:rPr>
                <w:rFonts w:ascii="Times New Roman" w:hAnsi="Times New Roman"/>
                <w:b/>
                <w:noProof/>
                <w:sz w:val="12"/>
              </w:rPr>
              <w:t xml:space="preserve"> </w:t>
            </w:r>
          </w:p>
        </w:tc>
        <w:tc>
          <w:tcPr>
            <w:tcW w:w="1322"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16.12.2019</w:t>
            </w:r>
          </w:p>
        </w:tc>
        <w:tc>
          <w:tcPr>
            <w:tcW w:w="1687"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anexa VIII – Pensiile și prestația de invaliditate</w:t>
            </w:r>
          </w:p>
        </w:tc>
      </w:tr>
      <w:tr>
        <w:trPr>
          <w:trHeight w:hRule="exact" w:val="1013"/>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77 + anexa VIII </w:t>
            </w:r>
            <w:r>
              <w:rPr>
                <w:noProof/>
              </w:rPr>
              <w:t xml:space="preserve"> </w:t>
            </w:r>
            <w:r>
              <w:rPr>
                <w:noProof/>
              </w:rPr>
              <w:br/>
            </w:r>
            <w:r>
              <w:rPr>
                <w:rFonts w:ascii="Times New Roman" w:hAnsi="Times New Roman"/>
                <w:b/>
                <w:noProof/>
                <w:sz w:val="12"/>
              </w:rPr>
              <w:t>(articolul 4)</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Calcularea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67"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 (2011)013 – C(2004) 1364 final/6 – Dispoziții</w:t>
            </w:r>
          </w:p>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 xml:space="preserve">generale de punere în aplicare a articolului 4 din anexa VIII privind luarea în considerare, în scopul </w:t>
            </w:r>
            <w:r>
              <w:rPr>
                <w:noProof/>
              </w:rPr>
              <w:t xml:space="preserve"> </w:t>
            </w:r>
            <w:r>
              <w:rPr>
                <w:noProof/>
              </w:rPr>
              <w:br/>
            </w:r>
            <w:r>
              <w:rPr>
                <w:rFonts w:ascii="Times New Roman" w:hAnsi="Times New Roman"/>
                <w:noProof/>
                <w:sz w:val="12"/>
              </w:rPr>
              <w:t>calculării drepturilor de pensie, a perioadelor de activitate realizate anterior de către personal înainte de reluarea activității</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15"/>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anexa VIII</w:t>
            </w:r>
            <w:r>
              <w:rPr>
                <w:noProof/>
              </w:rPr>
              <w:t xml:space="preserve"> </w:t>
            </w:r>
            <w:r>
              <w:rPr>
                <w:noProof/>
              </w:rPr>
              <w:br/>
            </w:r>
            <w:r>
              <w:rPr>
                <w:rFonts w:ascii="Times New Roman" w:hAnsi="Times New Roman"/>
                <w:b/>
                <w:noProof/>
                <w:sz w:val="12"/>
              </w:rPr>
              <w:t xml:space="preserve"> (articolele 11 și 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Articolele 11 și 12 din anexa VIII</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 (2011)013 – C(2011) 1278 final – Dispoziții</w:t>
            </w:r>
          </w:p>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generale de punere în aplicare a articolelor 11 și 12 din anexa VIII privind transferul drepturilor de pensie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 – Regimul disciplinar  </w:t>
            </w:r>
          </w:p>
        </w:tc>
      </w:tr>
      <w:tr>
        <w:trPr>
          <w:trHeight w:hRule="exact" w:val="682"/>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b/>
                <w:bCs/>
                <w:noProof/>
                <w:sz w:val="12"/>
                <w:szCs w:val="12"/>
              </w:rPr>
            </w:pPr>
            <w:r>
              <w:rPr>
                <w:rFonts w:ascii="Times New Roman" w:hAnsi="Times New Roman"/>
                <w:b/>
                <w:noProof/>
                <w:sz w:val="12"/>
              </w:rPr>
              <w:t>86 + anexa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Procedura disciplinară și anchetele administrative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 xml:space="preserve">PROC HR EEAS (2011)013 – C(2004)1588 final/4 – Dispoziții generale de punere în aplicare privind desfășurarea </w:t>
            </w:r>
            <w:r>
              <w:rPr>
                <w:noProof/>
              </w:rPr>
              <w:t xml:space="preserve"> </w:t>
            </w:r>
            <w:r>
              <w:rPr>
                <w:noProof/>
              </w:rPr>
              <w:br/>
            </w:r>
            <w:r>
              <w:rPr>
                <w:rFonts w:ascii="Times New Roman" w:hAnsi="Times New Roman"/>
                <w:noProof/>
                <w:sz w:val="12"/>
              </w:rPr>
              <w:t>anchetelor administrative și a procedurilor disciplinare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VIIIa – Dispoziții speciale aplicabile SEAE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Capitolul 1 – Dispoziții generale</w:t>
            </w:r>
          </w:p>
        </w:tc>
      </w:tr>
      <w:tr>
        <w:trPr>
          <w:trHeight w:hRule="exact" w:val="770"/>
        </w:trPr>
        <w:tc>
          <w:tcPr>
            <w:tcW w:w="1156"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96</w:t>
            </w:r>
          </w:p>
        </w:tc>
        <w:tc>
          <w:tcPr>
            <w:tcW w:w="2551"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Gestionarea delegațiilor UE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JOIN(2012) 8 final – Decizia comună a Comisiei și a Înaltului Reprezentant al Uniunii pentru afaceri externe și politica de securitate privind mecanismul de cooperare în ceea ce privește gestionarea delegațiilor Uniunii Europene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28.3.2012</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08"/>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65"/>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3" w:space="0" w:color="000000"/>
              <w:right w:val="single" w:sz="3" w:space="0" w:color="000000"/>
            </w:tcBorders>
            <w:shd w:val="clear" w:color="auto" w:fill="DA9694"/>
            <w:vAlign w:val="center"/>
          </w:tcPr>
          <w:p>
            <w:pPr>
              <w:widowControl w:val="0"/>
              <w:spacing w:before="94" w:after="0" w:line="247" w:lineRule="auto"/>
              <w:ind w:right="201"/>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 xml:space="preserve">ADMIN(2021) 14 REV 1 – Decizia DG RM </w:t>
            </w:r>
            <w:r>
              <w:rPr>
                <w:noProof/>
              </w:rPr>
              <w:t xml:space="preserve"> </w:t>
            </w:r>
            <w:r>
              <w:rPr>
                <w:noProof/>
              </w:rPr>
              <w:br/>
            </w:r>
            <w:r>
              <w:rPr>
                <w:rFonts w:ascii="Times New Roman" w:hAnsi="Times New Roman"/>
                <w:noProof/>
                <w:sz w:val="12"/>
              </w:rPr>
              <w:t>privind normele de punere în aplicare a programului de stagii la nivel înalt în delegațiile Uniunii Europene, în parteneriat cu statele membre ale Uniunii Europene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30.11.2021</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VIIIb + anexa X – Dispoziții speciale și derogatorii aplicabile funcționarilor repartizați</w:t>
            </w:r>
            <w:r>
              <w:rPr>
                <w:noProof/>
              </w:rPr>
              <w:t xml:space="preserve"> </w:t>
            </w:r>
            <w:r>
              <w:rPr>
                <w:noProof/>
              </w:rPr>
              <w:br/>
            </w:r>
            <w:r>
              <w:rPr>
                <w:rFonts w:ascii="Times New Roman" w:hAnsi="Times New Roman"/>
                <w:b/>
                <w:noProof/>
                <w:sz w:val="25"/>
              </w:rPr>
              <w:t xml:space="preserve"> într-o țară terță </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Capitolul 1 – Dispoziții generale</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 xml:space="preserve">Anexa X </w:t>
            </w:r>
            <w:r>
              <w:rPr>
                <w:noProof/>
              </w:rPr>
              <w:t xml:space="preserve"> </w:t>
            </w:r>
            <w:r>
              <w:rPr>
                <w:noProof/>
              </w:rPr>
              <w:br/>
            </w:r>
            <w:r>
              <w:rPr>
                <w:rFonts w:ascii="Times New Roman" w:hAnsi="Times New Roman"/>
                <w:b/>
                <w:noProof/>
                <w:sz w:val="12"/>
              </w:rPr>
              <w:t>(articolul 1)</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Dispoziții generale</w:t>
            </w:r>
          </w:p>
        </w:tc>
        <w:tc>
          <w:tcPr>
            <w:tcW w:w="3029" w:type="dxa"/>
            <w:tcBorders>
              <w:top w:val="single" w:sz="5" w:space="0" w:color="000000"/>
              <w:left w:val="single" w:sz="3" w:space="0" w:color="000000"/>
              <w:bottom w:val="single" w:sz="3" w:space="0" w:color="000000"/>
              <w:right w:val="single" w:sz="4"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PROC HR(2011)013 – Decizia SEC(88)636F a Comisiei privind dispozițiile generale de punere în aplicare</w:t>
            </w:r>
            <w:r>
              <w:rPr>
                <w:noProof/>
              </w:rPr>
              <w:t xml:space="preserve"> </w:t>
            </w:r>
            <w:r>
              <w:rPr>
                <w:noProof/>
              </w:rPr>
              <w:br/>
            </w:r>
            <w:r>
              <w:rPr>
                <w:rFonts w:ascii="Times New Roman" w:hAnsi="Times New Roman"/>
                <w:noProof/>
                <w:sz w:val="12"/>
              </w:rPr>
              <w:t xml:space="preserve"> a anexei X la Statutul funcționarilor (punctele 3a, c, d și e)</w:t>
            </w:r>
          </w:p>
        </w:tc>
        <w:tc>
          <w:tcPr>
            <w:tcW w:w="1322"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71" w:lineRule="auto"/>
              <w:ind w:right="19"/>
              <w:jc w:val="center"/>
              <w:rPr>
                <w:rFonts w:ascii="Times New Roman" w:eastAsia="Calibri" w:hAnsi="Times New Roman" w:cs="Times New Roman"/>
                <w:b/>
                <w:noProof/>
                <w:spacing w:val="-2"/>
                <w:w w:val="105"/>
                <w:sz w:val="12"/>
              </w:rPr>
            </w:pPr>
            <w:r>
              <w:rPr>
                <w:rFonts w:ascii="Times New Roman" w:hAnsi="Times New Roman"/>
                <w:b/>
                <w:noProof/>
                <w:sz w:val="12"/>
              </w:rPr>
              <w:t xml:space="preserve">Anexa X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(articolul 2)</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Mobilitatea</w:t>
            </w:r>
          </w:p>
        </w:tc>
        <w:tc>
          <w:tcPr>
            <w:tcW w:w="3029" w:type="dxa"/>
            <w:tcBorders>
              <w:top w:val="single" w:sz="3" w:space="0" w:color="000000"/>
              <w:left w:val="single" w:sz="6" w:space="0" w:color="000000"/>
              <w:bottom w:val="single" w:sz="3" w:space="0" w:color="000000"/>
              <w:right w:val="single" w:sz="3" w:space="0" w:color="000000"/>
            </w:tcBorders>
            <w:shd w:val="clear" w:color="auto" w:fill="DA9694"/>
            <w:vAlign w:val="center"/>
          </w:tcPr>
          <w:p>
            <w:pPr>
              <w:widowControl w:val="0"/>
              <w:spacing w:before="6" w:after="0" w:line="240" w:lineRule="auto"/>
              <w:jc w:val="center"/>
              <w:rPr>
                <w:rFonts w:ascii="Times New Roman" w:eastAsia="Times New Roman" w:hAnsi="Times New Roman" w:cs="Times New Roman"/>
                <w:noProof/>
                <w:sz w:val="12"/>
                <w:szCs w:val="12"/>
              </w:rPr>
            </w:pPr>
            <w:r>
              <w:rPr>
                <w:rFonts w:ascii="Times New Roman" w:hAnsi="Times New Roman"/>
                <w:noProof/>
                <w:sz w:val="12"/>
              </w:rPr>
              <w:t>ADMIN (2021) 221 – Decizia ÎR privind mandatul periodic al funcționarilor și al agenților temporari din delegațiile Uniunii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Capitolul 2 – Obligații</w:t>
            </w:r>
          </w:p>
        </w:tc>
      </w:tr>
      <w:tr>
        <w:trPr>
          <w:trHeight w:hRule="exact" w:val="567"/>
        </w:trPr>
        <w:tc>
          <w:tcPr>
            <w:tcW w:w="1156" w:type="dxa"/>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Anexa X </w:t>
            </w:r>
            <w:r>
              <w:rPr>
                <w:noProof/>
              </w:rPr>
              <w:t xml:space="preserve"> </w:t>
            </w:r>
            <w:r>
              <w:rPr>
                <w:noProof/>
              </w:rPr>
              <w:br/>
            </w:r>
            <w:r>
              <w:rPr>
                <w:rFonts w:ascii="Times New Roman" w:hAnsi="Times New Roman"/>
                <w:b/>
                <w:noProof/>
                <w:sz w:val="12"/>
              </w:rPr>
              <w:t>(articolele 5 și 23)</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Cazarea</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HR DEC(2013)011 privind normele de punere în aplicare a politicii privind locuințele în cadrul delegațiilor UE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17.12.2013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Capitolul 3 – Condițiile de muncă</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Anexa X</w:t>
            </w:r>
            <w:r>
              <w:rPr>
                <w:noProof/>
              </w:rPr>
              <w:t xml:space="preserve"> </w:t>
            </w:r>
            <w:r>
              <w:rPr>
                <w:noProof/>
              </w:rPr>
              <w:br/>
            </w:r>
            <w:r>
              <w:rPr>
                <w:rFonts w:ascii="Times New Roman" w:hAnsi="Times New Roman"/>
                <w:b/>
                <w:noProof/>
                <w:sz w:val="12"/>
              </w:rPr>
              <w:t xml:space="preserve"> (articolul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Concediul de odihnă</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Calibri"/>
                <w:noProof/>
                <w:sz w:val="12"/>
              </w:rPr>
              <w:t>ADMIN (2018)34 de stabilire a dispozi</w:t>
            </w:r>
            <w:r>
              <w:rPr>
                <w:rFonts w:ascii="Times New Roman" w:hAnsi="Calibri"/>
                <w:noProof/>
                <w:sz w:val="12"/>
              </w:rPr>
              <w:t>ț</w:t>
            </w:r>
            <w:r>
              <w:rPr>
                <w:rFonts w:ascii="Times New Roman" w:hAnsi="Calibri"/>
                <w:noProof/>
                <w:sz w:val="12"/>
              </w:rPr>
              <w:t xml:space="preserve">iilor generale de punere </w:t>
            </w:r>
            <w:r>
              <w:rPr>
                <w:rFonts w:ascii="Times New Roman" w:hAnsi="Calibri"/>
                <w:noProof/>
                <w:sz w:val="12"/>
              </w:rPr>
              <w:t>î</w:t>
            </w:r>
            <w:r>
              <w:rPr>
                <w:rFonts w:ascii="Times New Roman" w:hAnsi="Calibri"/>
                <w:noProof/>
                <w:sz w:val="12"/>
              </w:rPr>
              <w:t>n aplicare privind gestionarea concediilor de odihn</w:t>
            </w:r>
            <w:r>
              <w:rPr>
                <w:rFonts w:ascii="Times New Roman" w:hAnsi="Calibri"/>
                <w:noProof/>
                <w:sz w:val="12"/>
              </w:rPr>
              <w:t>ă</w:t>
            </w:r>
            <w:r>
              <w:rPr>
                <w:rFonts w:ascii="Times New Roman" w:hAnsi="Calibri"/>
                <w:noProof/>
                <w:sz w:val="12"/>
              </w:rPr>
              <w:t xml:space="preserve"> </w:t>
            </w:r>
            <w:r>
              <w:rPr>
                <w:rFonts w:ascii="Times New Roman" w:hAnsi="Calibri"/>
                <w:noProof/>
                <w:sz w:val="12"/>
              </w:rPr>
              <w:t>î</w:t>
            </w:r>
            <w:r>
              <w:rPr>
                <w:rFonts w:ascii="Times New Roman" w:hAnsi="Calibri"/>
                <w:noProof/>
                <w:sz w:val="12"/>
              </w:rPr>
              <w:t xml:space="preserve">n temeiul </w:t>
            </w:r>
            <w:r>
              <w:rPr>
                <w:noProof/>
              </w:rPr>
              <w:t xml:space="preserve"> </w:t>
            </w:r>
            <w:r>
              <w:rPr>
                <w:noProof/>
              </w:rPr>
              <w:br/>
            </w:r>
            <w:r>
              <w:rPr>
                <w:rFonts w:ascii="Times New Roman" w:hAnsi="Calibri"/>
                <w:noProof/>
                <w:sz w:val="12"/>
              </w:rPr>
              <w:t>articolului 8 din anexa X la Statutul func</w:t>
            </w:r>
            <w:r>
              <w:rPr>
                <w:rFonts w:ascii="Times New Roman" w:hAnsi="Calibri"/>
                <w:noProof/>
                <w:sz w:val="12"/>
              </w:rPr>
              <w:t>ț</w:t>
            </w:r>
            <w:r>
              <w:rPr>
                <w:rFonts w:ascii="Times New Roman" w:hAnsi="Calibri"/>
                <w:noProof/>
                <w:sz w:val="12"/>
              </w:rPr>
              <w:t>ionarilor</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20.12.2018</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9"/>
              </w:rPr>
              <w:t>Capitolul 4 – Regimul financiar și prestațiile de asigurări sociale</w:t>
            </w:r>
          </w:p>
        </w:tc>
      </w:tr>
      <w:tr>
        <w:trPr>
          <w:trHeight w:hRule="exact" w:val="28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hAnsi="Times New Roman" w:cs="Times New Roman"/>
                <w:b/>
                <w:noProof/>
                <w:spacing w:val="-1"/>
                <w:w w:val="105"/>
                <w:sz w:val="19"/>
              </w:rPr>
            </w:pPr>
            <w:r>
              <w:rPr>
                <w:rFonts w:ascii="Times New Roman" w:hAnsi="Times New Roman"/>
                <w:b/>
                <w:noProof/>
                <w:sz w:val="17"/>
              </w:rPr>
              <w:t>Secțiunea 1 – Regimul financiar și alocațiile de familie</w:t>
            </w:r>
          </w:p>
        </w:tc>
      </w:tr>
      <w:tr>
        <w:trPr>
          <w:trHeight w:hRule="exact" w:val="900"/>
        </w:trPr>
        <w:tc>
          <w:tcPr>
            <w:tcW w:w="1156" w:type="dxa"/>
            <w:vMerge w:val="restart"/>
            <w:tcBorders>
              <w:left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Anexa X </w:t>
            </w:r>
            <w:r>
              <w:rPr>
                <w:noProof/>
              </w:rPr>
              <w:t xml:space="preserve"> </w:t>
            </w:r>
            <w:r>
              <w:rPr>
                <w:noProof/>
              </w:rPr>
              <w:br/>
            </w:r>
            <w:r>
              <w:rPr>
                <w:rFonts w:ascii="Times New Roman" w:hAnsi="Times New Roman"/>
                <w:b/>
                <w:noProof/>
                <w:sz w:val="12"/>
              </w:rPr>
              <w:t>(articolul 10)</w:t>
            </w:r>
          </w:p>
        </w:tc>
        <w:tc>
          <w:tcPr>
            <w:tcW w:w="2551" w:type="dxa"/>
            <w:vMerge w:val="restart"/>
            <w:tcBorders>
              <w:left w:val="single" w:sz="4"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Indemnizația pentru condiții de viață</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ADMIN(2015) 28 privind orientările referitoare la metodologia de stabilire a listei anuale a țărilor în care condițiile de viață pot fi considerate echivalente celor existente în mod obișnuit în UE, care nu dau dreptul la o indemnizație pentru condițiile de viață</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31.8.2015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11"/>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93"/>
              <w:jc w:val="center"/>
              <w:rPr>
                <w:rFonts w:ascii="Times New Roman" w:eastAsia="Calibri" w:hAnsi="Times New Roman" w:cs="Times New Roman"/>
                <w:b/>
                <w:noProof/>
                <w:sz w:val="12"/>
                <w:lang w:val="en-US"/>
              </w:rPr>
            </w:pPr>
          </w:p>
        </w:tc>
        <w:tc>
          <w:tcPr>
            <w:tcW w:w="2551" w:type="dxa"/>
            <w:vMerge/>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Calibri"/>
                <w:noProof/>
                <w:sz w:val="12"/>
              </w:rPr>
              <w:t>ADMIN(2018) 35 de stabilire a dispozi</w:t>
            </w:r>
            <w:r>
              <w:rPr>
                <w:rFonts w:ascii="Times New Roman" w:hAnsi="Calibri"/>
                <w:noProof/>
                <w:sz w:val="12"/>
              </w:rPr>
              <w:t>ț</w:t>
            </w:r>
            <w:r>
              <w:rPr>
                <w:rFonts w:ascii="Times New Roman" w:hAnsi="Calibri"/>
                <w:noProof/>
                <w:sz w:val="12"/>
              </w:rPr>
              <w:t xml:space="preserve">iilor generale de punere </w:t>
            </w:r>
            <w:r>
              <w:rPr>
                <w:rFonts w:ascii="Times New Roman" w:hAnsi="Calibri"/>
                <w:noProof/>
                <w:sz w:val="12"/>
              </w:rPr>
              <w:t>î</w:t>
            </w:r>
            <w:r>
              <w:rPr>
                <w:rFonts w:ascii="Times New Roman" w:hAnsi="Calibri"/>
                <w:noProof/>
                <w:sz w:val="12"/>
              </w:rPr>
              <w:t>n aplicare privind indemniza</w:t>
            </w:r>
            <w:r>
              <w:rPr>
                <w:rFonts w:ascii="Times New Roman" w:hAnsi="Calibri"/>
                <w:noProof/>
                <w:sz w:val="12"/>
              </w:rPr>
              <w:t>ț</w:t>
            </w:r>
            <w:r>
              <w:rPr>
                <w:rFonts w:ascii="Times New Roman" w:hAnsi="Calibri"/>
                <w:noProof/>
                <w:sz w:val="12"/>
              </w:rPr>
              <w:t>ia pentru condi</w:t>
            </w:r>
            <w:r>
              <w:rPr>
                <w:rFonts w:ascii="Times New Roman" w:hAnsi="Calibri"/>
                <w:noProof/>
                <w:sz w:val="12"/>
              </w:rPr>
              <w:t>ț</w:t>
            </w:r>
            <w:r>
              <w:rPr>
                <w:rFonts w:ascii="Times New Roman" w:hAnsi="Calibri"/>
                <w:noProof/>
                <w:sz w:val="12"/>
              </w:rPr>
              <w:t>iile de via</w:t>
            </w:r>
            <w:r>
              <w:rPr>
                <w:rFonts w:ascii="Times New Roman" w:hAnsi="Calibri"/>
                <w:noProof/>
                <w:sz w:val="12"/>
              </w:rPr>
              <w:t>ță</w:t>
            </w:r>
            <w:r>
              <w:rPr>
                <w:rFonts w:ascii="Times New Roman" w:hAnsi="Calibri"/>
                <w:noProof/>
                <w:sz w:val="12"/>
              </w:rPr>
              <w:t xml:space="preserve"> </w:t>
            </w:r>
            <w:r>
              <w:rPr>
                <w:rFonts w:ascii="Times New Roman" w:hAnsi="Calibri"/>
                <w:noProof/>
                <w:sz w:val="12"/>
              </w:rPr>
              <w:t>ș</w:t>
            </w:r>
            <w:r>
              <w:rPr>
                <w:rFonts w:ascii="Times New Roman" w:hAnsi="Calibri"/>
                <w:noProof/>
                <w:sz w:val="12"/>
              </w:rPr>
              <w:t>i indemniza</w:t>
            </w:r>
            <w:r>
              <w:rPr>
                <w:rFonts w:ascii="Times New Roman" w:hAnsi="Calibri"/>
                <w:noProof/>
                <w:sz w:val="12"/>
              </w:rPr>
              <w:t>ț</w:t>
            </w:r>
            <w:r>
              <w:rPr>
                <w:rFonts w:ascii="Times New Roman" w:hAnsi="Calibri"/>
                <w:noProof/>
                <w:sz w:val="12"/>
              </w:rPr>
              <w:t>ia suplimentar</w:t>
            </w:r>
            <w:r>
              <w:rPr>
                <w:rFonts w:ascii="Times New Roman" w:hAnsi="Calibri"/>
                <w:noProof/>
                <w:sz w:val="12"/>
              </w:rPr>
              <w:t>ă</w:t>
            </w:r>
            <w:r>
              <w:rPr>
                <w:rFonts w:ascii="Times New Roman" w:hAnsi="Calibri"/>
                <w:noProof/>
                <w:sz w:val="12"/>
              </w:rPr>
              <w:t xml:space="preserve"> men</w:t>
            </w:r>
            <w:r>
              <w:rPr>
                <w:rFonts w:ascii="Times New Roman" w:hAnsi="Calibri"/>
                <w:noProof/>
                <w:sz w:val="12"/>
              </w:rPr>
              <w:t>ț</w:t>
            </w:r>
            <w:r>
              <w:rPr>
                <w:rFonts w:ascii="Times New Roman" w:hAnsi="Calibri"/>
                <w:noProof/>
                <w:sz w:val="12"/>
              </w:rPr>
              <w:t>ionat</w:t>
            </w:r>
            <w:r>
              <w:rPr>
                <w:rFonts w:ascii="Times New Roman" w:hAnsi="Calibri"/>
                <w:noProof/>
                <w:sz w:val="12"/>
              </w:rPr>
              <w:t>ă</w:t>
            </w:r>
            <w:r>
              <w:rPr>
                <w:rFonts w:ascii="Times New Roman" w:hAnsi="Calibri"/>
                <w:noProof/>
                <w:sz w:val="12"/>
              </w:rPr>
              <w:t xml:space="preserve"> la articolul 10 din anexa X la Statutul func</w:t>
            </w:r>
            <w:r>
              <w:rPr>
                <w:rFonts w:ascii="Times New Roman" w:hAnsi="Calibri"/>
                <w:noProof/>
                <w:sz w:val="12"/>
              </w:rPr>
              <w:t>ț</w:t>
            </w:r>
            <w:r>
              <w:rPr>
                <w:rFonts w:ascii="Times New Roman" w:hAnsi="Calibri"/>
                <w:noProof/>
                <w:sz w:val="12"/>
              </w:rPr>
              <w:t>ionarilor</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20.12.2018</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pacing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Anexa X</w:t>
            </w:r>
          </w:p>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(articolele 12 - 13)</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Moneda și coeficientul corector</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Times New Roman"/>
                <w:noProof/>
                <w:sz w:val="12"/>
              </w:rPr>
              <w:t>PROC EEAS(2011)02 – C(2004)1597/1 privind ajustarea coeficienților corectori și a ratelor de schimb corespunzătoare menționate la articolele 12 și 13 din anexa X</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266"/>
        </w:trPr>
        <w:tc>
          <w:tcPr>
            <w:tcW w:w="1156" w:type="dxa"/>
            <w:tcBorders>
              <w:top w:val="single" w:sz="4" w:space="0" w:color="000000"/>
              <w:left w:val="single" w:sz="4" w:space="0" w:color="000000"/>
              <w:bottom w:val="single" w:sz="6" w:space="0" w:color="000000"/>
              <w:right w:val="single" w:sz="4" w:space="0" w:color="000000"/>
            </w:tcBorders>
            <w:shd w:val="clear" w:color="auto" w:fill="FFFF65"/>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Anexa X</w:t>
            </w:r>
          </w:p>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(articolele 3 și 15)</w:t>
            </w:r>
          </w:p>
        </w:tc>
        <w:tc>
          <w:tcPr>
            <w:tcW w:w="2551" w:type="dxa"/>
            <w:tcBorders>
              <w:top w:val="single" w:sz="3" w:space="0" w:color="000000"/>
              <w:left w:val="single" w:sz="4" w:space="0" w:color="000000"/>
              <w:bottom w:val="single" w:sz="6"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Alocația școlară pe durata misiunilor temporare la sediul instituției sau la orice alt loc de desfășurare a activității din Uniune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71" w:lineRule="auto"/>
              <w:ind w:right="27"/>
              <w:jc w:val="center"/>
              <w:rPr>
                <w:rFonts w:ascii="Times New Roman" w:hAnsi="Times New Roman" w:cs="Times New Roman"/>
                <w:noProof/>
                <w:spacing w:val="-1"/>
                <w:w w:val="105"/>
                <w:sz w:val="12"/>
              </w:rPr>
            </w:pPr>
            <w:r>
              <w:rPr>
                <w:rFonts w:ascii="Times New Roman" w:hAnsi="Times New Roman"/>
                <w:noProof/>
                <w:sz w:val="12"/>
              </w:rPr>
              <w:t>ADMIN(2021)261 de stabilire a dispozițiilor generale de punere în aplicare privind plata alocației școlare prevăzute la articolul 15 din anexa X la Statutul funcționarilor către membrii personalului pe durata misiunilor temporare la sediul instituției sau la orice alt loc de desfășurare a activității din Uniune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30.11.2021</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 xml:space="preserve">Anexa X </w:t>
            </w:r>
          </w:p>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(articolul 16)</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Rambursarea către funcționarii repartizați în țări terțe</w:t>
            </w:r>
          </w:p>
        </w:tc>
        <w:tc>
          <w:tcPr>
            <w:tcW w:w="3029" w:type="dxa"/>
            <w:tcBorders>
              <w:top w:val="single" w:sz="4" w:space="0" w:color="000000"/>
              <w:left w:val="single" w:sz="6" w:space="0" w:color="000000"/>
              <w:bottom w:val="single" w:sz="4" w:space="0" w:color="000000"/>
              <w:right w:val="single" w:sz="4" w:space="0" w:color="000000"/>
            </w:tcBorders>
            <w:shd w:val="clear" w:color="auto" w:fill="DA9694"/>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hAnsi="Times New Roman"/>
                <w:noProof/>
                <w:sz w:val="12"/>
              </w:rPr>
              <w:t>HR DEC (2013) 015 – Decizia privind rambursările datorate funcționarilor repartizați în țările terțe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2"/>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6"/>
              </w:rPr>
              <w:t>Secțiunea 2 – Norme privind rambursarea cheltuielilor</w:t>
            </w:r>
          </w:p>
        </w:tc>
      </w:tr>
      <w:tr>
        <w:trPr>
          <w:trHeight w:hRule="exact" w:val="799"/>
        </w:trPr>
        <w:tc>
          <w:tcPr>
            <w:tcW w:w="1156" w:type="dxa"/>
            <w:tcBorders>
              <w:left w:val="single" w:sz="4" w:space="0" w:color="000000"/>
              <w:bottom w:val="single" w:sz="4" w:space="0" w:color="000000"/>
              <w:right w:val="single" w:sz="4" w:space="0" w:color="000000"/>
            </w:tcBorders>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 xml:space="preserve">Anexa X </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(articolul 2)</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7"/>
              </w:rPr>
              <w:t>Indemnizația pentru locuința temporară și cheltuielile de transport</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PROC EEAS(2011) 002 – C(2004) 1597/2 privind</w:t>
            </w:r>
            <w:r>
              <w:rPr>
                <w:noProof/>
              </w:rPr>
              <w:t xml:space="preserve"> </w:t>
            </w:r>
            <w:r>
              <w:rPr>
                <w:noProof/>
              </w:rPr>
              <w:br/>
            </w:r>
            <w:r>
              <w:rPr>
                <w:rFonts w:ascii="Times New Roman" w:hAnsi="Times New Roman"/>
                <w:noProof/>
                <w:sz w:val="12"/>
              </w:rPr>
              <w:t xml:space="preserve"> aplicarea articolului 22 din anexa X privind recuperarea</w:t>
            </w:r>
            <w:r>
              <w:rPr>
                <w:noProof/>
              </w:rPr>
              <w:t xml:space="preserve"> </w:t>
            </w:r>
            <w:r>
              <w:rPr>
                <w:noProof/>
              </w:rPr>
              <w:br/>
            </w:r>
            <w:r>
              <w:rPr>
                <w:rFonts w:ascii="Times New Roman" w:hAnsi="Times New Roman"/>
                <w:noProof/>
                <w:sz w:val="12"/>
              </w:rPr>
              <w:t xml:space="preserve"> indemnizației pentru locuința temporară și cheltuielile de transport al efectelor personale ale soțului/soției și ale persoanelor aflate în întreținere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6"/>
              </w:rPr>
              <w:t>Secțiunea 3 – Asigurările sociale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 xml:space="preserve">Anexa X </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(articolul 24)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Asigurarea de sănătate</w:t>
            </w:r>
          </w:p>
        </w:tc>
        <w:tc>
          <w:tcPr>
            <w:tcW w:w="3029" w:type="dxa"/>
            <w:tcBorders>
              <w:top w:val="single" w:sz="5" w:space="0" w:color="000000"/>
              <w:left w:val="single" w:sz="4" w:space="0" w:color="auto"/>
              <w:bottom w:val="single" w:sz="5"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PROC EEAS (2011)013 – Decizia Comisiei</w:t>
            </w:r>
            <w:r>
              <w:rPr>
                <w:noProof/>
              </w:rPr>
              <w:t xml:space="preserve"> </w:t>
            </w:r>
            <w:r>
              <w:rPr>
                <w:noProof/>
              </w:rPr>
              <w:br/>
            </w:r>
            <w:r>
              <w:rPr>
                <w:rFonts w:ascii="Times New Roman" w:hAnsi="Times New Roman"/>
                <w:noProof/>
                <w:sz w:val="12"/>
              </w:rPr>
              <w:t xml:space="preserve"> privind dispozițiile generale de punere în aplicare a primului și al celui de al doilea paragraf al articolului 24 din anexa X</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5"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92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before="87" w:after="0" w:line="240" w:lineRule="auto"/>
              <w:ind w:right="2"/>
              <w:jc w:val="center"/>
              <w:rPr>
                <w:rFonts w:ascii="Times New Roman" w:eastAsia="Calibri" w:hAnsi="Times New Roman" w:cs="Times New Roman"/>
                <w:b/>
                <w:noProof/>
                <w:spacing w:val="1"/>
                <w:w w:val="105"/>
                <w:sz w:val="12"/>
              </w:rPr>
            </w:pPr>
            <w:r>
              <w:rPr>
                <w:rFonts w:ascii="Times New Roman" w:hAnsi="Times New Roman"/>
                <w:b/>
                <w:noProof/>
                <w:sz w:val="12"/>
              </w:rPr>
              <w:t xml:space="preserve">Anexa X </w:t>
            </w:r>
          </w:p>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(articolul 25)</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Asigurarea de accidente</w:t>
            </w:r>
          </w:p>
        </w:tc>
        <w:tc>
          <w:tcPr>
            <w:tcW w:w="3029" w:type="dxa"/>
            <w:tcBorders>
              <w:top w:val="single" w:sz="5" w:space="0" w:color="000000"/>
              <w:left w:val="single" w:sz="4" w:space="0" w:color="auto"/>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PROC EEAS (2011)013 – Decizia Comisiei privind dispozițiile generale referitoare la asigurarea împotriva riscurilor</w:t>
            </w:r>
            <w:r>
              <w:rPr>
                <w:noProof/>
              </w:rPr>
              <w:t xml:space="preserve"> </w:t>
            </w:r>
            <w:r>
              <w:rPr>
                <w:noProof/>
              </w:rPr>
              <w:br/>
            </w:r>
            <w:r>
              <w:rPr>
                <w:rFonts w:ascii="Times New Roman" w:hAnsi="Times New Roman"/>
                <w:noProof/>
                <w:sz w:val="12"/>
              </w:rPr>
              <w:t xml:space="preserve"> de accidente pentru soț/soție, copii și alte persoane aflate în întreținerea unui funcționar al UE repartizat într-o țară terță</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5" w:space="0" w:color="000000"/>
              <w:left w:val="single" w:sz="3" w:space="0" w:color="000000"/>
              <w:bottom w:val="single" w:sz="3"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70"/>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10 alineatul (5)</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Recrutarea</w:t>
            </w:r>
          </w:p>
        </w:tc>
        <w:tc>
          <w:tcPr>
            <w:tcW w:w="3029"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ADMIN(2020) 14 – Decizia ÎR privind măsurile excepționale pe termen scurt de recrutare în cadrul Serviciului European de Acțiune Externă</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19.5.2020</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31.12.2020</w:t>
            </w: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40"/>
        </w:trPr>
        <w:tc>
          <w:tcPr>
            <w:tcW w:w="1156" w:type="dxa"/>
            <w:vMerge/>
            <w:tcBorders>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ADMIN (2020) 10 – Decizia ÎR privind durata maximă a angajării personalului nepermanent în baza unor contracte succesive pe perioadă determinată de diferite tipuri</w:t>
            </w:r>
            <w:r>
              <w:rPr>
                <w:noProof/>
              </w:rPr>
              <w:t xml:space="preserve"> </w:t>
            </w:r>
            <w:r>
              <w:rPr>
                <w:noProof/>
              </w:rPr>
              <w:br/>
            </w:r>
            <w:r>
              <w:rPr>
                <w:rFonts w:ascii="Times New Roman" w:hAnsi="Times New Roman"/>
                <w:noProof/>
                <w:sz w:val="12"/>
              </w:rPr>
              <w:t xml:space="preserve"> de către Serviciul European de Acțiune Externă</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16.7.2020</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15.7.2023</w:t>
            </w:r>
          </w:p>
        </w:tc>
        <w:tc>
          <w:tcPr>
            <w:tcW w:w="936" w:type="dxa"/>
            <w:vMerge w:val="restart"/>
            <w:tcBorders>
              <w:top w:val="single" w:sz="5" w:space="0" w:color="000000"/>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240"/>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ADMIN(2023) 24 – Decizia ÎR privind durata maximă a angajării de către Serviciul European de Acțiune Externă </w:t>
            </w:r>
            <w:r>
              <w:rPr>
                <w:noProof/>
              </w:rPr>
              <w:t xml:space="preserve"> </w:t>
            </w:r>
            <w:r>
              <w:rPr>
                <w:noProof/>
              </w:rPr>
              <w:br/>
            </w:r>
            <w:r>
              <w:rPr>
                <w:rFonts w:ascii="Times New Roman" w:hAnsi="Times New Roman"/>
                <w:noProof/>
                <w:sz w:val="12"/>
              </w:rPr>
              <w:t>a personalului nepermanent în baza unor contracte succesive pe perioadă determinată de diferite tipuri, privind intervalul minim</w:t>
            </w:r>
            <w:r>
              <w:rPr>
                <w:noProof/>
              </w:rPr>
              <w:t xml:space="preserve"> </w:t>
            </w:r>
            <w:r>
              <w:rPr>
                <w:noProof/>
              </w:rPr>
              <w:br/>
            </w:r>
            <w:r>
              <w:rPr>
                <w:rFonts w:ascii="Times New Roman" w:hAnsi="Times New Roman"/>
                <w:noProof/>
                <w:sz w:val="12"/>
              </w:rPr>
              <w:t xml:space="preserve"> dintre contractele succesive încheiate în temeiul articolului 2 litera (e)</w:t>
            </w:r>
            <w:r>
              <w:rPr>
                <w:noProof/>
              </w:rPr>
              <w:t xml:space="preserve"> </w:t>
            </w:r>
            <w:r>
              <w:rPr>
                <w:noProof/>
              </w:rPr>
              <w:br/>
            </w:r>
            <w:r>
              <w:rPr>
                <w:rFonts w:ascii="Times New Roman" w:hAnsi="Times New Roman"/>
                <w:noProof/>
                <w:sz w:val="12"/>
              </w:rPr>
              <w:t xml:space="preserve"> din RAA și de abrogare a Deciziei ADMIN(2020)10 a Înaltului Reprezentant al Uniunii pentru afaceri externe și politica de securitate din 16.7.2020</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15.7.2023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0681"/>
      </w:tblGrid>
      <w:tr>
        <w:trPr>
          <w:trHeight w:hRule="exact" w:val="370"/>
        </w:trPr>
        <w:tc>
          <w:tcPr>
            <w:tcW w:w="10681" w:type="dxa"/>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 – Agenții temporari</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 alineatul (5)</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7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Procedurile de recrutare pentru</w:t>
            </w:r>
          </w:p>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agenții temporari</w:t>
            </w:r>
          </w:p>
        </w:tc>
        <w:tc>
          <w:tcPr>
            <w:tcW w:w="3029"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ADMIN(2015) 20 de adoptare a dispozițiilor generale de punere în aplicare a articolului 12 alineatul (5) privind angajarea și utilizarea</w:t>
            </w:r>
            <w:r>
              <w:rPr>
                <w:noProof/>
              </w:rPr>
              <w:t xml:space="preserve"> </w:t>
            </w:r>
            <w:r>
              <w:rPr>
                <w:noProof/>
              </w:rPr>
              <w:br/>
            </w:r>
            <w:r>
              <w:rPr>
                <w:rFonts w:ascii="Times New Roman" w:hAnsi="Times New Roman"/>
                <w:noProof/>
                <w:sz w:val="12"/>
              </w:rPr>
              <w:t xml:space="preserve"> agenților temporari</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12.8.2015</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4 – Condițiile de muncă </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Concediul de maternitate și alocația aferentă</w:t>
            </w:r>
          </w:p>
        </w:tc>
        <w:tc>
          <w:tcPr>
            <w:tcW w:w="3029"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EEAS DEC(2014)009 – C(2013)9020 final din 16.12.2013 privind concediul de maternitate și alocația aferentă pentru femeile al căror concediu de maternitate începe înainte de încheierea contractului lor</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448"/>
        </w:trPr>
        <w:tc>
          <w:tcPr>
            <w:tcW w:w="10681" w:type="dxa"/>
            <w:gridSpan w:val="6"/>
            <w:tcBorders>
              <w:top w:val="single" w:sz="5" w:space="0" w:color="000000"/>
              <w:left w:val="single" w:sz="4" w:space="0" w:color="000000"/>
              <w:bottom w:val="single" w:sz="4"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567"/>
        </w:trPr>
        <w:tc>
          <w:tcPr>
            <w:tcW w:w="1156"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alineatul (2)</w:t>
            </w:r>
          </w:p>
        </w:tc>
        <w:tc>
          <w:tcPr>
            <w:tcW w:w="2551" w:type="dxa"/>
            <w:vMerge w:val="restart"/>
            <w:tcBorders>
              <w:top w:val="single" w:sz="4" w:space="0" w:color="000000"/>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Utilizarea agenților contractuali</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PROC EEAS(2011)02 – C(2006)6957 aplicabilă interpreților de conferință angajați în conformitate cu articolele 78 și 90 din Regimul aplicabil celorlalți agenți</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29.11.2011</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605"/>
        </w:trPr>
        <w:tc>
          <w:tcPr>
            <w:tcW w:w="1156"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 (2011)13 – C(2011)1264 final – Dispoziții</w:t>
            </w:r>
          </w:p>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generale de punere în aplicare privind procedurile de angajare și utilizare a agenților contractuali, astfel cum au fost modificate prin C(2013) 8967 din 16.12.2013 și EEAS DEC(2014) 048</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b/>
                <w:bCs/>
                <w:noProof/>
                <w:sz w:val="12"/>
                <w:szCs w:val="12"/>
              </w:rPr>
            </w:pPr>
            <w:r>
              <w:rPr>
                <w:rFonts w:ascii="Times New Roman" w:hAnsi="Times New Roman"/>
                <w:b/>
                <w:noProof/>
                <w:sz w:val="12"/>
              </w:rPr>
              <w:t xml:space="preserve">118 + anexa X </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 xml:space="preserve">Mobilitatea </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ADMIN(2017) 19 – Decizia ÎR privind mobilitatea</w:t>
            </w:r>
            <w:r>
              <w:rPr>
                <w:noProof/>
              </w:rPr>
              <w:t xml:space="preserve"> </w:t>
            </w:r>
            <w:r>
              <w:rPr>
                <w:noProof/>
              </w:rPr>
              <w:br/>
            </w:r>
            <w:r>
              <w:rPr>
                <w:rFonts w:ascii="Times New Roman" w:hAnsi="Times New Roman"/>
                <w:noProof/>
                <w:sz w:val="12"/>
              </w:rPr>
              <w:t xml:space="preserve"> agenților contractuali din cadrul SEAE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18.11.2017</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11.7.2020</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ADMIN(2020) 35 – Decizia ÎR privind mobilitatea agenților contractuali din cadrul SEAE </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11.7.2020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164" w:lineRule="exact"/>
              <w:jc w:val="center"/>
              <w:rPr>
                <w:rFonts w:ascii="Times New Roman" w:eastAsia="Times New Roman" w:hAnsi="Times New Roman" w:cs="Times New Roman"/>
                <w:noProof/>
                <w:sz w:val="17"/>
                <w:szCs w:val="17"/>
              </w:rPr>
            </w:pPr>
            <w:r>
              <w:rPr>
                <w:rFonts w:ascii="Times New Roman" w:hAnsi="Times New Roman"/>
                <w:b/>
                <w:noProof/>
                <w:sz w:val="17"/>
              </w:rPr>
              <w:t>Procedurile de recrutare pentru</w:t>
            </w:r>
          </w:p>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agenții contractuali</w:t>
            </w:r>
          </w:p>
        </w:tc>
        <w:tc>
          <w:tcPr>
            <w:tcW w:w="3029" w:type="dxa"/>
            <w:tcBorders>
              <w:top w:val="single" w:sz="6" w:space="0" w:color="000000"/>
              <w:left w:val="single" w:sz="4" w:space="0" w:color="auto"/>
              <w:bottom w:val="single" w:sz="4" w:space="0" w:color="auto"/>
              <w:right w:val="single" w:sz="4" w:space="0" w:color="000000"/>
            </w:tcBorders>
            <w:shd w:val="clear" w:color="auto" w:fill="DA9694"/>
            <w:vAlign w:val="center"/>
          </w:tcPr>
          <w:p>
            <w:pPr>
              <w:widowControl w:val="0"/>
              <w:spacing w:after="0" w:line="271" w:lineRule="auto"/>
              <w:ind w:right="65"/>
              <w:jc w:val="center"/>
              <w:rPr>
                <w:noProof/>
              </w:rPr>
            </w:pPr>
            <w:r>
              <w:rPr>
                <w:rFonts w:ascii="Times New Roman" w:hAnsi="Times New Roman"/>
                <w:noProof/>
                <w:sz w:val="12"/>
              </w:rPr>
              <w:t>PROC EEAS(2011)02 – C(2006)6957 aplicabilă</w:t>
            </w:r>
            <w:r>
              <w:rPr>
                <w:noProof/>
              </w:rPr>
              <w:t xml:space="preserve"> </w:t>
            </w:r>
            <w:r>
              <w:rPr>
                <w:noProof/>
              </w:rPr>
              <w:br/>
            </w:r>
            <w:r>
              <w:rPr>
                <w:rFonts w:ascii="Times New Roman" w:hAnsi="Times New Roman"/>
                <w:noProof/>
                <w:sz w:val="12"/>
              </w:rPr>
              <w:t xml:space="preserve"> interpreților de conferință angajați în conformitate cu articolele 78 și 90 din RAA</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853"/>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PROC EEAS (2011)13 – C(2011)1264 final – Dispoziții</w:t>
            </w:r>
          </w:p>
          <w:p>
            <w:pPr>
              <w:widowControl w:val="0"/>
              <w:spacing w:after="0" w:line="271" w:lineRule="auto"/>
              <w:ind w:right="65"/>
              <w:jc w:val="center"/>
              <w:rPr>
                <w:noProof/>
              </w:rPr>
            </w:pPr>
            <w:r>
              <w:rPr>
                <w:rFonts w:ascii="Times New Roman" w:hAnsi="Times New Roman"/>
                <w:noProof/>
                <w:sz w:val="12"/>
              </w:rPr>
              <w:t>generale de punere în aplicare privind procedurile</w:t>
            </w:r>
            <w:r>
              <w:rPr>
                <w:noProof/>
              </w:rPr>
              <w:t xml:space="preserve"> </w:t>
            </w:r>
            <w:r>
              <w:rPr>
                <w:noProof/>
              </w:rPr>
              <w:br/>
            </w:r>
            <w:r>
              <w:rPr>
                <w:rFonts w:ascii="Times New Roman" w:hAnsi="Times New Roman"/>
                <w:noProof/>
                <w:sz w:val="12"/>
              </w:rPr>
              <w:t xml:space="preserve"> de angajare și utilizare a agenților contractuali, astfel cum au fost modificate</w:t>
            </w:r>
            <w:r>
              <w:rPr>
                <w:noProof/>
              </w:rPr>
              <w:t xml:space="preserve"> </w:t>
            </w:r>
            <w:r>
              <w:rPr>
                <w:noProof/>
              </w:rPr>
              <w:br/>
            </w:r>
            <w:r>
              <w:rPr>
                <w:rFonts w:ascii="Times New Roman" w:hAnsi="Times New Roman"/>
                <w:noProof/>
                <w:sz w:val="12"/>
              </w:rPr>
              <w:t xml:space="preserve"> prin C(2013)8967 din 16.12.2013 și EEAS DEC(2014)048</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22.11.2011</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86</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7"/>
              </w:rPr>
              <w:t>Încadrarea în grad la momentul recrutării</w:t>
            </w:r>
          </w:p>
        </w:tc>
        <w:tc>
          <w:tcPr>
            <w:tcW w:w="3029" w:type="dxa"/>
            <w:tcBorders>
              <w:top w:val="single" w:sz="6" w:space="0" w:color="000000"/>
              <w:left w:val="single" w:sz="4" w:space="0" w:color="auto"/>
              <w:bottom w:val="single" w:sz="4" w:space="0" w:color="auto"/>
              <w:right w:val="single" w:sz="4" w:space="0" w:color="000000"/>
            </w:tcBorders>
            <w:shd w:val="clear" w:color="auto" w:fill="DA9694"/>
            <w:vAlign w:val="center"/>
          </w:tcPr>
          <w:p>
            <w:pPr>
              <w:widowControl w:val="0"/>
              <w:spacing w:after="0" w:line="271" w:lineRule="auto"/>
              <w:ind w:right="65"/>
              <w:jc w:val="center"/>
              <w:rPr>
                <w:noProof/>
              </w:rPr>
            </w:pPr>
            <w:r>
              <w:rPr>
                <w:rFonts w:ascii="Times New Roman" w:hAnsi="Times New Roman"/>
                <w:noProof/>
                <w:sz w:val="12"/>
              </w:rPr>
              <w:t>PROC EEAS(2011)02 – C(2006)6957 aplicabilă interpreților de conferință angajați în conformitate cu articolele 78 și 90 din Regimul aplicabil celorlalți agenți</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29.11.2011</w:t>
            </w:r>
          </w:p>
        </w:tc>
        <w:tc>
          <w:tcPr>
            <w:tcW w:w="1687"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696"/>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PROC EEAS(2011)13 – C(2011)1264 final – Dispoziții generale de punere în aplicare privind procedurile </w:t>
            </w:r>
            <w:r>
              <w:rPr>
                <w:noProof/>
              </w:rPr>
              <w:t xml:space="preserve"> </w:t>
            </w:r>
            <w:r>
              <w:rPr>
                <w:noProof/>
              </w:rPr>
              <w:br/>
            </w:r>
            <w:r>
              <w:rPr>
                <w:rFonts w:ascii="Times New Roman" w:hAnsi="Times New Roman"/>
                <w:noProof/>
                <w:sz w:val="12"/>
              </w:rPr>
              <w:t>de angajare și utilizare a agenților contractuali, astfel cum au fost modificate</w:t>
            </w:r>
            <w:r>
              <w:rPr>
                <w:noProof/>
              </w:rPr>
              <w:t xml:space="preserve"> </w:t>
            </w:r>
            <w:r>
              <w:rPr>
                <w:noProof/>
              </w:rPr>
              <w:br/>
            </w:r>
            <w:r>
              <w:rPr>
                <w:rFonts w:ascii="Times New Roman" w:hAnsi="Times New Roman"/>
                <w:noProof/>
                <w:sz w:val="12"/>
              </w:rPr>
              <w:t xml:space="preserve"> prin C(2013)8967 din 16.12.2013 și EEAS DEC(2014)048</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22.11.2011</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Capitolul 4 – Dispoziții speciale aplicabile agenților contractuali menționați la articolul 3a</w:t>
            </w:r>
          </w:p>
        </w:tc>
      </w:tr>
      <w:tr>
        <w:trPr>
          <w:trHeight w:hRule="exact" w:val="86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Evaluarea agenților contractuali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ADMIN (2022) 4 de adoptare a dispozițiilor generale de punere în aplicare a articolului 87 alineatul (1) din Regimul aplicabil celorlalți agenți ai Uniunii Europene și de punere în aplicare a articolului 44 primul paragraf din Statutul funcționarilor privind rapoartele de evaluare a agenților contractuali</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24.1.2022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6"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81"/>
        </w:trPr>
        <w:tc>
          <w:tcPr>
            <w:tcW w:w="1156" w:type="dxa"/>
            <w:vMerge w:val="restart"/>
            <w:tcBorders>
              <w:top w:val="single" w:sz="4" w:space="0" w:color="auto"/>
              <w:left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87 alineatul (3)</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Reclasificarea agenților contractuali</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ADMIN 23(2015) 23 privind adoptarea unei proceduri pentru reclasificarea agenților contractuali angajați în conformitate cu articolul 3a în temeiul articolului 87 alineatul (3) din RAA</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31.7.2015</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24.1.2022</w:t>
            </w:r>
          </w:p>
        </w:tc>
        <w:tc>
          <w:tcPr>
            <w:tcW w:w="936" w:type="dxa"/>
            <w:tcBorders>
              <w:top w:val="single" w:sz="4" w:space="0" w:color="auto"/>
              <w:left w:val="single" w:sz="4" w:space="0" w:color="auto"/>
              <w:bottom w:val="single" w:sz="4" w:space="0" w:color="auto"/>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823"/>
        </w:trPr>
        <w:tc>
          <w:tcPr>
            <w:tcW w:w="1156" w:type="dxa"/>
            <w:vMerge/>
            <w:tcBorders>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ADMIN (2022)6 de adoptare a dispozițiilor generale de punere în aplicare a articolului 87 alineatul (3) din Regimul aplicabil celorlalți agenți ai Uniunii Europene privind reclasificarea agenților contractuali angajați în temeiul articolului 3a din regim</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24.1.2022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6"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V – Agenții locali</w:t>
            </w:r>
          </w:p>
        </w:tc>
      </w:tr>
      <w:tr>
        <w:trPr>
          <w:trHeight w:hRule="exact" w:val="960"/>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120</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Agenții locali din delegații – Metoda de adaptare a remunerațiilor</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EEAS DEC (2014)004 de adoptare a metodei pentru stabilirea și ajustarea remunerației agenților locali repartizați în cadrul delegațiilor</w:t>
            </w:r>
            <w:r>
              <w:rPr>
                <w:noProof/>
              </w:rPr>
              <w:t xml:space="preserve"> </w:t>
            </w:r>
            <w:r>
              <w:rPr>
                <w:noProof/>
              </w:rPr>
              <w:br/>
            </w:r>
            <w:r>
              <w:rPr>
                <w:rFonts w:ascii="Times New Roman" w:hAnsi="Times New Roman"/>
                <w:noProof/>
                <w:sz w:val="12"/>
              </w:rPr>
              <w:t xml:space="preserve"> [modificată prin EEAS ADMIN (2019) 14 și</w:t>
            </w:r>
            <w:r>
              <w:rPr>
                <w:noProof/>
              </w:rPr>
              <w:t xml:space="preserve"> </w:t>
            </w:r>
            <w:r>
              <w:rPr>
                <w:noProof/>
              </w:rPr>
              <w:br/>
            </w:r>
            <w:r>
              <w:rPr>
                <w:rFonts w:ascii="Times New Roman" w:hAnsi="Times New Roman"/>
                <w:noProof/>
                <w:sz w:val="12"/>
              </w:rPr>
              <w:t xml:space="preserve"> modificată ultima dată prin EEAS ADMIN(2020) 21 din 27.5.2020</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1.6.2014 </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21"/>
        </w:trPr>
        <w:tc>
          <w:tcPr>
            <w:tcW w:w="1156" w:type="dxa"/>
            <w:vMerge/>
            <w:tcBorders>
              <w:left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pacing w:val="1"/>
                <w:w w:val="105"/>
                <w:sz w:val="12"/>
                <w:lang w:val="en-US"/>
              </w:rPr>
            </w:pP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7"/>
              </w:rPr>
              <w:t>Agenții locali – Condițiile de angajare</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Calibri" w:hAnsi="Times New Roman" w:cs="Times New Roman"/>
                <w:noProof/>
                <w:spacing w:val="-2"/>
                <w:w w:val="105"/>
                <w:sz w:val="12"/>
              </w:rPr>
            </w:pPr>
            <w:r>
              <w:rPr>
                <w:rFonts w:ascii="Times New Roman" w:hAnsi="Times New Roman"/>
                <w:noProof/>
                <w:sz w:val="12"/>
              </w:rPr>
              <w:t>Norme-cadru de stabilire a condițiilor de angajare a personalului local al Comisiei Comunităților Europene repartizat în țări terțe, adoptate de Comisie la 21 noiembrie 1989</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w w:val="105"/>
                <w:sz w:val="12"/>
              </w:rPr>
            </w:pPr>
            <w:r>
              <w:rPr>
                <w:rFonts w:ascii="Times New Roman" w:hAnsi="Times New Roman"/>
                <w:noProof/>
                <w:sz w:val="12"/>
              </w:rPr>
              <w:t>1.1.1990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1.6.2020</w:t>
            </w:r>
          </w:p>
        </w:tc>
        <w:tc>
          <w:tcPr>
            <w:tcW w:w="93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21"/>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Calibri" w:hAnsi="Times New Roman" w:cs="Times New Roman"/>
                <w:b/>
                <w:noProof/>
                <w:spacing w:val="1"/>
                <w:w w:val="105"/>
                <w:sz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lang w:val="en-US"/>
              </w:rPr>
            </w:pP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54" w:lineRule="auto"/>
              <w:ind w:right="38"/>
              <w:jc w:val="center"/>
              <w:rPr>
                <w:rFonts w:ascii="Times New Roman" w:eastAsia="Calibri" w:hAnsi="Times New Roman" w:cs="Times New Roman"/>
                <w:noProof/>
                <w:spacing w:val="-2"/>
                <w:w w:val="105"/>
                <w:sz w:val="12"/>
              </w:rPr>
            </w:pPr>
            <w:r>
              <w:rPr>
                <w:rFonts w:ascii="Times New Roman" w:hAnsi="Times New Roman"/>
                <w:noProof/>
                <w:sz w:val="12"/>
              </w:rPr>
              <w:t>C(2019) 5686 final – Decizia comună a Comisiei și a Înaltului Reprezentant al Uniunii pentru afaceri externe și politica de securitate din 7.8.2019 privind condițiile de angajare a agenților locali ai Uniunii Europene în locuri din afara Uniunii Europene</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w w:val="105"/>
                <w:sz w:val="12"/>
              </w:rPr>
            </w:pPr>
            <w:r>
              <w:rPr>
                <w:rFonts w:ascii="Times New Roman" w:hAnsi="Times New Roman"/>
                <w:noProof/>
                <w:sz w:val="12"/>
              </w:rPr>
              <w:t>1.6.2020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939"/>
        </w:trPr>
        <w:tc>
          <w:tcPr>
            <w:tcW w:w="1156"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121</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rPr>
                <w:rFonts w:ascii="Times New Roman" w:eastAsia="Calibri" w:hAnsi="Times New Roman" w:cs="Times New Roman"/>
                <w:b/>
                <w:bCs/>
                <w:noProof/>
                <w:spacing w:val="-1"/>
                <w:sz w:val="17"/>
                <w:szCs w:val="17"/>
                <w:lang w:val="fr-BE"/>
              </w:rPr>
            </w:pPr>
          </w:p>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Sisteme de securitate socială pentru agenții locali [Casa de asigurări ocupaționale pentru agenții locali („PFLA”) și sistemul complementar de asigurări pentru agenții locali („CISLA”)]</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ind w:right="24"/>
              <w:jc w:val="center"/>
              <w:rPr>
                <w:rFonts w:ascii="Times New Roman" w:eastAsia="Calibri" w:hAnsi="Times New Roman" w:cs="Times New Roman"/>
                <w:noProof/>
                <w:spacing w:val="-2"/>
                <w:sz w:val="12"/>
                <w:szCs w:val="12"/>
              </w:rPr>
            </w:pPr>
            <w:r>
              <w:rPr>
                <w:rFonts w:ascii="Times New Roman" w:hAnsi="Times New Roman"/>
                <w:noProof/>
                <w:sz w:val="12"/>
              </w:rPr>
              <w:t>C(2015)3461 – Decizie comună a Comisiei și a Înaltului Reprezentant al Uniunii pentru afaceri externe și politica de securitate din 28 mai 2015 privind gestionarea administrativă și financiară a activelor schemelor instituite pentru a asigura sisteme autonome sau complementare de securitate socială pentru personalul local din delegațiile Uniunii</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29.5.2015</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1.6.2020</w:t>
            </w: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1010"/>
        </w:trPr>
        <w:tc>
          <w:tcPr>
            <w:tcW w:w="1156" w:type="dxa"/>
            <w:vMerge/>
            <w:tcBorders>
              <w:left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Agenții locali – Fondul de pensii</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ind w:right="24"/>
              <w:jc w:val="center"/>
              <w:rPr>
                <w:rFonts w:ascii="Times New Roman" w:eastAsia="Calibri" w:hAnsi="Times New Roman" w:cs="Times New Roman"/>
                <w:bCs/>
                <w:noProof/>
                <w:spacing w:val="-2"/>
                <w:sz w:val="12"/>
                <w:szCs w:val="12"/>
              </w:rPr>
            </w:pPr>
            <w:r>
              <w:rPr>
                <w:rFonts w:ascii="Times New Roman" w:hAnsi="Times New Roman"/>
                <w:noProof/>
                <w:sz w:val="12"/>
              </w:rPr>
              <w:t>C(2019) 5685 final – Decizie comună a Comisiei și a Înaltului Reprezentant al Uniunii pentru afaceri externe și politica de securitate din 7.8.2019 privind prestațiile de pensie autonome sau complementare pentru personalul local din delegațiile Uniunii în țările în care acoperirea prin sistemul local fie nu există, fie este insuficientă</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1004"/>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 xml:space="preserve">Agenții locali – Asigurarea medicală pentru agenții locali </w:t>
            </w:r>
          </w:p>
        </w:tc>
        <w:tc>
          <w:tcPr>
            <w:tcW w:w="3029" w:type="dxa"/>
            <w:tcBorders>
              <w:top w:val="single" w:sz="4" w:space="0" w:color="000000"/>
              <w:left w:val="single" w:sz="4" w:space="0" w:color="000000"/>
              <w:bottom w:val="single" w:sz="4" w:space="0" w:color="000000"/>
              <w:right w:val="single" w:sz="4" w:space="0" w:color="000000"/>
            </w:tcBorders>
            <w:shd w:val="clear" w:color="auto" w:fill="DA9694"/>
            <w:vAlign w:val="center"/>
          </w:tcPr>
          <w:p>
            <w:pPr>
              <w:spacing w:after="0" w:line="240" w:lineRule="auto"/>
              <w:ind w:right="24"/>
              <w:jc w:val="center"/>
              <w:rPr>
                <w:rFonts w:ascii="Times New Roman" w:eastAsia="Calibri" w:hAnsi="Times New Roman" w:cs="Times New Roman"/>
                <w:noProof/>
                <w:spacing w:val="-2"/>
                <w:sz w:val="12"/>
                <w:szCs w:val="12"/>
              </w:rPr>
            </w:pPr>
            <w:r>
              <w:rPr>
                <w:rFonts w:ascii="Times New Roman" w:hAnsi="Times New Roman"/>
                <w:noProof/>
                <w:sz w:val="12"/>
              </w:rPr>
              <w:t>C(2019) 5684 final – Decizie comună a Comisiei și a Înaltului Reprezentant al Uniunii pentru afaceri externe și politica de securitate din 7.8.2019 privind asigurarea medicală autonomă sau complementară pentru personalul local din delegațiile Uniunii în țările în care acoperirea prin sistemul local fie nu există, fie este insuficientă</w:t>
            </w:r>
          </w:p>
        </w:tc>
        <w:tc>
          <w:tcPr>
            <w:tcW w:w="1322"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1.6.2020</w:t>
            </w:r>
          </w:p>
        </w:tc>
        <w:tc>
          <w:tcPr>
            <w:tcW w:w="1687"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Legendă</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76672"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346392688" name="Rectangle 1346392688"/>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46392688" o:spid="_x0000_s1029" style="position:absolute;margin-left:178.4pt;margin-top:17.9pt;width:156.2pt;height:3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Dispoziții generale de punere în aplicare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Alte norme de punere în aplicare</w:t>
            </w:r>
          </w:p>
        </w:tc>
      </w:tr>
    </w:tbl>
    <w:p>
      <w:pPr>
        <w:widowControl w:val="0"/>
        <w:spacing w:after="0" w:line="240" w:lineRule="auto"/>
        <w:jc w:val="center"/>
        <w:rPr>
          <w:rFonts w:ascii="Times New Roman" w:eastAsia="Times New Roman" w:hAnsi="Times New Roman" w:cs="Times New Roman"/>
          <w:noProof/>
          <w:sz w:val="20"/>
          <w:szCs w:val="20"/>
          <w:lang w:val="fr-BE"/>
        </w:rPr>
      </w:pPr>
    </w:p>
    <w:p>
      <w:pPr>
        <w:widowControl w:val="0"/>
        <w:spacing w:before="10" w:after="0" w:line="240" w:lineRule="auto"/>
        <w:rPr>
          <w:rFonts w:ascii="Times New Roman" w:eastAsia="Times New Roman" w:hAnsi="Times New Roman" w:cs="Times New Roman"/>
          <w:i/>
          <w:noProof/>
          <w:sz w:val="24"/>
          <w:szCs w:val="24"/>
          <w:lang w:val="fr-BE"/>
        </w:rPr>
      </w:pPr>
    </w:p>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b/>
                <w:noProof/>
                <w:sz w:val="46"/>
              </w:rPr>
              <w:t xml:space="preserve">Comitetul Economic </w:t>
            </w:r>
            <w:r>
              <w:rPr>
                <w:rFonts w:ascii="Times New Roman"/>
                <w:b/>
                <w:noProof/>
                <w:sz w:val="46"/>
              </w:rPr>
              <w:t>ș</w:t>
            </w:r>
            <w:r>
              <w:rPr>
                <w:rFonts w:ascii="Times New Roman"/>
                <w:b/>
                <w:noProof/>
                <w:sz w:val="46"/>
              </w:rPr>
              <w:t>i Social European</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1e alineatul (1)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b/>
                <w:noProof/>
                <w:sz w:val="17"/>
              </w:rPr>
              <w:t>M</w:t>
            </w:r>
            <w:r>
              <w:rPr>
                <w:rFonts w:ascii="Times New Roman"/>
                <w:b/>
                <w:noProof/>
                <w:sz w:val="17"/>
              </w:rPr>
              <w:t>ă</w:t>
            </w:r>
            <w:r>
              <w:rPr>
                <w:rFonts w:ascii="Times New Roman"/>
                <w:b/>
                <w:noProof/>
                <w:sz w:val="17"/>
              </w:rPr>
              <w:t>suri cu caracter social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207/96 A privind asistența familială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11.4.1996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121/06 A privind acordarea de asistență psihologică membrilor personalului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13.3.2006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1e alineatul (1)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113" w:after="0" w:line="240" w:lineRule="auto"/>
              <w:jc w:val="center"/>
              <w:rPr>
                <w:rFonts w:ascii="Times New Roman"/>
                <w:b/>
                <w:noProof/>
                <w:color w:val="000000" w:themeColor="text1"/>
                <w:sz w:val="17"/>
                <w:szCs w:val="17"/>
              </w:rPr>
            </w:pPr>
            <w:r>
              <w:rPr>
                <w:rFonts w:ascii="Times New Roman"/>
                <w:b/>
                <w:noProof/>
                <w:color w:val="000000" w:themeColor="text1"/>
                <w:sz w:val="17"/>
              </w:rPr>
              <w:t>S</w:t>
            </w:r>
            <w:r>
              <w:rPr>
                <w:rFonts w:ascii="Times New Roman"/>
                <w:b/>
                <w:noProof/>
                <w:color w:val="000000" w:themeColor="text1"/>
                <w:sz w:val="17"/>
              </w:rPr>
              <w:t>ă</w:t>
            </w:r>
            <w:r>
              <w:rPr>
                <w:rFonts w:ascii="Times New Roman"/>
                <w:b/>
                <w:noProof/>
                <w:color w:val="000000" w:themeColor="text1"/>
                <w:sz w:val="17"/>
              </w:rPr>
              <w:t>n</w:t>
            </w:r>
            <w:r>
              <w:rPr>
                <w:rFonts w:ascii="Times New Roman"/>
                <w:b/>
                <w:noProof/>
                <w:color w:val="000000" w:themeColor="text1"/>
                <w:sz w:val="17"/>
              </w:rPr>
              <w:t>ă</w:t>
            </w:r>
            <w:r>
              <w:rPr>
                <w:rFonts w:ascii="Times New Roman"/>
                <w:b/>
                <w:noProof/>
                <w:color w:val="000000" w:themeColor="text1"/>
                <w:sz w:val="17"/>
              </w:rPr>
              <w:t xml:space="preserve">tate </w:t>
            </w:r>
            <w:r>
              <w:rPr>
                <w:rFonts w:ascii="Times New Roman"/>
                <w:b/>
                <w:noProof/>
                <w:color w:val="000000" w:themeColor="text1"/>
                <w:sz w:val="17"/>
              </w:rPr>
              <w:t>ș</w:t>
            </w:r>
            <w:r>
              <w:rPr>
                <w:rFonts w:ascii="Times New Roman"/>
                <w:b/>
                <w:noProof/>
                <w:color w:val="000000" w:themeColor="text1"/>
                <w:sz w:val="17"/>
              </w:rPr>
              <w:t>i siguran</w:t>
            </w:r>
            <w:r>
              <w:rPr>
                <w:rFonts w:ascii="Times New Roman"/>
                <w:b/>
                <w:noProof/>
                <w:color w:val="000000" w:themeColor="text1"/>
                <w:sz w:val="17"/>
              </w:rPr>
              <w:t>ță</w:t>
            </w:r>
          </w:p>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015/21 A privind </w:t>
            </w:r>
            <w:bookmarkStart w:id="25" w:name="_Hlk177637010"/>
            <w:r>
              <w:rPr>
                <w:rFonts w:ascii="Times New Roman" w:hAnsi="Times New Roman"/>
                <w:noProof/>
                <w:color w:val="000000" w:themeColor="text1"/>
                <w:sz w:val="12"/>
              </w:rPr>
              <w:t>plata unei sume forfetare pentru acoperirea costurilor extraordinare suportate de personal în perioada obligatorie de muncă de la distanță</w:t>
            </w:r>
            <w:bookmarkEnd w:id="25"/>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color w:val="000000" w:themeColor="text1"/>
                <w:sz w:val="12"/>
              </w:rPr>
              <w:t>15.1.2021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118/22 A privind alocarea și utilizarea unui ecran suplimentar pentru munca de la distanță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16.5.2022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b/>
                <w:noProof/>
                <w:sz w:val="17"/>
              </w:rPr>
              <w:t>Competen</w:t>
            </w:r>
            <w:r>
              <w:rPr>
                <w:rFonts w:ascii="Times New Roman"/>
                <w:b/>
                <w:noProof/>
                <w:sz w:val="17"/>
              </w:rPr>
              <w:t>ț</w:t>
            </w:r>
            <w:r>
              <w:rPr>
                <w:rFonts w:ascii="Times New Roman"/>
                <w:b/>
                <w:noProof/>
                <w:sz w:val="17"/>
              </w:rPr>
              <w:t>ele autorit</w:t>
            </w:r>
            <w:r>
              <w:rPr>
                <w:rFonts w:ascii="Times New Roman"/>
                <w:b/>
                <w:noProof/>
                <w:sz w:val="17"/>
              </w:rPr>
              <w:t>ăț</w:t>
            </w:r>
            <w:r>
              <w:rPr>
                <w:rFonts w:ascii="Times New Roman"/>
                <w:b/>
                <w:noProof/>
                <w:sz w:val="17"/>
              </w:rPr>
              <w:t xml:space="preserve">ii </w:t>
            </w:r>
            <w:r>
              <w:rPr>
                <w:rFonts w:ascii="Times New Roman"/>
                <w:b/>
                <w:noProof/>
                <w:sz w:val="17"/>
              </w:rPr>
              <w:t>î</w:t>
            </w:r>
            <w:r>
              <w:rPr>
                <w:rFonts w:ascii="Times New Roman"/>
                <w:b/>
                <w:noProof/>
                <w:sz w:val="17"/>
              </w:rPr>
              <w:t>mputernicite s</w:t>
            </w:r>
            <w:r>
              <w:rPr>
                <w:rFonts w:ascii="Times New Roman"/>
                <w:b/>
                <w:noProof/>
                <w:sz w:val="17"/>
              </w:rPr>
              <w:t>ă</w:t>
            </w:r>
            <w:r>
              <w:rPr>
                <w:rFonts w:ascii="Times New Roman"/>
                <w:b/>
                <w:noProof/>
                <w:sz w:val="17"/>
              </w:rPr>
              <w:t xml:space="preserve"> fac</w:t>
            </w:r>
            <w:r>
              <w:rPr>
                <w:rFonts w:ascii="Times New Roman"/>
                <w:b/>
                <w:noProof/>
                <w:sz w:val="17"/>
              </w:rPr>
              <w:t>ă</w:t>
            </w:r>
            <w:r>
              <w:rPr>
                <w:rFonts w:ascii="Times New Roman"/>
                <w:b/>
                <w:noProof/>
                <w:sz w:val="17"/>
              </w:rPr>
              <w:t xml:space="preserve"> numiri (AIPN)</w:t>
            </w: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081/19 A privind exercitarea competențelor conferite prin Statutul funcționarilor autorității împuternicite să facă numiri și prin Regimul aplicabil celorlalți agenți</w:t>
            </w:r>
            <w:r>
              <w:rPr>
                <w:noProof/>
              </w:rPr>
              <w:t xml:space="preserve"> </w:t>
            </w:r>
            <w:r>
              <w:rPr>
                <w:noProof/>
              </w:rPr>
              <w:br/>
            </w:r>
            <w:r>
              <w:rPr>
                <w:rFonts w:ascii="Times New Roman" w:hAnsi="Times New Roman"/>
                <w:noProof/>
                <w:color w:val="000000" w:themeColor="text1"/>
                <w:sz w:val="12"/>
              </w:rPr>
              <w:t xml:space="preserve"> autorității abilitate să încheie contracte de muncă – secretarul general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11.4.2019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28.1.2020 </w:t>
            </w:r>
            <w:r>
              <w:rPr>
                <w:noProof/>
              </w:rPr>
              <w:t xml:space="preserve"> </w:t>
            </w:r>
            <w:r>
              <w:rPr>
                <w:noProof/>
              </w:rPr>
              <w:br/>
            </w:r>
            <w:r>
              <w:rPr>
                <w:rFonts w:ascii="Times New Roman" w:hAnsi="Times New Roman"/>
                <w:noProof/>
                <w:color w:val="000000" w:themeColor="text1"/>
                <w:sz w:val="12"/>
              </w:rPr>
              <w:t>abrogată prin 018/20 A</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189/19 A privind exercitarea competențelor conferite prin Statutul funcționarilor autorității împuternicite să facă numiri și prin Regimul aplicabil celorlalți agenți</w:t>
            </w:r>
            <w:r>
              <w:rPr>
                <w:noProof/>
              </w:rPr>
              <w:t xml:space="preserve"> </w:t>
            </w:r>
            <w:r>
              <w:rPr>
                <w:noProof/>
              </w:rPr>
              <w:br/>
            </w:r>
            <w:r>
              <w:rPr>
                <w:rFonts w:ascii="Times New Roman" w:hAnsi="Times New Roman"/>
                <w:noProof/>
                <w:color w:val="000000" w:themeColor="text1"/>
                <w:sz w:val="12"/>
              </w:rPr>
              <w:t xml:space="preserve"> autorității abilitate să încheie contracte de muncă – președintele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18.7.2019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3.12.2020 </w:t>
            </w:r>
            <w:r>
              <w:rPr>
                <w:noProof/>
              </w:rPr>
              <w:t xml:space="preserve"> </w:t>
            </w:r>
            <w:r>
              <w:rPr>
                <w:noProof/>
              </w:rPr>
              <w:br/>
            </w:r>
            <w:r>
              <w:rPr>
                <w:rFonts w:ascii="Times New Roman" w:hAnsi="Times New Roman"/>
                <w:noProof/>
                <w:color w:val="000000" w:themeColor="text1"/>
                <w:sz w:val="12"/>
              </w:rPr>
              <w:t xml:space="preserve">abrogată prin 235/20 A </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294/19 A privind exercitarea competențelor conferite prin Statutul funcționarilor autorității împuternicite să facă numiri și prin Regimul aplicabil celorlalți agenți </w:t>
            </w:r>
            <w:r>
              <w:rPr>
                <w:noProof/>
              </w:rPr>
              <w:t xml:space="preserve"> </w:t>
            </w:r>
            <w:r>
              <w:rPr>
                <w:noProof/>
              </w:rPr>
              <w:br/>
            </w:r>
            <w:r>
              <w:rPr>
                <w:rFonts w:ascii="Times New Roman" w:hAnsi="Times New Roman"/>
                <w:noProof/>
                <w:color w:val="000000" w:themeColor="text1"/>
                <w:sz w:val="12"/>
              </w:rPr>
              <w:t>autorității abilitate să încheie contracte de muncă – Biroul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5.12.2019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5.2.2020 </w:t>
            </w:r>
            <w:r>
              <w:rPr>
                <w:noProof/>
              </w:rPr>
              <w:t xml:space="preserve"> </w:t>
            </w:r>
            <w:r>
              <w:rPr>
                <w:noProof/>
              </w:rPr>
              <w:br/>
            </w:r>
            <w:r>
              <w:rPr>
                <w:rFonts w:ascii="Times New Roman" w:hAnsi="Times New Roman"/>
                <w:noProof/>
                <w:color w:val="000000" w:themeColor="text1"/>
                <w:sz w:val="12"/>
              </w:rPr>
              <w:t>abrogată prin 027/20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018/20 A privind exercitarea competențelor conferite prin Statutul funcționarilor autorității împuternicite să facă numiri și prin Regimul aplicabil celorlalți agenți </w:t>
            </w:r>
            <w:r>
              <w:rPr>
                <w:noProof/>
              </w:rPr>
              <w:t xml:space="preserve"> </w:t>
            </w:r>
            <w:r>
              <w:rPr>
                <w:noProof/>
              </w:rPr>
              <w:br/>
            </w:r>
            <w:r>
              <w:rPr>
                <w:rFonts w:ascii="Times New Roman" w:hAnsi="Times New Roman"/>
                <w:noProof/>
                <w:color w:val="000000" w:themeColor="text1"/>
                <w:sz w:val="12"/>
              </w:rPr>
              <w:t>autorității abilitate să încheie contracte de muncă – secretarul general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28.1.2020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29.7.2022</w:t>
            </w:r>
            <w:r>
              <w:rPr>
                <w:noProof/>
              </w:rPr>
              <w:t xml:space="preserve"> </w:t>
            </w:r>
            <w:r>
              <w:rPr>
                <w:noProof/>
              </w:rPr>
              <w:br/>
            </w:r>
            <w:r>
              <w:rPr>
                <w:rFonts w:ascii="Times New Roman" w:hAnsi="Times New Roman"/>
                <w:noProof/>
                <w:color w:val="000000" w:themeColor="text1"/>
                <w:sz w:val="12"/>
              </w:rPr>
              <w:t>abrogată prin 176/22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027/20 A privind exercitarea competențelor conferite prin Statutul funcționarilor autorității împuternicite să facă numiri și prin Regimul aplicabil celorlalți agenți </w:t>
            </w:r>
            <w:r>
              <w:rPr>
                <w:noProof/>
              </w:rPr>
              <w:t xml:space="preserve"> </w:t>
            </w:r>
            <w:r>
              <w:rPr>
                <w:noProof/>
              </w:rPr>
              <w:br/>
            </w:r>
            <w:r>
              <w:rPr>
                <w:rFonts w:ascii="Times New Roman" w:hAnsi="Times New Roman"/>
                <w:noProof/>
                <w:color w:val="000000" w:themeColor="text1"/>
                <w:sz w:val="12"/>
              </w:rPr>
              <w:t>autorității abilitate să încheie contracte de muncă – Biroul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5.2.2020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3.12.2020</w:t>
            </w:r>
            <w:r>
              <w:rPr>
                <w:noProof/>
              </w:rPr>
              <w:t xml:space="preserve"> </w:t>
            </w:r>
            <w:r>
              <w:rPr>
                <w:noProof/>
              </w:rPr>
              <w:br/>
            </w:r>
            <w:r>
              <w:rPr>
                <w:rFonts w:ascii="Times New Roman" w:hAnsi="Times New Roman"/>
                <w:noProof/>
                <w:color w:val="000000" w:themeColor="text1"/>
                <w:sz w:val="12"/>
              </w:rPr>
              <w:t>abrogată prin 234/20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234/20 A privind exercitarea competențelor conferite prin Statutul funcționarilor autorității împuternicite să facă numiri și prin Regimul aplicabil celorlalți agenți </w:t>
            </w:r>
            <w:r>
              <w:rPr>
                <w:noProof/>
              </w:rPr>
              <w:t xml:space="preserve"> </w:t>
            </w:r>
            <w:r>
              <w:rPr>
                <w:noProof/>
              </w:rPr>
              <w:br/>
            </w:r>
            <w:r>
              <w:rPr>
                <w:rFonts w:ascii="Times New Roman" w:hAnsi="Times New Roman"/>
                <w:noProof/>
                <w:color w:val="000000" w:themeColor="text1"/>
                <w:sz w:val="12"/>
              </w:rPr>
              <w:t>autorității abilitate să încheie contracte de muncă – Biroul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3.12.2020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14.7.2022</w:t>
            </w:r>
            <w:r>
              <w:rPr>
                <w:noProof/>
              </w:rPr>
              <w:t xml:space="preserve"> </w:t>
            </w:r>
            <w:r>
              <w:rPr>
                <w:noProof/>
              </w:rPr>
              <w:br/>
            </w:r>
            <w:r>
              <w:rPr>
                <w:rFonts w:ascii="Times New Roman" w:hAnsi="Times New Roman"/>
                <w:noProof/>
                <w:color w:val="000000" w:themeColor="text1"/>
                <w:sz w:val="12"/>
              </w:rPr>
              <w:t>abrogată</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235/20 A privind exercitarea competențelor conferite prin Statutul funcționarilor autorității împuternicite să facă numiri și prin Regimul aplicabil celorlalți agenți </w:t>
            </w:r>
            <w:r>
              <w:rPr>
                <w:noProof/>
              </w:rPr>
              <w:t xml:space="preserve"> </w:t>
            </w:r>
            <w:r>
              <w:rPr>
                <w:noProof/>
              </w:rPr>
              <w:br/>
            </w:r>
            <w:r>
              <w:rPr>
                <w:rFonts w:ascii="Times New Roman" w:hAnsi="Times New Roman"/>
                <w:noProof/>
                <w:color w:val="000000" w:themeColor="text1"/>
                <w:sz w:val="12"/>
              </w:rPr>
              <w:t>autorității abilitate să încheie contracte de muncă – președintele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3.12.2020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14.7.2022</w:t>
            </w:r>
            <w:r>
              <w:rPr>
                <w:noProof/>
              </w:rPr>
              <w:t xml:space="preserve"> </w:t>
            </w:r>
            <w:r>
              <w:rPr>
                <w:noProof/>
              </w:rPr>
              <w:br/>
            </w:r>
            <w:r>
              <w:rPr>
                <w:rFonts w:ascii="Times New Roman" w:hAnsi="Times New Roman"/>
                <w:noProof/>
                <w:color w:val="000000" w:themeColor="text1"/>
                <w:sz w:val="12"/>
              </w:rPr>
              <w:t>abrogată</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024/21 A privind subdelegarea competențelor – secretarul general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26.1.2021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28.7.2022 </w:t>
            </w:r>
            <w:r>
              <w:rPr>
                <w:noProof/>
              </w:rPr>
              <w:t xml:space="preserve"> </w:t>
            </w:r>
            <w:r>
              <w:rPr>
                <w:noProof/>
              </w:rPr>
              <w:br/>
            </w:r>
            <w:r>
              <w:rPr>
                <w:rFonts w:ascii="Times New Roman" w:hAnsi="Times New Roman"/>
                <w:noProof/>
                <w:color w:val="000000" w:themeColor="text1"/>
                <w:sz w:val="12"/>
              </w:rPr>
              <w:t>abrogată prin 173/22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159/22 A privind exercitarea competențelor conferite prin Statutul funcționarilor autorității împuternicite să facă numiri și prin Regimul aplicabil celorlalți agenți</w:t>
            </w:r>
            <w:r>
              <w:rPr>
                <w:noProof/>
              </w:rPr>
              <w:t xml:space="preserve"> </w:t>
            </w:r>
            <w:r>
              <w:rPr>
                <w:noProof/>
              </w:rPr>
              <w:br/>
            </w:r>
            <w:r>
              <w:rPr>
                <w:rFonts w:ascii="Times New Roman" w:hAnsi="Times New Roman"/>
                <w:noProof/>
                <w:color w:val="000000" w:themeColor="text1"/>
                <w:sz w:val="12"/>
              </w:rPr>
              <w:t xml:space="preserve"> autorității abilitate să încheie contracte de muncă – Biroul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28.7.2023 </w:t>
            </w:r>
            <w:r>
              <w:rPr>
                <w:noProof/>
              </w:rPr>
              <w:t xml:space="preserve"> </w:t>
            </w:r>
            <w:r>
              <w:rPr>
                <w:noProof/>
              </w:rPr>
              <w:br/>
            </w:r>
            <w:r>
              <w:rPr>
                <w:rFonts w:ascii="Times New Roman" w:hAnsi="Times New Roman"/>
                <w:noProof/>
                <w:color w:val="000000" w:themeColor="text1"/>
                <w:sz w:val="12"/>
              </w:rPr>
              <w:t>abrogată prin 171/23 A</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160/22 A privind exercitarea competențelor conferite prin Statutul funcționarilor autorității împuternicite să facă numiri și prin Regimul aplicabil celorlalți agenți</w:t>
            </w:r>
            <w:r>
              <w:rPr>
                <w:noProof/>
              </w:rPr>
              <w:t xml:space="preserve"> </w:t>
            </w:r>
            <w:r>
              <w:rPr>
                <w:noProof/>
              </w:rPr>
              <w:br/>
            </w:r>
            <w:r>
              <w:rPr>
                <w:rFonts w:ascii="Times New Roman" w:hAnsi="Times New Roman"/>
                <w:noProof/>
                <w:color w:val="000000" w:themeColor="text1"/>
                <w:sz w:val="12"/>
              </w:rPr>
              <w:t xml:space="preserve"> autorității abilitate să încheie contracte de muncă – președintele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25.8.2023  </w:t>
            </w:r>
            <w:r>
              <w:rPr>
                <w:noProof/>
              </w:rPr>
              <w:t xml:space="preserve"> </w:t>
            </w:r>
            <w:r>
              <w:rPr>
                <w:noProof/>
              </w:rPr>
              <w:br/>
            </w:r>
            <w:r>
              <w:rPr>
                <w:rFonts w:ascii="Times New Roman" w:hAnsi="Times New Roman"/>
                <w:noProof/>
                <w:color w:val="000000" w:themeColor="text1"/>
                <w:sz w:val="12"/>
              </w:rPr>
              <w:t>abrogată prin 180/23 A</w:t>
            </w:r>
          </w:p>
        </w:tc>
        <w:tc>
          <w:tcPr>
            <w:tcW w:w="936" w:type="dxa"/>
            <w:vMerge/>
            <w:tcBorders>
              <w:left w:val="single" w:sz="4" w:space="0" w:color="auto"/>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173/22 A privind subdelegarea competențelor – </w:t>
            </w:r>
            <w:r>
              <w:rPr>
                <w:noProof/>
              </w:rPr>
              <w:t xml:space="preserve"> </w:t>
            </w:r>
            <w:r>
              <w:rPr>
                <w:noProof/>
              </w:rPr>
              <w:br/>
            </w:r>
            <w:r>
              <w:rPr>
                <w:rFonts w:ascii="Times New Roman" w:hAnsi="Times New Roman"/>
                <w:noProof/>
                <w:color w:val="000000" w:themeColor="text1"/>
                <w:sz w:val="12"/>
              </w:rPr>
              <w:t xml:space="preserve">secretarul general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28.7.2022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176/22 A privind exercitarea competențelor conferite prin Statutul funcționarilor autorității împuternicite să facă numiri și prin Regimul aplicabil celorlalți agenți </w:t>
            </w:r>
            <w:r>
              <w:rPr>
                <w:noProof/>
              </w:rPr>
              <w:t xml:space="preserve"> </w:t>
            </w:r>
            <w:r>
              <w:rPr>
                <w:noProof/>
              </w:rPr>
              <w:br/>
            </w:r>
            <w:r>
              <w:rPr>
                <w:rFonts w:ascii="Times New Roman" w:hAnsi="Times New Roman"/>
                <w:noProof/>
                <w:color w:val="000000" w:themeColor="text1"/>
                <w:sz w:val="12"/>
              </w:rPr>
              <w:t>autorității abilitate să încheie contracte de muncă – secretarul general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29.7.2022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171/23 A privind exercitarea competențelor conferite prin Statutul funcționarilor autorității împuternicite să facă numiri și prin Regimul aplicabil celorlalți agenți </w:t>
            </w:r>
            <w:r>
              <w:rPr>
                <w:noProof/>
              </w:rPr>
              <w:t xml:space="preserve"> </w:t>
            </w:r>
            <w:r>
              <w:rPr>
                <w:noProof/>
              </w:rPr>
              <w:br/>
            </w:r>
            <w:r>
              <w:rPr>
                <w:rFonts w:ascii="Times New Roman" w:hAnsi="Times New Roman"/>
                <w:noProof/>
                <w:color w:val="000000" w:themeColor="text1"/>
                <w:sz w:val="12"/>
              </w:rPr>
              <w:t>autorității abilitate să încheie contracte de muncă – Biroul</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28.7.2023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 xml:space="preserve">Decizia 180/23 A privind exercitarea competențelor conferite prin Statutul funcționarilor autorității împuternicite să facă numiri și prin Regimul aplicabil celorlalți agenți </w:t>
            </w:r>
            <w:r>
              <w:rPr>
                <w:noProof/>
              </w:rPr>
              <w:t xml:space="preserve"> </w:t>
            </w:r>
            <w:r>
              <w:rPr>
                <w:noProof/>
              </w:rPr>
              <w:br/>
            </w:r>
            <w:r>
              <w:rPr>
                <w:rFonts w:ascii="Times New Roman" w:hAnsi="Times New Roman"/>
                <w:noProof/>
                <w:color w:val="000000" w:themeColor="text1"/>
                <w:sz w:val="12"/>
              </w:rPr>
              <w:t>autorității abilitate să încheie contracte de muncă – președintele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25.8.2023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before="11" w:after="0" w:line="240" w:lineRule="auto"/>
              <w:jc w:val="center"/>
              <w:rPr>
                <w:rFonts w:ascii="Times New Roman" w:hAnsi="Times New Roman" w:cs="Times New Roman"/>
                <w:b/>
                <w:noProof/>
                <w:w w:val="105"/>
                <w:sz w:val="12"/>
                <w:szCs w:val="12"/>
              </w:rPr>
            </w:pPr>
            <w:r>
              <w:rPr>
                <w:rFonts w:ascii="Times New Roman" w:hAnsi="Times New Roman"/>
                <w:b/>
                <w:noProof/>
                <w:sz w:val="12"/>
              </w:rPr>
              <w:t xml:space="preserve">5 + anexa I </w:t>
            </w: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(articolele 30 și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b/>
                <w:noProof/>
                <w:sz w:val="17"/>
              </w:rPr>
              <w:t>Tipul de posturi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033/17 A privind tipurile de posturi și titlurile posturilor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2.3.2017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before="11" w:after="0" w:line="240" w:lineRule="auto"/>
              <w:jc w:val="center"/>
              <w:rPr>
                <w:rFonts w:ascii="Times New Roman" w:eastAsia="Times New Roman" w:hAnsi="Times New Roman" w:cs="Times New Roman"/>
                <w:noProof/>
                <w:sz w:val="12"/>
                <w:szCs w:val="12"/>
                <w:lang w:val="en-US"/>
              </w:rPr>
            </w:pPr>
          </w:p>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7</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b/>
                <w:noProof/>
                <w:sz w:val="17"/>
              </w:rPr>
              <w:t>Transferul</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Times New Roman" w:hAnsi="Times New Roman" w:cs="Times New Roman"/>
                <w:noProof/>
                <w:sz w:val="12"/>
                <w:szCs w:val="12"/>
                <w:lang w:val="fr-BE"/>
              </w:rPr>
            </w:pPr>
          </w:p>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130/15 A de instituire a unui program de mobilitate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Times New Roman" w:hAnsi="Times New Roman" w:cs="Times New Roman"/>
                <w:noProof/>
                <w:sz w:val="12"/>
                <w:szCs w:val="12"/>
                <w:lang w:val="fr-BE"/>
              </w:rPr>
            </w:pPr>
          </w:p>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11.5.2015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noProof/>
                <w:sz w:val="12"/>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b/>
                <w:noProof/>
                <w:sz w:val="17"/>
              </w:rPr>
              <w:t>Comitetele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240/19 A de instituire a Comitetului pentru rapoartele de evaluare </w:t>
            </w:r>
            <w:r>
              <w:rPr>
                <w:noProof/>
              </w:rPr>
              <w:t xml:space="preserve"> </w:t>
            </w:r>
            <w:r>
              <w:rPr>
                <w:noProof/>
              </w:rPr>
              <w:br/>
            </w:r>
            <w:r>
              <w:rPr>
                <w:rFonts w:ascii="Times New Roman" w:hAnsi="Times New Roman"/>
                <w:noProof/>
                <w:sz w:val="12"/>
              </w:rPr>
              <w:t>(pentru rapoartele întocmite la sfârșitul perioadei de probă)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27.9.2019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Titlul II – Drepturile și obligațiile funcționarului</w:t>
            </w:r>
          </w:p>
        </w:tc>
      </w:tr>
      <w:tr>
        <w:trPr>
          <w:trHeight w:val="567"/>
        </w:trPr>
        <w:tc>
          <w:tcPr>
            <w:tcW w:w="1156" w:type="dxa"/>
            <w:tcBorders>
              <w:top w:val="single" w:sz="5" w:space="0" w:color="000000"/>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11 - 21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b/>
                <w:noProof/>
                <w:sz w:val="17"/>
              </w:rPr>
              <w:t>Etic</w:t>
            </w:r>
            <w:r>
              <w:rPr>
                <w:rFonts w:ascii="Times New Roman"/>
                <w:b/>
                <w:noProof/>
                <w:sz w:val="17"/>
              </w:rPr>
              <w:t>ă</w:t>
            </w:r>
            <w:r>
              <w:rPr>
                <w:rFonts w:ascii="Times New Roman"/>
                <w:b/>
                <w:noProof/>
                <w:sz w:val="17"/>
              </w:rPr>
              <w:t xml:space="preserve"> </w:t>
            </w:r>
            <w:r>
              <w:rPr>
                <w:rFonts w:ascii="Times New Roman"/>
                <w:b/>
                <w:noProof/>
                <w:sz w:val="17"/>
              </w:rPr>
              <w:t>ș</w:t>
            </w:r>
            <w:r>
              <w:rPr>
                <w:rFonts w:ascii="Times New Roman"/>
                <w:b/>
                <w:noProof/>
                <w:sz w:val="17"/>
              </w:rPr>
              <w:t>i integritate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noProof/>
                <w:sz w:val="12"/>
              </w:rPr>
              <w:t>Decizia 510/09 A din 6.8.2009 de adoptare a Codului de bun</w:t>
            </w:r>
            <w:r>
              <w:rPr>
                <w:rFonts w:ascii="Times New Roman"/>
                <w:noProof/>
                <w:sz w:val="12"/>
              </w:rPr>
              <w:t>ă</w:t>
            </w:r>
            <w:r>
              <w:rPr>
                <w:rFonts w:ascii="Times New Roman"/>
                <w:noProof/>
                <w:sz w:val="12"/>
              </w:rPr>
              <w:t xml:space="preserve"> conduit</w:t>
            </w:r>
            <w:r>
              <w:rPr>
                <w:rFonts w:ascii="Times New Roman"/>
                <w:noProof/>
                <w:sz w:val="12"/>
              </w:rPr>
              <w:t>ă</w:t>
            </w:r>
            <w:r>
              <w:rPr>
                <w:rFonts w:ascii="Times New Roman"/>
                <w:noProof/>
                <w:sz w:val="12"/>
              </w:rPr>
              <w:t xml:space="preserve"> administrativ</w:t>
            </w:r>
            <w:r>
              <w:rPr>
                <w:rFonts w:ascii="Times New Roman"/>
                <w:noProof/>
                <w:sz w:val="12"/>
              </w:rPr>
              <w:t>ă</w:t>
            </w:r>
            <w:r>
              <w:rPr>
                <w:rFonts w:ascii="Times New Roman"/>
                <w:noProof/>
                <w:sz w:val="12"/>
              </w:rPr>
              <w:t xml:space="preserve"> al CESE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noProof/>
                <w:spacing w:val="-2"/>
                <w:w w:val="105"/>
                <w:sz w:val="12"/>
                <w:szCs w:val="12"/>
                <w:lang w:val="fr-BE"/>
              </w:rPr>
            </w:pPr>
          </w:p>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6.8.2009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tcBorders>
              <w:top w:val="single" w:sz="5" w:space="0" w:color="000000"/>
              <w:left w:val="single" w:sz="4" w:space="0" w:color="000000"/>
              <w:right w:val="single" w:sz="4" w:space="0" w:color="auto"/>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lang w:val="en-US"/>
              </w:rPr>
            </w:pPr>
          </w:p>
          <w:p>
            <w:pPr>
              <w:widowControl w:val="0"/>
              <w:spacing w:after="0" w:line="240" w:lineRule="auto"/>
              <w:ind w:right="2"/>
              <w:jc w:val="center"/>
              <w:rPr>
                <w:rFonts w:ascii="Times New Roman" w:eastAsia="Calibri" w:hAnsi="Times New Roman" w:cs="Times New Roman"/>
                <w:noProof/>
                <w:sz w:val="12"/>
                <w:szCs w:val="12"/>
              </w:rPr>
            </w:pPr>
            <w:r>
              <w:rPr>
                <w:rFonts w:ascii="Times New Roman"/>
                <w:b/>
                <w:noProof/>
                <w:sz w:val="12"/>
              </w:rPr>
              <w:t>12a</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7"/>
                <w:szCs w:val="17"/>
                <w:lang w:val="en-US"/>
              </w:rPr>
            </w:pPr>
          </w:p>
          <w:p>
            <w:pPr>
              <w:widowControl w:val="0"/>
              <w:spacing w:after="0" w:line="240" w:lineRule="auto"/>
              <w:jc w:val="center"/>
              <w:rPr>
                <w:rFonts w:ascii="Times New Roman" w:eastAsia="Calibri" w:hAnsi="Times New Roman" w:cs="Times New Roman"/>
                <w:noProof/>
                <w:sz w:val="16"/>
                <w:szCs w:val="16"/>
              </w:rPr>
            </w:pPr>
            <w:r>
              <w:rPr>
                <w:rFonts w:ascii="Times New Roman"/>
                <w:b/>
                <w:noProof/>
                <w:sz w:val="17"/>
              </w:rPr>
              <w:t>H</w:t>
            </w:r>
            <w:r>
              <w:rPr>
                <w:rFonts w:ascii="Times New Roman"/>
                <w:b/>
                <w:noProof/>
                <w:sz w:val="17"/>
              </w:rPr>
              <w:t>ă</w:t>
            </w:r>
            <w:r>
              <w:rPr>
                <w:rFonts w:ascii="Times New Roman"/>
                <w:b/>
                <w:noProof/>
                <w:sz w:val="17"/>
              </w:rPr>
              <w:t>r</w:t>
            </w:r>
            <w:r>
              <w:rPr>
                <w:rFonts w:ascii="Times New Roman"/>
                <w:b/>
                <w:noProof/>
                <w:sz w:val="17"/>
              </w:rPr>
              <w:t>ț</w:t>
            </w:r>
            <w:r>
              <w:rPr>
                <w:rFonts w:ascii="Times New Roman"/>
                <w:b/>
                <w:noProof/>
                <w:sz w:val="17"/>
              </w:rPr>
              <w:t>uirea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 xml:space="preserve">Decizia 200/14 A privind procedurile pentru tratarea cazurilor de hărțuire morală și sexuală la locul de muncă </w:t>
            </w:r>
            <w:r>
              <w:rPr>
                <w:noProof/>
              </w:rPr>
              <w:t xml:space="preserve"> </w:t>
            </w:r>
            <w:r>
              <w:rPr>
                <w:noProof/>
              </w:rPr>
              <w:br/>
            </w:r>
            <w:r>
              <w:rPr>
                <w:rFonts w:ascii="Times New Roman" w:hAnsi="Times New Roman"/>
                <w:noProof/>
                <w:sz w:val="12"/>
              </w:rPr>
              <w:t>(modificată ultima dată prin Decizia 090/22 A din 31.3.2022)</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26.9.2014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val="restart"/>
            <w:tcBorders>
              <w:top w:val="single" w:sz="5" w:space="0" w:color="000000"/>
              <w:left w:val="single" w:sz="4" w:space="0" w:color="000000"/>
              <w:right w:val="single" w:sz="4" w:space="0" w:color="auto"/>
            </w:tcBorders>
            <w:shd w:val="clear" w:color="auto" w:fill="FFFFFF" w:themeFill="background1"/>
            <w:vAlign w:val="center"/>
          </w:tcPr>
          <w:p>
            <w:pPr>
              <w:widowControl w:val="0"/>
              <w:spacing w:before="6" w:after="0" w:line="240" w:lineRule="auto"/>
              <w:jc w:val="center"/>
              <w:rPr>
                <w:rFonts w:ascii="Times New Roman" w:eastAsia="Times New Roman" w:hAnsi="Times New Roman" w:cs="Times New Roman"/>
                <w:noProof/>
                <w:sz w:val="12"/>
                <w:szCs w:val="12"/>
                <w:lang w:val="en-US"/>
              </w:rPr>
            </w:pPr>
          </w:p>
          <w:p>
            <w:pPr>
              <w:widowControl w:val="0"/>
              <w:spacing w:after="0" w:line="240" w:lineRule="auto"/>
              <w:ind w:right="2"/>
              <w:jc w:val="center"/>
              <w:rPr>
                <w:rFonts w:ascii="Times New Roman" w:eastAsia="Calibri" w:hAnsi="Times New Roman" w:cs="Times New Roman"/>
                <w:noProof/>
                <w:sz w:val="12"/>
                <w:szCs w:val="12"/>
              </w:rPr>
            </w:pPr>
            <w:r>
              <w:rPr>
                <w:rFonts w:ascii="Times New Roman"/>
                <w:b/>
                <w:noProof/>
                <w:sz w:val="12"/>
              </w:rPr>
              <w:t>12b - 16 - 17</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7"/>
              </w:rPr>
              <w:t>Activitățile externe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Decizia 038/14 A privind activitățile și mandatele exterioare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8.2.2014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22.6.2022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bottom w:val="single" w:sz="3" w:space="0" w:color="000000"/>
              <w:right w:val="single" w:sz="4" w:space="0" w:color="auto"/>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noProof/>
                <w:sz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Decizia 141/22 A privind activitățile și mandatele exterioare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22.6.2022</w:t>
            </w:r>
          </w:p>
        </w:tc>
        <w:tc>
          <w:tcPr>
            <w:tcW w:w="1687" w:type="dxa"/>
            <w:tcBorders>
              <w:top w:val="single" w:sz="4" w:space="0" w:color="auto"/>
              <w:left w:val="single" w:sz="4" w:space="0" w:color="auto"/>
              <w:bottom w:val="single" w:sz="4" w:space="0" w:color="auto"/>
              <w:right w:val="single" w:sz="4" w:space="0" w:color="auto"/>
            </w:tcBorders>
            <w:shd w:val="clear" w:color="auto" w:fill="DA9694"/>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color w:val="000000" w:themeColor="text1"/>
                <w:sz w:val="12"/>
                <w:szCs w:val="12"/>
                <w:lang w:val="en-US"/>
              </w:rPr>
            </w:pP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color w:val="000000" w:themeColor="text1"/>
                <w:sz w:val="12"/>
              </w:rPr>
              <w:t>22a - 22c</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color w:val="000000" w:themeColor="text1"/>
                <w:sz w:val="17"/>
              </w:rPr>
              <w:t>Avertizarea în interes public</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053/16 A de stabilire a normelor privind avertizarea în interes public</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3.3.2016</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15.12.2021</w:t>
            </w:r>
          </w:p>
        </w:tc>
        <w:tc>
          <w:tcPr>
            <w:tcW w:w="936" w:type="dxa"/>
            <w:vMerge w:val="restart"/>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color w:val="000000" w:themeColor="text1"/>
                <w:sz w:val="12"/>
                <w:szCs w:val="12"/>
                <w:lang w:val="en-US"/>
              </w:rPr>
            </w:pP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297/21 A de stabilire a normelor privind avertizarea în interes public</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15.12.2021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tcBorders>
              <w:top w:val="single" w:sz="4" w:space="0" w:color="auto"/>
              <w:left w:val="single" w:sz="4" w:space="0" w:color="auto"/>
              <w:bottom w:val="single" w:sz="4" w:space="0" w:color="auto"/>
              <w:right w:val="single" w:sz="6" w:space="0" w:color="000000"/>
            </w:tcBorders>
            <w:shd w:val="clear" w:color="auto" w:fill="FFFFFF" w:themeFill="background1"/>
            <w:vAlign w:val="center"/>
          </w:tcPr>
          <w:p>
            <w:pPr>
              <w:widowControl w:val="0"/>
              <w:spacing w:after="0" w:line="240" w:lineRule="auto"/>
              <w:jc w:val="center"/>
              <w:rPr>
                <w:rFonts w:ascii="Times New Roman" w:eastAsia="Times New Roman" w:hAnsi="Times New Roman" w:cs="Times New Roman"/>
                <w:noProof/>
                <w:sz w:val="12"/>
                <w:szCs w:val="12"/>
                <w:lang w:val="en-US"/>
              </w:rPr>
            </w:pPr>
          </w:p>
          <w:p>
            <w:pPr>
              <w:widowControl w:val="0"/>
              <w:spacing w:after="0" w:line="240" w:lineRule="auto"/>
              <w:ind w:right="2"/>
              <w:jc w:val="center"/>
              <w:rPr>
                <w:rFonts w:ascii="Times New Roman" w:eastAsia="Calibri" w:hAnsi="Times New Roman" w:cs="Times New Roman"/>
                <w:b/>
                <w:bCs/>
                <w:noProof/>
                <w:sz w:val="12"/>
              </w:rPr>
            </w:pPr>
            <w:r>
              <w:rPr>
                <w:rFonts w:ascii="Times New Roman"/>
                <w:b/>
                <w:noProof/>
                <w:sz w:val="12"/>
              </w:rPr>
              <w:t>22a - 22c</w:t>
            </w:r>
          </w:p>
        </w:tc>
        <w:tc>
          <w:tcPr>
            <w:tcW w:w="2551" w:type="dxa"/>
            <w:tcBorders>
              <w:top w:val="single" w:sz="4" w:space="0" w:color="auto"/>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Etic</w:t>
            </w:r>
            <w:r>
              <w:rPr>
                <w:rFonts w:ascii="Times New Roman"/>
                <w:b/>
                <w:noProof/>
                <w:sz w:val="17"/>
              </w:rPr>
              <w:t>ă</w:t>
            </w:r>
            <w:r>
              <w:rPr>
                <w:rFonts w:ascii="Times New Roman"/>
                <w:b/>
                <w:noProof/>
                <w:sz w:val="17"/>
              </w:rPr>
              <w:t xml:space="preserve"> </w:t>
            </w:r>
            <w:r>
              <w:rPr>
                <w:rFonts w:ascii="Times New Roman"/>
                <w:b/>
                <w:noProof/>
                <w:sz w:val="17"/>
              </w:rPr>
              <w:t>ș</w:t>
            </w:r>
            <w:r>
              <w:rPr>
                <w:rFonts w:ascii="Times New Roman"/>
                <w:b/>
                <w:noProof/>
                <w:sz w:val="17"/>
              </w:rPr>
              <w:t>i integritate</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Directiva internă DRH 002/18 – Numirea consilierilor privind etica în cadrul CESE (procedura de avertizare în interes public)</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30.5.2018</w:t>
            </w:r>
          </w:p>
        </w:tc>
        <w:tc>
          <w:tcPr>
            <w:tcW w:w="1687" w:type="dxa"/>
            <w:tcBorders>
              <w:top w:val="single" w:sz="4" w:space="0" w:color="auto"/>
              <w:left w:val="single" w:sz="4" w:space="0" w:color="auto"/>
              <w:bottom w:val="single" w:sz="4" w:space="0" w:color="auto"/>
              <w:right w:val="single" w:sz="6" w:space="0" w:color="000000"/>
            </w:tcBorders>
            <w:shd w:val="clear" w:color="auto" w:fill="DA9694"/>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val="restart"/>
            <w:tcBorders>
              <w:top w:val="single" w:sz="4" w:space="0" w:color="auto"/>
              <w:left w:val="single" w:sz="4" w:space="0" w:color="auto"/>
              <w:right w:val="single" w:sz="6" w:space="0" w:color="000000"/>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bCs/>
                <w:noProof/>
                <w:sz w:val="12"/>
              </w:rPr>
            </w:pPr>
            <w:r>
              <w:rPr>
                <w:rFonts w:ascii="Times New Roman"/>
                <w:b/>
                <w:noProof/>
                <w:sz w:val="12"/>
              </w:rPr>
              <w:t>24a</w:t>
            </w:r>
          </w:p>
        </w:tc>
        <w:tc>
          <w:tcPr>
            <w:tcW w:w="2551" w:type="dxa"/>
            <w:vMerge w:val="restart"/>
            <w:tcBorders>
              <w:top w:val="single" w:sz="4" w:space="0" w:color="auto"/>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Formarea profesional</w:t>
            </w:r>
            <w:r>
              <w:rPr>
                <w:rFonts w:ascii="Times New Roman"/>
                <w:b/>
                <w:noProof/>
                <w:sz w:val="17"/>
              </w:rPr>
              <w:t>ă</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189/15 A privind normele referitoare la învățare și dezvoltare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10.7.2015</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auto"/>
              <w:right w:val="single" w:sz="6" w:space="0" w:color="000000"/>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bCs/>
                <w:noProof/>
                <w:sz w:val="12"/>
                <w:lang w:val="en-GB"/>
              </w:rPr>
            </w:pPr>
          </w:p>
        </w:tc>
        <w:tc>
          <w:tcPr>
            <w:tcW w:w="2551"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234/17 A privind dispozițiile de punere în aplicare a normelor referitoare la învățare și dezvoltare în cadrul regimului lingvistic special pentru traducători la Secretariatul General al CESE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13.12.2017</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auto"/>
              <w:bottom w:val="single" w:sz="4" w:space="0" w:color="auto"/>
              <w:right w:val="single" w:sz="6" w:space="0" w:color="000000"/>
            </w:tcBorders>
            <w:shd w:val="clear" w:color="auto" w:fill="FFFFFF" w:themeFill="background1"/>
            <w:vAlign w:val="center"/>
          </w:tcPr>
          <w:p>
            <w:pPr>
              <w:widowControl w:val="0"/>
              <w:spacing w:after="0" w:line="240" w:lineRule="auto"/>
              <w:ind w:right="2"/>
              <w:jc w:val="center"/>
              <w:rPr>
                <w:rFonts w:ascii="Times New Roman" w:eastAsia="Calibri" w:hAnsi="Times New Roman" w:cs="Times New Roman"/>
                <w:b/>
                <w:bCs/>
                <w:noProof/>
                <w:sz w:val="12"/>
                <w:lang w:val="en-GB"/>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211/21 A de identificare a formării obligatorii și recomandate legate de planul de acțiune privind cadrul etic pentru personalul din cadrul Secretariatului General al CESE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13.9.2021</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III – Cariera funcționarului</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b/>
                <w:noProof/>
                <w:sz w:val="12"/>
              </w:rPr>
              <w:t>27 - 34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b/>
                <w:noProof/>
                <w:sz w:val="17"/>
              </w:rPr>
              <w:t>Recrutarea</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noProof/>
                <w:sz w:val="12"/>
              </w:rPr>
              <w:t xml:space="preserve">Decizia 444/14 A </w:t>
            </w:r>
            <w:r>
              <w:rPr>
                <w:rFonts w:ascii="Times New Roman"/>
                <w:noProof/>
                <w:sz w:val="12"/>
              </w:rPr>
              <w:t>–</w:t>
            </w:r>
            <w:r>
              <w:rPr>
                <w:rFonts w:ascii="Times New Roman"/>
                <w:noProof/>
                <w:sz w:val="12"/>
              </w:rPr>
              <w:t xml:space="preserve"> Dispozi</w:t>
            </w:r>
            <w:r>
              <w:rPr>
                <w:rFonts w:ascii="Times New Roman"/>
                <w:noProof/>
                <w:sz w:val="12"/>
              </w:rPr>
              <w:t>ț</w:t>
            </w:r>
            <w:r>
              <w:rPr>
                <w:rFonts w:ascii="Times New Roman"/>
                <w:noProof/>
                <w:sz w:val="12"/>
              </w:rPr>
              <w:t xml:space="preserve">iile generale de punere </w:t>
            </w:r>
            <w:r>
              <w:rPr>
                <w:rFonts w:ascii="Times New Roman"/>
                <w:noProof/>
                <w:sz w:val="12"/>
              </w:rPr>
              <w:t>î</w:t>
            </w:r>
            <w:r>
              <w:rPr>
                <w:rFonts w:ascii="Times New Roman"/>
                <w:noProof/>
                <w:sz w:val="12"/>
              </w:rPr>
              <w:t xml:space="preserve">n aplicare </w:t>
            </w:r>
            <w:r>
              <w:rPr>
                <w:rFonts w:ascii="Times New Roman"/>
                <w:noProof/>
                <w:sz w:val="12"/>
              </w:rPr>
              <w:t>î</w:t>
            </w:r>
            <w:r>
              <w:rPr>
                <w:rFonts w:ascii="Times New Roman"/>
                <w:noProof/>
                <w:sz w:val="12"/>
              </w:rPr>
              <w:t>n ceea ce prive</w:t>
            </w:r>
            <w:r>
              <w:rPr>
                <w:rFonts w:ascii="Times New Roman"/>
                <w:noProof/>
                <w:sz w:val="12"/>
              </w:rPr>
              <w:t>ș</w:t>
            </w:r>
            <w:r>
              <w:rPr>
                <w:rFonts w:ascii="Times New Roman"/>
                <w:noProof/>
                <w:sz w:val="12"/>
              </w:rPr>
              <w:t xml:space="preserve">te </w:t>
            </w:r>
            <w:r>
              <w:rPr>
                <w:rFonts w:ascii="Times New Roman"/>
                <w:noProof/>
                <w:sz w:val="12"/>
              </w:rPr>
              <w:t>î</w:t>
            </w:r>
            <w:r>
              <w:rPr>
                <w:rFonts w:ascii="Times New Roman"/>
                <w:noProof/>
                <w:sz w:val="12"/>
              </w:rPr>
              <w:t xml:space="preserve">ncadrarea </w:t>
            </w:r>
            <w:r>
              <w:rPr>
                <w:rFonts w:ascii="Times New Roman"/>
                <w:noProof/>
                <w:sz w:val="12"/>
              </w:rPr>
              <w:t>î</w:t>
            </w:r>
            <w:r>
              <w:rPr>
                <w:rFonts w:ascii="Times New Roman"/>
                <w:noProof/>
                <w:sz w:val="12"/>
              </w:rPr>
              <w:t>n grad a personalului la momentul recrut</w:t>
            </w:r>
            <w:r>
              <w:rPr>
                <w:rFonts w:ascii="Times New Roman"/>
                <w:noProof/>
                <w:sz w:val="12"/>
              </w:rPr>
              <w:t>ă</w:t>
            </w:r>
            <w:r>
              <w:rPr>
                <w:rFonts w:ascii="Times New Roman"/>
                <w:noProof/>
                <w:sz w:val="12"/>
              </w:rPr>
              <w:t>rii sau angaj</w:t>
            </w:r>
            <w:r>
              <w:rPr>
                <w:rFonts w:ascii="Times New Roman"/>
                <w:noProof/>
                <w:sz w:val="12"/>
              </w:rPr>
              <w:t>ă</w:t>
            </w:r>
            <w:r>
              <w:rPr>
                <w:rFonts w:ascii="Times New Roman"/>
                <w:noProof/>
                <w:sz w:val="12"/>
              </w:rPr>
              <w:t>rii</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4.12.2014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noProof/>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3 – Concediul pentru interese personale</w:t>
            </w:r>
          </w:p>
        </w:tc>
      </w:tr>
      <w:tr>
        <w:trPr>
          <w:trHeight w:hRule="exact" w:val="567"/>
        </w:trPr>
        <w:tc>
          <w:tcPr>
            <w:tcW w:w="1156" w:type="dxa"/>
            <w:tcBorders>
              <w:top w:val="single" w:sz="6" w:space="0" w:color="000000"/>
              <w:left w:val="single" w:sz="6" w:space="0" w:color="000000"/>
              <w:bottom w:val="single" w:sz="4" w:space="0" w:color="auto"/>
              <w:right w:val="single" w:sz="6" w:space="0" w:color="000000"/>
            </w:tcBorders>
            <w:shd w:val="clear" w:color="auto" w:fill="FFFFFF" w:themeFill="background1"/>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b/>
                <w:noProof/>
                <w:sz w:val="12"/>
              </w:rPr>
              <w:t>40</w:t>
            </w:r>
          </w:p>
        </w:tc>
        <w:tc>
          <w:tcPr>
            <w:tcW w:w="2551"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Concediul pentru interese personale</w:t>
            </w:r>
          </w:p>
        </w:tc>
        <w:tc>
          <w:tcPr>
            <w:tcW w:w="3029"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noProof/>
                <w:sz w:val="12"/>
              </w:rPr>
              <w:t xml:space="preserve">Decizia 235/14 A de punere </w:t>
            </w:r>
            <w:r>
              <w:rPr>
                <w:rFonts w:ascii="Times New Roman"/>
                <w:noProof/>
                <w:sz w:val="12"/>
              </w:rPr>
              <w:t>î</w:t>
            </w:r>
            <w:r>
              <w:rPr>
                <w:rFonts w:ascii="Times New Roman"/>
                <w:noProof/>
                <w:sz w:val="12"/>
              </w:rPr>
              <w:t>n aplicare a m</w:t>
            </w:r>
            <w:r>
              <w:rPr>
                <w:rFonts w:ascii="Times New Roman"/>
                <w:noProof/>
                <w:sz w:val="12"/>
              </w:rPr>
              <w:t>ă</w:t>
            </w:r>
            <w:r>
              <w:rPr>
                <w:rFonts w:ascii="Times New Roman"/>
                <w:noProof/>
                <w:sz w:val="12"/>
              </w:rPr>
              <w:t>surilor privind concediul pentru interese personale pentru func</w:t>
            </w:r>
            <w:r>
              <w:rPr>
                <w:rFonts w:ascii="Times New Roman"/>
                <w:noProof/>
                <w:sz w:val="12"/>
              </w:rPr>
              <w:t>ț</w:t>
            </w:r>
            <w:r>
              <w:rPr>
                <w:rFonts w:ascii="Times New Roman"/>
                <w:noProof/>
                <w:sz w:val="12"/>
              </w:rPr>
              <w:t xml:space="preserve">ionari </w:t>
            </w:r>
            <w:r>
              <w:rPr>
                <w:rFonts w:ascii="Times New Roman"/>
                <w:noProof/>
                <w:sz w:val="12"/>
              </w:rPr>
              <w:t>ș</w:t>
            </w:r>
            <w:r>
              <w:rPr>
                <w:rFonts w:ascii="Times New Roman"/>
                <w:noProof/>
                <w:sz w:val="12"/>
              </w:rPr>
              <w:t>i concediul f</w:t>
            </w:r>
            <w:r>
              <w:rPr>
                <w:rFonts w:ascii="Times New Roman"/>
                <w:noProof/>
                <w:sz w:val="12"/>
              </w:rPr>
              <w:t>ă</w:t>
            </w:r>
            <w:r>
              <w:rPr>
                <w:rFonts w:ascii="Times New Roman"/>
                <w:noProof/>
                <w:sz w:val="12"/>
              </w:rPr>
              <w:t>r</w:t>
            </w:r>
            <w:r>
              <w:rPr>
                <w:rFonts w:ascii="Times New Roman"/>
                <w:noProof/>
                <w:sz w:val="12"/>
              </w:rPr>
              <w:t>ă</w:t>
            </w:r>
            <w:r>
              <w:rPr>
                <w:rFonts w:ascii="Times New Roman"/>
                <w:noProof/>
                <w:sz w:val="12"/>
              </w:rPr>
              <w:t xml:space="preserve"> plat</w:t>
            </w:r>
            <w:r>
              <w:rPr>
                <w:rFonts w:ascii="Times New Roman"/>
                <w:noProof/>
                <w:sz w:val="12"/>
              </w:rPr>
              <w:t>ă</w:t>
            </w:r>
            <w:r>
              <w:rPr>
                <w:rFonts w:ascii="Times New Roman"/>
                <w:noProof/>
                <w:sz w:val="12"/>
              </w:rPr>
              <w:t xml:space="preserve"> pentru agen</w:t>
            </w:r>
            <w:r>
              <w:rPr>
                <w:rFonts w:ascii="Times New Roman"/>
                <w:noProof/>
                <w:sz w:val="12"/>
              </w:rPr>
              <w:t>ț</w:t>
            </w:r>
            <w:r>
              <w:rPr>
                <w:rFonts w:ascii="Times New Roman"/>
                <w:noProof/>
                <w:sz w:val="12"/>
              </w:rPr>
              <w:t xml:space="preserve">ii temporari </w:t>
            </w:r>
            <w:r>
              <w:rPr>
                <w:rFonts w:ascii="Times New Roman"/>
                <w:noProof/>
                <w:sz w:val="12"/>
              </w:rPr>
              <w:t>ș</w:t>
            </w:r>
            <w:r>
              <w:rPr>
                <w:rFonts w:ascii="Times New Roman"/>
                <w:noProof/>
                <w:sz w:val="12"/>
              </w:rPr>
              <w:t>i contractuali</w:t>
            </w:r>
          </w:p>
        </w:tc>
        <w:tc>
          <w:tcPr>
            <w:tcW w:w="1322"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noProof/>
                <w:sz w:val="12"/>
              </w:rPr>
              <w:t>30.10.2014</w:t>
            </w:r>
          </w:p>
        </w:tc>
        <w:tc>
          <w:tcPr>
            <w:tcW w:w="1687"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567"/>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b/>
                <w:noProof/>
                <w:sz w:val="12"/>
              </w:rPr>
              <w:t>42a</w:t>
            </w:r>
          </w:p>
        </w:tc>
        <w:tc>
          <w:tcPr>
            <w:tcW w:w="2551" w:type="dxa"/>
            <w:tcBorders>
              <w:left w:val="single" w:sz="4" w:space="0" w:color="000000"/>
              <w:bottom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b/>
                <w:noProof/>
                <w:sz w:val="17"/>
              </w:rPr>
              <w:t>Concediul pentru cre</w:t>
            </w:r>
            <w:r>
              <w:rPr>
                <w:rFonts w:ascii="Times New Roman"/>
                <w:b/>
                <w:noProof/>
                <w:sz w:val="17"/>
              </w:rPr>
              <w:t>ș</w:t>
            </w:r>
            <w:r>
              <w:rPr>
                <w:rFonts w:ascii="Times New Roman"/>
                <w:b/>
                <w:noProof/>
                <w:sz w:val="17"/>
              </w:rPr>
              <w:t>terea copilului</w:t>
            </w:r>
          </w:p>
        </w:tc>
        <w:tc>
          <w:tcPr>
            <w:tcW w:w="3029" w:type="dxa"/>
            <w:tcBorders>
              <w:top w:val="single" w:sz="3" w:space="0" w:color="000000"/>
              <w:left w:val="single" w:sz="4" w:space="0" w:color="000000"/>
              <w:bottom w:val="single" w:sz="4" w:space="0" w:color="000000"/>
              <w:right w:val="single" w:sz="4" w:space="0" w:color="000000"/>
            </w:tcBorders>
            <w:shd w:val="clear" w:color="auto" w:fill="DA96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noProof/>
                <w:sz w:val="12"/>
              </w:rPr>
              <w:t>Decizia 238/17 A privind concediul pentru cre</w:t>
            </w:r>
            <w:r>
              <w:rPr>
                <w:rFonts w:ascii="Times New Roman"/>
                <w:noProof/>
                <w:sz w:val="12"/>
              </w:rPr>
              <w:t>ș</w:t>
            </w:r>
            <w:r>
              <w:rPr>
                <w:rFonts w:ascii="Times New Roman"/>
                <w:noProof/>
                <w:sz w:val="12"/>
              </w:rPr>
              <w:t>terea copilului</w:t>
            </w:r>
          </w:p>
        </w:tc>
        <w:tc>
          <w:tcPr>
            <w:tcW w:w="1322"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noProof/>
                <w:sz w:val="12"/>
              </w:rPr>
              <w:t>1.1.2018</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42b</w:t>
            </w:r>
          </w:p>
        </w:tc>
        <w:tc>
          <w:tcPr>
            <w:tcW w:w="2551"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b/>
                <w:noProof/>
                <w:sz w:val="17"/>
              </w:rPr>
              <w:t>Concediul din motive familiale</w:t>
            </w:r>
          </w:p>
        </w:tc>
        <w:tc>
          <w:tcPr>
            <w:tcW w:w="3029"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noProof/>
                <w:sz w:val="12"/>
              </w:rPr>
              <w:t>Decizia 034/14 A privind concediul din motive familiale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1537"/>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b/>
                <w:noProof/>
                <w:sz w:val="12"/>
              </w:rPr>
              <w:t>43</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b/>
                <w:noProof/>
                <w:sz w:val="17"/>
              </w:rPr>
              <w:t>Raportul anual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Decizia 112/16 A de adoptare a dispozițiilor generale de punere în aplicare privind rapoartele anuale de evaluare</w:t>
            </w:r>
            <w:r>
              <w:rPr>
                <w:noProof/>
              </w:rPr>
              <w:t xml:space="preserve"> </w:t>
            </w:r>
            <w:r>
              <w:rPr>
                <w:noProof/>
              </w:rPr>
              <w:br/>
            </w:r>
            <w:r>
              <w:rPr>
                <w:rFonts w:ascii="Times New Roman" w:hAnsi="Times New Roman"/>
                <w:noProof/>
                <w:sz w:val="12"/>
              </w:rPr>
              <w:t xml:space="preserve"> și</w:t>
            </w:r>
            <w:r>
              <w:rPr>
                <w:noProof/>
              </w:rPr>
              <w:t xml:space="preserve"> </w:t>
            </w:r>
            <w:r>
              <w:rPr>
                <w:noProof/>
              </w:rPr>
              <w:br/>
            </w:r>
            <w:r>
              <w:rPr>
                <w:rFonts w:ascii="Times New Roman" w:hAnsi="Times New Roman"/>
                <w:noProof/>
                <w:color w:val="000000" w:themeColor="text1"/>
                <w:sz w:val="12"/>
              </w:rPr>
              <w:t>Notă privind Decizia nr. 112/16 A articolul 9 alineatele</w:t>
            </w:r>
            <w:r>
              <w:rPr>
                <w:noProof/>
              </w:rPr>
              <w:t xml:space="preserve"> </w:t>
            </w:r>
            <w:r>
              <w:rPr>
                <w:noProof/>
              </w:rPr>
              <w:br/>
            </w:r>
            <w:r>
              <w:rPr>
                <w:rFonts w:ascii="Times New Roman" w:hAnsi="Times New Roman"/>
                <w:noProof/>
                <w:color w:val="000000" w:themeColor="text1"/>
                <w:sz w:val="12"/>
              </w:rPr>
              <w:t>(6), (7) și (8) în urma actualizării procedurii anuale de evaluare a personalului Comitetului și a înlocuirii sistemului de semnare manuală pe suport de hârtie cu un sistem electronic de gestionare a fluxului de lucru cu validare fără utilizarea hârtiei, cu intrare în vigoare la 1.4.2018</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26.5.2016</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val="560"/>
        </w:trPr>
        <w:tc>
          <w:tcPr>
            <w:tcW w:w="1157" w:type="dxa"/>
            <w:vMerge/>
            <w:tcBorders>
              <w:left w:val="single" w:sz="6"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color w:val="000000" w:themeColor="text1"/>
                <w:sz w:val="12"/>
              </w:rPr>
              <w:t xml:space="preserve">Decizia 007/19 A de adoptare a instrucțiunilor </w:t>
            </w:r>
            <w:r>
              <w:rPr>
                <w:noProof/>
              </w:rPr>
              <w:t xml:space="preserve"> </w:t>
            </w:r>
            <w:r>
              <w:rPr>
                <w:noProof/>
              </w:rPr>
              <w:br/>
            </w:r>
            <w:r>
              <w:rPr>
                <w:rFonts w:ascii="Times New Roman" w:hAnsi="Times New Roman"/>
                <w:noProof/>
                <w:color w:val="000000" w:themeColor="text1"/>
                <w:sz w:val="12"/>
              </w:rPr>
              <w:t>privind evaluările și modelul de raport de evaluare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17.1.2019</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color w:val="000000" w:themeColor="text1"/>
                <w:sz w:val="12"/>
              </w:rPr>
              <w:t>9.2.2022</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vMerge/>
            <w:tcBorders>
              <w:left w:val="single" w:sz="6" w:space="0" w:color="000000"/>
              <w:bottom w:val="single" w:sz="4"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bottom w:val="single" w:sz="4"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035/22 A de adoptare a instrucțiunilor</w:t>
            </w:r>
            <w:r>
              <w:rPr>
                <w:noProof/>
              </w:rPr>
              <w:t xml:space="preserve"> </w:t>
            </w:r>
            <w:r>
              <w:rPr>
                <w:noProof/>
              </w:rPr>
              <w:br/>
            </w:r>
            <w:r>
              <w:rPr>
                <w:rFonts w:ascii="Times New Roman" w:hAnsi="Times New Roman"/>
                <w:noProof/>
                <w:color w:val="000000" w:themeColor="text1"/>
                <w:sz w:val="12"/>
              </w:rPr>
              <w:t xml:space="preserve"> privind evaluarea și modelul de raport de evaluare</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9.2.2022</w:t>
            </w:r>
          </w:p>
        </w:tc>
        <w:tc>
          <w:tcPr>
            <w:tcW w:w="1687"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39"/>
        </w:trPr>
        <w:tc>
          <w:tcPr>
            <w:tcW w:w="1157" w:type="dxa"/>
            <w:vMerge w:val="restart"/>
            <w:tcBorders>
              <w:top w:val="single" w:sz="4" w:space="0" w:color="000000"/>
              <w:left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b/>
                <w:noProof/>
                <w:sz w:val="12"/>
              </w:rPr>
              <w:t>45</w:t>
            </w:r>
          </w:p>
        </w:tc>
        <w:tc>
          <w:tcPr>
            <w:tcW w:w="2551"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b/>
                <w:noProof/>
                <w:sz w:val="17"/>
              </w:rPr>
              <w:t>Promovarea</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Decizia 114/16 A de adoptare a normelor privind promovarea</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26.5.2016</w:t>
            </w:r>
          </w:p>
        </w:tc>
        <w:tc>
          <w:tcPr>
            <w:tcW w:w="1687" w:type="dxa"/>
            <w:tcBorders>
              <w:top w:val="single" w:sz="6" w:space="0" w:color="000000"/>
              <w:left w:val="single" w:sz="4" w:space="0" w:color="000000"/>
              <w:bottom w:val="single" w:sz="6" w:space="0" w:color="000000"/>
              <w:right w:val="single" w:sz="4" w:space="0" w:color="000000"/>
            </w:tcBorders>
            <w:shd w:val="clear" w:color="auto" w:fill="DA9694"/>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vMerge/>
            <w:tcBorders>
              <w:left w:val="single" w:sz="4" w:space="0" w:color="000000"/>
              <w:bottom w:val="single" w:sz="4" w:space="0" w:color="000000"/>
              <w:right w:val="single" w:sz="4"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bottom w:val="single" w:sz="4" w:space="0" w:color="000000"/>
              <w:right w:val="single" w:sz="4"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Decizia 115/16 A de instituire a unei comisii paritare pentru promovări</w:t>
            </w:r>
          </w:p>
        </w:tc>
        <w:tc>
          <w:tcPr>
            <w:tcW w:w="1322" w:type="dxa"/>
            <w:tcBorders>
              <w:top w:val="single" w:sz="6"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26.5.2016</w:t>
            </w:r>
          </w:p>
        </w:tc>
        <w:tc>
          <w:tcPr>
            <w:tcW w:w="1687" w:type="dxa"/>
            <w:tcBorders>
              <w:top w:val="single" w:sz="6" w:space="0" w:color="000000"/>
              <w:left w:val="single" w:sz="4" w:space="0" w:color="000000"/>
              <w:bottom w:val="single" w:sz="4" w:space="0" w:color="auto"/>
              <w:right w:val="single" w:sz="4" w:space="0" w:color="000000"/>
            </w:tcBorders>
            <w:shd w:val="clear" w:color="auto" w:fill="DA9694"/>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 litera (a)</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b/>
                <w:noProof/>
                <w:sz w:val="17"/>
              </w:rPr>
              <w:t>Certificarea</w:t>
            </w:r>
          </w:p>
        </w:tc>
        <w:tc>
          <w:tcPr>
            <w:tcW w:w="3029"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Decizia 185/17 A de adoptare a dispozițiilor generale de punere în aplicare a articolului 45a din Statutul funcționarilor</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5.10.2017</w:t>
            </w:r>
          </w:p>
        </w:tc>
        <w:tc>
          <w:tcPr>
            <w:tcW w:w="1687" w:type="dxa"/>
            <w:tcBorders>
              <w:top w:val="single" w:sz="6" w:space="0" w:color="000000"/>
              <w:left w:val="single" w:sz="4"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6" w:space="0" w:color="000000"/>
              <w:bottom w:val="single" w:sz="4" w:space="0" w:color="auto"/>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Capitolul 4 – Încetarea raporturilor de muncă</w:t>
            </w:r>
          </w:p>
        </w:tc>
      </w:tr>
      <w:tr>
        <w:trPr>
          <w:trHeight w:hRule="exact" w:val="513"/>
        </w:trPr>
        <w:tc>
          <w:tcPr>
            <w:tcW w:w="1156"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b/>
                <w:noProof/>
                <w:sz w:val="12"/>
              </w:rPr>
              <w:t>51</w:t>
            </w:r>
          </w:p>
        </w:tc>
        <w:tc>
          <w:tcPr>
            <w:tcW w:w="2551"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b/>
                <w:noProof/>
                <w:sz w:val="17"/>
              </w:rPr>
              <w:t>Incompeten</w:t>
            </w:r>
            <w:r>
              <w:rPr>
                <w:rFonts w:ascii="Times New Roman"/>
                <w:b/>
                <w:noProof/>
                <w:sz w:val="17"/>
              </w:rPr>
              <w:t>ț</w:t>
            </w:r>
            <w:r>
              <w:rPr>
                <w:rFonts w:ascii="Times New Roman"/>
                <w:b/>
                <w:noProof/>
                <w:sz w:val="17"/>
              </w:rPr>
              <w:t>a profesional</w:t>
            </w:r>
            <w:r>
              <w:rPr>
                <w:rFonts w:ascii="Times New Roman"/>
                <w:b/>
                <w:noProof/>
                <w:sz w:val="17"/>
              </w:rPr>
              <w:t>ă</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Decizia 262/11 A privind procedurile referitoare la incompeten</w:t>
            </w:r>
            <w:r>
              <w:rPr>
                <w:rFonts w:ascii="Times New Roman"/>
                <w:noProof/>
                <w:sz w:val="12"/>
              </w:rPr>
              <w:t>ț</w:t>
            </w:r>
            <w:r>
              <w:rPr>
                <w:rFonts w:ascii="Times New Roman"/>
                <w:noProof/>
                <w:sz w:val="12"/>
              </w:rPr>
              <w:t>a profesional</w:t>
            </w:r>
            <w:r>
              <w:rPr>
                <w:rFonts w:ascii="Times New Roman"/>
                <w:noProof/>
                <w:sz w:val="12"/>
              </w:rPr>
              <w:t>ă</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25.5.2011</w:t>
            </w:r>
          </w:p>
        </w:tc>
        <w:tc>
          <w:tcPr>
            <w:tcW w:w="1687" w:type="dxa"/>
            <w:tcBorders>
              <w:top w:val="single" w:sz="5" w:space="0" w:color="000000"/>
              <w:left w:val="single" w:sz="3" w:space="0" w:color="000000"/>
              <w:bottom w:val="single" w:sz="5" w:space="0" w:color="000000"/>
              <w:right w:val="single" w:sz="3" w:space="0" w:color="000000"/>
            </w:tcBorders>
            <w:shd w:val="clear" w:color="auto" w:fill="DA9694"/>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before="3" w:after="0" w:line="240" w:lineRule="auto"/>
              <w:jc w:val="center"/>
              <w:rPr>
                <w:rFonts w:ascii="Times New Roman" w:eastAsia="Times New Roman" w:hAnsi="Times New Roman" w:cs="Times New Roman"/>
                <w:b/>
                <w:bCs/>
                <w:noProof/>
                <w:sz w:val="12"/>
                <w:szCs w:val="12"/>
                <w:lang w:val="en-US"/>
              </w:rPr>
            </w:pPr>
          </w:p>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b/>
                <w:noProof/>
                <w:sz w:val="12"/>
              </w:rPr>
              <w:t>52 alineatul (2)</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b/>
                <w:noProof/>
                <w:sz w:val="17"/>
              </w:rPr>
              <w:t>Pensionarea</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Decizia 492/14 A privind r</w:t>
            </w:r>
            <w:r>
              <w:rPr>
                <w:rFonts w:ascii="Times New Roman"/>
                <w:noProof/>
                <w:sz w:val="12"/>
              </w:rPr>
              <w:t>ă</w:t>
            </w:r>
            <w:r>
              <w:rPr>
                <w:rFonts w:ascii="Times New Roman"/>
                <w:noProof/>
                <w:sz w:val="12"/>
              </w:rPr>
              <w:t>m</w:t>
            </w:r>
            <w:r>
              <w:rPr>
                <w:rFonts w:ascii="Times New Roman"/>
                <w:noProof/>
                <w:sz w:val="12"/>
              </w:rPr>
              <w:t>â</w:t>
            </w:r>
            <w:r>
              <w:rPr>
                <w:rFonts w:ascii="Times New Roman"/>
                <w:noProof/>
                <w:sz w:val="12"/>
              </w:rPr>
              <w:t xml:space="preserve">nerea </w:t>
            </w:r>
            <w:r>
              <w:rPr>
                <w:rFonts w:ascii="Times New Roman"/>
                <w:noProof/>
                <w:sz w:val="12"/>
              </w:rPr>
              <w:t>î</w:t>
            </w:r>
            <w:r>
              <w:rPr>
                <w:rFonts w:ascii="Times New Roman"/>
                <w:noProof/>
                <w:sz w:val="12"/>
              </w:rPr>
              <w:t>n activitate p</w:t>
            </w:r>
            <w:r>
              <w:rPr>
                <w:rFonts w:ascii="Times New Roman"/>
                <w:noProof/>
                <w:sz w:val="12"/>
              </w:rPr>
              <w:t>â</w:t>
            </w:r>
            <w:r>
              <w:rPr>
                <w:rFonts w:ascii="Times New Roman"/>
                <w:noProof/>
                <w:sz w:val="12"/>
              </w:rPr>
              <w:t>n</w:t>
            </w:r>
            <w:r>
              <w:rPr>
                <w:rFonts w:ascii="Times New Roman"/>
                <w:noProof/>
                <w:sz w:val="12"/>
              </w:rPr>
              <w:t>ă</w:t>
            </w:r>
            <w:r>
              <w:rPr>
                <w:rFonts w:ascii="Times New Roman"/>
                <w:noProof/>
                <w:sz w:val="12"/>
              </w:rPr>
              <w:t xml:space="preserve"> la v</w:t>
            </w:r>
            <w:r>
              <w:rPr>
                <w:rFonts w:ascii="Times New Roman"/>
                <w:noProof/>
                <w:sz w:val="12"/>
              </w:rPr>
              <w:t>â</w:t>
            </w:r>
            <w:r>
              <w:rPr>
                <w:rFonts w:ascii="Times New Roman"/>
                <w:noProof/>
                <w:sz w:val="12"/>
              </w:rPr>
              <w:t xml:space="preserve">rsta de 67 de ani </w:t>
            </w:r>
            <w:r>
              <w:rPr>
                <w:rFonts w:ascii="Times New Roman"/>
                <w:noProof/>
                <w:sz w:val="12"/>
              </w:rPr>
              <w:t>ș</w:t>
            </w:r>
            <w:r>
              <w:rPr>
                <w:rFonts w:ascii="Times New Roman"/>
                <w:noProof/>
                <w:sz w:val="12"/>
              </w:rPr>
              <w:t xml:space="preserve">i, </w:t>
            </w:r>
            <w:r>
              <w:rPr>
                <w:rFonts w:ascii="Times New Roman"/>
                <w:noProof/>
                <w:sz w:val="12"/>
              </w:rPr>
              <w:t>î</w:t>
            </w:r>
            <w:r>
              <w:rPr>
                <w:rFonts w:ascii="Times New Roman"/>
                <w:noProof/>
                <w:sz w:val="12"/>
              </w:rPr>
              <w:t>n mod excep</w:t>
            </w:r>
            <w:r>
              <w:rPr>
                <w:rFonts w:ascii="Times New Roman"/>
                <w:noProof/>
                <w:sz w:val="12"/>
              </w:rPr>
              <w:t>ț</w:t>
            </w:r>
            <w:r>
              <w:rPr>
                <w:rFonts w:ascii="Times New Roman"/>
                <w:noProof/>
                <w:sz w:val="12"/>
              </w:rPr>
              <w:t>ional, p</w:t>
            </w:r>
            <w:r>
              <w:rPr>
                <w:rFonts w:ascii="Times New Roman"/>
                <w:noProof/>
                <w:sz w:val="12"/>
              </w:rPr>
              <w:t>â</w:t>
            </w:r>
            <w:r>
              <w:rPr>
                <w:rFonts w:ascii="Times New Roman"/>
                <w:noProof/>
                <w:sz w:val="12"/>
              </w:rPr>
              <w:t>n</w:t>
            </w:r>
            <w:r>
              <w:rPr>
                <w:rFonts w:ascii="Times New Roman"/>
                <w:noProof/>
                <w:sz w:val="12"/>
              </w:rPr>
              <w:t>ă</w:t>
            </w:r>
            <w:r>
              <w:rPr>
                <w:rFonts w:ascii="Times New Roman"/>
                <w:noProof/>
                <w:sz w:val="12"/>
              </w:rPr>
              <w:t xml:space="preserve"> la 70 de ani</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22.12.2014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color w:val="000000" w:themeColor="text1"/>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b/>
                <w:noProof/>
                <w:color w:val="000000" w:themeColor="text1"/>
                <w:sz w:val="17"/>
              </w:rPr>
              <w:t>Timpul de lucru</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noProof/>
                <w:color w:val="000000" w:themeColor="text1"/>
                <w:sz w:val="12"/>
              </w:rPr>
              <w:t xml:space="preserve">Decizia 131/17 A privind programul de lucru </w:t>
            </w:r>
            <w:r>
              <w:rPr>
                <w:rFonts w:ascii="Times New Roman"/>
                <w:noProof/>
                <w:color w:val="000000" w:themeColor="text1"/>
                <w:sz w:val="12"/>
              </w:rPr>
              <w:t>ș</w:t>
            </w:r>
            <w:r>
              <w:rPr>
                <w:rFonts w:ascii="Times New Roman"/>
                <w:noProof/>
                <w:color w:val="000000" w:themeColor="text1"/>
                <w:sz w:val="12"/>
              </w:rPr>
              <w:t>i planificarea timpului de lucru</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19.7.2017</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1.4.2022</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tcBorders>
              <w:left w:val="single" w:sz="6"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color w:val="000000" w:themeColor="text1"/>
                <w:sz w:val="12"/>
              </w:rPr>
              <w:t>Decizia 89/22 A privind programele de lucru în cadrul CESE (proiect-pilot)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31.12.2023</w:t>
            </w:r>
            <w:r>
              <w:rPr>
                <w:rStyle w:val="FootnoteReference"/>
                <w:rFonts w:ascii="Times New Roman"/>
                <w:noProof/>
                <w:color w:val="000000" w:themeColor="text1"/>
                <w:w w:val="105"/>
                <w:sz w:val="12"/>
                <w:szCs w:val="12"/>
                <w:lang w:val="en-US"/>
              </w:rPr>
              <w:footnoteReference w:id="1"/>
            </w: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hAnsi="Times New Roman" w:cs="Times New Roman"/>
                <w:b/>
                <w:noProof/>
                <w:color w:val="000000" w:themeColor="text1"/>
                <w:w w:val="105"/>
                <w:sz w:val="12"/>
                <w:szCs w:val="12"/>
              </w:rPr>
            </w:pPr>
            <w:r>
              <w:rPr>
                <w:rFonts w:ascii="Times New Roman" w:hAnsi="Times New Roman"/>
                <w:b/>
                <w:noProof/>
                <w:color w:val="000000" w:themeColor="text1"/>
                <w:sz w:val="12"/>
              </w:rPr>
              <w:t xml:space="preserve">55 - 56 + </w:t>
            </w:r>
          </w:p>
          <w:p>
            <w:pPr>
              <w:widowControl w:val="0"/>
              <w:spacing w:after="0" w:line="240" w:lineRule="auto"/>
              <w:jc w:val="center"/>
              <w:rPr>
                <w:rFonts w:ascii="Times New Roman" w:eastAsia="Calibri" w:hAnsi="Times New Roman" w:cs="Times New Roman"/>
                <w:noProof/>
              </w:rPr>
            </w:pPr>
            <w:r>
              <w:rPr>
                <w:rFonts w:ascii="Times New Roman" w:hAnsi="Times New Roman"/>
                <w:b/>
                <w:noProof/>
                <w:color w:val="000000" w:themeColor="text1"/>
                <w:sz w:val="12"/>
              </w:rPr>
              <w:t>anexa VI (articolul 3) + V (articolul 6)</w:t>
            </w:r>
          </w:p>
        </w:tc>
        <w:tc>
          <w:tcPr>
            <w:tcW w:w="2551" w:type="dxa"/>
            <w:tcBorders>
              <w:left w:val="single" w:sz="4"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b/>
                <w:noProof/>
                <w:color w:val="000000" w:themeColor="text1"/>
                <w:sz w:val="17"/>
              </w:rPr>
              <w:t>Timpul de lucru</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 xml:space="preserve">Decizia 205/18 privind orele suplimentare prestate de </w:t>
            </w:r>
            <w:r>
              <w:rPr>
                <w:rFonts w:ascii="Times New Roman"/>
                <w:noProof/>
                <w:color w:val="000000" w:themeColor="text1"/>
                <w:sz w:val="12"/>
              </w:rPr>
              <w:t>ș</w:t>
            </w:r>
            <w:r>
              <w:rPr>
                <w:rFonts w:ascii="Times New Roman"/>
                <w:noProof/>
                <w:color w:val="000000" w:themeColor="text1"/>
                <w:sz w:val="12"/>
              </w:rPr>
              <w:t>oferi</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1.1.2018</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1 IR</w:t>
            </w:r>
          </w:p>
        </w:tc>
      </w:tr>
      <w:tr>
        <w:trPr>
          <w:trHeight w:val="454"/>
        </w:trPr>
        <w:tc>
          <w:tcPr>
            <w:tcW w:w="1156" w:type="dxa"/>
            <w:vMerge w:val="restart"/>
            <w:tcBorders>
              <w:top w:val="single" w:sz="4"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color w:val="000000" w:themeColor="text1"/>
                <w:sz w:val="12"/>
              </w:rPr>
              <w:t>55 alineatul (2)</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b/>
                <w:noProof/>
                <w:color w:val="000000" w:themeColor="text1"/>
                <w:sz w:val="17"/>
              </w:rPr>
              <w:t>Munca de la distan</w:t>
            </w:r>
            <w:r>
              <w:rPr>
                <w:rFonts w:ascii="Times New Roman"/>
                <w:b/>
                <w:noProof/>
                <w:color w:val="000000" w:themeColor="text1"/>
                <w:sz w:val="17"/>
              </w:rPr>
              <w:t>ță</w:t>
            </w:r>
          </w:p>
        </w:tc>
        <w:tc>
          <w:tcPr>
            <w:tcW w:w="3029"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noProof/>
                <w:color w:val="000000" w:themeColor="text1"/>
                <w:sz w:val="12"/>
              </w:rPr>
              <w:t>Decizia 248/19 A privind sistemul de munc</w:t>
            </w:r>
            <w:r>
              <w:rPr>
                <w:rFonts w:ascii="Times New Roman"/>
                <w:noProof/>
                <w:color w:val="000000" w:themeColor="text1"/>
                <w:sz w:val="12"/>
              </w:rPr>
              <w:t>ă</w:t>
            </w:r>
            <w:r>
              <w:rPr>
                <w:rFonts w:ascii="Times New Roman"/>
                <w:noProof/>
                <w:color w:val="000000" w:themeColor="text1"/>
                <w:sz w:val="12"/>
              </w:rPr>
              <w:t xml:space="preserve"> de la distan</w:t>
            </w:r>
            <w:r>
              <w:rPr>
                <w:rFonts w:ascii="Times New Roman"/>
                <w:noProof/>
                <w:color w:val="000000" w:themeColor="text1"/>
                <w:sz w:val="12"/>
              </w:rPr>
              <w:t>ță</w:t>
            </w:r>
            <w:r>
              <w:rPr>
                <w:rFonts w:ascii="Times New Roman"/>
                <w:noProof/>
                <w:color w:val="000000" w:themeColor="text1"/>
                <w:sz w:val="12"/>
              </w:rPr>
              <w:t xml:space="preserve"> al CESE</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16.10.2019</w:t>
            </w:r>
          </w:p>
        </w:tc>
        <w:tc>
          <w:tcPr>
            <w:tcW w:w="1687" w:type="dxa"/>
            <w:tcBorders>
              <w:top w:val="single" w:sz="4"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1.4.2022</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4"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color w:val="000000" w:themeColor="text1"/>
                <w:sz w:val="12"/>
              </w:rPr>
              <w:t>Decizia 89/22 A privind programele de lucru în cadrul CESE (proiect-pilot)</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color w:val="000000" w:themeColor="text1"/>
                <w:sz w:val="12"/>
              </w:rPr>
              <w:t>1.4.2022</w:t>
            </w:r>
          </w:p>
        </w:tc>
        <w:tc>
          <w:tcPr>
            <w:tcW w:w="1687" w:type="dxa"/>
            <w:tcBorders>
              <w:top w:val="single" w:sz="4" w:space="0" w:color="000000"/>
              <w:left w:val="single" w:sz="3" w:space="0" w:color="000000"/>
              <w:bottom w:val="single" w:sz="3"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31.12.2023</w:t>
            </w:r>
            <w:r>
              <w:rPr>
                <w:rStyle w:val="FootnoteReference"/>
                <w:rFonts w:ascii="Times New Roman"/>
                <w:noProof/>
                <w:color w:val="000000" w:themeColor="text1"/>
                <w:w w:val="105"/>
                <w:sz w:val="12"/>
                <w:szCs w:val="12"/>
                <w:lang w:val="en-US"/>
              </w:rPr>
              <w:footnoteReference w:id="2"/>
            </w:r>
          </w:p>
        </w:tc>
        <w:tc>
          <w:tcPr>
            <w:tcW w:w="93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color w:val="000000" w:themeColor="text1"/>
                <w:sz w:val="12"/>
              </w:rPr>
              <w:t>55a + anexa IVa</w:t>
            </w:r>
          </w:p>
        </w:tc>
        <w:tc>
          <w:tcPr>
            <w:tcW w:w="2551" w:type="dxa"/>
            <w:tcBorders>
              <w:top w:val="single" w:sz="4" w:space="0" w:color="000000"/>
              <w:left w:val="single" w:sz="4" w:space="0" w:color="000000"/>
              <w:bottom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b/>
                <w:noProof/>
                <w:color w:val="000000" w:themeColor="text1"/>
                <w:sz w:val="17"/>
              </w:rPr>
              <w:t>Activitatea cu norm</w:t>
            </w:r>
            <w:r>
              <w:rPr>
                <w:rFonts w:ascii="Times New Roman"/>
                <w:b/>
                <w:noProof/>
                <w:color w:val="000000" w:themeColor="text1"/>
                <w:sz w:val="17"/>
              </w:rPr>
              <w:t>ă</w:t>
            </w:r>
            <w:r>
              <w:rPr>
                <w:rFonts w:ascii="Times New Roman"/>
                <w:b/>
                <w:noProof/>
                <w:color w:val="000000" w:themeColor="text1"/>
                <w:sz w:val="17"/>
              </w:rPr>
              <w:t xml:space="preserve"> redus</w:t>
            </w:r>
            <w:r>
              <w:rPr>
                <w:rFonts w:ascii="Times New Roman"/>
                <w:b/>
                <w:noProof/>
                <w:color w:val="000000" w:themeColor="text1"/>
                <w:sz w:val="17"/>
              </w:rPr>
              <w:t>ă</w:t>
            </w:r>
          </w:p>
        </w:tc>
        <w:tc>
          <w:tcPr>
            <w:tcW w:w="3029" w:type="dxa"/>
            <w:tcBorders>
              <w:top w:val="single" w:sz="4" w:space="0" w:color="000000"/>
              <w:left w:val="single" w:sz="6" w:space="0" w:color="000000"/>
              <w:bottom w:val="single" w:sz="4" w:space="0" w:color="auto"/>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noProof/>
                <w:color w:val="000000" w:themeColor="text1"/>
                <w:sz w:val="12"/>
              </w:rPr>
              <w:t>Decizia 035/14 A privind articolul 55A care reglementeaz</w:t>
            </w:r>
            <w:r>
              <w:rPr>
                <w:rFonts w:ascii="Times New Roman"/>
                <w:noProof/>
                <w:color w:val="000000" w:themeColor="text1"/>
                <w:sz w:val="12"/>
              </w:rPr>
              <w:t>ă</w:t>
            </w:r>
            <w:r>
              <w:rPr>
                <w:rFonts w:ascii="Times New Roman"/>
                <w:noProof/>
                <w:color w:val="000000" w:themeColor="text1"/>
                <w:sz w:val="12"/>
              </w:rPr>
              <w:t xml:space="preserve"> exercitarea activit</w:t>
            </w:r>
            <w:r>
              <w:rPr>
                <w:rFonts w:ascii="Times New Roman"/>
                <w:noProof/>
                <w:color w:val="000000" w:themeColor="text1"/>
                <w:sz w:val="12"/>
              </w:rPr>
              <w:t>ăț</w:t>
            </w:r>
            <w:r>
              <w:rPr>
                <w:rFonts w:ascii="Times New Roman"/>
                <w:noProof/>
                <w:color w:val="000000" w:themeColor="text1"/>
                <w:sz w:val="12"/>
              </w:rPr>
              <w:t>ii cu norm</w:t>
            </w:r>
            <w:r>
              <w:rPr>
                <w:rFonts w:ascii="Times New Roman"/>
                <w:noProof/>
                <w:color w:val="000000" w:themeColor="text1"/>
                <w:sz w:val="12"/>
              </w:rPr>
              <w:t>ă</w:t>
            </w:r>
            <w:r>
              <w:rPr>
                <w:rFonts w:ascii="Times New Roman"/>
                <w:noProof/>
                <w:color w:val="000000" w:themeColor="text1"/>
                <w:sz w:val="12"/>
              </w:rPr>
              <w:t xml:space="preserve"> redus</w:t>
            </w:r>
            <w:r>
              <w:rPr>
                <w:rFonts w:ascii="Times New Roman"/>
                <w:noProof/>
                <w:color w:val="000000" w:themeColor="text1"/>
                <w:sz w:val="12"/>
              </w:rPr>
              <w:t>ă</w:t>
            </w:r>
          </w:p>
        </w:tc>
        <w:tc>
          <w:tcPr>
            <w:tcW w:w="1322" w:type="dxa"/>
            <w:tcBorders>
              <w:top w:val="single" w:sz="4" w:space="0" w:color="000000"/>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color w:val="000000" w:themeColor="text1"/>
                <w:sz w:val="12"/>
              </w:rPr>
              <w:t>1.1.2014</w:t>
            </w:r>
          </w:p>
        </w:tc>
        <w:tc>
          <w:tcPr>
            <w:tcW w:w="1687" w:type="dxa"/>
            <w:tcBorders>
              <w:top w:val="single" w:sz="4"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1 IR</w:t>
            </w:r>
          </w:p>
        </w:tc>
      </w:tr>
      <w:tr>
        <w:trPr>
          <w:trHeight w:val="454"/>
        </w:trPr>
        <w:tc>
          <w:tcPr>
            <w:tcW w:w="115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color w:val="000000" w:themeColor="text1"/>
                <w:sz w:val="12"/>
              </w:rPr>
              <w:t>56 + anexa VI</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b/>
                <w:noProof/>
                <w:color w:val="000000" w:themeColor="text1"/>
                <w:sz w:val="17"/>
              </w:rPr>
              <w:t>Orele suplimentare</w:t>
            </w: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Decizia 037/14 A privind orele suplimentare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color w:val="000000" w:themeColor="text1"/>
                <w:sz w:val="12"/>
              </w:rPr>
              <w:t>1.2.2014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color w:val="000000" w:themeColor="text1"/>
                <w:sz w:val="12"/>
              </w:rPr>
              <w:t>1.4.2022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517"/>
        </w:trPr>
        <w:tc>
          <w:tcPr>
            <w:tcW w:w="115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color w:val="000000" w:themeColor="text1"/>
                <w:sz w:val="12"/>
              </w:rPr>
              <w:t>Decizia 89/22 A privind programele de lucru în cadrul CESE (proiect-pilot)</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color w:val="000000" w:themeColor="text1"/>
                <w:sz w:val="12"/>
              </w:rPr>
              <w:t>1.4.2022</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noProof/>
                <w:color w:val="000000" w:themeColor="text1"/>
                <w:sz w:val="12"/>
              </w:rPr>
              <w:t>31.12.2023</w:t>
            </w:r>
            <w:r>
              <w:rPr>
                <w:rStyle w:val="FootnoteReference"/>
                <w:rFonts w:ascii="Times New Roman"/>
                <w:noProof/>
                <w:color w:val="000000" w:themeColor="text1"/>
                <w:w w:val="105"/>
                <w:sz w:val="12"/>
                <w:szCs w:val="12"/>
                <w:lang w:val="en-US"/>
              </w:rPr>
              <w:footnoteReference w:id="3"/>
            </w:r>
          </w:p>
        </w:tc>
        <w:tc>
          <w:tcPr>
            <w:tcW w:w="936"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shd w:val="clear" w:color="auto" w:fill="C5D9F1"/>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57 + 58 + 61 + anexa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53" w:after="0" w:line="240" w:lineRule="auto"/>
              <w:jc w:val="center"/>
              <w:rPr>
                <w:rFonts w:ascii="Times New Roman"/>
                <w:b/>
                <w:noProof/>
                <w:spacing w:val="-1"/>
                <w:sz w:val="17"/>
                <w:szCs w:val="17"/>
              </w:rPr>
            </w:pPr>
            <w:r>
              <w:rPr>
                <w:rFonts w:ascii="Times New Roman"/>
                <w:b/>
                <w:noProof/>
                <w:sz w:val="17"/>
              </w:rPr>
              <w:t xml:space="preserve">Concediul anual </w:t>
            </w:r>
            <w:r>
              <w:rPr>
                <w:rFonts w:ascii="Times New Roman"/>
                <w:b/>
                <w:noProof/>
                <w:sz w:val="17"/>
              </w:rPr>
              <w:t>ș</w:t>
            </w:r>
            <w:r>
              <w:rPr>
                <w:rFonts w:ascii="Times New Roman"/>
                <w:b/>
                <w:noProof/>
                <w:sz w:val="17"/>
              </w:rPr>
              <w:t>i concediul special</w:t>
            </w:r>
          </w:p>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 xml:space="preserve"> </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noProof/>
                <w:sz w:val="12"/>
              </w:rPr>
              <w:t xml:space="preserve">Decizia 212/19 A </w:t>
            </w:r>
            <w:r>
              <w:rPr>
                <w:rFonts w:ascii="Times New Roman"/>
                <w:noProof/>
                <w:sz w:val="12"/>
              </w:rPr>
              <w:t>–</w:t>
            </w:r>
            <w:r>
              <w:rPr>
                <w:rFonts w:ascii="Times New Roman"/>
                <w:noProof/>
                <w:sz w:val="12"/>
              </w:rPr>
              <w:t xml:space="preserve"> Normele aplicabile personalului cu privire la drepturile la concediul anual </w:t>
            </w:r>
            <w:r>
              <w:rPr>
                <w:rFonts w:ascii="Times New Roman"/>
                <w:noProof/>
                <w:sz w:val="12"/>
              </w:rPr>
              <w:t>ș</w:t>
            </w:r>
            <w:r>
              <w:rPr>
                <w:rFonts w:ascii="Times New Roman"/>
                <w:noProof/>
                <w:sz w:val="12"/>
              </w:rPr>
              <w:t>i la concediul special</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noProof/>
                <w:sz w:val="12"/>
              </w:rPr>
              <w:t>1.10.2019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1 IR</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hAnsi="Times New Roman" w:cs="Times New Roman"/>
                <w:b/>
                <w:noProof/>
                <w:w w:val="105"/>
                <w:sz w:val="12"/>
                <w:szCs w:val="12"/>
              </w:rPr>
            </w:pPr>
            <w:r>
              <w:rPr>
                <w:rFonts w:ascii="Times New Roman" w:hAnsi="Times New Roman"/>
                <w:b/>
                <w:noProof/>
                <w:sz w:val="12"/>
              </w:rPr>
              <w:t>57 + 58</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53" w:after="0" w:line="240" w:lineRule="auto"/>
              <w:jc w:val="center"/>
              <w:rPr>
                <w:rFonts w:ascii="Times New Roman"/>
                <w:b/>
                <w:noProof/>
                <w:spacing w:val="-1"/>
                <w:sz w:val="17"/>
                <w:szCs w:val="17"/>
              </w:rPr>
            </w:pPr>
            <w:r>
              <w:rPr>
                <w:rFonts w:ascii="Times New Roman"/>
                <w:b/>
                <w:noProof/>
                <w:sz w:val="17"/>
              </w:rPr>
              <w:t>Concediul de maternitate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noProof/>
                <w:spacing w:val="-6"/>
                <w:w w:val="105"/>
                <w:sz w:val="12"/>
                <w:szCs w:val="12"/>
              </w:rPr>
            </w:pPr>
            <w:r>
              <w:rPr>
                <w:rFonts w:ascii="Times New Roman"/>
                <w:noProof/>
                <w:sz w:val="12"/>
              </w:rPr>
              <w:t xml:space="preserve">Decizia 212/19 A </w:t>
            </w:r>
            <w:r>
              <w:rPr>
                <w:rFonts w:ascii="Times New Roman"/>
                <w:noProof/>
                <w:sz w:val="12"/>
              </w:rPr>
              <w:t>–</w:t>
            </w:r>
            <w:r>
              <w:rPr>
                <w:rFonts w:ascii="Times New Roman"/>
                <w:noProof/>
                <w:sz w:val="12"/>
              </w:rPr>
              <w:t xml:space="preserve"> Normele aplicabile personalului cu privire la drepturile la concediul anual </w:t>
            </w:r>
            <w:r>
              <w:rPr>
                <w:rFonts w:ascii="Times New Roman"/>
                <w:noProof/>
                <w:sz w:val="12"/>
              </w:rPr>
              <w:t>ș</w:t>
            </w:r>
            <w:r>
              <w:rPr>
                <w:rFonts w:ascii="Times New Roman"/>
                <w:noProof/>
                <w:sz w:val="12"/>
              </w:rPr>
              <w:t>i la concediul special</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noProof/>
                <w:w w:val="105"/>
                <w:sz w:val="12"/>
                <w:szCs w:val="12"/>
              </w:rPr>
            </w:pPr>
            <w:r>
              <w:rPr>
                <w:rFonts w:ascii="Times New Roman"/>
                <w:noProof/>
                <w:sz w:val="12"/>
              </w:rPr>
              <w:t>01.10.2019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color w:val="000000" w:themeColor="text1"/>
                <w:spacing w:val="1"/>
                <w:w w:val="105"/>
                <w:sz w:val="16"/>
                <w:szCs w:val="16"/>
              </w:rPr>
            </w:pPr>
            <w:r>
              <w:rPr>
                <w:rFonts w:ascii="Times New Roman" w:hAnsi="Times New Roman"/>
                <w:b/>
                <w:noProof/>
                <w:color w:val="000000" w:themeColor="text1"/>
                <w:sz w:val="16"/>
              </w:rPr>
              <w:t>0</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59 - 60 + anexa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Concediul medical</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noProof/>
                <w:sz w:val="12"/>
              </w:rPr>
              <w:t>Decizia 273/16 A privind normele aplicabile personalului cu privire la concediul medical</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noProof/>
                <w:sz w:val="12"/>
              </w:rPr>
              <w:t>1.1.2017</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1 IR</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b/>
                <w:noProof/>
                <w:sz w:val="17"/>
              </w:rPr>
              <w:t>Absen</w:t>
            </w:r>
            <w:r>
              <w:rPr>
                <w:rFonts w:ascii="Times New Roman"/>
                <w:b/>
                <w:noProof/>
                <w:sz w:val="17"/>
              </w:rPr>
              <w:t>ț</w:t>
            </w:r>
            <w:r>
              <w:rPr>
                <w:rFonts w:ascii="Times New Roman"/>
                <w:b/>
                <w:noProof/>
                <w:sz w:val="17"/>
              </w:rPr>
              <w:t>ele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noProof/>
                <w:sz w:val="12"/>
              </w:rPr>
              <w:t xml:space="preserve">Decizia 212/19 A </w:t>
            </w:r>
            <w:r>
              <w:rPr>
                <w:rFonts w:ascii="Times New Roman"/>
                <w:noProof/>
                <w:sz w:val="12"/>
              </w:rPr>
              <w:t>–</w:t>
            </w:r>
            <w:r>
              <w:rPr>
                <w:rFonts w:ascii="Times New Roman"/>
                <w:noProof/>
                <w:sz w:val="12"/>
              </w:rPr>
              <w:t xml:space="preserve"> Normele aplicabile personalului cu privire la drepturile la concediul anual </w:t>
            </w:r>
            <w:r>
              <w:rPr>
                <w:rFonts w:ascii="Times New Roman"/>
                <w:noProof/>
                <w:sz w:val="12"/>
              </w:rPr>
              <w:t>ș</w:t>
            </w:r>
            <w:r>
              <w:rPr>
                <w:rFonts w:ascii="Times New Roman"/>
                <w:noProof/>
                <w:sz w:val="12"/>
              </w:rPr>
              <w:t>i la concediul special</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noProof/>
                <w:sz w:val="12"/>
              </w:rPr>
              <w:t>01.10.2019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color w:val="000000" w:themeColor="text1"/>
                <w:sz w:val="16"/>
              </w:rPr>
              <w:t xml:space="preserve">0 </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67 - 68 + anexa VII [articolul 1 alineatul (2) litera (d)]</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Alocația pentru locuință prin decizie specială</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Decizia 298/04 A de adoptare a dispozițiilor generale de punere în aplicare privind acordarea alocației pentru locuință prin decizie specială</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 anexa VII [articolul 2 alineatul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Persoana considerată copil aflat în întreținere</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Decizia 299/04 A de adoptare a dispozițiilor generale de punere în aplicare privind persoanele care trebuie considerate copii aflați în întreținere</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shd w:val="clear" w:color="auto" w:fill="FFFFFF" w:themeFill="background1"/>
            <w:vAlign w:val="center"/>
          </w:tcPr>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 anexa VII (articolele 1, 2 și 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Alocațiile familiale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Decizia nr. 300/04 A – Dispoziții generale de punere în aplicare a articolelor 67 și 68 din Statutul funcționarilor și a articolelor 1, 2 și 3 din anexa VII la acesta</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 anexa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(articolele 1, 2 și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Alocația școlară</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Decizia 019/14 A – Dispozițiile generale de punere în aplicare privind acordarea alocației școlare (articolul 3 din anexa VII din Statutul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Secțiunea 3 – Rambursarea cheltuielilor</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b/>
                <w:noProof/>
                <w:sz w:val="12"/>
              </w:rPr>
              <w:t>71 + anexa VII (articolul 8)</w:t>
            </w:r>
          </w:p>
        </w:tc>
        <w:tc>
          <w:tcPr>
            <w:tcW w:w="2551" w:type="dxa"/>
            <w:tcBorders>
              <w:left w:val="single" w:sz="4" w:space="0" w:color="000000"/>
              <w:bottom w:val="single" w:sz="3" w:space="0" w:color="000000"/>
              <w:right w:val="single" w:sz="3" w:space="0" w:color="000000"/>
            </w:tcBorders>
            <w:shd w:val="clear" w:color="auto" w:fill="DA9694"/>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b/>
                <w:noProof/>
                <w:sz w:val="17"/>
              </w:rPr>
              <w:t>Cheltuielile de c</w:t>
            </w:r>
            <w:r>
              <w:rPr>
                <w:rFonts w:ascii="Times New Roman"/>
                <w:b/>
                <w:noProof/>
                <w:sz w:val="17"/>
              </w:rPr>
              <w:t>ă</w:t>
            </w:r>
            <w:r>
              <w:rPr>
                <w:rFonts w:ascii="Times New Roman"/>
                <w:b/>
                <w:noProof/>
                <w:sz w:val="17"/>
              </w:rPr>
              <w:t>l</w:t>
            </w:r>
            <w:r>
              <w:rPr>
                <w:rFonts w:ascii="Times New Roman"/>
                <w:b/>
                <w:noProof/>
                <w:sz w:val="17"/>
              </w:rPr>
              <w:t>ă</w:t>
            </w:r>
            <w:r>
              <w:rPr>
                <w:rFonts w:ascii="Times New Roman"/>
                <w:b/>
                <w:noProof/>
                <w:sz w:val="17"/>
              </w:rPr>
              <w:t>torie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noProof/>
                <w:sz w:val="12"/>
              </w:rPr>
              <w:t>Decizia 031-14 A privind articolul 8 din anexa VII</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b/>
                <w:noProof/>
                <w:sz w:val="12"/>
              </w:rPr>
              <w:t>71 + anexa VII (articolul 8)</w:t>
            </w:r>
          </w:p>
        </w:tc>
        <w:tc>
          <w:tcPr>
            <w:tcW w:w="2551"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b/>
                <w:noProof/>
                <w:sz w:val="17"/>
              </w:rPr>
              <w:t>Locul de origine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noProof/>
                <w:sz w:val="12"/>
              </w:rPr>
              <w:t xml:space="preserve">Decizia 030/14 A privind articolul 7 alineatul (4) din anexa VII </w:t>
            </w:r>
            <w:r>
              <w:rPr>
                <w:noProof/>
              </w:rPr>
              <w:t xml:space="preserve"> </w:t>
            </w:r>
            <w:r>
              <w:rPr>
                <w:noProof/>
              </w:rPr>
              <w:br/>
            </w:r>
            <w:r>
              <w:rPr>
                <w:rFonts w:ascii="Times New Roman"/>
                <w:noProof/>
                <w:sz w:val="12"/>
              </w:rPr>
              <w:t>referitor la stabilirea locului de origine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40" w:lineRule="auto"/>
              <w:jc w:val="center"/>
              <w:rPr>
                <w:rFonts w:ascii="Times New Roman" w:eastAsia="Times New Roman" w:hAnsi="Times New Roman" w:cs="Times New Roman"/>
                <w:b/>
                <w:bCs/>
                <w:noProof/>
                <w:sz w:val="12"/>
                <w:szCs w:val="12"/>
                <w:lang w:val="en-US"/>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 (articolele 11 -13)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b/>
                <w:noProof/>
                <w:sz w:val="17"/>
              </w:rPr>
              <w:t xml:space="preserve">Cheltuielile de misiune </w:t>
            </w:r>
            <w:r>
              <w:rPr>
                <w:rFonts w:ascii="Times New Roman"/>
                <w:b/>
                <w:noProof/>
                <w:sz w:val="17"/>
              </w:rPr>
              <w:t>ș</w:t>
            </w:r>
            <w:r>
              <w:rPr>
                <w:rFonts w:ascii="Times New Roman"/>
                <w:b/>
                <w:noProof/>
                <w:sz w:val="17"/>
              </w:rPr>
              <w:t>i de deplasare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noProof/>
                <w:sz w:val="12"/>
              </w:rPr>
              <w:t xml:space="preserve">Decizia 890/10 A de adoptare a deciziilor generale de punere </w:t>
            </w:r>
            <w:r>
              <w:rPr>
                <w:rFonts w:ascii="Times New Roman"/>
                <w:noProof/>
                <w:sz w:val="12"/>
              </w:rPr>
              <w:t>î</w:t>
            </w:r>
            <w:r>
              <w:rPr>
                <w:rFonts w:ascii="Times New Roman"/>
                <w:noProof/>
                <w:sz w:val="12"/>
              </w:rPr>
              <w:t>n aplicare referitoare la Ghidul privind delega</w:t>
            </w:r>
            <w:r>
              <w:rPr>
                <w:rFonts w:ascii="Times New Roman"/>
                <w:noProof/>
                <w:sz w:val="12"/>
              </w:rPr>
              <w:t>ț</w:t>
            </w:r>
            <w:r>
              <w:rPr>
                <w:rFonts w:ascii="Times New Roman"/>
                <w:noProof/>
                <w:sz w:val="12"/>
              </w:rPr>
              <w:t>iile func</w:t>
            </w:r>
            <w:r>
              <w:rPr>
                <w:rFonts w:ascii="Times New Roman"/>
                <w:noProof/>
                <w:sz w:val="12"/>
              </w:rPr>
              <w:t>ț</w:t>
            </w:r>
            <w:r>
              <w:rPr>
                <w:rFonts w:ascii="Times New Roman"/>
                <w:noProof/>
                <w:sz w:val="12"/>
              </w:rPr>
              <w:t xml:space="preserve">ionarilor </w:t>
            </w:r>
            <w:r>
              <w:rPr>
                <w:rFonts w:ascii="Times New Roman"/>
                <w:noProof/>
                <w:sz w:val="12"/>
              </w:rPr>
              <w:t>ș</w:t>
            </w:r>
            <w:r>
              <w:rPr>
                <w:rFonts w:ascii="Times New Roman"/>
                <w:noProof/>
                <w:sz w:val="12"/>
              </w:rPr>
              <w:t>i agen</w:t>
            </w:r>
            <w:r>
              <w:rPr>
                <w:rFonts w:ascii="Times New Roman"/>
                <w:noProof/>
                <w:sz w:val="12"/>
              </w:rPr>
              <w:t>ț</w:t>
            </w:r>
            <w:r>
              <w:rPr>
                <w:rFonts w:ascii="Times New Roman"/>
                <w:noProof/>
                <w:sz w:val="12"/>
              </w:rPr>
              <w:t>ilor</w:t>
            </w:r>
            <w:r>
              <w:rPr>
                <w:noProof/>
              </w:rPr>
              <w:t xml:space="preserve"> </w:t>
            </w:r>
            <w:r>
              <w:rPr>
                <w:noProof/>
              </w:rPr>
              <w:br/>
            </w:r>
            <w:r>
              <w:rPr>
                <w:rFonts w:ascii="Times New Roman"/>
                <w:noProof/>
                <w:sz w:val="12"/>
              </w:rPr>
              <w:t xml:space="preserve"> CESE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1.1.2011</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2"/>
                <w:szCs w:val="12"/>
                <w:lang w:val="en-US"/>
              </w:rPr>
            </w:pPr>
          </w:p>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 (articolul 9)</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b/>
                <w:noProof/>
                <w:sz w:val="17"/>
              </w:rPr>
              <w:t>Cheltuieli de mutare</w:t>
            </w: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noProof/>
                <w:sz w:val="12"/>
              </w:rPr>
              <w:t xml:space="preserve">Decizia 020/14 A </w:t>
            </w:r>
            <w:r>
              <w:rPr>
                <w:rFonts w:ascii="Times New Roman"/>
                <w:noProof/>
                <w:sz w:val="12"/>
              </w:rPr>
              <w:t>–</w:t>
            </w:r>
            <w:r>
              <w:rPr>
                <w:rFonts w:ascii="Times New Roman"/>
                <w:noProof/>
                <w:sz w:val="12"/>
              </w:rPr>
              <w:t xml:space="preserve"> Dispozi</w:t>
            </w:r>
            <w:r>
              <w:rPr>
                <w:rFonts w:ascii="Times New Roman"/>
                <w:noProof/>
                <w:sz w:val="12"/>
              </w:rPr>
              <w:t>ț</w:t>
            </w:r>
            <w:r>
              <w:rPr>
                <w:rFonts w:ascii="Times New Roman"/>
                <w:noProof/>
                <w:sz w:val="12"/>
              </w:rPr>
              <w:t xml:space="preserve">iile generale de punere </w:t>
            </w:r>
            <w:r>
              <w:rPr>
                <w:rFonts w:ascii="Times New Roman"/>
                <w:noProof/>
                <w:sz w:val="12"/>
              </w:rPr>
              <w:t>î</w:t>
            </w:r>
            <w:r>
              <w:rPr>
                <w:rFonts w:ascii="Times New Roman"/>
                <w:noProof/>
                <w:sz w:val="12"/>
              </w:rPr>
              <w:t xml:space="preserve">n aplicare privind rambursarea cheltuielilor de mutare </w:t>
            </w:r>
            <w:r>
              <w:rPr>
                <w:noProof/>
              </w:rPr>
              <w:t xml:space="preserve"> </w:t>
            </w:r>
            <w:r>
              <w:rPr>
                <w:noProof/>
              </w:rPr>
              <w:br/>
            </w:r>
            <w:r>
              <w:rPr>
                <w:rFonts w:ascii="Times New Roman"/>
                <w:noProof/>
                <w:sz w:val="12"/>
              </w:rPr>
              <w:t>(articolul</w:t>
            </w:r>
            <w:r>
              <w:rPr>
                <w:rFonts w:ascii="Times New Roman"/>
                <w:noProof/>
                <w:sz w:val="12"/>
              </w:rPr>
              <w:t> </w:t>
            </w:r>
            <w:r>
              <w:rPr>
                <w:rFonts w:ascii="Times New Roman"/>
                <w:noProof/>
                <w:sz w:val="12"/>
              </w:rPr>
              <w:t>9 din anexa VII la Statutul func</w:t>
            </w:r>
            <w:r>
              <w:rPr>
                <w:rFonts w:ascii="Times New Roman"/>
                <w:noProof/>
                <w:sz w:val="12"/>
              </w:rPr>
              <w:t>ț</w:t>
            </w:r>
            <w:r>
              <w:rPr>
                <w:rFonts w:ascii="Times New Roman"/>
                <w:noProof/>
                <w:sz w:val="12"/>
              </w:rPr>
              <w:t>ionarilor)</w:t>
            </w:r>
            <w:r>
              <w:rPr>
                <w:noProof/>
              </w:rPr>
              <w:t xml:space="preserve"> </w:t>
            </w:r>
            <w:r>
              <w:rPr>
                <w:noProof/>
              </w:rPr>
              <w:br/>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b/>
                <w:bCs/>
                <w:noProof/>
                <w:sz w:val="12"/>
                <w:szCs w:val="12"/>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1.1.2014</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anexa VIII – Pensiile și prestația de invaliditate</w:t>
            </w:r>
          </w:p>
        </w:tc>
      </w:tr>
      <w:tr>
        <w:trPr>
          <w:trHeight w:hRule="exact" w:val="567"/>
        </w:trPr>
        <w:tc>
          <w:tcPr>
            <w:tcW w:w="1156"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b/>
                <w:noProof/>
                <w:sz w:val="12"/>
              </w:rPr>
              <w:t xml:space="preserve">77 + anexa VIII </w:t>
            </w:r>
            <w:r>
              <w:rPr>
                <w:noProof/>
              </w:rPr>
              <w:t xml:space="preserve"> </w:t>
            </w:r>
            <w:r>
              <w:rPr>
                <w:noProof/>
              </w:rPr>
              <w:br/>
            </w:r>
            <w:r>
              <w:rPr>
                <w:rFonts w:ascii="Times New Roman"/>
                <w:b/>
                <w:noProof/>
                <w:sz w:val="12"/>
              </w:rPr>
              <w:t xml:space="preserve">(articolul 4) </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b/>
                <w:noProof/>
                <w:sz w:val="17"/>
              </w:rPr>
              <w:t>Calcularea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 xml:space="preserve">Decizia 304/04 A privind luarea </w:t>
            </w:r>
            <w:r>
              <w:rPr>
                <w:rFonts w:ascii="Times New Roman"/>
                <w:noProof/>
                <w:sz w:val="12"/>
              </w:rPr>
              <w:t>î</w:t>
            </w:r>
            <w:r>
              <w:rPr>
                <w:rFonts w:ascii="Times New Roman"/>
                <w:noProof/>
                <w:sz w:val="12"/>
              </w:rPr>
              <w:t>n considerare a perioadelor de serviciu efectuate anterior momentului reintegr</w:t>
            </w:r>
            <w:r>
              <w:rPr>
                <w:rFonts w:ascii="Times New Roman"/>
                <w:noProof/>
                <w:sz w:val="12"/>
              </w:rPr>
              <w:t>ă</w:t>
            </w:r>
            <w:r>
              <w:rPr>
                <w:rFonts w:ascii="Times New Roman"/>
                <w:noProof/>
                <w:sz w:val="12"/>
              </w:rPr>
              <w:t xml:space="preserve">rii </w:t>
            </w:r>
            <w:r>
              <w:rPr>
                <w:rFonts w:ascii="Times New Roman"/>
                <w:noProof/>
                <w:sz w:val="12"/>
              </w:rPr>
              <w:t>î</w:t>
            </w:r>
            <w:r>
              <w:rPr>
                <w:rFonts w:ascii="Times New Roman"/>
                <w:noProof/>
                <w:sz w:val="12"/>
              </w:rPr>
              <w:t>n munc</w:t>
            </w:r>
            <w:r>
              <w:rPr>
                <w:rFonts w:ascii="Times New Roman"/>
                <w:noProof/>
                <w:sz w:val="12"/>
              </w:rPr>
              <w:t>ă</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5"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5" w:space="0" w:color="000000"/>
              <w:right w:val="single" w:sz="3" w:space="0" w:color="000000"/>
            </w:tcBorders>
            <w:shd w:val="clear" w:color="auto" w:fill="DA9694"/>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Decizia 307/04 A privind achizi</w:t>
            </w:r>
            <w:r>
              <w:rPr>
                <w:rFonts w:ascii="Times New Roman"/>
                <w:noProof/>
                <w:sz w:val="12"/>
              </w:rPr>
              <w:t>ț</w:t>
            </w:r>
            <w:r>
              <w:rPr>
                <w:rFonts w:ascii="Times New Roman"/>
                <w:noProof/>
                <w:sz w:val="12"/>
              </w:rPr>
              <w:t>ionarea drepturilor de pensie suplimentare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b/>
                <w:noProof/>
                <w:sz w:val="12"/>
              </w:rPr>
              <w:t>77 + anexa VIII (articolele 11 - 12)</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b/>
                <w:noProof/>
                <w:sz w:val="17"/>
              </w:rPr>
              <w:t>Transferul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 xml:space="preserve">Decizia 305/04 A privind transferul drepturilor de pensie </w:t>
            </w:r>
            <w:r>
              <w:rPr>
                <w:rFonts w:ascii="Times New Roman"/>
                <w:noProof/>
                <w:sz w:val="12"/>
              </w:rPr>
              <w:t>–</w:t>
            </w:r>
            <w:r>
              <w:rPr>
                <w:rFonts w:ascii="Times New Roman"/>
                <w:noProof/>
                <w:sz w:val="12"/>
              </w:rPr>
              <w:t xml:space="preserve"> redeschiderea posibilit</w:t>
            </w:r>
            <w:r>
              <w:rPr>
                <w:rFonts w:ascii="Times New Roman"/>
                <w:noProof/>
                <w:sz w:val="12"/>
              </w:rPr>
              <w:t>ăț</w:t>
            </w:r>
            <w:r>
              <w:rPr>
                <w:rFonts w:ascii="Times New Roman"/>
                <w:noProof/>
                <w:sz w:val="12"/>
              </w:rPr>
              <w:t>ilor</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2"/>
              </w:rPr>
              <w:t>Decizia 394/11 A privind dispozi</w:t>
            </w:r>
            <w:r>
              <w:rPr>
                <w:rFonts w:ascii="Times New Roman"/>
                <w:noProof/>
                <w:sz w:val="12"/>
              </w:rPr>
              <w:t>ț</w:t>
            </w:r>
            <w:r>
              <w:rPr>
                <w:rFonts w:ascii="Times New Roman"/>
                <w:noProof/>
                <w:sz w:val="12"/>
              </w:rPr>
              <w:t xml:space="preserve">iile generale de punere </w:t>
            </w:r>
            <w:r>
              <w:rPr>
                <w:rFonts w:ascii="Times New Roman"/>
                <w:noProof/>
                <w:sz w:val="12"/>
              </w:rPr>
              <w:t>î</w:t>
            </w:r>
            <w:r>
              <w:rPr>
                <w:rFonts w:ascii="Times New Roman"/>
                <w:noProof/>
                <w:sz w:val="12"/>
              </w:rPr>
              <w:t xml:space="preserve">n aplicare a articolelor 11 </w:t>
            </w:r>
            <w:r>
              <w:rPr>
                <w:rFonts w:ascii="Times New Roman"/>
                <w:noProof/>
                <w:sz w:val="12"/>
              </w:rPr>
              <w:t>ș</w:t>
            </w:r>
            <w:r>
              <w:rPr>
                <w:rFonts w:ascii="Times New Roman"/>
                <w:noProof/>
                <w:sz w:val="12"/>
              </w:rPr>
              <w:t>i 12 din anexa VII</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15.7.2011</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 – Regimul disciplinar  </w:t>
            </w:r>
          </w:p>
        </w:tc>
      </w:tr>
      <w:tr>
        <w:trPr>
          <w:trHeight w:hRule="exact" w:val="717"/>
        </w:trPr>
        <w:tc>
          <w:tcPr>
            <w:tcW w:w="1156"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4" w:after="0" w:line="240" w:lineRule="auto"/>
              <w:jc w:val="center"/>
              <w:rPr>
                <w:rFonts w:ascii="Times New Roman" w:eastAsia="Times New Roman" w:hAnsi="Times New Roman" w:cs="Times New Roman"/>
                <w:b/>
                <w:bCs/>
                <w:noProof/>
                <w:sz w:val="13"/>
                <w:szCs w:val="13"/>
                <w:lang w:val="en-US"/>
              </w:rPr>
            </w:pPr>
          </w:p>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b/>
                <w:noProof/>
                <w:sz w:val="12"/>
                <w:shd w:val="clear" w:color="auto" w:fill="DA9694"/>
              </w:rPr>
              <w:t>86 + anexa</w:t>
            </w:r>
            <w:r>
              <w:rPr>
                <w:rFonts w:ascii="Times New Roman"/>
                <w:b/>
                <w:noProof/>
                <w:sz w:val="12"/>
                <w:shd w:val="clear" w:color="auto" w:fill="DA9694"/>
              </w:rPr>
              <w:t> </w:t>
            </w:r>
            <w:r>
              <w:rPr>
                <w:rFonts w:ascii="Times New Roman"/>
                <w:b/>
                <w:noProof/>
                <w:sz w:val="12"/>
                <w:shd w:val="clear" w:color="auto" w:fill="DA9694"/>
              </w:rPr>
              <w:t>IX</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7"/>
                <w:szCs w:val="17"/>
              </w:rPr>
            </w:pPr>
            <w:r>
              <w:rPr>
                <w:rFonts w:ascii="Times New Roman"/>
                <w:b/>
                <w:noProof/>
                <w:sz w:val="17"/>
              </w:rPr>
              <w:t>Procedura disciplinar</w:t>
            </w:r>
            <w:r>
              <w:rPr>
                <w:rFonts w:ascii="Times New Roman"/>
                <w:b/>
                <w:noProof/>
                <w:sz w:val="17"/>
              </w:rPr>
              <w:t>ă</w:t>
            </w:r>
            <w:r>
              <w:rPr>
                <w:rFonts w:ascii="Times New Roman"/>
                <w:b/>
                <w:noProof/>
                <w:sz w:val="17"/>
              </w:rPr>
              <w:t xml:space="preserve"> </w:t>
            </w:r>
            <w:r>
              <w:rPr>
                <w:rFonts w:ascii="Times New Roman"/>
                <w:b/>
                <w:noProof/>
                <w:sz w:val="17"/>
              </w:rPr>
              <w:t>ș</w:t>
            </w:r>
            <w:r>
              <w:rPr>
                <w:rFonts w:ascii="Times New Roman"/>
                <w:b/>
                <w:noProof/>
                <w:sz w:val="17"/>
              </w:rPr>
              <w:t>i anchetele administrative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3"/>
              </w:rPr>
              <w:t>Decizia 635/05 A privind dispozi</w:t>
            </w:r>
            <w:r>
              <w:rPr>
                <w:rFonts w:ascii="Times New Roman"/>
                <w:noProof/>
                <w:sz w:val="13"/>
              </w:rPr>
              <w:t>ț</w:t>
            </w:r>
            <w:r>
              <w:rPr>
                <w:rFonts w:ascii="Times New Roman"/>
                <w:noProof/>
                <w:sz w:val="13"/>
              </w:rPr>
              <w:t xml:space="preserve">iile generale de punere </w:t>
            </w:r>
            <w:r>
              <w:rPr>
                <w:rFonts w:ascii="Times New Roman"/>
                <w:noProof/>
                <w:sz w:val="13"/>
              </w:rPr>
              <w:t>î</w:t>
            </w:r>
            <w:r>
              <w:rPr>
                <w:rFonts w:ascii="Times New Roman"/>
                <w:noProof/>
                <w:sz w:val="13"/>
              </w:rPr>
              <w:t xml:space="preserve">n aplicare referitoare la procedurile disciplinare </w:t>
            </w:r>
            <w:r>
              <w:rPr>
                <w:rFonts w:ascii="Times New Roman"/>
                <w:noProof/>
                <w:sz w:val="13"/>
              </w:rPr>
              <w:t>ș</w:t>
            </w:r>
            <w:r>
              <w:rPr>
                <w:rFonts w:ascii="Times New Roman"/>
                <w:noProof/>
                <w:sz w:val="13"/>
              </w:rPr>
              <w:t>i anchetele administrative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noProof/>
                <w:w w:val="105"/>
                <w:sz w:val="13"/>
                <w:szCs w:val="13"/>
                <w:lang w:val="en-US"/>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3"/>
              </w:rPr>
              <w:t>7.12.2005</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3"/>
              </w:rPr>
              <w:t>6.6.2023</w:t>
            </w:r>
          </w:p>
        </w:tc>
        <w:tc>
          <w:tcPr>
            <w:tcW w:w="936" w:type="dxa"/>
            <w:vMerge w:val="restart"/>
            <w:tcBorders>
              <w:top w:val="single" w:sz="5"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17"/>
        </w:trPr>
        <w:tc>
          <w:tcPr>
            <w:tcW w:w="1156" w:type="dxa"/>
            <w:vMerge/>
            <w:tcBorders>
              <w:left w:val="single" w:sz="4"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3"/>
              </w:rPr>
              <w:t>Decizia 023/07 A de stabilire a componen</w:t>
            </w:r>
            <w:r>
              <w:rPr>
                <w:rFonts w:ascii="Times New Roman"/>
                <w:noProof/>
                <w:sz w:val="13"/>
              </w:rPr>
              <w:t>ț</w:t>
            </w:r>
            <w:r>
              <w:rPr>
                <w:rFonts w:ascii="Times New Roman"/>
                <w:noProof/>
                <w:sz w:val="13"/>
              </w:rPr>
              <w:t>ei comisiei de disciplin</w:t>
            </w:r>
            <w:r>
              <w:rPr>
                <w:rFonts w:ascii="Times New Roman"/>
                <w:noProof/>
                <w:sz w:val="13"/>
              </w:rPr>
              <w:t>ă</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3"/>
              </w:rPr>
              <w:t>22.1.2007</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3"/>
              </w:rPr>
              <w:t>6.6.2023</w:t>
            </w:r>
          </w:p>
        </w:tc>
        <w:tc>
          <w:tcPr>
            <w:tcW w:w="936" w:type="dxa"/>
            <w:vMerge/>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71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noProof/>
                <w:sz w:val="13"/>
              </w:rPr>
              <w:t>Decizia 124/23 de adoptare a dispozi</w:t>
            </w:r>
            <w:r>
              <w:rPr>
                <w:rFonts w:ascii="Times New Roman"/>
                <w:noProof/>
                <w:sz w:val="13"/>
              </w:rPr>
              <w:t>ț</w:t>
            </w:r>
            <w:r>
              <w:rPr>
                <w:rFonts w:ascii="Times New Roman"/>
                <w:noProof/>
                <w:sz w:val="13"/>
              </w:rPr>
              <w:t xml:space="preserve">iilor generale de punere </w:t>
            </w:r>
            <w:r>
              <w:rPr>
                <w:rFonts w:ascii="Times New Roman"/>
                <w:noProof/>
                <w:sz w:val="13"/>
              </w:rPr>
              <w:t>î</w:t>
            </w:r>
            <w:r>
              <w:rPr>
                <w:rFonts w:ascii="Times New Roman"/>
                <w:noProof/>
                <w:sz w:val="13"/>
              </w:rPr>
              <w:t xml:space="preserve">n aplicare privind anchetele administrative </w:t>
            </w:r>
            <w:r>
              <w:rPr>
                <w:rFonts w:ascii="Times New Roman"/>
                <w:noProof/>
                <w:sz w:val="13"/>
              </w:rPr>
              <w:t>ș</w:t>
            </w:r>
            <w:r>
              <w:rPr>
                <w:rFonts w:ascii="Times New Roman"/>
                <w:noProof/>
                <w:sz w:val="13"/>
              </w:rPr>
              <w:t>i a dispozi</w:t>
            </w:r>
            <w:r>
              <w:rPr>
                <w:rFonts w:ascii="Times New Roman"/>
                <w:noProof/>
                <w:sz w:val="13"/>
              </w:rPr>
              <w:t>ț</w:t>
            </w:r>
            <w:r>
              <w:rPr>
                <w:rFonts w:ascii="Times New Roman"/>
                <w:noProof/>
                <w:sz w:val="13"/>
              </w:rPr>
              <w:t xml:space="preserve">iilor de punere </w:t>
            </w:r>
            <w:r>
              <w:rPr>
                <w:rFonts w:ascii="Times New Roman"/>
                <w:noProof/>
                <w:sz w:val="13"/>
              </w:rPr>
              <w:t>î</w:t>
            </w:r>
            <w:r>
              <w:rPr>
                <w:rFonts w:ascii="Times New Roman"/>
                <w:noProof/>
                <w:sz w:val="13"/>
              </w:rPr>
              <w:t>n aplicare privind procedura disciplinar</w:t>
            </w:r>
            <w:r>
              <w:rPr>
                <w:rFonts w:ascii="Times New Roman"/>
                <w:noProof/>
                <w:sz w:val="13"/>
              </w:rPr>
              <w:t>ă</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3"/>
              </w:rPr>
              <w:t>6.6.2023</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 – Agenții temporari</w:t>
            </w:r>
          </w:p>
        </w:tc>
      </w:tr>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81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8</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b/>
                <w:noProof/>
                <w:sz w:val="17"/>
              </w:rPr>
              <w:t>Politica general</w:t>
            </w:r>
            <w:r>
              <w:rPr>
                <w:rFonts w:ascii="Times New Roman"/>
                <w:b/>
                <w:noProof/>
                <w:sz w:val="17"/>
              </w:rPr>
              <w:t>ă</w:t>
            </w:r>
            <w:r>
              <w:rPr>
                <w:rFonts w:ascii="Times New Roman"/>
                <w:b/>
                <w:noProof/>
                <w:sz w:val="17"/>
              </w:rPr>
              <w:t xml:space="preserve"> pentru angajarea </w:t>
            </w:r>
            <w:r>
              <w:rPr>
                <w:rFonts w:ascii="Times New Roman"/>
                <w:b/>
                <w:noProof/>
                <w:sz w:val="17"/>
              </w:rPr>
              <w:t>ș</w:t>
            </w:r>
            <w:r>
              <w:rPr>
                <w:rFonts w:ascii="Times New Roman"/>
                <w:b/>
                <w:noProof/>
                <w:sz w:val="17"/>
              </w:rPr>
              <w:t>i utilizarea agen</w:t>
            </w:r>
            <w:r>
              <w:rPr>
                <w:rFonts w:ascii="Times New Roman"/>
                <w:b/>
                <w:noProof/>
                <w:sz w:val="17"/>
              </w:rPr>
              <w:t>ț</w:t>
            </w:r>
            <w:r>
              <w:rPr>
                <w:rFonts w:ascii="Times New Roman"/>
                <w:b/>
                <w:noProof/>
                <w:sz w:val="17"/>
              </w:rPr>
              <w:t>ilor temporari</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Directiva intern</w:t>
            </w:r>
            <w:r>
              <w:rPr>
                <w:rFonts w:ascii="Times New Roman"/>
                <w:noProof/>
                <w:sz w:val="12"/>
              </w:rPr>
              <w:t>ă</w:t>
            </w:r>
            <w:r>
              <w:rPr>
                <w:rFonts w:ascii="Times New Roman"/>
                <w:noProof/>
                <w:sz w:val="12"/>
              </w:rPr>
              <w:t xml:space="preserve"> DRH 001/15 </w:t>
            </w:r>
            <w:r>
              <w:rPr>
                <w:rFonts w:ascii="Times New Roman"/>
                <w:noProof/>
                <w:sz w:val="12"/>
              </w:rPr>
              <w:t>–</w:t>
            </w:r>
            <w:r>
              <w:rPr>
                <w:rFonts w:ascii="Times New Roman"/>
                <w:noProof/>
                <w:sz w:val="12"/>
              </w:rPr>
              <w:t xml:space="preserve"> Orient</w:t>
            </w:r>
            <w:r>
              <w:rPr>
                <w:rFonts w:ascii="Times New Roman"/>
                <w:noProof/>
                <w:sz w:val="12"/>
              </w:rPr>
              <w:t>ă</w:t>
            </w:r>
            <w:r>
              <w:rPr>
                <w:rFonts w:ascii="Times New Roman"/>
                <w:noProof/>
                <w:sz w:val="12"/>
              </w:rPr>
              <w:t>ri privind angajarea agen</w:t>
            </w:r>
            <w:r>
              <w:rPr>
                <w:rFonts w:ascii="Times New Roman"/>
                <w:noProof/>
                <w:sz w:val="12"/>
              </w:rPr>
              <w:t>ț</w:t>
            </w:r>
            <w:r>
              <w:rPr>
                <w:rFonts w:ascii="Times New Roman"/>
                <w:noProof/>
                <w:sz w:val="12"/>
              </w:rPr>
              <w:t xml:space="preserve">ilor temporari </w:t>
            </w:r>
            <w:r>
              <w:rPr>
                <w:rFonts w:ascii="Times New Roman"/>
                <w:noProof/>
                <w:sz w:val="12"/>
              </w:rPr>
              <w:t>î</w:t>
            </w:r>
            <w:r>
              <w:rPr>
                <w:rFonts w:ascii="Times New Roman"/>
                <w:noProof/>
                <w:sz w:val="12"/>
              </w:rPr>
              <w:t>n cadrul CESE [</w:t>
            </w:r>
            <w:r>
              <w:rPr>
                <w:rFonts w:ascii="Times New Roman"/>
                <w:noProof/>
                <w:sz w:val="12"/>
              </w:rPr>
              <w:t>î</w:t>
            </w:r>
            <w:r>
              <w:rPr>
                <w:rFonts w:ascii="Times New Roman"/>
                <w:noProof/>
                <w:sz w:val="12"/>
              </w:rPr>
              <w:t>n conformitate cu articolul</w:t>
            </w:r>
            <w:r>
              <w:rPr>
                <w:rFonts w:ascii="Times New Roman"/>
                <w:noProof/>
                <w:sz w:val="12"/>
              </w:rPr>
              <w:t> </w:t>
            </w:r>
            <w:r>
              <w:rPr>
                <w:rFonts w:ascii="Times New Roman"/>
                <w:noProof/>
                <w:sz w:val="12"/>
              </w:rPr>
              <w:t>2 literele</w:t>
            </w:r>
            <w:r>
              <w:rPr>
                <w:rFonts w:ascii="Times New Roman"/>
                <w:noProof/>
                <w:sz w:val="12"/>
              </w:rPr>
              <w:t> </w:t>
            </w:r>
            <w:r>
              <w:rPr>
                <w:rFonts w:ascii="Times New Roman"/>
                <w:noProof/>
                <w:sz w:val="12"/>
              </w:rPr>
              <w:t xml:space="preserve">(a) </w:t>
            </w:r>
            <w:r>
              <w:rPr>
                <w:rFonts w:ascii="Times New Roman"/>
                <w:noProof/>
                <w:sz w:val="12"/>
              </w:rPr>
              <w:t>ș</w:t>
            </w:r>
            <w:r>
              <w:rPr>
                <w:rFonts w:ascii="Times New Roman"/>
                <w:noProof/>
                <w:sz w:val="12"/>
              </w:rPr>
              <w:t>i (b) din Regimul aplicabil celorlal</w:t>
            </w:r>
            <w:r>
              <w:rPr>
                <w:rFonts w:ascii="Times New Roman"/>
                <w:noProof/>
                <w:sz w:val="12"/>
              </w:rPr>
              <w:t>ț</w:t>
            </w:r>
            <w:r>
              <w:rPr>
                <w:rFonts w:ascii="Times New Roman"/>
                <w:noProof/>
                <w:sz w:val="12"/>
              </w:rPr>
              <w:t>i agen</w:t>
            </w:r>
            <w:r>
              <w:rPr>
                <w:rFonts w:ascii="Times New Roman"/>
                <w:noProof/>
                <w:sz w:val="12"/>
              </w:rPr>
              <w:t>ț</w:t>
            </w:r>
            <w:r>
              <w:rPr>
                <w:rFonts w:ascii="Times New Roman"/>
                <w:noProof/>
                <w:sz w:val="12"/>
              </w:rPr>
              <w:t xml:space="preserve">i </w:t>
            </w:r>
            <w:r>
              <w:rPr>
                <w:rFonts w:ascii="Times New Roman"/>
                <w:noProof/>
                <w:sz w:val="12"/>
              </w:rPr>
              <w:t>–</w:t>
            </w:r>
            <w:r>
              <w:rPr>
                <w:rFonts w:ascii="Times New Roman"/>
                <w:noProof/>
                <w:sz w:val="12"/>
              </w:rPr>
              <w:t xml:space="preserve"> RAA]</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17.12.2015</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10 + 15</w:t>
            </w: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 xml:space="preserve">Decizia 444/14 A </w:t>
            </w:r>
            <w:r>
              <w:rPr>
                <w:rFonts w:ascii="Times New Roman"/>
                <w:noProof/>
                <w:sz w:val="12"/>
              </w:rPr>
              <w:t>–</w:t>
            </w:r>
            <w:r>
              <w:rPr>
                <w:rFonts w:ascii="Times New Roman"/>
                <w:noProof/>
                <w:sz w:val="12"/>
              </w:rPr>
              <w:t xml:space="preserve"> Dispozi</w:t>
            </w:r>
            <w:r>
              <w:rPr>
                <w:rFonts w:ascii="Times New Roman"/>
                <w:noProof/>
                <w:sz w:val="12"/>
              </w:rPr>
              <w:t>ț</w:t>
            </w:r>
            <w:r>
              <w:rPr>
                <w:rFonts w:ascii="Times New Roman"/>
                <w:noProof/>
                <w:sz w:val="12"/>
              </w:rPr>
              <w:t xml:space="preserve">iile generale de punere </w:t>
            </w:r>
            <w:r>
              <w:rPr>
                <w:rFonts w:ascii="Times New Roman"/>
                <w:noProof/>
                <w:sz w:val="12"/>
              </w:rPr>
              <w:t>î</w:t>
            </w:r>
            <w:r>
              <w:rPr>
                <w:rFonts w:ascii="Times New Roman"/>
                <w:noProof/>
                <w:sz w:val="12"/>
              </w:rPr>
              <w:t xml:space="preserve">n aplicare </w:t>
            </w:r>
            <w:r>
              <w:rPr>
                <w:rFonts w:ascii="Times New Roman"/>
                <w:noProof/>
                <w:sz w:val="12"/>
              </w:rPr>
              <w:t>î</w:t>
            </w:r>
            <w:r>
              <w:rPr>
                <w:rFonts w:ascii="Times New Roman"/>
                <w:noProof/>
                <w:sz w:val="12"/>
              </w:rPr>
              <w:t>n ceea ce prive</w:t>
            </w:r>
            <w:r>
              <w:rPr>
                <w:rFonts w:ascii="Times New Roman"/>
                <w:noProof/>
                <w:sz w:val="12"/>
              </w:rPr>
              <w:t>ș</w:t>
            </w:r>
            <w:r>
              <w:rPr>
                <w:rFonts w:ascii="Times New Roman"/>
                <w:noProof/>
                <w:sz w:val="12"/>
              </w:rPr>
              <w:t xml:space="preserve">te </w:t>
            </w:r>
            <w:r>
              <w:rPr>
                <w:rFonts w:ascii="Times New Roman"/>
                <w:noProof/>
                <w:sz w:val="12"/>
              </w:rPr>
              <w:t>î</w:t>
            </w:r>
            <w:r>
              <w:rPr>
                <w:rFonts w:ascii="Times New Roman"/>
                <w:noProof/>
                <w:sz w:val="12"/>
              </w:rPr>
              <w:t xml:space="preserve">ncadrarea </w:t>
            </w:r>
            <w:r>
              <w:rPr>
                <w:rFonts w:ascii="Times New Roman"/>
                <w:noProof/>
                <w:sz w:val="12"/>
              </w:rPr>
              <w:t>î</w:t>
            </w:r>
            <w:r>
              <w:rPr>
                <w:rFonts w:ascii="Times New Roman"/>
                <w:noProof/>
                <w:sz w:val="12"/>
              </w:rPr>
              <w:t>n grad a personalului la momentul recrut</w:t>
            </w:r>
            <w:r>
              <w:rPr>
                <w:rFonts w:ascii="Times New Roman"/>
                <w:noProof/>
                <w:sz w:val="12"/>
              </w:rPr>
              <w:t>ă</w:t>
            </w:r>
            <w:r>
              <w:rPr>
                <w:rFonts w:ascii="Times New Roman"/>
                <w:noProof/>
                <w:sz w:val="12"/>
              </w:rPr>
              <w:t>rii sau angaj</w:t>
            </w:r>
            <w:r>
              <w:rPr>
                <w:rFonts w:ascii="Times New Roman"/>
                <w:noProof/>
                <w:sz w:val="12"/>
              </w:rPr>
              <w:t>ă</w:t>
            </w:r>
            <w:r>
              <w:rPr>
                <w:rFonts w:ascii="Times New Roman"/>
                <w:noProof/>
                <w:sz w:val="12"/>
              </w:rPr>
              <w:t>rii</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4.12.2014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 xml:space="preserve">0 </w:t>
            </w:r>
          </w:p>
        </w:tc>
      </w:tr>
      <w:tr>
        <w:trPr>
          <w:trHeight w:hRule="exact" w:val="702"/>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10 alineatul (3)</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b/>
                <w:noProof/>
                <w:sz w:val="17"/>
              </w:rPr>
              <w:t>Reclasificarea agen</w:t>
            </w:r>
            <w:r>
              <w:rPr>
                <w:rFonts w:ascii="Times New Roman"/>
                <w:b/>
                <w:noProof/>
                <w:sz w:val="17"/>
              </w:rPr>
              <w:t>ț</w:t>
            </w:r>
            <w:r>
              <w:rPr>
                <w:rFonts w:ascii="Times New Roman"/>
                <w:b/>
                <w:noProof/>
                <w:sz w:val="17"/>
              </w:rPr>
              <w:t xml:space="preserve">ilor temporari </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Decizia 218/22 A de adoptare a normelor privind reclasificarea agen</w:t>
            </w:r>
            <w:r>
              <w:rPr>
                <w:rFonts w:ascii="Times New Roman"/>
                <w:noProof/>
                <w:sz w:val="12"/>
              </w:rPr>
              <w:t>ț</w:t>
            </w:r>
            <w:r>
              <w:rPr>
                <w:rFonts w:ascii="Times New Roman"/>
                <w:noProof/>
                <w:sz w:val="12"/>
              </w:rPr>
              <w:t>ilor temporari angaja</w:t>
            </w:r>
            <w:r>
              <w:rPr>
                <w:rFonts w:ascii="Times New Roman"/>
                <w:noProof/>
                <w:sz w:val="12"/>
              </w:rPr>
              <w:t>ț</w:t>
            </w:r>
            <w:r>
              <w:rPr>
                <w:rFonts w:ascii="Times New Roman"/>
                <w:noProof/>
                <w:sz w:val="12"/>
              </w:rPr>
              <w:t>i pe perioad</w:t>
            </w:r>
            <w:r>
              <w:rPr>
                <w:rFonts w:ascii="Times New Roman"/>
                <w:noProof/>
                <w:sz w:val="12"/>
              </w:rPr>
              <w:t>ă</w:t>
            </w:r>
            <w:r>
              <w:rPr>
                <w:rFonts w:ascii="Times New Roman"/>
                <w:noProof/>
                <w:sz w:val="12"/>
              </w:rPr>
              <w:t xml:space="preserve"> nedeterminat</w:t>
            </w:r>
            <w:r>
              <w:rPr>
                <w:rFonts w:ascii="Times New Roman"/>
                <w:noProof/>
                <w:sz w:val="12"/>
              </w:rPr>
              <w:t>ă</w:t>
            </w:r>
            <w:r>
              <w:rPr>
                <w:rFonts w:ascii="Times New Roman"/>
                <w:noProof/>
                <w:sz w:val="12"/>
              </w:rPr>
              <w:t xml:space="preserve"> </w:t>
            </w:r>
            <w:r>
              <w:rPr>
                <w:rFonts w:ascii="Times New Roman"/>
                <w:noProof/>
                <w:sz w:val="12"/>
              </w:rPr>
              <w:t>î</w:t>
            </w:r>
            <w:r>
              <w:rPr>
                <w:rFonts w:ascii="Times New Roman"/>
                <w:noProof/>
                <w:sz w:val="12"/>
              </w:rPr>
              <w:t>n temeiul articolului</w:t>
            </w:r>
            <w:r>
              <w:rPr>
                <w:rFonts w:ascii="Times New Roman"/>
                <w:noProof/>
                <w:sz w:val="12"/>
              </w:rPr>
              <w:t> </w:t>
            </w:r>
            <w:r>
              <w:rPr>
                <w:rFonts w:ascii="Times New Roman"/>
                <w:noProof/>
                <w:sz w:val="12"/>
              </w:rPr>
              <w:t>2 alineatul (2) litera (a) sau al articolului</w:t>
            </w:r>
            <w:r>
              <w:rPr>
                <w:rFonts w:ascii="Times New Roman"/>
                <w:noProof/>
                <w:sz w:val="12"/>
              </w:rPr>
              <w:t> </w:t>
            </w:r>
            <w:r>
              <w:rPr>
                <w:rFonts w:ascii="Times New Roman"/>
                <w:noProof/>
                <w:sz w:val="12"/>
              </w:rPr>
              <w:t>2c litera (a) din RAA</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29.9.2022</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12"/>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12 alineatul (5)</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b/>
                <w:noProof/>
                <w:sz w:val="17"/>
              </w:rPr>
              <w:t>Procedurile de recrutare pentru agen</w:t>
            </w:r>
            <w:r>
              <w:rPr>
                <w:rFonts w:ascii="Times New Roman"/>
                <w:b/>
                <w:noProof/>
                <w:sz w:val="17"/>
              </w:rPr>
              <w:t>ț</w:t>
            </w:r>
            <w:r>
              <w:rPr>
                <w:rFonts w:ascii="Times New Roman"/>
                <w:b/>
                <w:noProof/>
                <w:sz w:val="17"/>
              </w:rPr>
              <w:t>ii temporari</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Directiva intern</w:t>
            </w:r>
            <w:r>
              <w:rPr>
                <w:rFonts w:ascii="Times New Roman"/>
                <w:noProof/>
                <w:sz w:val="12"/>
              </w:rPr>
              <w:t>ă</w:t>
            </w:r>
            <w:r>
              <w:rPr>
                <w:rFonts w:ascii="Times New Roman"/>
                <w:noProof/>
                <w:sz w:val="12"/>
              </w:rPr>
              <w:t xml:space="preserve"> DRH 001/15 </w:t>
            </w:r>
            <w:r>
              <w:rPr>
                <w:rFonts w:ascii="Times New Roman"/>
                <w:noProof/>
                <w:sz w:val="12"/>
              </w:rPr>
              <w:t>–</w:t>
            </w:r>
            <w:r>
              <w:rPr>
                <w:rFonts w:ascii="Times New Roman"/>
                <w:noProof/>
                <w:sz w:val="12"/>
              </w:rPr>
              <w:t xml:space="preserve"> Orient</w:t>
            </w:r>
            <w:r>
              <w:rPr>
                <w:rFonts w:ascii="Times New Roman"/>
                <w:noProof/>
                <w:sz w:val="12"/>
              </w:rPr>
              <w:t>ă</w:t>
            </w:r>
            <w:r>
              <w:rPr>
                <w:rFonts w:ascii="Times New Roman"/>
                <w:noProof/>
                <w:sz w:val="12"/>
              </w:rPr>
              <w:t>ri privind angajarea agen</w:t>
            </w:r>
            <w:r>
              <w:rPr>
                <w:rFonts w:ascii="Times New Roman"/>
                <w:noProof/>
                <w:sz w:val="12"/>
              </w:rPr>
              <w:t>ț</w:t>
            </w:r>
            <w:r>
              <w:rPr>
                <w:rFonts w:ascii="Times New Roman"/>
                <w:noProof/>
                <w:sz w:val="12"/>
              </w:rPr>
              <w:t xml:space="preserve">ilor temporari </w:t>
            </w:r>
            <w:r>
              <w:rPr>
                <w:rFonts w:ascii="Times New Roman"/>
                <w:noProof/>
                <w:sz w:val="12"/>
              </w:rPr>
              <w:t>î</w:t>
            </w:r>
            <w:r>
              <w:rPr>
                <w:rFonts w:ascii="Times New Roman"/>
                <w:noProof/>
                <w:sz w:val="12"/>
              </w:rPr>
              <w:t>n cadrul CESE [</w:t>
            </w:r>
            <w:r>
              <w:rPr>
                <w:rFonts w:ascii="Times New Roman"/>
                <w:noProof/>
                <w:sz w:val="12"/>
              </w:rPr>
              <w:t>î</w:t>
            </w:r>
            <w:r>
              <w:rPr>
                <w:rFonts w:ascii="Times New Roman"/>
                <w:noProof/>
                <w:sz w:val="12"/>
              </w:rPr>
              <w:t>n conformitate cu articolul</w:t>
            </w:r>
            <w:r>
              <w:rPr>
                <w:rFonts w:ascii="Times New Roman"/>
                <w:noProof/>
                <w:sz w:val="12"/>
              </w:rPr>
              <w:t> </w:t>
            </w:r>
            <w:r>
              <w:rPr>
                <w:rFonts w:ascii="Times New Roman"/>
                <w:noProof/>
                <w:sz w:val="12"/>
              </w:rPr>
              <w:t>2 literele</w:t>
            </w:r>
            <w:r>
              <w:rPr>
                <w:rFonts w:ascii="Times New Roman"/>
                <w:noProof/>
                <w:sz w:val="12"/>
              </w:rPr>
              <w:t> </w:t>
            </w:r>
            <w:r>
              <w:rPr>
                <w:rFonts w:ascii="Times New Roman"/>
                <w:noProof/>
                <w:sz w:val="12"/>
              </w:rPr>
              <w:t xml:space="preserve">(a) </w:t>
            </w:r>
            <w:r>
              <w:rPr>
                <w:rFonts w:ascii="Times New Roman"/>
                <w:noProof/>
                <w:sz w:val="12"/>
              </w:rPr>
              <w:t>ș</w:t>
            </w:r>
            <w:r>
              <w:rPr>
                <w:rFonts w:ascii="Times New Roman"/>
                <w:noProof/>
                <w:sz w:val="12"/>
              </w:rPr>
              <w:t>i (b) din Regimul aplicabil celorlal</w:t>
            </w:r>
            <w:r>
              <w:rPr>
                <w:rFonts w:ascii="Times New Roman"/>
                <w:noProof/>
                <w:sz w:val="12"/>
              </w:rPr>
              <w:t>ț</w:t>
            </w:r>
            <w:r>
              <w:rPr>
                <w:rFonts w:ascii="Times New Roman"/>
                <w:noProof/>
                <w:sz w:val="12"/>
              </w:rPr>
              <w:t>i agen</w:t>
            </w:r>
            <w:r>
              <w:rPr>
                <w:rFonts w:ascii="Times New Roman"/>
                <w:noProof/>
                <w:sz w:val="12"/>
              </w:rPr>
              <w:t>ț</w:t>
            </w:r>
            <w:r>
              <w:rPr>
                <w:rFonts w:ascii="Times New Roman"/>
                <w:noProof/>
                <w:sz w:val="12"/>
              </w:rPr>
              <w:t xml:space="preserve">i </w:t>
            </w:r>
            <w:r>
              <w:rPr>
                <w:rFonts w:ascii="Times New Roman"/>
                <w:noProof/>
                <w:sz w:val="12"/>
              </w:rPr>
              <w:t>–</w:t>
            </w:r>
            <w:r>
              <w:rPr>
                <w:rFonts w:ascii="Times New Roman"/>
                <w:noProof/>
                <w:sz w:val="12"/>
              </w:rPr>
              <w:t xml:space="preserve"> RAA]</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17.12.2015</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rPr>
                <w:rFonts w:ascii="Times New Roman" w:eastAsia="Times New Roman" w:hAnsi="Times New Roman" w:cs="Times New Roman"/>
                <w:noProof/>
                <w:sz w:val="19"/>
                <w:szCs w:val="19"/>
              </w:rPr>
            </w:pPr>
            <w:r>
              <w:rPr>
                <w:rFonts w:ascii="Times New Roman" w:hAnsi="Times New Roman"/>
                <w:b/>
                <w:noProof/>
                <w:sz w:val="19"/>
              </w:rPr>
              <w:t xml:space="preserve">                                                                                        Capitolul 4 – Condițiile de muncă </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16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Condițiile de muncă</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 xml:space="preserve">Decizia 205/18 privind orele suplimentare prestate de </w:t>
            </w:r>
            <w:r>
              <w:rPr>
                <w:rFonts w:ascii="Times New Roman"/>
                <w:noProof/>
                <w:sz w:val="12"/>
              </w:rPr>
              <w:t>ș</w:t>
            </w:r>
            <w:r>
              <w:rPr>
                <w:rFonts w:ascii="Times New Roman"/>
                <w:noProof/>
                <w:sz w:val="12"/>
              </w:rPr>
              <w:t>oferi</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1.1.2018</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b/>
                <w:noProof/>
                <w:sz w:val="12"/>
              </w:rPr>
              <w:t>17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b/>
                <w:noProof/>
                <w:sz w:val="17"/>
              </w:rPr>
              <w:t xml:space="preserve">Concediul de maternitate </w:t>
            </w:r>
            <w:r>
              <w:rPr>
                <w:rFonts w:ascii="Times New Roman"/>
                <w:b/>
                <w:noProof/>
                <w:sz w:val="17"/>
              </w:rPr>
              <w:t>ș</w:t>
            </w:r>
            <w:r>
              <w:rPr>
                <w:rFonts w:ascii="Times New Roman"/>
                <w:b/>
                <w:noProof/>
                <w:sz w:val="17"/>
              </w:rPr>
              <w:t>i aloca</w:t>
            </w:r>
            <w:r>
              <w:rPr>
                <w:rFonts w:ascii="Times New Roman"/>
                <w:b/>
                <w:noProof/>
                <w:sz w:val="17"/>
              </w:rPr>
              <w:t>ț</w:t>
            </w:r>
            <w:r>
              <w:rPr>
                <w:rFonts w:ascii="Times New Roman"/>
                <w:b/>
                <w:noProof/>
                <w:sz w:val="17"/>
              </w:rPr>
              <w:t>ia aferent</w:t>
            </w:r>
            <w:r>
              <w:rPr>
                <w:rFonts w:ascii="Times New Roman"/>
                <w:b/>
                <w:noProof/>
                <w:sz w:val="17"/>
              </w:rPr>
              <w:t>ă</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noProof/>
                <w:sz w:val="12"/>
              </w:rPr>
              <w:t xml:space="preserve">Decizia 234/14 A privind concediul de maternitate </w:t>
            </w:r>
            <w:r>
              <w:rPr>
                <w:rFonts w:ascii="Times New Roman"/>
                <w:noProof/>
                <w:sz w:val="12"/>
              </w:rPr>
              <w:t>ș</w:t>
            </w:r>
            <w:r>
              <w:rPr>
                <w:rFonts w:ascii="Times New Roman"/>
                <w:noProof/>
                <w:sz w:val="12"/>
              </w:rPr>
              <w:t>i aloca</w:t>
            </w:r>
            <w:r>
              <w:rPr>
                <w:rFonts w:ascii="Times New Roman"/>
                <w:noProof/>
                <w:sz w:val="12"/>
              </w:rPr>
              <w:t>ț</w:t>
            </w:r>
            <w:r>
              <w:rPr>
                <w:rFonts w:ascii="Times New Roman"/>
                <w:noProof/>
                <w:sz w:val="12"/>
              </w:rPr>
              <w:t>ia aferent</w:t>
            </w:r>
            <w:r>
              <w:rPr>
                <w:rFonts w:ascii="Times New Roman"/>
                <w:noProof/>
                <w:sz w:val="12"/>
              </w:rPr>
              <w:t>ă</w:t>
            </w:r>
            <w:r>
              <w:rPr>
                <w:rFonts w:ascii="Times New Roman"/>
                <w:noProof/>
                <w:sz w:val="12"/>
              </w:rPr>
              <w:t xml:space="preserve"> pentru femeile al c</w:t>
            </w:r>
            <w:r>
              <w:rPr>
                <w:rFonts w:ascii="Times New Roman"/>
                <w:noProof/>
                <w:sz w:val="12"/>
              </w:rPr>
              <w:t>ă</w:t>
            </w:r>
            <w:r>
              <w:rPr>
                <w:rFonts w:ascii="Times New Roman"/>
                <w:noProof/>
                <w:sz w:val="12"/>
              </w:rPr>
              <w:t xml:space="preserve">ror concediu de maternitate </w:t>
            </w:r>
            <w:r>
              <w:rPr>
                <w:rFonts w:ascii="Times New Roman"/>
                <w:noProof/>
                <w:sz w:val="12"/>
              </w:rPr>
              <w:t>î</w:t>
            </w:r>
            <w:r>
              <w:rPr>
                <w:rFonts w:ascii="Times New Roman"/>
                <w:noProof/>
                <w:sz w:val="12"/>
              </w:rPr>
              <w:t xml:space="preserve">ncepe </w:t>
            </w:r>
            <w:r>
              <w:rPr>
                <w:rFonts w:ascii="Times New Roman"/>
                <w:noProof/>
                <w:sz w:val="12"/>
              </w:rPr>
              <w:t>î</w:t>
            </w:r>
            <w:r>
              <w:rPr>
                <w:rFonts w:ascii="Times New Roman"/>
                <w:noProof/>
                <w:sz w:val="12"/>
              </w:rPr>
              <w:t>nainte de sf</w:t>
            </w:r>
            <w:r>
              <w:rPr>
                <w:rFonts w:ascii="Times New Roman"/>
                <w:noProof/>
                <w:sz w:val="12"/>
              </w:rPr>
              <w:t>â</w:t>
            </w:r>
            <w:r>
              <w:rPr>
                <w:rFonts w:ascii="Times New Roman"/>
                <w:noProof/>
                <w:sz w:val="12"/>
              </w:rPr>
              <w:t>r</w:t>
            </w:r>
            <w:r>
              <w:rPr>
                <w:rFonts w:ascii="Times New Roman"/>
                <w:noProof/>
                <w:sz w:val="12"/>
              </w:rPr>
              <w:t>ș</w:t>
            </w:r>
            <w:r>
              <w:rPr>
                <w:rFonts w:ascii="Times New Roman"/>
                <w:noProof/>
                <w:sz w:val="12"/>
              </w:rPr>
              <w:t>itul contractului lor</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740"/>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b/>
                <w:noProof/>
                <w:sz w:val="11"/>
              </w:rPr>
              <w:t>79 alineatul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b/>
                <w:noProof/>
                <w:sz w:val="17"/>
              </w:rPr>
              <w:t>Utilizarea agen</w:t>
            </w:r>
            <w:r>
              <w:rPr>
                <w:rFonts w:ascii="Times New Roman"/>
                <w:b/>
                <w:noProof/>
                <w:sz w:val="17"/>
              </w:rPr>
              <w:t>ț</w:t>
            </w:r>
            <w:r>
              <w:rPr>
                <w:rFonts w:ascii="Times New Roman"/>
                <w:b/>
                <w:noProof/>
                <w:sz w:val="17"/>
              </w:rPr>
              <w:t>ilor contractuali</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noProof/>
                <w:sz w:val="12"/>
              </w:rPr>
              <w:t>Decizia 443/14 A de adoptare a dispozi</w:t>
            </w:r>
            <w:r>
              <w:rPr>
                <w:rFonts w:ascii="Times New Roman"/>
                <w:noProof/>
                <w:sz w:val="12"/>
              </w:rPr>
              <w:t>ț</w:t>
            </w:r>
            <w:r>
              <w:rPr>
                <w:rFonts w:ascii="Times New Roman"/>
                <w:noProof/>
                <w:sz w:val="12"/>
              </w:rPr>
              <w:t xml:space="preserve">iilor generale de punere </w:t>
            </w:r>
            <w:r>
              <w:rPr>
                <w:rFonts w:ascii="Times New Roman"/>
                <w:noProof/>
                <w:sz w:val="12"/>
              </w:rPr>
              <w:t>î</w:t>
            </w:r>
            <w:r>
              <w:rPr>
                <w:rFonts w:ascii="Times New Roman"/>
                <w:noProof/>
                <w:sz w:val="12"/>
              </w:rPr>
              <w:t xml:space="preserve">n aplicare privind recrutarea </w:t>
            </w:r>
            <w:r>
              <w:rPr>
                <w:rFonts w:ascii="Times New Roman"/>
                <w:noProof/>
                <w:sz w:val="12"/>
              </w:rPr>
              <w:t>ș</w:t>
            </w:r>
            <w:r>
              <w:rPr>
                <w:rFonts w:ascii="Times New Roman"/>
                <w:noProof/>
                <w:sz w:val="12"/>
              </w:rPr>
              <w:t>i angajarea agen</w:t>
            </w:r>
            <w:r>
              <w:rPr>
                <w:rFonts w:ascii="Times New Roman"/>
                <w:noProof/>
                <w:sz w:val="12"/>
              </w:rPr>
              <w:t>ț</w:t>
            </w:r>
            <w:r>
              <w:rPr>
                <w:rFonts w:ascii="Times New Roman"/>
                <w:noProof/>
                <w:sz w:val="12"/>
              </w:rPr>
              <w:t xml:space="preserve">ilor contractuali </w:t>
            </w:r>
            <w:r>
              <w:rPr>
                <w:rFonts w:ascii="Times New Roman"/>
                <w:noProof/>
                <w:sz w:val="12"/>
              </w:rPr>
              <w:t>î</w:t>
            </w:r>
            <w:r>
              <w:rPr>
                <w:rFonts w:ascii="Times New Roman"/>
                <w:noProof/>
                <w:sz w:val="12"/>
              </w:rPr>
              <w:t xml:space="preserve">n cadrul Comitetului Economic </w:t>
            </w:r>
            <w:r>
              <w:rPr>
                <w:rFonts w:ascii="Times New Roman"/>
                <w:noProof/>
                <w:sz w:val="12"/>
              </w:rPr>
              <w:t>ș</w:t>
            </w:r>
            <w:r>
              <w:rPr>
                <w:rFonts w:ascii="Times New Roman"/>
                <w:noProof/>
                <w:sz w:val="12"/>
              </w:rPr>
              <w:t>i Social European</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4.12.2014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b/>
                <w:noProof/>
                <w:sz w:val="12"/>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b/>
                <w:noProof/>
                <w:sz w:val="17"/>
              </w:rPr>
              <w:t>Procedurile de recrutare pentru agen</w:t>
            </w:r>
            <w:r>
              <w:rPr>
                <w:rFonts w:ascii="Times New Roman"/>
                <w:b/>
                <w:noProof/>
                <w:sz w:val="17"/>
              </w:rPr>
              <w:t>ț</w:t>
            </w:r>
            <w:r>
              <w:rPr>
                <w:rFonts w:ascii="Times New Roman"/>
                <w:b/>
                <w:noProof/>
                <w:sz w:val="17"/>
              </w:rPr>
              <w:t>ii contractuali</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noProof/>
                <w:sz w:val="12"/>
              </w:rPr>
              <w:t>Decizia 443/14 A de adoptare a dispozi</w:t>
            </w:r>
            <w:r>
              <w:rPr>
                <w:rFonts w:ascii="Times New Roman"/>
                <w:noProof/>
                <w:sz w:val="12"/>
              </w:rPr>
              <w:t>ț</w:t>
            </w:r>
            <w:r>
              <w:rPr>
                <w:rFonts w:ascii="Times New Roman"/>
                <w:noProof/>
                <w:sz w:val="12"/>
              </w:rPr>
              <w:t xml:space="preserve">iilor generale de punere </w:t>
            </w:r>
            <w:r>
              <w:rPr>
                <w:rFonts w:ascii="Times New Roman"/>
                <w:noProof/>
                <w:sz w:val="12"/>
              </w:rPr>
              <w:t>î</w:t>
            </w:r>
            <w:r>
              <w:rPr>
                <w:rFonts w:ascii="Times New Roman"/>
                <w:noProof/>
                <w:sz w:val="12"/>
              </w:rPr>
              <w:t xml:space="preserve">n aplicare privind recrutarea </w:t>
            </w:r>
            <w:r>
              <w:rPr>
                <w:rFonts w:ascii="Times New Roman"/>
                <w:noProof/>
                <w:sz w:val="12"/>
              </w:rPr>
              <w:t>ș</w:t>
            </w:r>
            <w:r>
              <w:rPr>
                <w:rFonts w:ascii="Times New Roman"/>
                <w:noProof/>
                <w:sz w:val="12"/>
              </w:rPr>
              <w:t>i angajarea agen</w:t>
            </w:r>
            <w:r>
              <w:rPr>
                <w:rFonts w:ascii="Times New Roman"/>
                <w:noProof/>
                <w:sz w:val="12"/>
              </w:rPr>
              <w:t>ț</w:t>
            </w:r>
            <w:r>
              <w:rPr>
                <w:rFonts w:ascii="Times New Roman"/>
                <w:noProof/>
                <w:sz w:val="12"/>
              </w:rPr>
              <w:t xml:space="preserve">ilor contractuali </w:t>
            </w:r>
            <w:r>
              <w:rPr>
                <w:rFonts w:ascii="Times New Roman"/>
                <w:noProof/>
                <w:sz w:val="12"/>
              </w:rPr>
              <w:t>î</w:t>
            </w:r>
            <w:r>
              <w:rPr>
                <w:rFonts w:ascii="Times New Roman"/>
                <w:noProof/>
                <w:sz w:val="12"/>
              </w:rPr>
              <w:t xml:space="preserve">n cadrul Comitetului Economic </w:t>
            </w:r>
            <w:r>
              <w:rPr>
                <w:rFonts w:ascii="Times New Roman"/>
                <w:noProof/>
                <w:sz w:val="12"/>
              </w:rPr>
              <w:t>ș</w:t>
            </w:r>
            <w:r>
              <w:rPr>
                <w:rFonts w:ascii="Times New Roman"/>
                <w:noProof/>
                <w:sz w:val="12"/>
              </w:rPr>
              <w:t>i Social European</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noProof/>
                <w:sz w:val="12"/>
              </w:rPr>
              <w:t>4.12.2014</w:t>
            </w:r>
          </w:p>
        </w:tc>
        <w:tc>
          <w:tcPr>
            <w:tcW w:w="1687" w:type="dxa"/>
            <w:tcBorders>
              <w:top w:val="single" w:sz="6" w:space="0" w:color="000000"/>
              <w:left w:val="single" w:sz="4" w:space="0" w:color="000000"/>
              <w:bottom w:val="single" w:sz="4" w:space="0" w:color="auto"/>
              <w:right w:val="single" w:sz="4" w:space="0" w:color="auto"/>
            </w:tcBorders>
            <w:shd w:val="clear" w:color="auto" w:fill="FFFF65"/>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w:t>
            </w:r>
            <w:r>
              <w:rPr>
                <w:rFonts w:ascii="Times New Roman"/>
                <w:b/>
                <w:noProof/>
                <w:sz w:val="12"/>
              </w:rPr>
              <w:t>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b/>
                <w:noProof/>
                <w:sz w:val="17"/>
              </w:rPr>
              <w:t>Î</w:t>
            </w:r>
            <w:r>
              <w:rPr>
                <w:rFonts w:ascii="Times New Roman"/>
                <w:b/>
                <w:noProof/>
                <w:sz w:val="17"/>
              </w:rPr>
              <w:t xml:space="preserve">ncadrarea </w:t>
            </w:r>
            <w:r>
              <w:rPr>
                <w:rFonts w:ascii="Times New Roman"/>
                <w:b/>
                <w:noProof/>
                <w:sz w:val="17"/>
              </w:rPr>
              <w:t>î</w:t>
            </w:r>
            <w:r>
              <w:rPr>
                <w:rFonts w:ascii="Times New Roman"/>
                <w:b/>
                <w:noProof/>
                <w:sz w:val="17"/>
              </w:rPr>
              <w:t>n grad la momentul recrut</w:t>
            </w:r>
            <w:r>
              <w:rPr>
                <w:rFonts w:ascii="Times New Roman"/>
                <w:b/>
                <w:noProof/>
                <w:sz w:val="17"/>
              </w:rPr>
              <w:t>ă</w:t>
            </w:r>
            <w:r>
              <w:rPr>
                <w:rFonts w:ascii="Times New Roman"/>
                <w:b/>
                <w:noProof/>
                <w:sz w:val="17"/>
              </w:rPr>
              <w:t>rii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noProof/>
                <w:sz w:val="12"/>
              </w:rPr>
              <w:t>Decizia 443/14 A de adoptare a dispozi</w:t>
            </w:r>
            <w:r>
              <w:rPr>
                <w:rFonts w:ascii="Times New Roman"/>
                <w:noProof/>
                <w:sz w:val="12"/>
              </w:rPr>
              <w:t>ț</w:t>
            </w:r>
            <w:r>
              <w:rPr>
                <w:rFonts w:ascii="Times New Roman"/>
                <w:noProof/>
                <w:sz w:val="12"/>
              </w:rPr>
              <w:t xml:space="preserve">iilor generale de punere </w:t>
            </w:r>
            <w:r>
              <w:rPr>
                <w:rFonts w:ascii="Times New Roman"/>
                <w:noProof/>
                <w:sz w:val="12"/>
              </w:rPr>
              <w:t>î</w:t>
            </w:r>
            <w:r>
              <w:rPr>
                <w:rFonts w:ascii="Times New Roman"/>
                <w:noProof/>
                <w:sz w:val="12"/>
              </w:rPr>
              <w:t xml:space="preserve">n aplicare privind recrutarea </w:t>
            </w:r>
            <w:r>
              <w:rPr>
                <w:rFonts w:ascii="Times New Roman"/>
                <w:noProof/>
                <w:sz w:val="12"/>
              </w:rPr>
              <w:t>ș</w:t>
            </w:r>
            <w:r>
              <w:rPr>
                <w:rFonts w:ascii="Times New Roman"/>
                <w:noProof/>
                <w:sz w:val="12"/>
              </w:rPr>
              <w:t>i angajarea agen</w:t>
            </w:r>
            <w:r>
              <w:rPr>
                <w:rFonts w:ascii="Times New Roman"/>
                <w:noProof/>
                <w:sz w:val="12"/>
              </w:rPr>
              <w:t>ț</w:t>
            </w:r>
            <w:r>
              <w:rPr>
                <w:rFonts w:ascii="Times New Roman"/>
                <w:noProof/>
                <w:sz w:val="12"/>
              </w:rPr>
              <w:t xml:space="preserve">ilor contractuali </w:t>
            </w:r>
            <w:r>
              <w:rPr>
                <w:rFonts w:ascii="Times New Roman"/>
                <w:noProof/>
                <w:sz w:val="12"/>
              </w:rPr>
              <w:t>î</w:t>
            </w:r>
            <w:r>
              <w:rPr>
                <w:rFonts w:ascii="Times New Roman"/>
                <w:noProof/>
                <w:sz w:val="12"/>
              </w:rPr>
              <w:t xml:space="preserve">n cadrul Comitetului Economic </w:t>
            </w:r>
            <w:r>
              <w:rPr>
                <w:rFonts w:ascii="Times New Roman"/>
                <w:noProof/>
                <w:sz w:val="12"/>
              </w:rPr>
              <w:t>ș</w:t>
            </w:r>
            <w:r>
              <w:rPr>
                <w:rFonts w:ascii="Times New Roman"/>
                <w:noProof/>
                <w:sz w:val="12"/>
              </w:rPr>
              <w:t>i Social European</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noProof/>
                <w:sz w:val="12"/>
              </w:rPr>
              <w:t>4.12.2014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Legendă</w:t>
      </w:r>
    </w:p>
    <w:p>
      <w:pPr>
        <w:widowControl w:val="0"/>
        <w:spacing w:before="10" w:after="0" w:line="240" w:lineRule="auto"/>
        <w:rPr>
          <w:rFonts w:ascii="Times New Roman" w:eastAsia="Times New Roman" w:hAnsi="Times New Roman" w:cs="Times New Roman"/>
          <w:i/>
          <w:noProof/>
          <w:sz w:val="24"/>
          <w:szCs w:val="24"/>
        </w:rPr>
      </w:pPr>
      <w:r>
        <w:rPr>
          <w:noProof/>
        </w:rPr>
        <mc:AlternateContent>
          <mc:Choice Requires="wps">
            <w:drawing>
              <wp:anchor distT="0" distB="0" distL="114300" distR="114300" simplePos="0" relativeHeight="251666432" behindDoc="0" locked="0" layoutInCell="1" allowOverlap="1">
                <wp:simplePos x="0" y="0"/>
                <wp:positionH relativeFrom="column">
                  <wp:posOffset>2265680</wp:posOffset>
                </wp:positionH>
                <wp:positionV relativeFrom="paragraph">
                  <wp:posOffset>227330</wp:posOffset>
                </wp:positionV>
                <wp:extent cx="1983740" cy="457200"/>
                <wp:effectExtent l="0" t="0" r="16510" b="19050"/>
                <wp:wrapNone/>
                <wp:docPr id="151860833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3740"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30" style="position:absolute;margin-left:178.4pt;margin-top:17.9pt;width:156.2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" fillcolor="#d5dce4 [671]" strokecolor="black [3213]" strokeweight="1pt">
                <v:path arrowok="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Dispoziții generale de punere în aplicare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Alte norme de punere în aplicare</w:t>
            </w:r>
          </w:p>
        </w:tc>
      </w:tr>
    </w:tbl>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47"/>
              </w:rPr>
              <w:t>Comitetul Regiunilor</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5" w:space="0" w:color="000000" w:themeColor="text1"/>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567"/>
        </w:trPr>
        <w:tc>
          <w:tcPr>
            <w:tcW w:w="1156" w:type="dxa"/>
            <w:vMerge w:val="restart"/>
            <w:tcBorders>
              <w:top w:val="single" w:sz="6" w:space="0" w:color="000000" w:themeColor="text1"/>
              <w:left w:val="single" w:sz="4" w:space="0" w:color="000000" w:themeColor="text1"/>
              <w:right w:val="single" w:sz="4" w:space="0" w:color="auto"/>
            </w:tcBorders>
            <w:shd w:val="clear" w:color="auto" w:fill="DA9694"/>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 xml:space="preserve">Competențele autorității împuternicite să facă numiri (AIPN) </w:t>
            </w:r>
            <w:r>
              <w:rPr>
                <w:noProof/>
              </w:rPr>
              <w:t xml:space="preserve"> </w:t>
            </w:r>
            <w:r>
              <w:rPr>
                <w:noProof/>
              </w:rPr>
              <w:br/>
            </w:r>
            <w:r>
              <w:rPr>
                <w:rFonts w:ascii="Times New Roman" w:hAnsi="Times New Roman"/>
                <w:b/>
                <w:noProof/>
                <w:sz w:val="16"/>
              </w:rPr>
              <w:t>(subdelegare)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6/2016 privind competențele autorității împuternicite să facă numiri (AIPN)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26.4.2016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themeColor="text1"/>
              <w:left w:val="single" w:sz="4" w:space="0" w:color="auto"/>
              <w:bottom w:val="single" w:sz="4" w:space="0" w:color="auto"/>
              <w:right w:val="single" w:sz="8"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370/2016 a SG privind competențele autorității împuternicite să facă numiri (AIPN)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 </w:t>
            </w:r>
          </w:p>
        </w:tc>
        <w:tc>
          <w:tcPr>
            <w:tcW w:w="936" w:type="dxa"/>
            <w:tcBorders>
              <w:left w:val="single" w:sz="4" w:space="0" w:color="auto"/>
              <w:bottom w:val="single" w:sz="6" w:space="0" w:color="000000" w:themeColor="text1"/>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68/2016 a ÎR privind competențele autorității împuternicite să facă numiri (AIPN) (modificată prin Decizia 9/2019 din 22.2.2019)</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 </w:t>
            </w:r>
          </w:p>
        </w:tc>
        <w:tc>
          <w:tcPr>
            <w:tcW w:w="936" w:type="dxa"/>
            <w:tcBorders>
              <w:left w:val="single" w:sz="4" w:space="0" w:color="auto"/>
              <w:bottom w:val="single" w:sz="6" w:space="0" w:color="000000" w:themeColor="text1"/>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32/2015 privind înlocuirea temporară în ceea ce privește atribuțiile SG în caz de absență sau de imposibilitate de a-și executa atribuțiile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2.12.2015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14.3.2023</w:t>
            </w:r>
          </w:p>
        </w:tc>
        <w:tc>
          <w:tcPr>
            <w:tcW w:w="936" w:type="dxa"/>
            <w:vMerge w:val="restart"/>
            <w:tcBorders>
              <w:left w:val="single" w:sz="4" w:space="0" w:color="auto"/>
              <w:right w:val="single" w:sz="8"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val="567"/>
        </w:trPr>
        <w:tc>
          <w:tcPr>
            <w:tcW w:w="1156" w:type="dxa"/>
            <w:vMerge/>
            <w:tcBorders>
              <w:left w:val="single" w:sz="4" w:space="0" w:color="000000" w:themeColor="text1"/>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 xml:space="preserve">Regulamentul nr. 3/2023 din 14 martie 2023 </w:t>
            </w:r>
            <w:bookmarkStart w:id="27" w:name="_Hlk177723986"/>
            <w:r>
              <w:rPr>
                <w:rFonts w:ascii="Times New Roman" w:hAnsi="Times New Roman"/>
                <w:noProof/>
                <w:sz w:val="12"/>
              </w:rPr>
              <w:t>de instituire a unui sistem de suplinire a funcțiilor secretarului general și ale celorlalți membri ai personalului cu funcții de conducere al Comitetului European al Regiunilor</w:t>
            </w:r>
            <w:bookmarkEnd w:id="27"/>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strike/>
                <w:noProof/>
                <w:sz w:val="12"/>
                <w:szCs w:val="12"/>
              </w:rPr>
            </w:pPr>
            <w:r>
              <w:rPr>
                <w:rFonts w:ascii="Times New Roman" w:hAnsi="Times New Roman"/>
                <w:noProof/>
                <w:sz w:val="12"/>
              </w:rPr>
              <w:t>14.3.2023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6" w:space="0" w:color="000000" w:themeColor="text1"/>
              <w:right w:val="single" w:sz="8"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p>
        </w:tc>
      </w:tr>
      <w:tr>
        <w:trPr>
          <w:trHeight w:hRule="exact" w:val="567"/>
        </w:trPr>
        <w:tc>
          <w:tcPr>
            <w:tcW w:w="1156" w:type="dxa"/>
            <w:vMerge w:val="restart"/>
            <w:tcBorders>
              <w:left w:val="single" w:sz="4" w:space="0" w:color="000000" w:themeColor="text1"/>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anexele I și XIII</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Tipul de posturi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26/2019 privind tipurile de posturi și titlurile posturilor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noProof/>
                <w:sz w:val="12"/>
                <w:szCs w:val="12"/>
              </w:rPr>
            </w:pPr>
            <w:r>
              <w:rPr>
                <w:rFonts w:ascii="Times New Roman" w:hAnsi="Times New Roman"/>
                <w:noProof/>
                <w:sz w:val="12"/>
              </w:rPr>
              <w:t>18.2.2019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noProof/>
                <w:sz w:val="12"/>
                <w:szCs w:val="12"/>
              </w:rPr>
            </w:pPr>
            <w:r>
              <w:rPr>
                <w:rFonts w:ascii="Times New Roman" w:hAnsi="Times New Roman"/>
                <w:noProof/>
                <w:sz w:val="12"/>
              </w:rPr>
              <w:t> 14.6.2023</w:t>
            </w:r>
          </w:p>
        </w:tc>
        <w:tc>
          <w:tcPr>
            <w:tcW w:w="936" w:type="dxa"/>
            <w:vMerge w:val="restart"/>
            <w:tcBorders>
              <w:left w:val="single" w:sz="4" w:space="0" w:color="auto"/>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themeColor="text1"/>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71/2023 privind tipurile de posturi și titlurile posturilor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14.6.2023</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5" w:space="0" w:color="000000"/>
              <w:right w:val="single" w:sz="7" w:space="0" w:color="000000" w:themeColor="text1"/>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tcBorders>
              <w:left w:val="single" w:sz="4" w:space="0" w:color="000000"/>
              <w:bottom w:val="single" w:sz="5"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Comitetul pentru rapoartele de evaluare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181/2019 de instituire a Comitetului pentru rapoartele de evaluare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19.9.2019</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 </w:t>
            </w:r>
          </w:p>
        </w:tc>
        <w:tc>
          <w:tcPr>
            <w:tcW w:w="936" w:type="dxa"/>
            <w:tcBorders>
              <w:left w:val="single" w:sz="4" w:space="0" w:color="auto"/>
              <w:bottom w:val="single" w:sz="5"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Titlul II – Drepturile și obligațiile funcționarului</w:t>
            </w:r>
          </w:p>
        </w:tc>
      </w:tr>
      <w:tr>
        <w:trPr>
          <w:trHeight w:val="567"/>
        </w:trPr>
        <w:tc>
          <w:tcPr>
            <w:tcW w:w="1156" w:type="dxa"/>
            <w:vMerge w:val="restart"/>
            <w:tcBorders>
              <w:top w:val="single" w:sz="5" w:space="0" w:color="000000"/>
              <w:left w:val="single" w:sz="4"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11 - 21</w:t>
            </w:r>
          </w:p>
        </w:tc>
        <w:tc>
          <w:tcPr>
            <w:tcW w:w="2551" w:type="dxa"/>
            <w:vMerge w:val="restart"/>
            <w:tcBorders>
              <w:top w:val="single" w:sz="5"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rPr>
            </w:pPr>
            <w:r>
              <w:rPr>
                <w:rFonts w:ascii="Times New Roman" w:hAnsi="Times New Roman"/>
                <w:b/>
                <w:noProof/>
                <w:sz w:val="16"/>
              </w:rPr>
              <w:t>Etică și integritate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74"/>
              <w:jc w:val="center"/>
              <w:rPr>
                <w:rFonts w:ascii="Times New Roman" w:eastAsia="Calibri" w:hAnsi="Times New Roman" w:cs="Times New Roman"/>
                <w:noProof/>
                <w:sz w:val="12"/>
                <w:szCs w:val="12"/>
              </w:rPr>
            </w:pPr>
            <w:r>
              <w:rPr>
                <w:rFonts w:ascii="Times New Roman" w:hAnsi="Times New Roman"/>
                <w:noProof/>
                <w:sz w:val="12"/>
              </w:rPr>
              <w:t>Decizia 419 privind drepturile și obligațiile în materie de deontologie și integritate ale funcționarilor și altor agenți</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23.12.2005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18.12.2023</w:t>
            </w:r>
          </w:p>
        </w:tc>
        <w:tc>
          <w:tcPr>
            <w:tcW w:w="936" w:type="dxa"/>
            <w:vMerge w:val="restart"/>
            <w:tcBorders>
              <w:top w:val="single" w:sz="5"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bottom w:val="single" w:sz="3"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Decizia 157/2023 privind normele etice în cadrul Secretariatului Comitetului European al Regiunilor</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18.12.2023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12a</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rPr>
            </w:pPr>
            <w:r>
              <w:rPr>
                <w:rFonts w:ascii="Times New Roman" w:hAnsi="Times New Roman"/>
                <w:b/>
                <w:noProof/>
                <w:sz w:val="16"/>
              </w:rPr>
              <w:t>Hărțuirea</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362/2010 privind hărțuirea morală și psihologică la locul de muncă</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29.11.2010</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26.4.2021</w:t>
            </w:r>
          </w:p>
        </w:tc>
        <w:tc>
          <w:tcPr>
            <w:tcW w:w="936" w:type="dxa"/>
            <w:vMerge w:val="restart"/>
            <w:tcBorders>
              <w:top w:val="single" w:sz="3"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bottom w:val="single" w:sz="3" w:space="0" w:color="000000"/>
              <w:right w:val="single" w:sz="3" w:space="0" w:color="000000"/>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62"/>
              <w:jc w:val="center"/>
              <w:rPr>
                <w:rFonts w:ascii="Times New Roman" w:eastAsia="Calibri" w:hAnsi="Times New Roman" w:cs="Times New Roman"/>
                <w:noProof/>
                <w:spacing w:val="-2"/>
                <w:sz w:val="12"/>
                <w:szCs w:val="12"/>
              </w:rPr>
            </w:pPr>
            <w:r>
              <w:rPr>
                <w:rFonts w:ascii="Times New Roman" w:hAnsi="Times New Roman"/>
                <w:noProof/>
                <w:sz w:val="12"/>
              </w:rPr>
              <w:t>Decizia 108/21 privind protecția demnității personalului, gestionarea conflictelor și combaterea hărțuirii psihologice și sexuale în cadrul Secretariatului Comitetului European al Regiunilor</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26.4.2021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rPr>
            </w:pPr>
            <w:r>
              <w:rPr>
                <w:rFonts w:ascii="Times New Roman" w:hAnsi="Times New Roman"/>
                <w:b/>
                <w:noProof/>
                <w:sz w:val="12"/>
              </w:rPr>
              <w:t>12b - 16 - 17</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rPr>
            </w:pPr>
            <w:r>
              <w:rPr>
                <w:rFonts w:ascii="Times New Roman" w:hAnsi="Times New Roman"/>
                <w:b/>
                <w:noProof/>
                <w:sz w:val="16"/>
              </w:rPr>
              <w:t>Activitățile externe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66/2014 privind activitățile externe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11.4.2014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15.11.2022</w:t>
            </w:r>
          </w:p>
        </w:tc>
        <w:tc>
          <w:tcPr>
            <w:tcW w:w="936" w:type="dxa"/>
            <w:vMerge w:val="restart"/>
            <w:tcBorders>
              <w:top w:val="single" w:sz="3"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right w:val="single" w:sz="3" w:space="0" w:color="000000"/>
            </w:tcBorders>
            <w:vAlign w:val="center"/>
          </w:tcPr>
          <w:p>
            <w:pPr>
              <w:widowControl w:val="0"/>
              <w:spacing w:after="200" w:line="240" w:lineRule="auto"/>
              <w:jc w:val="center"/>
              <w:rPr>
                <w:rFonts w:ascii="Times New Roman" w:eastAsia="Calibri" w:hAnsi="Times New Roman" w:cs="Times New Roman"/>
                <w:b/>
                <w:noProof/>
                <w:sz w:val="12"/>
                <w:lang w:val="en-GB"/>
              </w:rPr>
            </w:pPr>
          </w:p>
        </w:tc>
        <w:tc>
          <w:tcPr>
            <w:tcW w:w="2551" w:type="dxa"/>
            <w:vMerge/>
            <w:tcBorders>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2"/>
                <w:sz w:val="12"/>
                <w:szCs w:val="12"/>
              </w:rPr>
            </w:pPr>
            <w:r>
              <w:rPr>
                <w:rFonts w:ascii="Times New Roman" w:hAnsi="Times New Roman"/>
                <w:noProof/>
                <w:sz w:val="12"/>
              </w:rPr>
              <w:t>Decizia 175/22 privind activitățile externe și activitățile profesionale după încetarea raporturilor de muncă</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15.11.2022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lang w:val="en-GB"/>
              </w:rPr>
            </w:pPr>
          </w:p>
        </w:tc>
      </w:tr>
      <w:tr>
        <w:trPr>
          <w:trHeigh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22a - 22c</w:t>
            </w:r>
          </w:p>
        </w:tc>
        <w:tc>
          <w:tcPr>
            <w:tcW w:w="2551" w:type="dxa"/>
            <w:vMerge w:val="restart"/>
            <w:tcBorders>
              <w:top w:val="single" w:sz="3" w:space="0" w:color="000000"/>
              <w:left w:val="single" w:sz="3" w:space="0" w:color="000000"/>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sz w:val="16"/>
                <w:szCs w:val="16"/>
              </w:rPr>
            </w:pPr>
            <w:r>
              <w:rPr>
                <w:rFonts w:ascii="Times New Roman" w:hAnsi="Times New Roman"/>
                <w:b/>
                <w:noProof/>
                <w:sz w:val="16"/>
              </w:rPr>
              <w:t>Avertizarea în interes public</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54" w:lineRule="auto"/>
              <w:ind w:right="95"/>
              <w:jc w:val="center"/>
              <w:rPr>
                <w:rFonts w:ascii="Times New Roman" w:eastAsia="Calibri" w:hAnsi="Times New Roman" w:cs="Times New Roman"/>
                <w:noProof/>
                <w:sz w:val="12"/>
                <w:szCs w:val="12"/>
              </w:rPr>
            </w:pPr>
            <w:r>
              <w:rPr>
                <w:rFonts w:ascii="Times New Roman" w:hAnsi="Times New Roman"/>
                <w:noProof/>
                <w:sz w:val="12"/>
              </w:rPr>
              <w:t>Decizia 26/2004 privind clauzele și condițiile anchetelor interne în legătură cu prevenirea fraudei, corupției și oricărei activități ilegale care prejudiciază interesele Comunităților</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10.2.2004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bottom w:val="single" w:sz="3" w:space="0" w:color="000000"/>
              <w:right w:val="single" w:sz="7" w:space="0" w:color="000000"/>
            </w:tcBorders>
            <w:shd w:val="clear" w:color="auto" w:fill="DA9694"/>
            <w:vAlign w:val="center"/>
          </w:tcPr>
          <w:p>
            <w:pPr>
              <w:widowControl w:val="0"/>
              <w:spacing w:before="79"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67"/>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200" w:line="240" w:lineRule="auto"/>
              <w:jc w:val="center"/>
              <w:rPr>
                <w:rFonts w:ascii="Times New Roman" w:eastAsia="Calibri" w:hAnsi="Times New Roman" w:cs="Times New Roman"/>
                <w:noProof/>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508/2015 de stabilire a normelor privind denunțarea</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1.1.2016</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3" w:space="0" w:color="000000"/>
              <w:right w:val="single" w:sz="7" w:space="0" w:color="000000"/>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4" w:space="0" w:color="auto"/>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rPr>
            </w:pPr>
            <w:r>
              <w:rPr>
                <w:rFonts w:ascii="Times New Roman" w:hAnsi="Times New Roman"/>
                <w:b/>
                <w:noProof/>
                <w:sz w:val="12"/>
              </w:rPr>
              <w:t>24a</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rPr>
            </w:pPr>
            <w:r>
              <w:rPr>
                <w:rFonts w:ascii="Times New Roman" w:hAnsi="Times New Roman"/>
                <w:b/>
                <w:noProof/>
                <w:sz w:val="16"/>
              </w:rPr>
              <w:t>Formarea profesională</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32/2011 privind delegațiile de grup în scopul formării profesionale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8.3.2011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3" w:space="0" w:color="000000"/>
              <w:left w:val="single" w:sz="4" w:space="0" w:color="auto"/>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73/2015 privind normele referitoare la învățare și dezvoltare în cadrul CoR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7.4.2015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000000"/>
              <w:left w:val="single" w:sz="4" w:space="0" w:color="auto"/>
              <w:bottom w:val="single" w:sz="4" w:space="0" w:color="auto"/>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75/2017 de identificare a formării obligatorii și recomandate pentru personalul Secretariatului General al CoR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4.10.2017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23.12.2020</w:t>
            </w:r>
          </w:p>
        </w:tc>
        <w:tc>
          <w:tcPr>
            <w:tcW w:w="936" w:type="dxa"/>
            <w:vMerge w:val="restart"/>
            <w:tcBorders>
              <w:top w:val="single" w:sz="4" w:space="0" w:color="auto"/>
              <w:left w:val="single" w:sz="4" w:space="0" w:color="auto"/>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52/2020 de identificare a formării obligatorii și recomandate pentru personalul Secretariatului General al CoR</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auto"/>
              <w:bottom w:val="single" w:sz="3" w:space="0" w:color="000000"/>
              <w:right w:val="single" w:sz="8"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67"/>
        </w:trPr>
        <w:tc>
          <w:tcPr>
            <w:tcW w:w="1156" w:type="dxa"/>
            <w:vMerge/>
            <w:tcBorders>
              <w:left w:val="single" w:sz="4" w:space="0" w:color="auto"/>
              <w:bottom w:val="single" w:sz="4" w:space="0" w:color="auto"/>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left w:val="single" w:sz="4" w:space="0" w:color="auto"/>
              <w:right w:val="single" w:sz="4" w:space="0" w:color="auto"/>
            </w:tcBorders>
            <w:shd w:val="clear" w:color="auto" w:fill="DA9694"/>
            <w:vAlign w:val="center"/>
          </w:tcPr>
          <w:p>
            <w:pPr>
              <w:widowControl w:val="0"/>
              <w:spacing w:after="20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97/2017 – Regimul lingvistic special pentru traducători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1.1.2018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III – Cariera funcționarului</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val="567"/>
        </w:trPr>
        <w:tc>
          <w:tcPr>
            <w:tcW w:w="1156" w:type="dxa"/>
            <w:vMerge w:val="restart"/>
            <w:tcBorders>
              <w:top w:val="single" w:sz="6" w:space="0" w:color="000000"/>
              <w:left w:val="single" w:sz="4"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27 - 34</w:t>
            </w:r>
          </w:p>
        </w:tc>
        <w:tc>
          <w:tcPr>
            <w:tcW w:w="2551" w:type="dxa"/>
            <w:vMerge w:val="restart"/>
            <w:tcBorders>
              <w:top w:val="single" w:sz="6" w:space="0" w:color="000000"/>
              <w:left w:val="single" w:sz="4"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Recrutarea</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Decizia nr. 93/2014 de stabilire a dispozițiilor generale de punere în aplicare privind încadrarea în grad la momentul recrutării funcționarilor sau la momentul angajării agenților temporari</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vMerge/>
            <w:tcBorders>
              <w:left w:val="single" w:sz="4"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FFFF65"/>
            <w:vAlign w:val="center"/>
          </w:tcPr>
          <w:p>
            <w:pPr>
              <w:widowControl w:val="0"/>
              <w:spacing w:before="130"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hyperlink r:id="rId18" w:history="1">
              <w:r>
                <w:rPr>
                  <w:rFonts w:ascii="Times New Roman" w:hAnsi="Times New Roman"/>
                  <w:noProof/>
                  <w:sz w:val="12"/>
                </w:rPr>
                <w:t>Instrucțiunea de serviciu nr. 0001/2019 a secretarului general privind normele administrative interne în materie de recrutare</w:t>
              </w:r>
            </w:hyperlink>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1.2.2019</w:t>
            </w:r>
          </w:p>
        </w:tc>
        <w:tc>
          <w:tcPr>
            <w:tcW w:w="1687"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5.3.2021</w:t>
            </w:r>
          </w:p>
        </w:tc>
        <w:tc>
          <w:tcPr>
            <w:tcW w:w="936" w:type="dxa"/>
            <w:vMerge w:val="restart"/>
            <w:tcBorders>
              <w:left w:val="single" w:sz="4"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Calibri" w:hAnsi="Times New Roman" w:cs="Times New Roman"/>
                <w:b/>
                <w:noProof/>
                <w:sz w:val="12"/>
                <w:lang w:val="en-US"/>
              </w:rPr>
            </w:pPr>
          </w:p>
        </w:tc>
        <w:tc>
          <w:tcPr>
            <w:tcW w:w="2551" w:type="dxa"/>
            <w:vMerge/>
            <w:tcBorders>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before="76" w:after="0" w:line="254" w:lineRule="auto"/>
              <w:ind w:right="165"/>
              <w:jc w:val="center"/>
              <w:rPr>
                <w:noProof/>
              </w:rPr>
            </w:pPr>
            <w:hyperlink r:id="rId19" w:history="1">
              <w:r>
                <w:rPr>
                  <w:rFonts w:ascii="Times New Roman" w:hAnsi="Times New Roman"/>
                  <w:noProof/>
                  <w:sz w:val="12"/>
                </w:rPr>
                <w:t>Instrucțiunea de serviciu nr. 1/2021 a secretarului general privind normele administrative interne în materie de recrutare</w:t>
              </w:r>
            </w:hyperlink>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5.3.2021</w:t>
            </w:r>
          </w:p>
        </w:tc>
        <w:tc>
          <w:tcPr>
            <w:tcW w:w="1687"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6"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noProof/>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3 – Concediul pentru interese personale</w:t>
            </w:r>
          </w:p>
        </w:tc>
      </w:tr>
      <w:tr>
        <w:trPr>
          <w:trHeight w:hRule="exact" w:val="626"/>
        </w:trPr>
        <w:tc>
          <w:tcPr>
            <w:tcW w:w="1156" w:type="dxa"/>
            <w:vMerge w:val="restart"/>
            <w:tcBorders>
              <w:left w:val="single" w:sz="4" w:space="0" w:color="000000"/>
              <w:right w:val="single" w:sz="3" w:space="0" w:color="000000"/>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interese personale</w:t>
            </w:r>
          </w:p>
        </w:tc>
        <w:tc>
          <w:tcPr>
            <w:tcW w:w="3029"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Decizia nr. 72/2019 de stabilire a normelor de punere în aplicare privind concediul pentru interese personale pentru funcționari și concediul fără plată pentru agenții temporari și contractuali ai UE</w:t>
            </w:r>
          </w:p>
        </w:tc>
        <w:tc>
          <w:tcPr>
            <w:tcW w:w="1322"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23.4.2019</w:t>
            </w:r>
          </w:p>
        </w:tc>
        <w:tc>
          <w:tcPr>
            <w:tcW w:w="1687" w:type="dxa"/>
            <w:tcBorders>
              <w:top w:val="single" w:sz="5" w:space="0" w:color="000000"/>
              <w:left w:val="single" w:sz="3" w:space="0" w:color="000000"/>
              <w:bottom w:val="single" w:sz="5"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18.9.2023 </w:t>
            </w:r>
          </w:p>
        </w:tc>
        <w:tc>
          <w:tcPr>
            <w:tcW w:w="936" w:type="dxa"/>
            <w:vMerge w:val="restart"/>
            <w:tcBorders>
              <w:left w:val="single" w:sz="3" w:space="0" w:color="000000"/>
              <w:right w:val="single" w:sz="5"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721"/>
        </w:trPr>
        <w:tc>
          <w:tcPr>
            <w:tcW w:w="1156" w:type="dxa"/>
            <w:vMerge/>
            <w:tcBorders>
              <w:left w:val="single" w:sz="4" w:space="0" w:color="000000"/>
              <w:bottom w:val="single" w:sz="3" w:space="0" w:color="000000"/>
              <w:right w:val="single" w:sz="3" w:space="0" w:color="000000"/>
            </w:tcBorders>
            <w:vAlign w:val="center"/>
          </w:tcPr>
          <w:p>
            <w:pPr>
              <w:widowControl w:val="0"/>
              <w:spacing w:before="101"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1" w:after="0" w:line="254" w:lineRule="auto"/>
              <w:ind w:right="47"/>
              <w:jc w:val="center"/>
              <w:rPr>
                <w:rFonts w:ascii="Times New Roman" w:eastAsia="Calibri" w:hAnsi="Times New Roman" w:cs="Times New Roman"/>
                <w:noProof/>
                <w:sz w:val="12"/>
                <w:szCs w:val="12"/>
              </w:rPr>
            </w:pPr>
            <w:r>
              <w:rPr>
                <w:rFonts w:ascii="Times New Roman" w:hAnsi="Times New Roman"/>
                <w:noProof/>
                <w:sz w:val="12"/>
              </w:rPr>
              <w:t xml:space="preserve">Decizia nr. 108/2023 de stabilire a normelor de punere în aplicare privind concediul pentru interese personale pentru funcționari și concediul fără plată pentru agenții temporari și contractuali ai Comitetului European al Regiunilor </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18.9.2023</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568"/>
        </w:trPr>
        <w:tc>
          <w:tcPr>
            <w:tcW w:w="1156" w:type="dxa"/>
            <w:tcBorders>
              <w:left w:val="single" w:sz="4" w:space="0" w:color="000000"/>
              <w:bottom w:val="single" w:sz="3" w:space="0" w:color="000000"/>
              <w:right w:val="single" w:sz="3" w:space="0" w:color="000000"/>
            </w:tcBorders>
            <w:shd w:val="clear" w:color="auto" w:fill="FFFF66"/>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42a</w:t>
            </w:r>
          </w:p>
        </w:tc>
        <w:tc>
          <w:tcPr>
            <w:tcW w:w="2551" w:type="dxa"/>
            <w:tcBorders>
              <w:left w:val="single" w:sz="3"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creșterea copilului</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Decizia 166/2017 de adoptare a dispozițiilor generale de punere în aplicare privind concediul pentru creșterea copilului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31.10.2017</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3"/>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din motive familiale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Decizia nr. 22/2014 privind normele aplicabile personalului cu privire la concediul din motive familiale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3"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567"/>
        </w:trPr>
        <w:tc>
          <w:tcPr>
            <w:tcW w:w="1157" w:type="dxa"/>
            <w:vMerge w:val="restart"/>
            <w:tcBorders>
              <w:top w:val="single" w:sz="4" w:space="0" w:color="000000"/>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tcBorders>
              <w:top w:val="single" w:sz="4" w:space="0" w:color="000000"/>
              <w:left w:val="single" w:sz="3" w:space="0" w:color="000000"/>
              <w:right w:val="single" w:sz="3"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54" w:lineRule="auto"/>
              <w:ind w:right="259"/>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Decizia 13/2019 de adoptare a dispozițiilor generale de punere în aplicare privind rapoartele de evaluare </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1.2.2019</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22.3.2021 </w:t>
            </w:r>
          </w:p>
        </w:tc>
        <w:tc>
          <w:tcPr>
            <w:tcW w:w="936"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tcBorders>
              <w:left w:val="single" w:sz="3" w:space="0" w:color="000000"/>
              <w:right w:val="single" w:sz="3"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Decizia 95/2021 de adoptare a dispozițiilor generale de punere în aplicare privind evaluarea personalului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22.3.2021</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11.12.2023</w:t>
            </w:r>
          </w:p>
        </w:tc>
        <w:tc>
          <w:tcPr>
            <w:tcW w:w="936" w:type="dxa"/>
            <w:vMerge/>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tcBorders>
              <w:left w:val="single" w:sz="3" w:space="0" w:color="000000"/>
              <w:right w:val="single" w:sz="3"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Raportul anual</w:t>
            </w: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Decizia 150/2023 de adoptare a dispozițiilor generale de punere în aplicare privind evaluarea anuală a personalului</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11.12.2023</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left w:val="single" w:sz="3" w:space="0" w:color="000000"/>
              <w:right w:val="single" w:sz="3" w:space="0" w:color="000000"/>
            </w:tcBorders>
            <w:shd w:val="clear" w:color="auto" w:fill="FFFF65"/>
            <w:vAlign w:val="center"/>
          </w:tcPr>
          <w:p>
            <w:pPr>
              <w:widowControl w:val="0"/>
              <w:spacing w:after="0" w:line="240" w:lineRule="auto"/>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91" w:after="0" w:line="254" w:lineRule="auto"/>
              <w:ind w:right="44"/>
              <w:jc w:val="center"/>
              <w:rPr>
                <w:rFonts w:ascii="Times New Roman" w:eastAsia="Times New Roman" w:hAnsi="Times New Roman" w:cs="Times New Roman"/>
                <w:noProof/>
                <w:spacing w:val="-2"/>
                <w:sz w:val="12"/>
                <w:szCs w:val="12"/>
              </w:rPr>
            </w:pPr>
            <w:r>
              <w:rPr>
                <w:rFonts w:ascii="Times New Roman" w:hAnsi="Times New Roman"/>
                <w:noProof/>
                <w:sz w:val="12"/>
              </w:rPr>
              <w:t>Instrucțiunea nr. 2/2019 privind evaluarea personalului din cadrul SG</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15.2.2019</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24.3.2021 </w:t>
            </w:r>
          </w:p>
        </w:tc>
        <w:tc>
          <w:tcPr>
            <w:tcW w:w="936" w:type="dxa"/>
            <w:vMerge w:val="restart"/>
            <w:tcBorders>
              <w:left w:val="single" w:sz="4" w:space="0" w:color="000000"/>
              <w:bottom w:val="single" w:sz="4" w:space="0" w:color="auto"/>
              <w:right w:val="single" w:sz="4" w:space="0" w:color="000000"/>
            </w:tcBorders>
            <w:shd w:val="clear" w:color="auto" w:fill="DA9694"/>
            <w:vAlign w:val="center"/>
          </w:tcPr>
          <w:p>
            <w:pPr>
              <w:widowControl w:val="0"/>
              <w:spacing w:before="8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7"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left w:val="single" w:sz="3" w:space="0" w:color="000000"/>
              <w:right w:val="single" w:sz="3" w:space="0" w:color="000000"/>
            </w:tcBorders>
            <w:shd w:val="clear" w:color="auto" w:fill="FFFF65"/>
            <w:vAlign w:val="center"/>
          </w:tcPr>
          <w:p>
            <w:pPr>
              <w:widowControl w:val="0"/>
              <w:spacing w:after="0" w:line="240" w:lineRule="auto"/>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91" w:after="0" w:line="254" w:lineRule="auto"/>
              <w:ind w:right="44"/>
              <w:jc w:val="center"/>
              <w:rPr>
                <w:rFonts w:ascii="Times New Roman" w:eastAsia="Calibri" w:hAnsi="Times New Roman" w:cs="Times New Roman"/>
                <w:noProof/>
                <w:sz w:val="12"/>
                <w:szCs w:val="12"/>
              </w:rPr>
            </w:pPr>
            <w:r>
              <w:rPr>
                <w:rFonts w:ascii="Times New Roman" w:hAnsi="Times New Roman"/>
                <w:noProof/>
                <w:sz w:val="12"/>
              </w:rPr>
              <w:t>Instrucțiunea de serviciu nr. 1/2021 a secretarului general privind evaluarea personalului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24.3.2021</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11.12.2023</w:t>
            </w:r>
          </w:p>
        </w:tc>
        <w:tc>
          <w:tcPr>
            <w:tcW w:w="936" w:type="dxa"/>
            <w:vMerge/>
            <w:tcBorders>
              <w:left w:val="single" w:sz="4" w:space="0" w:color="000000"/>
              <w:bottom w:val="single" w:sz="4" w:space="0" w:color="auto"/>
              <w:right w:val="single" w:sz="4" w:space="0" w:color="000000"/>
            </w:tcBorders>
            <w:shd w:val="clear" w:color="auto" w:fill="DA9694"/>
            <w:vAlign w:val="center"/>
          </w:tcPr>
          <w:p>
            <w:pPr>
              <w:widowControl w:val="0"/>
              <w:spacing w:before="84"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left w:val="single" w:sz="4"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2551" w:type="dxa"/>
            <w:tcBorders>
              <w:left w:val="single" w:sz="3" w:space="0" w:color="000000"/>
              <w:bottom w:val="single" w:sz="4" w:space="0" w:color="auto"/>
              <w:right w:val="single" w:sz="3" w:space="0" w:color="000000"/>
            </w:tcBorders>
            <w:shd w:val="clear" w:color="auto" w:fill="FFFF65"/>
            <w:vAlign w:val="center"/>
          </w:tcPr>
          <w:p>
            <w:pPr>
              <w:widowControl w:val="0"/>
              <w:spacing w:after="0" w:line="240" w:lineRule="auto"/>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4" w:space="0" w:color="auto"/>
              <w:right w:val="single" w:sz="3" w:space="0" w:color="000000"/>
            </w:tcBorders>
            <w:shd w:val="clear" w:color="auto" w:fill="DA9694"/>
            <w:vAlign w:val="center"/>
          </w:tcPr>
          <w:p>
            <w:pPr>
              <w:widowControl w:val="0"/>
              <w:spacing w:before="91" w:after="0" w:line="254" w:lineRule="auto"/>
              <w:ind w:right="44"/>
              <w:jc w:val="center"/>
              <w:rPr>
                <w:rFonts w:ascii="Times New Roman" w:eastAsia="Calibri" w:hAnsi="Times New Roman" w:cs="Times New Roman"/>
                <w:noProof/>
                <w:sz w:val="12"/>
                <w:szCs w:val="12"/>
              </w:rPr>
            </w:pPr>
            <w:r>
              <w:rPr>
                <w:rFonts w:ascii="Times New Roman" w:hAnsi="Times New Roman"/>
                <w:noProof/>
                <w:sz w:val="12"/>
              </w:rPr>
              <w:t>Instrucțiunea de serviciu nr. 2/2023 a secretarului general privind evaluarea personalului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11.12.2023</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auto"/>
              <w:right w:val="single" w:sz="4" w:space="0" w:color="000000"/>
            </w:tcBorders>
            <w:shd w:val="clear" w:color="auto" w:fill="DA9694"/>
            <w:vAlign w:val="center"/>
          </w:tcPr>
          <w:p>
            <w:pPr>
              <w:widowControl w:val="0"/>
              <w:spacing w:before="84" w:after="0" w:line="240" w:lineRule="auto"/>
              <w:jc w:val="center"/>
              <w:rPr>
                <w:rFonts w:ascii="Times New Roman" w:eastAsia="Calibri" w:hAnsi="Times New Roman" w:cs="Times New Roman"/>
                <w:b/>
                <w:noProof/>
                <w:spacing w:val="1"/>
                <w:w w:val="105"/>
                <w:sz w:val="16"/>
                <w:szCs w:val="16"/>
                <w:lang w:val="en-US"/>
              </w:rPr>
            </w:pPr>
          </w:p>
        </w:tc>
      </w:tr>
      <w:tr>
        <w:trPr>
          <w:trHeight w:hRule="exact" w:val="518"/>
        </w:trPr>
        <w:tc>
          <w:tcPr>
            <w:tcW w:w="1157" w:type="dxa"/>
            <w:tcBorders>
              <w:top w:val="single" w:sz="3" w:space="0" w:color="000000"/>
              <w:left w:val="single" w:sz="4" w:space="0" w:color="000000"/>
              <w:bottom w:val="single" w:sz="4"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44 alineatul (1)</w:t>
            </w:r>
          </w:p>
        </w:tc>
        <w:tc>
          <w:tcPr>
            <w:tcW w:w="2551"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Avansarea în treaptă</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54" w:lineRule="auto"/>
              <w:ind w:right="50"/>
              <w:jc w:val="center"/>
              <w:rPr>
                <w:rFonts w:ascii="Times New Roman" w:eastAsia="Times New Roman" w:hAnsi="Times New Roman" w:cs="Times New Roman"/>
                <w:noProof/>
                <w:sz w:val="12"/>
                <w:szCs w:val="12"/>
              </w:rPr>
            </w:pPr>
            <w:r>
              <w:rPr>
                <w:rFonts w:ascii="Times New Roman" w:hAnsi="Times New Roman"/>
                <w:noProof/>
                <w:sz w:val="12"/>
              </w:rPr>
              <w:t>Decizia 360/2013 privind aplicarea articolului 7 alineatul (7) din anexa XIII – avansarea în treaptă</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12.11.2013</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7" w:type="dxa"/>
            <w:vMerge w:val="restart"/>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Promovarea</w:t>
            </w:r>
          </w:p>
        </w:tc>
        <w:tc>
          <w:tcPr>
            <w:tcW w:w="3029" w:type="dxa"/>
            <w:tcBorders>
              <w:top w:val="single" w:sz="4" w:space="0" w:color="auto"/>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2"/>
                <w:sz w:val="12"/>
                <w:szCs w:val="12"/>
              </w:rPr>
            </w:pPr>
            <w:r>
              <w:rPr>
                <w:rFonts w:ascii="Times New Roman" w:hAnsi="Times New Roman"/>
                <w:noProof/>
                <w:sz w:val="12"/>
              </w:rPr>
              <w:t xml:space="preserve">Decizia 14/2019 privind promovările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1.2.2019</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1.5.2020</w:t>
            </w:r>
          </w:p>
        </w:tc>
        <w:tc>
          <w:tcPr>
            <w:tcW w:w="936" w:type="dxa"/>
            <w:vMerge w:val="restart"/>
            <w:tcBorders>
              <w:top w:val="single" w:sz="4" w:space="0" w:color="auto"/>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7" w:type="dxa"/>
            <w:vMerge/>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46/2020 privind promovarea funcționarilor și încadrarea într-un grad superior a agenților contractuali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16.4.2020</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16.6.2021</w:t>
            </w:r>
          </w:p>
        </w:tc>
        <w:tc>
          <w:tcPr>
            <w:tcW w:w="93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132/2021 privind promovarea funcționarilor și încadrarea într-un grad superior a agenților contractuali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16.6.2021</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20.5.2022</w:t>
            </w:r>
          </w:p>
        </w:tc>
        <w:tc>
          <w:tcPr>
            <w:tcW w:w="93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tcBorders>
              <w:top w:val="single" w:sz="4" w:space="0" w:color="000000"/>
              <w:left w:val="single" w:sz="4" w:space="0" w:color="000000"/>
              <w:bottom w:val="single" w:sz="4" w:space="0" w:color="auto"/>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3" w:space="0" w:color="000000"/>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nr. 68/2022 privind promovarea funcționarilor și încadrarea într-un grad superior a agenților contractuali</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20.5.2022</w:t>
            </w:r>
          </w:p>
        </w:tc>
        <w:tc>
          <w:tcPr>
            <w:tcW w:w="1687" w:type="dxa"/>
            <w:tcBorders>
              <w:top w:val="single" w:sz="3" w:space="0" w:color="000000"/>
              <w:left w:val="single" w:sz="3"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656"/>
        </w:trPr>
        <w:tc>
          <w:tcPr>
            <w:tcW w:w="1157" w:type="dxa"/>
            <w:tcBorders>
              <w:top w:val="single" w:sz="4" w:space="0" w:color="auto"/>
              <w:left w:val="single" w:sz="3" w:space="0" w:color="000000"/>
              <w:bottom w:val="single" w:sz="4" w:space="0" w:color="000000"/>
              <w:right w:val="single" w:sz="3" w:space="0" w:color="000000"/>
            </w:tcBorders>
            <w:vAlign w:val="center"/>
          </w:tcPr>
          <w:p>
            <w:pPr>
              <w:widowControl w:val="0"/>
              <w:spacing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45 alineatul (2)</w:t>
            </w:r>
          </w:p>
        </w:tc>
        <w:tc>
          <w:tcPr>
            <w:tcW w:w="2551" w:type="dxa"/>
            <w:tcBorders>
              <w:top w:val="single" w:sz="4" w:space="0" w:color="auto"/>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Promovarea</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304/2006 privind adoptarea normelor comune de stabilire a procedurii de punere în aplicare a articolului 45 alineatul (2) din Statutul funcționarilor</w:t>
            </w:r>
            <w:r>
              <w:rPr>
                <w:noProof/>
              </w:rPr>
              <w:t xml:space="preserve"> </w:t>
            </w:r>
            <w:r>
              <w:rPr>
                <w:noProof/>
              </w:rPr>
              <w:br/>
            </w:r>
            <w:r>
              <w:rPr>
                <w:rFonts w:ascii="Times New Roman" w:hAnsi="Times New Roman"/>
                <w:noProof/>
                <w:sz w:val="12"/>
              </w:rPr>
              <w:t xml:space="preserve"> (modificată prin Decizia 76/2016 din 25.4.2016)</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8.9.2006</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7" w:type="dxa"/>
            <w:vMerge w:val="restart"/>
            <w:tcBorders>
              <w:left w:val="single" w:sz="4" w:space="0" w:color="000000"/>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45a</w:t>
            </w:r>
          </w:p>
        </w:tc>
        <w:tc>
          <w:tcPr>
            <w:tcW w:w="2551" w:type="dxa"/>
            <w:vMerge w:val="restart"/>
            <w:tcBorders>
              <w:left w:val="single" w:sz="4" w:space="0" w:color="000000"/>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Certificarea</w:t>
            </w: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Decizia 132/2018 de adoptare a dispozițiilor generale de punere în aplicare a articolului 45a din Statutul funcționarilor</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10.7.2018</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23.7.2020 </w:t>
            </w:r>
          </w:p>
        </w:tc>
        <w:tc>
          <w:tcPr>
            <w:tcW w:w="936" w:type="dxa"/>
            <w:vMerge w:val="restart"/>
            <w:tcBorders>
              <w:left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7" w:type="dxa"/>
            <w:vMerge/>
            <w:tcBorders>
              <w:left w:val="single" w:sz="4" w:space="0" w:color="000000"/>
              <w:bottom w:val="single" w:sz="4" w:space="0" w:color="auto"/>
              <w:right w:val="single" w:sz="4"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4" w:space="0" w:color="000000"/>
              <w:bottom w:val="single" w:sz="4" w:space="0" w:color="auto"/>
              <w:right w:val="single" w:sz="4"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4" w:space="0" w:color="000000"/>
              <w:left w:val="single" w:sz="4" w:space="0" w:color="000000"/>
              <w:bottom w:val="single" w:sz="4" w:space="0" w:color="auto"/>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Decizia nr. 94/2020 de adoptare a dispozițiilor generale de punere în aplicare a articolului 45a din Statutul funcționarilor</w:t>
            </w:r>
          </w:p>
        </w:tc>
        <w:tc>
          <w:tcPr>
            <w:tcW w:w="1322" w:type="dxa"/>
            <w:tcBorders>
              <w:top w:val="single" w:sz="4"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23.7.2020</w:t>
            </w:r>
          </w:p>
        </w:tc>
        <w:tc>
          <w:tcPr>
            <w:tcW w:w="1687" w:type="dxa"/>
            <w:tcBorders>
              <w:top w:val="single" w:sz="4"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262"/>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Capitolul 4 – Încetarea raporturilor de muncă </w:t>
            </w:r>
          </w:p>
        </w:tc>
      </w:tr>
      <w:tr>
        <w:trPr>
          <w:trHeight w:hRule="exact" w:val="513"/>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Incompetența profesională</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2"/>
                <w:sz w:val="12"/>
              </w:rPr>
            </w:pPr>
            <w:r>
              <w:rPr>
                <w:rFonts w:ascii="Times New Roman" w:hAnsi="Times New Roman"/>
                <w:noProof/>
                <w:sz w:val="12"/>
              </w:rPr>
              <w:t xml:space="preserve">Decizia nr. 47/2020 privind procedura de identificare, prevenire, gestionare și soluționare a cazurilor de incompetență </w:t>
            </w:r>
          </w:p>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profesională</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29.4.2020</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13"/>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52 alineatul (2)</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Pensionarea</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368/2016 privind funcționarii rămași în activitate după vârsta pensionării din oficiu</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1.1.2017</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hRule="exact" w:val="567"/>
        </w:trPr>
        <w:tc>
          <w:tcPr>
            <w:tcW w:w="1156" w:type="dxa"/>
            <w:vMerge w:val="restart"/>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Timpul de lucru</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126/2017 privind programul de lucru și formulele flexibile de organizare a timpului de lucru</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18.7.2017</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1.3.2022 </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1IR</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Decizia 34/2022 privind programele de lucru în cadrul Comitetului European al Regiunilor (proiect-pilot)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55a + anexa IVa</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06"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Activitatea cu normă redusă</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Decizia 19/2014 privind articolul 55a din Statutul funcționarilor care reglementează exercitarea activității cu normă redusă</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Munca de la distanță</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Decizia 193/2019 privind sistemul de muncă de la distanță </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14.10.2019</w:t>
            </w:r>
          </w:p>
        </w:tc>
        <w:tc>
          <w:tcPr>
            <w:tcW w:w="1687"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1.3.2022 </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Decizia 34/2022 privind programele de lucru în cadrul Comitetului European al Regiunilor (proiect-pilot)</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1.3.2022</w:t>
            </w:r>
          </w:p>
        </w:tc>
        <w:tc>
          <w:tcPr>
            <w:tcW w:w="1687"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3" w:space="0" w:color="000000"/>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56 + anexa VI</w:t>
            </w:r>
          </w:p>
        </w:tc>
        <w:tc>
          <w:tcPr>
            <w:tcW w:w="2551" w:type="dxa"/>
            <w:vMerge w:val="restart"/>
            <w:tcBorders>
              <w:top w:val="single" w:sz="3" w:space="0" w:color="000000"/>
              <w:left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Orele suplimentare</w:t>
            </w:r>
          </w:p>
        </w:tc>
        <w:tc>
          <w:tcPr>
            <w:tcW w:w="3029"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Decizia 353/2016 privind indemnizațiile fixe pentru orele suplimentare prestate de șoferi</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1.1.2017</w:t>
            </w:r>
          </w:p>
        </w:tc>
        <w:tc>
          <w:tcPr>
            <w:tcW w:w="1687"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17.6.2020 </w:t>
            </w:r>
          </w:p>
        </w:tc>
        <w:tc>
          <w:tcPr>
            <w:tcW w:w="936" w:type="dxa"/>
            <w:vMerge w:val="restart"/>
            <w:tcBorders>
              <w:top w:val="single" w:sz="3" w:space="0" w:color="000000"/>
              <w:left w:val="single" w:sz="4"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85/2020 privind indemnizațiile fixe pentru orele suplimentare prestate de șoferi</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17.6.2020 </w:t>
            </w:r>
          </w:p>
        </w:tc>
        <w:tc>
          <w:tcPr>
            <w:tcW w:w="1687"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23/2014 privind orele suplimentare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1.3.2022</w:t>
            </w:r>
          </w:p>
        </w:tc>
        <w:tc>
          <w:tcPr>
            <w:tcW w:w="936" w:type="dxa"/>
            <w:vMerge w:val="restart"/>
            <w:tcBorders>
              <w:top w:val="single" w:sz="3" w:space="0" w:color="000000"/>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 xml:space="preserve">0 </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Decizia 34/2022 privind programele de lucru în cadrul Comitetului European al Regiunilor (proiect-pilot)</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1.3.2022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vMerge/>
            <w:tcBorders>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hRule="exact" w:val="567"/>
        </w:trPr>
        <w:tc>
          <w:tcPr>
            <w:tcW w:w="1156" w:type="dxa"/>
            <w:vMerge w:val="restart"/>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 anexa V</w:t>
            </w:r>
          </w:p>
        </w:tc>
        <w:tc>
          <w:tcPr>
            <w:tcW w:w="255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anual și concediul special</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Decizia 365/2016 privind normele aplicabile personalului cu privire la drepturile la concediu anual și la concediu special </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31.10.2016</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14.11.2023 </w:t>
            </w:r>
          </w:p>
        </w:tc>
        <w:tc>
          <w:tcPr>
            <w:tcW w:w="936" w:type="dxa"/>
            <w:vMerge w:val="restart"/>
            <w:tcBorders>
              <w:top w:val="single" w:sz="6"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Calibri" w:hAnsi="Times New Roman" w:cs="Times New Roman"/>
                <w:b/>
                <w:noProof/>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Decizia 137/2023 – Concediul anual și concediul special</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14.11.2023</w:t>
            </w:r>
          </w:p>
        </w:tc>
        <w:tc>
          <w:tcPr>
            <w:tcW w:w="1498"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tcBorders>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before="62" w:after="0" w:line="254" w:lineRule="auto"/>
              <w:ind w:right="114"/>
              <w:jc w:val="center"/>
              <w:rPr>
                <w:rFonts w:ascii="Times New Roman" w:eastAsia="Times New Roman" w:hAnsi="Times New Roman" w:cs="Times New Roman"/>
                <w:noProof/>
                <w:sz w:val="12"/>
                <w:szCs w:val="12"/>
              </w:rPr>
            </w:pPr>
            <w:r>
              <w:rPr>
                <w:rFonts w:ascii="Times New Roman" w:hAnsi="Times New Roman"/>
                <w:noProof/>
                <w:sz w:val="12"/>
              </w:rPr>
              <w:t xml:space="preserve">Decizia 366/2016 – Orientări privind acordarea concediului special pentru activități excepționale care depășesc obligațiile normale ale unui funcționar </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1.1.2017</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1.3.2022</w:t>
            </w:r>
          </w:p>
        </w:tc>
        <w:tc>
          <w:tcPr>
            <w:tcW w:w="936"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bottom w:val="single" w:sz="3" w:space="0" w:color="000000"/>
              <w:right w:val="single" w:sz="4" w:space="0" w:color="000000"/>
            </w:tcBorders>
            <w:shd w:val="clear" w:color="auto" w:fill="C6D9F1"/>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before="62" w:after="0" w:line="254" w:lineRule="auto"/>
              <w:ind w:right="114"/>
              <w:jc w:val="center"/>
              <w:rPr>
                <w:rFonts w:ascii="Times New Roman" w:eastAsia="Calibri" w:hAnsi="Times New Roman" w:cs="Times New Roman"/>
                <w:strike/>
                <w:noProof/>
                <w:sz w:val="12"/>
                <w:szCs w:val="12"/>
              </w:rPr>
            </w:pPr>
            <w:r>
              <w:rPr>
                <w:rFonts w:ascii="Times New Roman" w:hAnsi="Times New Roman"/>
                <w:noProof/>
                <w:sz w:val="12"/>
              </w:rPr>
              <w:t>Decizia 34/2022 privind programele de lucru în cadrul Comitetului European al Regiunilor (proiect-pilot)</w:t>
            </w:r>
          </w:p>
        </w:tc>
        <w:tc>
          <w:tcPr>
            <w:tcW w:w="1511"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1.3.2022</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3" w:space="0" w:color="000000"/>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58</w:t>
            </w:r>
          </w:p>
        </w:tc>
        <w:tc>
          <w:tcPr>
            <w:tcW w:w="255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de maternitate</w:t>
            </w: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 xml:space="preserve">Decizia 365/2016 privind normele aplicabile personalului cu privire la drepturile la concediu anual și la concediu special </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31.10.2016</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14.11.2023</w:t>
            </w:r>
          </w:p>
        </w:tc>
        <w:tc>
          <w:tcPr>
            <w:tcW w:w="936"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bottom w:val="single" w:sz="3" w:space="0" w:color="000000"/>
              <w:right w:val="single" w:sz="4" w:space="0" w:color="000000"/>
            </w:tcBorders>
            <w:vAlign w:val="center"/>
          </w:tcPr>
          <w:p>
            <w:pPr>
              <w:widowControl w:val="0"/>
              <w:spacing w:before="107"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bottom w:val="single" w:sz="3" w:space="0" w:color="000000"/>
              <w:right w:val="single" w:sz="4" w:space="0" w:color="000000"/>
            </w:tcBorders>
            <w:shd w:val="clear" w:color="auto" w:fill="DA9694"/>
            <w:vAlign w:val="center"/>
          </w:tcPr>
          <w:p>
            <w:pPr>
              <w:widowControl w:val="0"/>
              <w:spacing w:before="8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Calibri" w:hAnsi="Times New Roman" w:cs="Times New Roman"/>
                <w:noProof/>
                <w:sz w:val="12"/>
                <w:szCs w:val="12"/>
              </w:rPr>
            </w:pPr>
            <w:r>
              <w:rPr>
                <w:rFonts w:ascii="Times New Roman" w:hAnsi="Times New Roman"/>
                <w:noProof/>
                <w:sz w:val="12"/>
              </w:rPr>
              <w:t>Decizia 137/2023 – Concediul anual și concediul special</w:t>
            </w:r>
          </w:p>
        </w:tc>
        <w:tc>
          <w:tcPr>
            <w:tcW w:w="1511"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14.11.2023</w:t>
            </w:r>
          </w:p>
        </w:tc>
        <w:tc>
          <w:tcPr>
            <w:tcW w:w="1498" w:type="dxa"/>
            <w:tcBorders>
              <w:top w:val="single" w:sz="3"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vMerge w:val="restart"/>
            <w:tcBorders>
              <w:top w:val="single" w:sz="3" w:space="0" w:color="000000"/>
              <w:left w:val="single" w:sz="4" w:space="0" w:color="000000"/>
              <w:right w:val="single" w:sz="4"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59 - 60</w:t>
            </w:r>
          </w:p>
        </w:tc>
        <w:tc>
          <w:tcPr>
            <w:tcW w:w="2551" w:type="dxa"/>
            <w:vMerge w:val="restart"/>
            <w:tcBorders>
              <w:top w:val="single" w:sz="3"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medical</w:t>
            </w:r>
          </w:p>
        </w:tc>
        <w:tc>
          <w:tcPr>
            <w:tcW w:w="3029"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Decizia 322/2016 – Absențele din motive de boală</w:t>
            </w:r>
          </w:p>
        </w:tc>
        <w:tc>
          <w:tcPr>
            <w:tcW w:w="1511"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31.10.2016</w:t>
            </w:r>
          </w:p>
        </w:tc>
        <w:tc>
          <w:tcPr>
            <w:tcW w:w="1498"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r>
              <w:rPr>
                <w:rFonts w:ascii="Times New Roman" w:hAnsi="Times New Roman"/>
                <w:noProof/>
                <w:sz w:val="12"/>
              </w:rPr>
              <w:t>4.3.2021</w:t>
            </w:r>
          </w:p>
        </w:tc>
        <w:tc>
          <w:tcPr>
            <w:tcW w:w="936" w:type="dxa"/>
            <w:vMerge w:val="restart"/>
            <w:tcBorders>
              <w:top w:val="single" w:sz="3"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4" w:space="0" w:color="auto"/>
              <w:right w:val="single" w:sz="4" w:space="0" w:color="000000"/>
            </w:tcBorders>
            <w:vAlign w:val="center"/>
          </w:tcPr>
          <w:p>
            <w:pPr>
              <w:widowControl w:val="0"/>
              <w:spacing w:after="0" w:line="240" w:lineRule="auto"/>
              <w:ind w:right="2"/>
              <w:jc w:val="center"/>
              <w:rPr>
                <w:rFonts w:ascii="Times New Roman" w:eastAsia="Times New Roman" w:hAnsi="Times New Roman" w:cs="Times New Roman"/>
                <w:noProof/>
                <w:sz w:val="12"/>
                <w:szCs w:val="12"/>
                <w:lang w:val="en-US"/>
              </w:rPr>
            </w:pPr>
          </w:p>
        </w:tc>
        <w:tc>
          <w:tcPr>
            <w:tcW w:w="2551" w:type="dxa"/>
            <w:vMerge/>
            <w:tcBorders>
              <w:left w:val="single" w:sz="4" w:space="0" w:color="000000"/>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11"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80/2021 – Absențele din motive de boală</w:t>
            </w:r>
          </w:p>
        </w:tc>
        <w:tc>
          <w:tcPr>
            <w:tcW w:w="1511"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4.3.2021 </w:t>
            </w:r>
          </w:p>
        </w:tc>
        <w:tc>
          <w:tcPr>
            <w:tcW w:w="1498" w:type="dxa"/>
            <w:tcBorders>
              <w:top w:val="single" w:sz="3" w:space="0" w:color="000000"/>
              <w:left w:val="single" w:sz="4" w:space="0" w:color="000000"/>
              <w:bottom w:val="single" w:sz="4" w:space="0" w:color="auto"/>
              <w:right w:val="single" w:sz="4"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4"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571"/>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67 - 68 + anexa VII [articolul 1 alineatul (2) litera (d)]</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Alocația pentru locuință prin decizie specială</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Decizia 315/04 privind dispozițiile generale de punere în aplicare privind acordarea alocației pentru locuință prin decizie specială</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430"/>
        </w:trPr>
        <w:tc>
          <w:tcPr>
            <w:tcW w:w="1156" w:type="dxa"/>
            <w:tcBorders>
              <w:top w:val="single" w:sz="3" w:space="0" w:color="000000"/>
              <w:left w:val="single" w:sz="4" w:space="0" w:color="000000"/>
              <w:bottom w:val="single" w:sz="3" w:space="0" w:color="000000"/>
              <w:right w:val="single" w:sz="3" w:space="0" w:color="000000"/>
            </w:tcBorders>
            <w:shd w:val="clear" w:color="auto" w:fill="FFFFFF" w:themeFill="background1"/>
            <w:vAlign w:val="center"/>
          </w:tcPr>
          <w:p>
            <w:pPr>
              <w:widowControl w:val="0"/>
              <w:spacing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67 - 68 + anexa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(articolul 1)</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Alocațiile familiale</w:t>
            </w:r>
          </w:p>
        </w:tc>
        <w:tc>
          <w:tcPr>
            <w:tcW w:w="3029"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Decizia 317/04 privind dispozițiile generale de punere în aplicare referitoare la aplicarea articolelor 67 și 68 și articolelor 1, 2, 3 din anexa VII</w:t>
            </w:r>
          </w:p>
        </w:tc>
        <w:tc>
          <w:tcPr>
            <w:tcW w:w="1322"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val="restart"/>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468"/>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before="88"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67 - 68 + anexa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(articolul 2)</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14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Alocația pentru copilul aflat în întreținere</w:t>
            </w:r>
          </w:p>
        </w:tc>
        <w:tc>
          <w:tcPr>
            <w:tcW w:w="3029"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1322"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1687"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p>
        </w:tc>
      </w:tr>
      <w:tr>
        <w:trPr>
          <w:trHeight w:hRule="exact" w:val="485"/>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before="98"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67 - 68 + anexa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[articolul 2 alineatul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Persoana considerată copil aflat în întreținere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Decizia 268/98 privind dispozițiile generale de punere în aplicare a articolului 2 alineatul (4) din anexa VII</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1.12.1998</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667"/>
        </w:trPr>
        <w:tc>
          <w:tcPr>
            <w:tcW w:w="1156"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1"/>
              <w:jc w:val="center"/>
              <w:rPr>
                <w:rFonts w:ascii="Times New Roman" w:eastAsia="Times New Roman" w:hAnsi="Times New Roman" w:cs="Times New Roman"/>
                <w:noProof/>
                <w:sz w:val="12"/>
                <w:szCs w:val="12"/>
              </w:rPr>
            </w:pPr>
            <w:r>
              <w:rPr>
                <w:rFonts w:ascii="Times New Roman" w:hAnsi="Times New Roman"/>
                <w:b/>
                <w:noProof/>
                <w:sz w:val="12"/>
              </w:rPr>
              <w:t>67 - 68 + anexa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(articolul 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Alocația școlară</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Decizia nr. 84/2013 privind dispozițiile generale de punere în aplicare pentru acordarea alocației școlare (articolul 3 din anexa VII la Statutul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Secțiunea 3 – Rambursarea cheltuielilor</w:t>
            </w:r>
          </w:p>
        </w:tc>
      </w:tr>
      <w:tr>
        <w:trPr>
          <w:trHeight w:hRule="exact" w:val="370"/>
        </w:trPr>
        <w:tc>
          <w:tcPr>
            <w:tcW w:w="1156" w:type="dxa"/>
            <w:tcBorders>
              <w:left w:val="single" w:sz="4" w:space="0" w:color="000000"/>
              <w:bottom w:val="single" w:sz="3" w:space="0" w:color="000000"/>
              <w:right w:val="single" w:sz="3"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71 + anexa VII</w:t>
            </w:r>
            <w:r>
              <w:rPr>
                <w:noProof/>
              </w:rPr>
              <w:t xml:space="preserve"> </w:t>
            </w:r>
            <w:r>
              <w:rPr>
                <w:noProof/>
              </w:rPr>
              <w:br/>
            </w:r>
            <w:r>
              <w:rPr>
                <w:rFonts w:ascii="Times New Roman" w:hAnsi="Times New Roman"/>
                <w:b/>
                <w:noProof/>
                <w:sz w:val="12"/>
              </w:rPr>
              <w:t xml:space="preserve"> (articolele 7 și 8)</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Cheltuielile de călătorie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Decizia 118/2019 privind articolul 8 din anexa VII la Statutul funcționarilor</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1.6.2019</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28"/>
        </w:trPr>
        <w:tc>
          <w:tcPr>
            <w:tcW w:w="1156" w:type="dxa"/>
            <w:tcBorders>
              <w:top w:val="single" w:sz="3" w:space="0" w:color="000000"/>
              <w:left w:val="single" w:sz="4" w:space="0" w:color="000000"/>
              <w:bottom w:val="single" w:sz="3" w:space="0" w:color="000000"/>
              <w:right w:val="single" w:sz="3"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(articolul 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Locul de origine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08"/>
              <w:jc w:val="center"/>
              <w:rPr>
                <w:rFonts w:ascii="Times New Roman" w:eastAsia="Times New Roman" w:hAnsi="Times New Roman" w:cs="Times New Roman"/>
                <w:noProof/>
                <w:sz w:val="12"/>
                <w:szCs w:val="12"/>
              </w:rPr>
            </w:pPr>
            <w:r>
              <w:rPr>
                <w:rFonts w:ascii="Times New Roman" w:hAnsi="Times New Roman"/>
                <w:noProof/>
                <w:sz w:val="12"/>
              </w:rPr>
              <w:t>Decizia 386/2013 privind articolul 7 alineatul (4) din anexa VII referitor la stabilirea locului de origine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42"/>
        </w:trPr>
        <w:tc>
          <w:tcPr>
            <w:tcW w:w="1156"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(articolul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 de mutare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Decizia 385/2013 privind dispozițiile generale de punere în aplicare referitoare la cheltuielile de mutare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14"/>
        </w:trPr>
        <w:tc>
          <w:tcPr>
            <w:tcW w:w="1156"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w:t>
            </w:r>
            <w:r>
              <w:rPr>
                <w:noProof/>
              </w:rPr>
              <w:t xml:space="preserve"> </w:t>
            </w:r>
            <w:r>
              <w:rPr>
                <w:noProof/>
              </w:rPr>
              <w:br/>
            </w:r>
            <w:r>
              <w:rPr>
                <w:rFonts w:ascii="Times New Roman" w:hAnsi="Times New Roman"/>
                <w:b/>
                <w:noProof/>
                <w:sz w:val="12"/>
              </w:rPr>
              <w:t xml:space="preserve"> (articolele 11 - 13a)</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Cheltuielile de misiune și de deplasare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69"/>
              <w:jc w:val="center"/>
              <w:rPr>
                <w:rFonts w:ascii="Times New Roman" w:eastAsia="Times New Roman" w:hAnsi="Times New Roman" w:cs="Times New Roman"/>
                <w:noProof/>
                <w:sz w:val="12"/>
                <w:szCs w:val="12"/>
              </w:rPr>
            </w:pPr>
            <w:r>
              <w:rPr>
                <w:rFonts w:ascii="Times New Roman" w:hAnsi="Times New Roman"/>
                <w:noProof/>
                <w:sz w:val="12"/>
              </w:rPr>
              <w:t>Decizia 0053/2010 privind dispozițiile generale de punere în aplicare referitoare la Ghidul privind delegațiile funcționarilor și ale celorlalți agenți</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1.5.2010</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200" w:line="240" w:lineRule="auto"/>
              <w:jc w:val="center"/>
              <w:rPr>
                <w:rFonts w:ascii="Times New Roman" w:eastAsia="Calibri" w:hAnsi="Times New Roman" w:cs="Times New Roman"/>
                <w:noProof/>
                <w:sz w:val="19"/>
                <w:szCs w:val="19"/>
              </w:rPr>
            </w:pPr>
            <w:r>
              <w:rPr>
                <w:rFonts w:ascii="Times New Roman" w:hAnsi="Times New Roman"/>
                <w:b/>
                <w:noProof/>
                <w:sz w:val="19"/>
              </w:rPr>
              <w:t>Capitolul 2 – Asigurările sociale</w:t>
            </w:r>
          </w:p>
        </w:tc>
      </w:tr>
      <w:tr>
        <w:trPr>
          <w:trHeight w:hRule="exact" w:val="569"/>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after="0" w:line="254" w:lineRule="auto"/>
              <w:ind w:right="31"/>
              <w:jc w:val="center"/>
              <w:rPr>
                <w:rFonts w:ascii="Times New Roman" w:eastAsia="Calibri" w:hAnsi="Times New Roman" w:cs="Times New Roman"/>
                <w:noProof/>
                <w:sz w:val="12"/>
                <w:szCs w:val="12"/>
              </w:rPr>
            </w:pPr>
            <w:r>
              <w:rPr>
                <w:rFonts w:ascii="Times New Roman" w:hAnsi="Times New Roman"/>
                <w:b/>
                <w:noProof/>
                <w:sz w:val="12"/>
              </w:rPr>
              <w:t>76</w:t>
            </w:r>
          </w:p>
        </w:tc>
        <w:tc>
          <w:tcPr>
            <w:tcW w:w="2551"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Asistență financiară</w:t>
            </w:r>
          </w:p>
        </w:tc>
        <w:tc>
          <w:tcPr>
            <w:tcW w:w="3029"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54" w:lineRule="auto"/>
              <w:ind w:right="121"/>
              <w:jc w:val="center"/>
              <w:rPr>
                <w:rFonts w:ascii="Times New Roman" w:eastAsia="Calibri" w:hAnsi="Times New Roman" w:cs="Times New Roman"/>
                <w:noProof/>
                <w:sz w:val="12"/>
                <w:szCs w:val="12"/>
              </w:rPr>
            </w:pPr>
            <w:r>
              <w:rPr>
                <w:rFonts w:ascii="Times New Roman" w:hAnsi="Times New Roman"/>
                <w:noProof/>
                <w:sz w:val="12"/>
              </w:rPr>
              <w:t>Normele interne privind aplicarea articolului 76 din Statutul funcționarilor privind asistența financiară pentru funcționari și alți angajați aflați într-o situație financiară deosebit de dificilă</w:t>
            </w:r>
          </w:p>
        </w:tc>
        <w:tc>
          <w:tcPr>
            <w:tcW w:w="1322"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noProof/>
              </w:rPr>
              <w:t xml:space="preserve"> </w:t>
            </w:r>
            <w:r>
              <w:rPr>
                <w:noProof/>
              </w:rPr>
              <w:br/>
            </w:r>
            <w:r>
              <w:rPr>
                <w:rFonts w:ascii="Times New Roman" w:hAnsi="Times New Roman"/>
                <w:noProof/>
                <w:sz w:val="12"/>
              </w:rPr>
              <w:t>1.5.1996</w:t>
            </w:r>
          </w:p>
        </w:tc>
        <w:tc>
          <w:tcPr>
            <w:tcW w:w="1687"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GB"/>
              </w:rPr>
            </w:pPr>
          </w:p>
        </w:tc>
        <w:tc>
          <w:tcPr>
            <w:tcW w:w="936" w:type="dxa"/>
            <w:tcBorders>
              <w:top w:val="single" w:sz="5" w:space="0" w:color="000000"/>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noProof/>
              </w:rPr>
              <w:t xml:space="preserve"> </w:t>
            </w:r>
            <w:r>
              <w:rPr>
                <w:noProof/>
              </w:rPr>
              <w:br/>
            </w:r>
            <w:r>
              <w:rPr>
                <w:rFonts w:ascii="Times New Roman" w:hAnsi="Times New Roman"/>
                <w:b/>
                <w:noProof/>
                <w:sz w:val="16"/>
              </w:rPr>
              <w:t>1 IR</w:t>
            </w:r>
          </w:p>
          <w:p>
            <w:pPr>
              <w:widowControl w:val="0"/>
              <w:spacing w:after="0" w:line="240" w:lineRule="auto"/>
              <w:jc w:val="center"/>
              <w:rPr>
                <w:rFonts w:ascii="Times New Roman" w:eastAsia="Calibri" w:hAnsi="Times New Roman" w:cs="Times New Roman"/>
                <w:b/>
                <w:noProof/>
                <w:spacing w:val="1"/>
                <w:w w:val="105"/>
                <w:sz w:val="16"/>
                <w:szCs w:val="16"/>
                <w:lang w:val="en-GB"/>
              </w:rPr>
            </w:pP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anexa VIII – Pensiile și prestația de invaliditate</w:t>
            </w:r>
          </w:p>
        </w:tc>
      </w:tr>
      <w:tr>
        <w:trPr>
          <w:trHeight w:hRule="exact" w:val="672"/>
        </w:trPr>
        <w:tc>
          <w:tcPr>
            <w:tcW w:w="1156"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anexa VIII</w:t>
            </w:r>
            <w:r>
              <w:rPr>
                <w:noProof/>
              </w:rPr>
              <w:t xml:space="preserve"> </w:t>
            </w:r>
            <w:r>
              <w:rPr>
                <w:noProof/>
              </w:rPr>
              <w:br/>
            </w:r>
            <w:r>
              <w:rPr>
                <w:rFonts w:ascii="Times New Roman" w:hAnsi="Times New Roman"/>
                <w:b/>
                <w:noProof/>
                <w:sz w:val="12"/>
              </w:rPr>
              <w:t xml:space="preserve"> (articolele 11 și 12)</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Transferul drepturilor de pensie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83/2011 privind dispozițiile generale de punere în aplicare pentru articolele 11 și 12 din anexa VIII privind transferul drepturilor de pensie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 – Regimul disciplinar </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 + anexa IX</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Procedura disciplinară și anchetele administrative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83/2019 de adoptare a dispozițiilor generale de punere în aplicare privind anchetele administrative</w:t>
            </w:r>
            <w:r>
              <w:rPr>
                <w:noProof/>
              </w:rPr>
              <w:t xml:space="preserve"> </w:t>
            </w:r>
            <w:r>
              <w:rPr>
                <w:noProof/>
              </w:rPr>
              <w:br/>
            </w:r>
            <w:r>
              <w:rPr>
                <w:rFonts w:ascii="Times New Roman" w:hAnsi="Times New Roman"/>
                <w:noProof/>
                <w:sz w:val="12"/>
              </w:rPr>
              <w:t>și a dispozițiilor de punere în aplicare privind procedura disciplinară</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6.5.2019</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 – Agenții temporari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525"/>
        </w:trPr>
        <w:tc>
          <w:tcPr>
            <w:tcW w:w="1156" w:type="dxa"/>
            <w:vMerge w:val="restart"/>
            <w:tcBorders>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Calibri" w:hAnsi="Times New Roman" w:cs="Times New Roman"/>
                <w:b/>
                <w:noProof/>
                <w:sz w:val="12"/>
              </w:rPr>
            </w:pPr>
            <w:r>
              <w:rPr>
                <w:rFonts w:ascii="Times New Roman" w:hAnsi="Times New Roman"/>
                <w:b/>
                <w:noProof/>
                <w:sz w:val="12"/>
              </w:rPr>
              <w:t>12 alineatul (5)</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7" w:lineRule="auto"/>
              <w:ind w:right="357"/>
              <w:jc w:val="center"/>
              <w:rPr>
                <w:rFonts w:ascii="Times New Roman" w:eastAsia="Calibri" w:hAnsi="Times New Roman" w:cs="Times New Roman"/>
                <w:b/>
                <w:noProof/>
                <w:spacing w:val="-1"/>
                <w:sz w:val="16"/>
              </w:rPr>
            </w:pPr>
            <w:r>
              <w:rPr>
                <w:rFonts w:ascii="Times New Roman" w:hAnsi="Times New Roman"/>
                <w:b/>
                <w:noProof/>
                <w:sz w:val="16"/>
              </w:rPr>
              <w:t>Procedura de recrutare pentru agenții temporari</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258"/>
              <w:jc w:val="center"/>
              <w:rPr>
                <w:rFonts w:ascii="Times New Roman" w:eastAsia="Calibri" w:hAnsi="Times New Roman" w:cs="Times New Roman"/>
                <w:noProof/>
                <w:spacing w:val="-2"/>
                <w:sz w:val="12"/>
                <w:szCs w:val="12"/>
              </w:rPr>
            </w:pPr>
            <w:r>
              <w:rPr>
                <w:rFonts w:ascii="Times New Roman" w:hAnsi="Times New Roman"/>
                <w:noProof/>
                <w:sz w:val="12"/>
              </w:rPr>
              <w:t xml:space="preserve">Decizia 31/2018 referitoare la normele generale de punere în aplicare privind recrutarea agenților temporari </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22.2.2018</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 </w:t>
            </w: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25"/>
        </w:trPr>
        <w:tc>
          <w:tcPr>
            <w:tcW w:w="1156" w:type="dxa"/>
            <w:vMerge/>
            <w:tcBorders>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Calibri" w:hAnsi="Times New Roman" w:cs="Times New Roman"/>
                <w:b/>
                <w:noProof/>
                <w:sz w:val="12"/>
                <w:lang w:val="en-US"/>
              </w:rPr>
            </w:pPr>
          </w:p>
        </w:tc>
        <w:tc>
          <w:tcPr>
            <w:tcW w:w="2551" w:type="dxa"/>
            <w:vMerge/>
            <w:tcBorders>
              <w:left w:val="single" w:sz="3" w:space="0" w:color="000000"/>
              <w:right w:val="single" w:sz="3" w:space="0" w:color="000000"/>
            </w:tcBorders>
            <w:shd w:val="clear" w:color="auto" w:fill="FFFF65"/>
            <w:vAlign w:val="center"/>
          </w:tcPr>
          <w:p>
            <w:pPr>
              <w:widowControl w:val="0"/>
              <w:spacing w:after="0" w:line="247" w:lineRule="auto"/>
              <w:ind w:right="357"/>
              <w:jc w:val="center"/>
              <w:rPr>
                <w:rFonts w:ascii="Times New Roman" w:eastAsia="Calibri" w:hAnsi="Times New Roman" w:cs="Times New Roman"/>
                <w:b/>
                <w:noProof/>
                <w:spacing w:val="-1"/>
                <w:sz w:val="16"/>
                <w:lang w:val="en-US"/>
              </w:rPr>
            </w:pPr>
          </w:p>
        </w:tc>
        <w:tc>
          <w:tcPr>
            <w:tcW w:w="3029"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before="35" w:after="0" w:line="254" w:lineRule="auto"/>
              <w:ind w:right="258"/>
              <w:jc w:val="center"/>
              <w:rPr>
                <w:rFonts w:ascii="Times New Roman" w:eastAsia="Calibri" w:hAnsi="Times New Roman" w:cs="Times New Roman"/>
                <w:noProof/>
                <w:spacing w:val="-2"/>
                <w:sz w:val="12"/>
                <w:szCs w:val="12"/>
              </w:rPr>
            </w:pPr>
            <w:hyperlink r:id="rId20" w:history="1">
              <w:r>
                <w:rPr>
                  <w:rFonts w:ascii="Times New Roman" w:hAnsi="Times New Roman"/>
                  <w:noProof/>
                  <w:sz w:val="12"/>
                </w:rPr>
                <w:t>Instrucțiunea de serviciu nr. 0001/2019 a secretarului general privind normele administrative interne în materie de recrutare</w:t>
              </w:r>
            </w:hyperlink>
          </w:p>
        </w:tc>
        <w:tc>
          <w:tcPr>
            <w:tcW w:w="1322"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1.2.2019</w:t>
            </w:r>
          </w:p>
        </w:tc>
        <w:tc>
          <w:tcPr>
            <w:tcW w:w="1687" w:type="dxa"/>
            <w:tcBorders>
              <w:top w:val="single" w:sz="5" w:space="0" w:color="000000"/>
              <w:left w:val="single" w:sz="3" w:space="0" w:color="000000"/>
              <w:bottom w:val="single" w:sz="5"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5.3.2021</w:t>
            </w:r>
          </w:p>
        </w:tc>
        <w:tc>
          <w:tcPr>
            <w:tcW w:w="936" w:type="dxa"/>
            <w:vMerge w:val="restart"/>
            <w:tcBorders>
              <w:top w:val="single" w:sz="5" w:space="0" w:color="000000"/>
              <w:left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25"/>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rPr>
                <w:rFonts w:ascii="Times New Roman" w:eastAsia="Calibri" w:hAnsi="Times New Roman" w:cs="Times New Roman"/>
                <w:b/>
                <w:noProof/>
                <w:sz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7" w:lineRule="auto"/>
              <w:ind w:right="357"/>
              <w:rPr>
                <w:rFonts w:ascii="Times New Roman" w:eastAsia="Calibri" w:hAnsi="Times New Roman" w:cs="Times New Roman"/>
                <w:b/>
                <w:noProof/>
                <w:spacing w:val="-1"/>
                <w:sz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before="35" w:after="0" w:line="254" w:lineRule="auto"/>
              <w:ind w:right="258"/>
              <w:jc w:val="center"/>
              <w:rPr>
                <w:noProof/>
              </w:rPr>
            </w:pPr>
            <w:hyperlink r:id="rId21" w:history="1">
              <w:r>
                <w:rPr>
                  <w:rFonts w:ascii="Times New Roman" w:hAnsi="Times New Roman"/>
                  <w:noProof/>
                  <w:sz w:val="12"/>
                </w:rPr>
                <w:t>Instrucțiunea de serviciu</w:t>
              </w:r>
              <w:r>
                <w:rPr>
                  <w:noProof/>
                </w:rPr>
                <w:t xml:space="preserve"> </w:t>
              </w:r>
              <w:r>
                <w:rPr>
                  <w:rFonts w:ascii="Times New Roman" w:hAnsi="Times New Roman"/>
                  <w:noProof/>
                  <w:sz w:val="12"/>
                </w:rPr>
                <w:t>nr. 1/2021 a secretarului general privind normele administrative interne în materie de recrutare</w:t>
              </w:r>
            </w:hyperlink>
          </w:p>
        </w:tc>
        <w:tc>
          <w:tcPr>
            <w:tcW w:w="1322"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5.3.2021</w:t>
            </w:r>
          </w:p>
        </w:tc>
        <w:tc>
          <w:tcPr>
            <w:tcW w:w="1687" w:type="dxa"/>
            <w:tcBorders>
              <w:top w:val="single" w:sz="5"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3 – Condițiile de angajare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15</w:t>
            </w:r>
          </w:p>
        </w:tc>
        <w:tc>
          <w:tcPr>
            <w:tcW w:w="2551"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Încadrarea în treaptă</w:t>
            </w:r>
          </w:p>
        </w:tc>
        <w:tc>
          <w:tcPr>
            <w:tcW w:w="3029"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Decizia 93/2014 de stabilire a dispozițiilor generale de punere în aplicare referitoare la încadrarea în treaptă la momentul recrutării funcționarilor sau la momentul angajării agenților temporari</w:t>
            </w:r>
          </w:p>
        </w:tc>
        <w:tc>
          <w:tcPr>
            <w:tcW w:w="1322"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 xml:space="preserve"> </w:t>
            </w:r>
          </w:p>
        </w:tc>
        <w:tc>
          <w:tcPr>
            <w:tcW w:w="936" w:type="dxa"/>
            <w:tcBorders>
              <w:top w:val="single" w:sz="4" w:space="0" w:color="auto"/>
              <w:left w:val="single" w:sz="4" w:space="0" w:color="auto"/>
              <w:bottom w:val="single" w:sz="4" w:space="0" w:color="auto"/>
              <w:right w:val="single" w:sz="4" w:space="0" w:color="auto"/>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267"/>
        </w:trPr>
        <w:tc>
          <w:tcPr>
            <w:tcW w:w="10681" w:type="dxa"/>
            <w:gridSpan w:val="6"/>
            <w:tcBorders>
              <w:top w:val="single" w:sz="4" w:space="0" w:color="auto"/>
              <w:bottom w:val="single" w:sz="4" w:space="0" w:color="auto"/>
            </w:tcBorders>
            <w:vAlign w:val="center"/>
          </w:tcPr>
          <w:p>
            <w:pPr>
              <w:widowControl w:val="0"/>
              <w:spacing w:after="0" w:line="240" w:lineRule="auto"/>
              <w:rPr>
                <w:rFonts w:ascii="Times New Roman" w:eastAsia="Calibri" w:hAnsi="Times New Roman" w:cs="Times New Roman"/>
                <w:b/>
                <w:noProof/>
                <w:spacing w:val="1"/>
                <w:w w:val="105"/>
                <w:sz w:val="16"/>
                <w:szCs w:val="16"/>
                <w:lang w:val="en-US"/>
              </w:rPr>
            </w:pPr>
          </w:p>
        </w:tc>
      </w:tr>
      <w:tr>
        <w:trPr>
          <w:trHeight w:hRule="exact" w:val="408"/>
        </w:trPr>
        <w:tc>
          <w:tcPr>
            <w:tcW w:w="10681"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pPr>
              <w:widowControl w:val="0"/>
              <w:spacing w:after="0" w:line="240" w:lineRule="auto"/>
              <w:rPr>
                <w:rFonts w:ascii="Times New Roman" w:eastAsia="Calibri" w:hAnsi="Times New Roman" w:cs="Times New Roman"/>
                <w:b/>
                <w:noProof/>
                <w:spacing w:val="1"/>
                <w:w w:val="105"/>
                <w:sz w:val="16"/>
                <w:szCs w:val="16"/>
              </w:rPr>
            </w:pPr>
            <w:r>
              <w:rPr>
                <w:rFonts w:ascii="Times New Roman" w:hAnsi="Times New Roman"/>
                <w:b/>
                <w:noProof/>
                <w:sz w:val="19"/>
              </w:rPr>
              <w:t xml:space="preserve">                                                                                      Capitolul 4 – Condițiile de muncă</w:t>
            </w:r>
          </w:p>
        </w:tc>
      </w:tr>
      <w:tr>
        <w:trPr>
          <w:trHeight w:hRule="exact" w:val="567"/>
        </w:trPr>
        <w:tc>
          <w:tcPr>
            <w:tcW w:w="1156" w:type="dxa"/>
            <w:vMerge w:val="restart"/>
            <w:tcBorders>
              <w:top w:val="single" w:sz="4" w:space="0" w:color="auto"/>
              <w:left w:val="single" w:sz="4" w:space="0" w:color="000000"/>
              <w:right w:val="single" w:sz="4" w:space="0" w:color="000000"/>
            </w:tcBorders>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16 + 91</w:t>
            </w:r>
          </w:p>
        </w:tc>
        <w:tc>
          <w:tcPr>
            <w:tcW w:w="2551" w:type="dxa"/>
            <w:vMerge w:val="restart"/>
            <w:tcBorders>
              <w:top w:val="single" w:sz="4" w:space="0" w:color="auto"/>
              <w:left w:val="single" w:sz="4" w:space="0" w:color="000000"/>
              <w:right w:val="single" w:sz="4" w:space="0" w:color="000000"/>
            </w:tcBorders>
            <w:shd w:val="clear" w:color="auto" w:fill="D99594"/>
            <w:vAlign w:val="center"/>
          </w:tcPr>
          <w:p>
            <w:pPr>
              <w:widowControl w:val="0"/>
              <w:spacing w:before="137" w:after="0" w:line="240" w:lineRule="auto"/>
              <w:jc w:val="center"/>
              <w:rPr>
                <w:rFonts w:ascii="Times New Roman" w:eastAsia="Calibri" w:hAnsi="Times New Roman" w:cs="Times New Roman"/>
                <w:b/>
                <w:bCs/>
                <w:noProof/>
                <w:sz w:val="16"/>
                <w:szCs w:val="16"/>
              </w:rPr>
            </w:pPr>
            <w:r>
              <w:rPr>
                <w:rFonts w:ascii="Times New Roman" w:hAnsi="Times New Roman"/>
                <w:b/>
                <w:noProof/>
                <w:sz w:val="16"/>
              </w:rPr>
              <w:t>Concediul de maternitate și alocația aferentă</w:t>
            </w:r>
          </w:p>
        </w:tc>
        <w:tc>
          <w:tcPr>
            <w:tcW w:w="3029"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before="83" w:after="0" w:line="254" w:lineRule="auto"/>
              <w:ind w:right="123"/>
              <w:jc w:val="center"/>
              <w:rPr>
                <w:rFonts w:ascii="Times New Roman" w:eastAsia="Calibri" w:hAnsi="Times New Roman" w:cs="Times New Roman"/>
                <w:noProof/>
                <w:sz w:val="12"/>
                <w:szCs w:val="12"/>
              </w:rPr>
            </w:pPr>
            <w:r>
              <w:rPr>
                <w:rFonts w:ascii="Times New Roman" w:hAnsi="Times New Roman"/>
                <w:noProof/>
                <w:sz w:val="12"/>
              </w:rPr>
              <w:t xml:space="preserve">Decizia 365/2016 privind normele aplicabile personalului cu privire la drepturile la concediu anual și la concediu special </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31.10.2016</w:t>
            </w:r>
          </w:p>
        </w:tc>
        <w:tc>
          <w:tcPr>
            <w:tcW w:w="1687" w:type="dxa"/>
            <w:tcBorders>
              <w:top w:val="single" w:sz="4" w:space="0" w:color="auto"/>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14.11.2023</w:t>
            </w:r>
          </w:p>
        </w:tc>
        <w:tc>
          <w:tcPr>
            <w:tcW w:w="936" w:type="dxa"/>
            <w:vMerge w:val="restart"/>
            <w:tcBorders>
              <w:top w:val="single" w:sz="4" w:space="0" w:color="auto"/>
              <w:left w:val="single" w:sz="4"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bottom w:val="single" w:sz="4" w:space="0" w:color="000000"/>
              <w:right w:val="single" w:sz="4"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4" w:space="0" w:color="000000"/>
              <w:bottom w:val="single" w:sz="4" w:space="0" w:color="000000"/>
              <w:right w:val="single" w:sz="4" w:space="0" w:color="000000"/>
            </w:tcBorders>
            <w:shd w:val="clear" w:color="auto" w:fill="D99594"/>
            <w:vAlign w:val="center"/>
          </w:tcPr>
          <w:p>
            <w:pPr>
              <w:widowControl w:val="0"/>
              <w:spacing w:before="137"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before="83" w:after="0" w:line="254" w:lineRule="auto"/>
              <w:ind w:right="123"/>
              <w:jc w:val="center"/>
              <w:rPr>
                <w:rFonts w:ascii="Times New Roman" w:eastAsia="Calibri" w:hAnsi="Times New Roman" w:cs="Times New Roman"/>
                <w:noProof/>
                <w:sz w:val="12"/>
                <w:szCs w:val="12"/>
              </w:rPr>
            </w:pPr>
            <w:r>
              <w:rPr>
                <w:rFonts w:ascii="Times New Roman" w:hAnsi="Times New Roman"/>
                <w:noProof/>
                <w:sz w:val="12"/>
              </w:rPr>
              <w:t>Decizia 137/2023 – Concediul anual și concediul special</w:t>
            </w:r>
          </w:p>
        </w:tc>
        <w:tc>
          <w:tcPr>
            <w:tcW w:w="1322" w:type="dxa"/>
            <w:tcBorders>
              <w:top w:val="single" w:sz="6" w:space="0" w:color="000000"/>
              <w:left w:val="single" w:sz="4" w:space="0" w:color="000000"/>
              <w:bottom w:val="single" w:sz="3"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14.11.2023</w:t>
            </w:r>
          </w:p>
        </w:tc>
        <w:tc>
          <w:tcPr>
            <w:tcW w:w="1687" w:type="dxa"/>
            <w:tcBorders>
              <w:top w:val="single" w:sz="4" w:space="0" w:color="auto"/>
              <w:left w:val="single" w:sz="4" w:space="0" w:color="000000"/>
              <w:bottom w:val="single" w:sz="4"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58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3 – Condițiile de angajare</w:t>
            </w:r>
          </w:p>
        </w:tc>
      </w:tr>
      <w:tr>
        <w:trPr>
          <w:trHeight w:hRule="exact" w:val="734"/>
        </w:trPr>
        <w:tc>
          <w:tcPr>
            <w:tcW w:w="1156"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alineatul (2)</w:t>
            </w:r>
          </w:p>
        </w:tc>
        <w:tc>
          <w:tcPr>
            <w:tcW w:w="2551"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Utilizarea agenților contractuali</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92/2014 privind procedurile pentru condițiile de angajare a agenților contractuali (modificată ultima dată prin Decizia 90/2015)</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4.12.2014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655"/>
        </w:trPr>
        <w:tc>
          <w:tcPr>
            <w:tcW w:w="1156" w:type="dxa"/>
            <w:vMerge w:val="restart"/>
            <w:tcBorders>
              <w:top w:val="single" w:sz="5" w:space="0" w:color="000000"/>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82</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before="135" w:after="0" w:line="247" w:lineRule="auto"/>
              <w:ind w:right="326"/>
              <w:jc w:val="center"/>
              <w:rPr>
                <w:rFonts w:ascii="Times New Roman" w:eastAsia="Times New Roman" w:hAnsi="Times New Roman" w:cs="Times New Roman"/>
                <w:noProof/>
                <w:sz w:val="16"/>
                <w:szCs w:val="16"/>
              </w:rPr>
            </w:pPr>
            <w:r>
              <w:rPr>
                <w:rFonts w:ascii="Times New Roman" w:hAnsi="Times New Roman"/>
                <w:b/>
                <w:noProof/>
                <w:sz w:val="16"/>
              </w:rPr>
              <w:t>Procedurile de recrutare pentru agenții contractuali</w:t>
            </w:r>
          </w:p>
        </w:tc>
        <w:tc>
          <w:tcPr>
            <w:tcW w:w="3029" w:type="dxa"/>
            <w:tcBorders>
              <w:top w:val="single" w:sz="5" w:space="0" w:color="000000"/>
              <w:left w:val="single" w:sz="3" w:space="0" w:color="000000"/>
              <w:bottom w:val="single" w:sz="6" w:space="0" w:color="000000"/>
              <w:right w:val="single" w:sz="3" w:space="0" w:color="000000"/>
            </w:tcBorders>
            <w:shd w:val="clear" w:color="auto" w:fill="FFFF65"/>
            <w:vAlign w:val="center"/>
          </w:tcPr>
          <w:p>
            <w:pPr>
              <w:widowControl w:val="0"/>
              <w:spacing w:before="105"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92/2014 privind procedurile pentru condițiile de angajare a agenților contractuali (modificată ultima dată prin Decizia 90/2015)</w:t>
            </w:r>
          </w:p>
        </w:tc>
        <w:tc>
          <w:tcPr>
            <w:tcW w:w="1322" w:type="dxa"/>
            <w:tcBorders>
              <w:top w:val="single" w:sz="5" w:space="0" w:color="000000"/>
              <w:left w:val="single" w:sz="3" w:space="0" w:color="000000"/>
              <w:bottom w:val="single" w:sz="6"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6"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6" w:space="0" w:color="000000"/>
              <w:right w:val="single" w:sz="5" w:space="0" w:color="000000"/>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right w:val="single" w:sz="3" w:space="0" w:color="000000"/>
            </w:tcBorders>
            <w:shd w:val="clear" w:color="auto" w:fill="FFFF65"/>
            <w:vAlign w:val="center"/>
          </w:tcPr>
          <w:p>
            <w:pPr>
              <w:widowControl w:val="0"/>
              <w:spacing w:before="135" w:after="0" w:line="247" w:lineRule="auto"/>
              <w:ind w:right="326"/>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3" w:space="0" w:color="000000"/>
              <w:bottom w:val="single" w:sz="4" w:space="0" w:color="auto"/>
              <w:right w:val="single" w:sz="4" w:space="0" w:color="000000"/>
            </w:tcBorders>
            <w:shd w:val="clear" w:color="auto" w:fill="D99594"/>
            <w:vAlign w:val="center"/>
          </w:tcPr>
          <w:p>
            <w:pPr>
              <w:widowControl w:val="0"/>
              <w:spacing w:before="105" w:after="0" w:line="254" w:lineRule="auto"/>
              <w:ind w:right="38"/>
              <w:jc w:val="center"/>
              <w:rPr>
                <w:rFonts w:ascii="Times New Roman" w:eastAsia="Calibri" w:hAnsi="Times New Roman" w:cs="Times New Roman"/>
                <w:noProof/>
                <w:spacing w:val="-2"/>
                <w:sz w:val="12"/>
                <w:szCs w:val="12"/>
              </w:rPr>
            </w:pPr>
            <w:hyperlink r:id="rId22" w:history="1">
              <w:r>
                <w:rPr>
                  <w:rFonts w:ascii="Times New Roman" w:hAnsi="Times New Roman"/>
                  <w:noProof/>
                  <w:sz w:val="12"/>
                </w:rPr>
                <w:t>Instrucțiunea de serviciu nr. 0001/2019 a secretarului general privind normele administrative interne în materie de recrutare</w:t>
              </w:r>
            </w:hyperlink>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1.2.2019</w:t>
            </w:r>
          </w:p>
        </w:tc>
        <w:tc>
          <w:tcPr>
            <w:tcW w:w="1687"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5.3.2021 </w:t>
            </w:r>
          </w:p>
        </w:tc>
        <w:tc>
          <w:tcPr>
            <w:tcW w:w="936" w:type="dxa"/>
            <w:vMerge w:val="restart"/>
            <w:tcBorders>
              <w:top w:val="single" w:sz="6" w:space="0" w:color="000000"/>
              <w:left w:val="single" w:sz="4" w:space="0" w:color="000000"/>
              <w:right w:val="single" w:sz="6" w:space="0" w:color="000000"/>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 xml:space="preserve">0 </w:t>
            </w:r>
          </w:p>
        </w:tc>
      </w:tr>
      <w:tr>
        <w:trPr>
          <w:trHeight w:hRule="exact" w:val="567"/>
        </w:trPr>
        <w:tc>
          <w:tcPr>
            <w:tcW w:w="1156" w:type="dxa"/>
            <w:vMerge/>
            <w:tcBorders>
              <w:left w:val="single" w:sz="4" w:space="0" w:color="000000"/>
              <w:bottom w:val="single" w:sz="4" w:space="0" w:color="auto"/>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3" w:space="0" w:color="000000"/>
              <w:bottom w:val="single" w:sz="4" w:space="0" w:color="auto"/>
              <w:right w:val="single" w:sz="3" w:space="0" w:color="000000"/>
            </w:tcBorders>
            <w:shd w:val="clear" w:color="auto" w:fill="FFFF65"/>
            <w:vAlign w:val="center"/>
          </w:tcPr>
          <w:p>
            <w:pPr>
              <w:widowControl w:val="0"/>
              <w:spacing w:before="135" w:after="0" w:line="247" w:lineRule="auto"/>
              <w:ind w:right="326"/>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3" w:space="0" w:color="000000"/>
              <w:bottom w:val="single" w:sz="4" w:space="0" w:color="auto"/>
              <w:right w:val="single" w:sz="4" w:space="0" w:color="000000"/>
            </w:tcBorders>
            <w:shd w:val="clear" w:color="auto" w:fill="D99594"/>
            <w:vAlign w:val="center"/>
          </w:tcPr>
          <w:p>
            <w:pPr>
              <w:widowControl w:val="0"/>
              <w:spacing w:before="105" w:after="0" w:line="254" w:lineRule="auto"/>
              <w:ind w:right="38"/>
              <w:jc w:val="center"/>
              <w:rPr>
                <w:noProof/>
              </w:rPr>
            </w:pPr>
            <w:hyperlink r:id="rId23" w:history="1">
              <w:r>
                <w:rPr>
                  <w:rFonts w:ascii="Times New Roman" w:hAnsi="Times New Roman"/>
                  <w:noProof/>
                  <w:sz w:val="12"/>
                </w:rPr>
                <w:t>Instrucțiunea de serviciu</w:t>
              </w:r>
              <w:r>
                <w:rPr>
                  <w:noProof/>
                </w:rPr>
                <w:t xml:space="preserve"> </w:t>
              </w:r>
              <w:r>
                <w:rPr>
                  <w:rFonts w:ascii="Times New Roman" w:hAnsi="Times New Roman"/>
                  <w:noProof/>
                  <w:sz w:val="12"/>
                </w:rPr>
                <w:t>nr. 1/2021 a secretarului general privind normele administrative interne în materie de recrutare</w:t>
              </w:r>
            </w:hyperlink>
          </w:p>
        </w:tc>
        <w:tc>
          <w:tcPr>
            <w:tcW w:w="1322"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5.3.2021</w:t>
            </w:r>
          </w:p>
        </w:tc>
        <w:tc>
          <w:tcPr>
            <w:tcW w:w="1687" w:type="dxa"/>
            <w:tcBorders>
              <w:top w:val="single" w:sz="6" w:space="0" w:color="000000"/>
              <w:left w:val="single" w:sz="4" w:space="0" w:color="000000"/>
              <w:bottom w:val="single" w:sz="4" w:space="0" w:color="auto"/>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4" w:space="0" w:color="000000"/>
              <w:bottom w:val="single" w:sz="4" w:space="0" w:color="000000"/>
              <w:right w:val="single" w:sz="6" w:space="0" w:color="000000"/>
            </w:tcBorders>
            <w:shd w:val="clear" w:color="auto" w:fill="D99594"/>
            <w:vAlign w:val="center"/>
          </w:tcPr>
          <w:p>
            <w:pPr>
              <w:widowControl w:val="0"/>
              <w:spacing w:before="104" w:after="0" w:line="240" w:lineRule="auto"/>
              <w:jc w:val="center"/>
              <w:rPr>
                <w:rFonts w:ascii="Times New Roman" w:eastAsia="Calibri" w:hAnsi="Times New Roman" w:cs="Times New Roman"/>
                <w:b/>
                <w:noProof/>
                <w:spacing w:val="1"/>
                <w:w w:val="105"/>
                <w:sz w:val="16"/>
                <w:szCs w:val="16"/>
                <w:lang w:val="en-US"/>
              </w:rPr>
            </w:pPr>
          </w:p>
        </w:tc>
      </w:tr>
      <w:tr>
        <w:trPr>
          <w:trHeight w:hRule="exact" w:val="655"/>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Încadrarea în grad la momentul recrutării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92/2014 privind procedurile pentru condițiile de angajare a agenților contractuali (modificată ultima dată prin Decizia 90/2015)</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Legendă</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68480"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356951314" name="Rectangle 356951314"/>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56951314" o:spid="_x0000_s1031" style="position:absolute;margin-left:178.4pt;margin-top:17.9pt;width:156.2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Dispoziții generale de punere în aplicare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Alte norme de punere în aplicare</w:t>
            </w:r>
          </w:p>
        </w:tc>
      </w:tr>
    </w:tbl>
    <w:p>
      <w:pPr>
        <w:rPr>
          <w:noProof/>
        </w:rPr>
      </w:pPr>
    </w:p>
    <w:p>
      <w:pPr>
        <w:rPr>
          <w:noProof/>
        </w:rPr>
      </w:pPr>
      <w:r>
        <w:rPr>
          <w:noProof/>
        </w:rPr>
        <w:br w:type="page"/>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5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47"/>
                <w:szCs w:val="47"/>
              </w:rPr>
            </w:pPr>
            <w:r>
              <w:rPr>
                <w:rFonts w:ascii="Times New Roman" w:hAnsi="Times New Roman"/>
                <w:b/>
                <w:noProof/>
                <w:sz w:val="50"/>
              </w:rPr>
              <w:t>OMBUDSMANUL EUROPEAN</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1d alineatul (4)</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Handicap</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a articolului 1e alineatul (4) privind recrutarea persoanelor cu handicap</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2</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Competențele autorității împuternicite să facă numiri (AIPN)</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Delegarea exercitării competențelor de autoritate împuternicită să facă numiri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8.9.2015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4" w:space="0" w:color="auto"/>
              <w:left w:val="single" w:sz="4" w:space="0" w:color="auto"/>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anexa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Tipuri de posturi și titlurile posturilor</w:t>
            </w:r>
          </w:p>
        </w:tc>
        <w:tc>
          <w:tcPr>
            <w:tcW w:w="3029" w:type="dxa"/>
            <w:vMerge w:val="restart"/>
            <w:tcBorders>
              <w:top w:val="single" w:sz="4" w:space="0" w:color="auto"/>
              <w:left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rPr>
            </w:pPr>
            <w:r>
              <w:rPr>
                <w:rFonts w:ascii="Times New Roman" w:hAnsi="Times New Roman"/>
                <w:noProof/>
                <w:sz w:val="12"/>
              </w:rPr>
              <w:t>Decizia privind tipul de posturi și titlurile posturilor</w:t>
            </w:r>
          </w:p>
        </w:tc>
        <w:tc>
          <w:tcPr>
            <w:tcW w:w="1322"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rPr>
            </w:pPr>
            <w:r>
              <w:rPr>
                <w:rFonts w:ascii="Times New Roman" w:hAnsi="Times New Roman"/>
                <w:noProof/>
                <w:sz w:val="12"/>
              </w:rPr>
              <w:t>1.1.2014</w:t>
            </w:r>
          </w:p>
        </w:tc>
        <w:tc>
          <w:tcPr>
            <w:tcW w:w="1687" w:type="dxa"/>
            <w:vMerge w:val="restart"/>
            <w:tcBorders>
              <w:top w:val="single" w:sz="4" w:space="0" w:color="auto"/>
              <w:left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12.10.2020</w:t>
            </w:r>
          </w:p>
        </w:tc>
        <w:tc>
          <w:tcPr>
            <w:tcW w:w="936"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885"/>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8"/>
              <w:jc w:val="center"/>
              <w:rPr>
                <w:rFonts w:ascii="Times New Roman" w:eastAsia="Times New Roman" w:hAnsi="Times New Roman" w:cs="Times New Roman"/>
                <w:noProof/>
                <w:sz w:val="12"/>
                <w:szCs w:val="12"/>
              </w:rPr>
            </w:pPr>
            <w:r>
              <w:rPr>
                <w:rFonts w:ascii="Times New Roman" w:hAnsi="Times New Roman"/>
                <w:b/>
                <w:noProof/>
                <w:sz w:val="12"/>
              </w:rPr>
              <w:t xml:space="preserve">5 + anexele I și XIII </w:t>
            </w:r>
            <w:r>
              <w:rPr>
                <w:noProof/>
              </w:rPr>
              <w:t xml:space="preserve"> </w:t>
            </w:r>
            <w:r>
              <w:rPr>
                <w:noProof/>
              </w:rPr>
              <w:br/>
            </w:r>
            <w:r>
              <w:rPr>
                <w:rFonts w:ascii="Times New Roman" w:hAnsi="Times New Roman"/>
                <w:b/>
                <w:noProof/>
                <w:sz w:val="12"/>
              </w:rPr>
              <w:t>(articolele 30 și 31)</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Repartizarea funcționarilor care dețineau responsabilități speciale pentru „șef de unitate sau echivalent” sau „consilier sau echivalent” înainte de 31 decembrie 2015</w:t>
            </w:r>
          </w:p>
        </w:tc>
        <w:tc>
          <w:tcPr>
            <w:tcW w:w="3029" w:type="dxa"/>
            <w:vMerge/>
            <w:tcBorders>
              <w:left w:val="single" w:sz="4" w:space="0" w:color="auto"/>
              <w:bottom w:val="single" w:sz="4" w:space="0" w:color="auto"/>
              <w:right w:val="single" w:sz="4" w:space="0" w:color="auto"/>
            </w:tcBorders>
            <w:shd w:val="clear" w:color="auto" w:fill="DA9694"/>
            <w:vAlign w:val="center"/>
          </w:tcPr>
          <w:p>
            <w:pPr>
              <w:widowControl w:val="0"/>
              <w:spacing w:before="40" w:after="0" w:line="254" w:lineRule="auto"/>
              <w:ind w:right="62"/>
              <w:jc w:val="center"/>
              <w:rPr>
                <w:rFonts w:ascii="Times New Roman" w:eastAsia="Calibri" w:hAnsi="Times New Roman" w:cs="Times New Roman"/>
                <w:noProof/>
                <w:sz w:val="12"/>
                <w:szCs w:val="12"/>
                <w:lang w:val="fr-BE"/>
              </w:rPr>
            </w:pPr>
          </w:p>
        </w:tc>
        <w:tc>
          <w:tcPr>
            <w:tcW w:w="1322"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fr-BE"/>
              </w:rPr>
            </w:pPr>
          </w:p>
        </w:tc>
        <w:tc>
          <w:tcPr>
            <w:tcW w:w="1687" w:type="dxa"/>
            <w:vMerge/>
            <w:tcBorders>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fr-BE"/>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fr-BE"/>
              </w:rPr>
            </w:pP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anexa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Tipuri de posturi și titlurile posturilor</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Ombudsmanului European privind tipurile de posturi și titlurile posturilor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12.10.2020</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lang w:val="en-US"/>
              </w:rPr>
            </w:pP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99594"/>
            <w:vAlign w:val="center"/>
          </w:tcPr>
          <w:p>
            <w:pPr>
              <w:widowControl w:val="0"/>
              <w:spacing w:after="0" w:line="240" w:lineRule="auto"/>
              <w:jc w:val="center"/>
              <w:rPr>
                <w:rFonts w:ascii="Times New Roman" w:hAnsi="Times New Roman" w:cs="Times New Roman"/>
                <w:b/>
                <w:noProof/>
                <w:sz w:val="12"/>
                <w:szCs w:val="12"/>
              </w:rPr>
            </w:pPr>
            <w:r>
              <w:rPr>
                <w:rFonts w:ascii="Times New Roman" w:hAnsi="Times New Roman"/>
                <w:b/>
                <w:noProof/>
                <w:sz w:val="12"/>
              </w:rPr>
              <w:t>9</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b/>
                <w:noProof/>
                <w:sz w:val="16"/>
                <w:szCs w:val="16"/>
              </w:rPr>
            </w:pPr>
            <w:r>
              <w:rPr>
                <w:rFonts w:ascii="Times New Roman" w:hAnsi="Times New Roman"/>
                <w:b/>
                <w:noProof/>
                <w:sz w:val="16"/>
              </w:rPr>
              <w:t>Comitetele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noProof/>
                <w:sz w:val="12"/>
              </w:rPr>
              <w:t>Decizia Ombudsmanului European privind instituirea unei comisii paritare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noProof/>
                <w:sz w:val="12"/>
              </w:rPr>
              <w:t>5.9.2000</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hAnsi="Times New Roman" w:cs="Times New Roman"/>
                <w:b/>
                <w:noProof/>
                <w:sz w:val="16"/>
                <w:szCs w:val="16"/>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hAnsi="Times New Roman" w:cs="Times New Roman"/>
                <w:b/>
                <w:noProof/>
                <w:sz w:val="16"/>
                <w:szCs w:val="16"/>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noProof/>
                <w:sz w:val="12"/>
              </w:rPr>
              <w:t>Decizia Ombudsmanului European privind instituirea unui Comitet pentru rapoartele de evaluare</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hAnsi="Times New Roman" w:cs="Times New Roman"/>
                <w:noProof/>
                <w:sz w:val="12"/>
                <w:szCs w:val="12"/>
              </w:rPr>
            </w:pPr>
            <w:r>
              <w:rPr>
                <w:rFonts w:ascii="Times New Roman" w:hAnsi="Times New Roman"/>
                <w:noProof/>
                <w:sz w:val="12"/>
              </w:rPr>
              <w:t>5.6.2008</w:t>
            </w:r>
          </w:p>
        </w:tc>
        <w:tc>
          <w:tcPr>
            <w:tcW w:w="1687" w:type="dxa"/>
            <w:tcBorders>
              <w:top w:val="single" w:sz="4" w:space="0" w:color="auto"/>
              <w:left w:val="single" w:sz="4" w:space="0" w:color="auto"/>
              <w:bottom w:val="single" w:sz="4" w:space="0" w:color="auto"/>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Titlul II – Drepturile și obligațiile funcționarului</w:t>
            </w:r>
          </w:p>
        </w:tc>
      </w:tr>
      <w:tr>
        <w:trPr>
          <w:trHeight w:hRule="exact" w:val="567"/>
        </w:trPr>
        <w:tc>
          <w:tcPr>
            <w:tcW w:w="1156" w:type="dxa"/>
            <w:vMerge w:val="restart"/>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Calibri" w:cs="Times New Roman"/>
                <w:b/>
                <w:noProof/>
                <w:w w:val="105"/>
                <w:sz w:val="12"/>
              </w:rPr>
            </w:pPr>
            <w:r>
              <w:rPr>
                <w:rFonts w:ascii="Times New Roman" w:hAnsi="Calibri"/>
                <w:b/>
                <w:noProof/>
                <w:sz w:val="12"/>
              </w:rPr>
              <w:t>11 - 21</w:t>
            </w:r>
          </w:p>
        </w:tc>
        <w:tc>
          <w:tcPr>
            <w:tcW w:w="2551"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Calibri" w:cs="Times New Roman"/>
                <w:b/>
                <w:noProof/>
                <w:spacing w:val="-1"/>
                <w:sz w:val="16"/>
                <w:szCs w:val="16"/>
              </w:rPr>
            </w:pPr>
            <w:r>
              <w:rPr>
                <w:rFonts w:ascii="Times New Roman" w:hAnsi="Calibri"/>
                <w:b/>
                <w:noProof/>
                <w:sz w:val="16"/>
              </w:rPr>
              <w:t>Etic</w:t>
            </w:r>
            <w:r>
              <w:rPr>
                <w:rFonts w:ascii="Times New Roman" w:hAnsi="Calibri"/>
                <w:b/>
                <w:noProof/>
                <w:sz w:val="16"/>
              </w:rPr>
              <w:t>ă</w:t>
            </w:r>
            <w:r>
              <w:rPr>
                <w:rFonts w:ascii="Times New Roman" w:hAnsi="Calibri"/>
                <w:b/>
                <w:noProof/>
                <w:sz w:val="16"/>
              </w:rPr>
              <w:t xml:space="preserve"> </w:t>
            </w:r>
            <w:r>
              <w:rPr>
                <w:rFonts w:ascii="Times New Roman" w:hAnsi="Calibri"/>
                <w:b/>
                <w:noProof/>
                <w:sz w:val="16"/>
              </w:rPr>
              <w:t>ș</w:t>
            </w:r>
            <w:r>
              <w:rPr>
                <w:rFonts w:ascii="Times New Roman" w:hAnsi="Calibri"/>
                <w:b/>
                <w:noProof/>
                <w:sz w:val="16"/>
              </w:rPr>
              <w:t>i integritate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Calibri" w:cs="Times New Roman"/>
                <w:noProof/>
                <w:w w:val="105"/>
                <w:sz w:val="12"/>
                <w:szCs w:val="12"/>
              </w:rPr>
            </w:pPr>
            <w:r>
              <w:rPr>
                <w:rFonts w:ascii="Times New Roman" w:hAnsi="Calibri"/>
                <w:noProof/>
                <w:sz w:val="12"/>
              </w:rPr>
              <w:t>Ghid de etic</w:t>
            </w:r>
            <w:r>
              <w:rPr>
                <w:rFonts w:ascii="Times New Roman" w:hAnsi="Calibri"/>
                <w:noProof/>
                <w:sz w:val="12"/>
              </w:rPr>
              <w:t>ă</w:t>
            </w:r>
            <w:r>
              <w:rPr>
                <w:rFonts w:ascii="Times New Roman" w:hAnsi="Calibri"/>
                <w:noProof/>
                <w:sz w:val="12"/>
              </w:rPr>
              <w:t xml:space="preserve"> </w:t>
            </w:r>
            <w:r>
              <w:rPr>
                <w:rFonts w:ascii="Times New Roman" w:hAnsi="Calibri"/>
                <w:noProof/>
                <w:sz w:val="12"/>
              </w:rPr>
              <w:t>ș</w:t>
            </w:r>
            <w:r>
              <w:rPr>
                <w:rFonts w:ascii="Times New Roman" w:hAnsi="Calibri"/>
                <w:noProof/>
                <w:sz w:val="12"/>
              </w:rPr>
              <w:t>i bun</w:t>
            </w:r>
            <w:r>
              <w:rPr>
                <w:rFonts w:ascii="Times New Roman" w:hAnsi="Calibri"/>
                <w:noProof/>
                <w:sz w:val="12"/>
              </w:rPr>
              <w:t>ă</w:t>
            </w:r>
            <w:r>
              <w:rPr>
                <w:rFonts w:ascii="Times New Roman" w:hAnsi="Calibri"/>
                <w:noProof/>
                <w:sz w:val="12"/>
              </w:rPr>
              <w:t xml:space="preserve"> conduit</w:t>
            </w:r>
            <w:r>
              <w:rPr>
                <w:rFonts w:ascii="Times New Roman" w:hAnsi="Calibri"/>
                <w:noProof/>
                <w:sz w:val="12"/>
              </w:rPr>
              <w:t>ă</w:t>
            </w:r>
            <w:r>
              <w:rPr>
                <w:rFonts w:ascii="Times New Roman" w:hAnsi="Calibri"/>
                <w:noProof/>
                <w:sz w:val="12"/>
              </w:rPr>
              <w:t xml:space="preserve"> pentru personalul Ombudsmanului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18.7.2017</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right w:val="single" w:sz="4" w:space="0" w:color="auto"/>
            </w:tcBorders>
            <w:vAlign w:val="center"/>
          </w:tcPr>
          <w:p>
            <w:pPr>
              <w:widowControl w:val="0"/>
              <w:spacing w:after="200" w:line="240" w:lineRule="auto"/>
              <w:ind w:right="2"/>
              <w:jc w:val="center"/>
              <w:rPr>
                <w:rFonts w:ascii="Times New Roman" w:eastAsia="Calibri" w:hAnsi="Calibri" w:cs="Times New Roman"/>
                <w:b/>
                <w:noProof/>
                <w:w w:val="105"/>
                <w:sz w:val="12"/>
                <w:lang w:val="en-US"/>
              </w:rPr>
            </w:pPr>
          </w:p>
        </w:tc>
        <w:tc>
          <w:tcPr>
            <w:tcW w:w="2551" w:type="dxa"/>
            <w:vMerge/>
            <w:tcBorders>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Calibri" w:cs="Times New Roman"/>
                <w:b/>
                <w:noProof/>
                <w:spacing w:val="-1"/>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Calibri" w:cs="Times New Roman"/>
                <w:noProof/>
                <w:w w:val="105"/>
                <w:sz w:val="12"/>
                <w:szCs w:val="12"/>
              </w:rPr>
            </w:pPr>
            <w:r>
              <w:rPr>
                <w:rFonts w:ascii="Times New Roman" w:hAnsi="Times New Roman"/>
                <w:noProof/>
                <w:sz w:val="12"/>
              </w:rPr>
              <w:t>Decizia 419 privind drepturile și obligațiile în materie de deontologie și integritate ale funcționarilor și altor agenți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23.12.2005</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18.12.2023</w:t>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5" w:space="0" w:color="000000"/>
              <w:left w:val="single" w:sz="4" w:space="0" w:color="000000"/>
              <w:right w:val="single" w:sz="4" w:space="0" w:color="auto"/>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b/>
                <w:noProof/>
                <w:sz w:val="12"/>
              </w:rPr>
              <w:t xml:space="preserve">Articolul 12a alineatul (4) </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Calibri"/>
                <w:b/>
                <w:noProof/>
                <w:sz w:val="16"/>
              </w:rPr>
              <w:t>Prevenirea h</w:t>
            </w:r>
            <w:r>
              <w:rPr>
                <w:rFonts w:ascii="Times New Roman" w:hAnsi="Calibri"/>
                <w:b/>
                <w:noProof/>
                <w:sz w:val="16"/>
              </w:rPr>
              <w:t>ă</w:t>
            </w:r>
            <w:r>
              <w:rPr>
                <w:rFonts w:ascii="Times New Roman" w:hAnsi="Calibri"/>
                <w:b/>
                <w:noProof/>
                <w:sz w:val="16"/>
              </w:rPr>
              <w:t>r</w:t>
            </w:r>
            <w:r>
              <w:rPr>
                <w:rFonts w:ascii="Times New Roman" w:hAnsi="Calibri"/>
                <w:b/>
                <w:noProof/>
                <w:sz w:val="16"/>
              </w:rPr>
              <w:t>ț</w:t>
            </w:r>
            <w:r>
              <w:rPr>
                <w:rFonts w:ascii="Times New Roman" w:hAnsi="Calibri"/>
                <w:b/>
                <w:noProof/>
                <w:sz w:val="16"/>
              </w:rPr>
              <w:t xml:space="preserve">uirii </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Calibri"/>
                <w:noProof/>
                <w:sz w:val="12"/>
              </w:rPr>
              <w:t>Decizia Ombudsmanului European privind politica</w:t>
            </w:r>
            <w:r>
              <w:rPr>
                <w:noProof/>
              </w:rPr>
              <w:t xml:space="preserve"> </w:t>
            </w:r>
            <w:r>
              <w:rPr>
                <w:noProof/>
              </w:rPr>
              <w:br/>
            </w:r>
            <w:r>
              <w:rPr>
                <w:rFonts w:ascii="Times New Roman" w:hAnsi="Calibri"/>
                <w:noProof/>
                <w:sz w:val="12"/>
              </w:rPr>
              <w:t xml:space="preserve"> de prevenire </w:t>
            </w:r>
            <w:r>
              <w:rPr>
                <w:rFonts w:ascii="Times New Roman" w:hAnsi="Calibri"/>
                <w:noProof/>
                <w:sz w:val="12"/>
              </w:rPr>
              <w:t>ș</w:t>
            </w:r>
            <w:r>
              <w:rPr>
                <w:rFonts w:ascii="Times New Roman" w:hAnsi="Calibri"/>
                <w:noProof/>
                <w:sz w:val="12"/>
              </w:rPr>
              <w:t>i protec</w:t>
            </w:r>
            <w:r>
              <w:rPr>
                <w:rFonts w:ascii="Times New Roman" w:hAnsi="Calibri"/>
                <w:noProof/>
                <w:sz w:val="12"/>
              </w:rPr>
              <w:t>ț</w:t>
            </w:r>
            <w:r>
              <w:rPr>
                <w:rFonts w:ascii="Times New Roman" w:hAnsi="Calibri"/>
                <w:noProof/>
                <w:sz w:val="12"/>
              </w:rPr>
              <w:t xml:space="preserve">ie </w:t>
            </w:r>
            <w:r>
              <w:rPr>
                <w:rFonts w:ascii="Times New Roman" w:hAnsi="Calibri"/>
                <w:noProof/>
                <w:sz w:val="12"/>
              </w:rPr>
              <w:t>î</w:t>
            </w:r>
            <w:r>
              <w:rPr>
                <w:rFonts w:ascii="Times New Roman" w:hAnsi="Calibri"/>
                <w:noProof/>
                <w:sz w:val="12"/>
              </w:rPr>
              <w:t>mpotriva h</w:t>
            </w:r>
            <w:r>
              <w:rPr>
                <w:rFonts w:ascii="Times New Roman" w:hAnsi="Calibri"/>
                <w:noProof/>
                <w:sz w:val="12"/>
              </w:rPr>
              <w:t>ă</w:t>
            </w:r>
            <w:r>
              <w:rPr>
                <w:rFonts w:ascii="Times New Roman" w:hAnsi="Calibri"/>
                <w:noProof/>
                <w:sz w:val="12"/>
              </w:rPr>
              <w:t>r</w:t>
            </w:r>
            <w:r>
              <w:rPr>
                <w:rFonts w:ascii="Times New Roman" w:hAnsi="Calibri"/>
                <w:noProof/>
                <w:sz w:val="12"/>
              </w:rPr>
              <w:t>ț</w:t>
            </w:r>
            <w:r>
              <w:rPr>
                <w:rFonts w:ascii="Times New Roman" w:hAnsi="Calibri"/>
                <w:noProof/>
                <w:sz w:val="12"/>
              </w:rPr>
              <w:t xml:space="preserve">uirii </w:t>
            </w:r>
            <w:r>
              <w:rPr>
                <w:rFonts w:ascii="Times New Roman" w:hAnsi="Calibri"/>
                <w:noProof/>
                <w:sz w:val="12"/>
              </w:rPr>
              <w:t>î</w:t>
            </w:r>
            <w:r>
              <w:rPr>
                <w:rFonts w:ascii="Times New Roman" w:hAnsi="Calibri"/>
                <w:noProof/>
                <w:sz w:val="12"/>
              </w:rPr>
              <w:t>n cadrul Biroului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18.12.2017 </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val="restart"/>
            <w:tcBorders>
              <w:top w:val="single" w:sz="3" w:space="0" w:color="000000"/>
              <w:left w:val="single" w:sz="4" w:space="0" w:color="000000"/>
              <w:right w:val="single" w:sz="3" w:space="0" w:color="000000"/>
            </w:tcBorders>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12b - 16 - 17</w:t>
            </w:r>
          </w:p>
        </w:tc>
        <w:tc>
          <w:tcPr>
            <w:tcW w:w="2551" w:type="dxa"/>
            <w:vMerge w:val="restart"/>
            <w:tcBorders>
              <w:top w:val="single" w:sz="4" w:space="0" w:color="auto"/>
              <w:left w:val="single" w:sz="3" w:space="0" w:color="000000"/>
              <w:right w:val="single" w:sz="3" w:space="0" w:color="000000"/>
            </w:tcBorders>
            <w:shd w:val="clear" w:color="auto" w:fill="DA9694"/>
            <w:vAlign w:val="center"/>
          </w:tcPr>
          <w:p>
            <w:pPr>
              <w:spacing w:after="0" w:line="240" w:lineRule="auto"/>
              <w:jc w:val="center"/>
              <w:rPr>
                <w:noProof/>
              </w:rPr>
            </w:pPr>
            <w:r>
              <w:rPr>
                <w:rFonts w:ascii="Times New Roman" w:hAnsi="Times New Roman"/>
                <w:b/>
                <w:noProof/>
                <w:sz w:val="16"/>
              </w:rPr>
              <w:t>Activitățile externe</w:t>
            </w:r>
          </w:p>
        </w:tc>
        <w:tc>
          <w:tcPr>
            <w:tcW w:w="3029"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ind w:right="62"/>
              <w:jc w:val="center"/>
              <w:rPr>
                <w:rFonts w:ascii="Times New Roman" w:eastAsia="Calibri" w:hAnsi="Times New Roman" w:cs="Times New Roman"/>
                <w:noProof/>
                <w:sz w:val="12"/>
                <w:szCs w:val="12"/>
              </w:rPr>
            </w:pPr>
            <w:r>
              <w:rPr>
                <w:rFonts w:ascii="Times New Roman" w:hAnsi="Times New Roman"/>
                <w:noProof/>
                <w:sz w:val="12"/>
              </w:rPr>
              <w:t>Decizia Ombudsmanului European privind normele interne referitoare la exercitarea unei activități ocupaționale după încetarea raporturilor de muncă în serviciul Uniunii Europene (articolul 16 din Statutul funcționarilor)</w:t>
            </w:r>
          </w:p>
        </w:tc>
        <w:tc>
          <w:tcPr>
            <w:tcW w:w="1322"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7.3.2016</w:t>
            </w:r>
          </w:p>
        </w:tc>
        <w:tc>
          <w:tcPr>
            <w:tcW w:w="1687" w:type="dxa"/>
            <w:tcBorders>
              <w:top w:val="single" w:sz="4" w:space="0" w:color="auto"/>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4.3.2021</w:t>
            </w:r>
          </w:p>
        </w:tc>
        <w:tc>
          <w:tcPr>
            <w:tcW w:w="936" w:type="dxa"/>
            <w:vMerge w:val="restart"/>
            <w:tcBorders>
              <w:top w:val="single" w:sz="4" w:space="0" w:color="auto"/>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4" w:space="0" w:color="auto"/>
              <w:right w:val="single" w:sz="3" w:space="0" w:color="000000"/>
            </w:tcBorders>
            <w:vAlign w:val="center"/>
          </w:tcPr>
          <w:p>
            <w:pPr>
              <w:widowControl w:val="0"/>
              <w:spacing w:after="200" w:line="240" w:lineRule="auto"/>
              <w:jc w:val="center"/>
              <w:rPr>
                <w:rFonts w:ascii="Times New Roman" w:eastAsia="Calibri" w:hAnsi="Times New Roman" w:cs="Times New Roman"/>
                <w:noProof/>
                <w:sz w:val="12"/>
                <w:szCs w:val="12"/>
                <w:lang w:val="en-GB"/>
              </w:rPr>
            </w:pPr>
          </w:p>
        </w:tc>
        <w:tc>
          <w:tcPr>
            <w:tcW w:w="2551" w:type="dxa"/>
            <w:vMerge/>
            <w:tcBorders>
              <w:left w:val="single" w:sz="3"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lang w:val="en-GB"/>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Ombudsmanului European privind normele interne referitoare la activitățile și sarcinile externe (inclusiv articolul 16 din Statutul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4.3.2021</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D99594"/>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b/>
                <w:noProof/>
                <w:sz w:val="12"/>
              </w:rPr>
              <w:t>22a - 22c</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Avertizarea în interes public</w:t>
            </w:r>
          </w:p>
        </w:tc>
        <w:tc>
          <w:tcPr>
            <w:tcW w:w="3029" w:type="dxa"/>
            <w:tcBorders>
              <w:top w:val="single" w:sz="3" w:space="0" w:color="000000"/>
              <w:left w:val="single" w:sz="4" w:space="0" w:color="auto"/>
              <w:bottom w:val="single" w:sz="3" w:space="0" w:color="000000"/>
              <w:right w:val="single" w:sz="3" w:space="0" w:color="000000"/>
            </w:tcBorders>
            <w:shd w:val="clear" w:color="auto" w:fill="DA9694"/>
            <w:vAlign w:val="center"/>
          </w:tcPr>
          <w:p>
            <w:pPr>
              <w:widowControl w:val="0"/>
              <w:spacing w:after="0" w:line="240" w:lineRule="auto"/>
              <w:ind w:right="95"/>
              <w:jc w:val="center"/>
              <w:rPr>
                <w:rFonts w:ascii="Times New Roman" w:eastAsia="Calibri" w:hAnsi="Times New Roman" w:cs="Times New Roman"/>
                <w:noProof/>
                <w:sz w:val="12"/>
                <w:szCs w:val="12"/>
              </w:rPr>
            </w:pPr>
            <w:r>
              <w:rPr>
                <w:rFonts w:ascii="Times New Roman" w:hAnsi="Times New Roman"/>
                <w:noProof/>
                <w:sz w:val="12"/>
              </w:rPr>
              <w:t>Decizia Ombudsmanului European Ombudsman privind normele interne referitoare la divulgarea în interes public („avertizarea în interes public”)</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2.12.2015</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23.2.2023</w:t>
            </w:r>
          </w:p>
        </w:tc>
        <w:tc>
          <w:tcPr>
            <w:tcW w:w="936" w:type="dxa"/>
            <w:vMerge w:val="restart"/>
            <w:tcBorders>
              <w:top w:val="single" w:sz="3" w:space="0" w:color="000000"/>
              <w:left w:val="single" w:sz="3"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D99594"/>
            <w:vAlign w:val="center"/>
          </w:tcPr>
          <w:p>
            <w:pPr>
              <w:widowControl w:val="0"/>
              <w:spacing w:after="200" w:line="240" w:lineRule="auto"/>
              <w:ind w:right="2"/>
              <w:jc w:val="center"/>
              <w:rPr>
                <w:rFonts w:ascii="Times New Roman" w:eastAsia="Calibri" w:hAnsi="Times New Roman" w:cs="Times New Roman"/>
                <w:b/>
                <w:bCs/>
                <w:noProof/>
                <w:sz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Ombudsmanului European privind normele interne referitoare la divulgarea în interes public („avertizarea în interes public”)</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23.2.2023</w:t>
            </w:r>
          </w:p>
        </w:tc>
        <w:tc>
          <w:tcPr>
            <w:tcW w:w="1687" w:type="dxa"/>
            <w:tcBorders>
              <w:top w:val="single" w:sz="4" w:space="0" w:color="auto"/>
              <w:left w:val="single" w:sz="4" w:space="0" w:color="auto"/>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4" w:space="0" w:color="000000"/>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GB"/>
              </w:rPr>
            </w:pP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24a</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Formarea profesională</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de adoptare a Ghidului privind formarea profesională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12.9.2013</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III – Cariera funcționarului</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Recrutarea</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criteriile aplicabile încadrării în treaptă la momentul numirii sau recrutării</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27-34</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30" w:after="0" w:line="240" w:lineRule="auto"/>
              <w:jc w:val="center"/>
              <w:rPr>
                <w:rFonts w:ascii="Times New Roman" w:eastAsia="Calibri" w:hAnsi="Times New Roman" w:cs="Times New Roman"/>
                <w:b/>
                <w:noProof/>
                <w:spacing w:val="-1"/>
                <w:sz w:val="16"/>
              </w:rPr>
            </w:pPr>
            <w:r>
              <w:rPr>
                <w:rFonts w:ascii="Times New Roman" w:hAnsi="Times New Roman"/>
                <w:b/>
                <w:noProof/>
                <w:sz w:val="16"/>
              </w:rPr>
              <w:t>Recrutarea</w:t>
            </w:r>
          </w:p>
        </w:tc>
        <w:tc>
          <w:tcPr>
            <w:tcW w:w="3029" w:type="dxa"/>
            <w:tcBorders>
              <w:top w:val="single" w:sz="6" w:space="0" w:color="000000"/>
              <w:left w:val="single" w:sz="6" w:space="0" w:color="000000"/>
              <w:bottom w:val="single" w:sz="6" w:space="0" w:color="000000"/>
              <w:right w:val="single" w:sz="4" w:space="0" w:color="000000"/>
            </w:tcBorders>
            <w:shd w:val="clear" w:color="auto" w:fill="D99594"/>
            <w:vAlign w:val="center"/>
          </w:tcPr>
          <w:p>
            <w:pPr>
              <w:widowControl w:val="0"/>
              <w:spacing w:before="76" w:after="0" w:line="254" w:lineRule="auto"/>
              <w:ind w:right="165"/>
              <w:jc w:val="center"/>
              <w:rPr>
                <w:rFonts w:ascii="Times New Roman" w:eastAsia="Times New Roman" w:hAnsi="Times New Roman" w:cs="Times New Roman"/>
                <w:noProof/>
                <w:spacing w:val="-2"/>
                <w:sz w:val="12"/>
                <w:szCs w:val="12"/>
              </w:rPr>
            </w:pPr>
            <w:r>
              <w:rPr>
                <w:rFonts w:ascii="Times New Roman" w:hAnsi="Times New Roman"/>
                <w:noProof/>
                <w:sz w:val="12"/>
              </w:rPr>
              <w:t>Norme privind ocuparea posturilor temporare din schema de personal a Ombudsmanului European</w:t>
            </w:r>
          </w:p>
        </w:tc>
        <w:tc>
          <w:tcPr>
            <w:tcW w:w="1322" w:type="dxa"/>
            <w:tcBorders>
              <w:top w:val="single" w:sz="6" w:space="0" w:color="000000"/>
              <w:left w:val="single" w:sz="4" w:space="0" w:color="000000"/>
              <w:bottom w:val="single" w:sz="6" w:space="0" w:color="000000"/>
              <w:right w:val="single" w:sz="4"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7.12.2010</w:t>
            </w:r>
          </w:p>
        </w:tc>
        <w:tc>
          <w:tcPr>
            <w:tcW w:w="1687" w:type="dxa"/>
            <w:tcBorders>
              <w:top w:val="single" w:sz="6" w:space="0" w:color="000000"/>
              <w:left w:val="single" w:sz="4" w:space="0" w:color="000000"/>
              <w:bottom w:val="single" w:sz="6"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tabs>
          <w:tab w:val="left" w:pos="9190"/>
        </w:tabs>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b/>
                <w:noProof/>
                <w:sz w:val="12"/>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creșterea</w:t>
            </w:r>
            <w:r>
              <w:rPr>
                <w:rFonts w:ascii="Times New Roman" w:hAnsi="Times New Roman"/>
                <w:b/>
                <w:noProof/>
                <w:sz w:val="17"/>
              </w:rPr>
              <w:t xml:space="preserve"> copilului</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Dispozițiile generale de punere în aplicare a articolului 42a privind concediul pentru creșterea copilului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Calibri" w:hAnsi="Times New Roman" w:cs="Times New Roman"/>
                <w:b/>
                <w:noProof/>
                <w:sz w:val="19"/>
                <w:szCs w:val="19"/>
              </w:rPr>
            </w:pPr>
            <w:r>
              <w:rPr>
                <w:rFonts w:ascii="Times New Roman" w:hAnsi="Times New Roman"/>
                <w:b/>
                <w:noProof/>
                <w:sz w:val="19"/>
              </w:rPr>
              <w:t xml:space="preserve">                 Secțiunea 7 – </w:t>
            </w:r>
            <w:r>
              <w:rPr>
                <w:rFonts w:ascii="Times New Roman" w:hAnsi="Times New Roman"/>
                <w:b/>
                <w:noProof/>
                <w:sz w:val="17"/>
              </w:rPr>
              <w:t>Concediul în interesul serviciului</w:t>
            </w:r>
          </w:p>
        </w:tc>
      </w:tr>
      <w:tr>
        <w:trPr>
          <w:trHeight w:hRule="exact" w:val="668"/>
        </w:trPr>
        <w:tc>
          <w:tcPr>
            <w:tcW w:w="1157" w:type="dxa"/>
            <w:tcBorders>
              <w:left w:val="single" w:sz="4" w:space="0" w:color="000000"/>
              <w:bottom w:val="single" w:sz="4" w:space="0" w:color="000000"/>
              <w:right w:val="single" w:sz="4" w:space="0" w:color="000000"/>
            </w:tcBorders>
            <w:shd w:val="clear" w:color="auto" w:fill="D99594"/>
            <w:vAlign w:val="center"/>
          </w:tcPr>
          <w:p>
            <w:pPr>
              <w:widowControl w:val="0"/>
              <w:spacing w:before="107" w:after="0" w:line="240" w:lineRule="auto"/>
              <w:ind w:right="2"/>
              <w:jc w:val="center"/>
              <w:rPr>
                <w:rFonts w:ascii="Times New Roman" w:eastAsia="Calibri" w:hAnsi="Times New Roman" w:cs="Times New Roman"/>
                <w:b/>
                <w:noProof/>
                <w:sz w:val="12"/>
              </w:rPr>
            </w:pPr>
            <w:r>
              <w:rPr>
                <w:rFonts w:ascii="Times New Roman" w:hAnsi="Times New Roman"/>
                <w:noProof/>
                <w:sz w:val="12"/>
              </w:rPr>
              <w:t>42c</w:t>
            </w:r>
          </w:p>
        </w:tc>
        <w:tc>
          <w:tcPr>
            <w:tcW w:w="2551" w:type="dxa"/>
            <w:tcBorders>
              <w:left w:val="single" w:sz="4" w:space="0" w:color="000000"/>
              <w:bottom w:val="single" w:sz="3" w:space="0" w:color="000000"/>
              <w:right w:val="single" w:sz="3" w:space="0" w:color="000000"/>
            </w:tcBorders>
            <w:shd w:val="clear" w:color="auto" w:fill="D99594"/>
            <w:vAlign w:val="center"/>
          </w:tcPr>
          <w:p>
            <w:pPr>
              <w:widowControl w:val="0"/>
              <w:spacing w:before="8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în interesul serviciului</w:t>
            </w:r>
          </w:p>
        </w:tc>
        <w:tc>
          <w:tcPr>
            <w:tcW w:w="3029" w:type="dxa"/>
            <w:tcBorders>
              <w:top w:val="single" w:sz="3" w:space="0" w:color="000000"/>
              <w:left w:val="single" w:sz="3" w:space="0" w:color="000000"/>
              <w:bottom w:val="single" w:sz="3" w:space="0" w:color="000000"/>
              <w:right w:val="single" w:sz="3" w:space="0" w:color="000000"/>
            </w:tcBorders>
            <w:shd w:val="clear" w:color="auto" w:fill="D99594"/>
            <w:vAlign w:val="center"/>
          </w:tcPr>
          <w:p>
            <w:pPr>
              <w:widowControl w:val="0"/>
              <w:spacing w:before="33"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Decizia Ombudsmanului European privind concediul în interesul serviciului în conformitate cu articolul 42c din Statutul funcționarilor</w:t>
            </w:r>
          </w:p>
        </w:tc>
        <w:tc>
          <w:tcPr>
            <w:tcW w:w="1322" w:type="dxa"/>
            <w:tcBorders>
              <w:top w:val="single" w:sz="3" w:space="0" w:color="000000"/>
              <w:left w:val="single" w:sz="3" w:space="0" w:color="000000"/>
              <w:bottom w:val="single" w:sz="3" w:space="0" w:color="000000"/>
              <w:right w:val="single" w:sz="3" w:space="0" w:color="000000"/>
            </w:tcBorders>
            <w:shd w:val="clear" w:color="auto" w:fill="D99594"/>
            <w:vAlign w:val="center"/>
          </w:tcPr>
          <w:p>
            <w:pPr>
              <w:widowControl w:val="0"/>
              <w:spacing w:before="105" w:after="0" w:line="240" w:lineRule="auto"/>
              <w:jc w:val="center"/>
              <w:rPr>
                <w:rFonts w:ascii="Times New Roman" w:eastAsia="Calibri" w:hAnsi="Times New Roman" w:cs="Times New Roman"/>
                <w:noProof/>
                <w:sz w:val="12"/>
                <w:szCs w:val="12"/>
              </w:rPr>
            </w:pPr>
            <w:r>
              <w:rPr>
                <w:rFonts w:ascii="Times New Roman" w:hAnsi="Times New Roman"/>
                <w:noProof/>
                <w:sz w:val="12"/>
              </w:rPr>
              <w:t>11.10.2022</w:t>
            </w:r>
          </w:p>
        </w:tc>
        <w:tc>
          <w:tcPr>
            <w:tcW w:w="1687" w:type="dxa"/>
            <w:tcBorders>
              <w:top w:val="single" w:sz="3"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567"/>
        </w:trPr>
        <w:tc>
          <w:tcPr>
            <w:tcW w:w="115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43</w:t>
            </w:r>
          </w:p>
        </w:tc>
        <w:tc>
          <w:tcPr>
            <w:tcW w:w="2551"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Raportul anual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Calibri"/>
                <w:noProof/>
                <w:sz w:val="12"/>
              </w:rPr>
              <w:t>Decizia Ombudsmanului European privind dispozi</w:t>
            </w:r>
            <w:r>
              <w:rPr>
                <w:rFonts w:ascii="Times New Roman" w:hAnsi="Calibri"/>
                <w:noProof/>
                <w:sz w:val="12"/>
              </w:rPr>
              <w:t>ț</w:t>
            </w:r>
            <w:r>
              <w:rPr>
                <w:rFonts w:ascii="Times New Roman" w:hAnsi="Calibri"/>
                <w:noProof/>
                <w:sz w:val="12"/>
              </w:rPr>
              <w:t xml:space="preserve">iile generale de punere </w:t>
            </w:r>
            <w:r>
              <w:rPr>
                <w:rFonts w:ascii="Times New Roman" w:hAnsi="Calibri"/>
                <w:noProof/>
                <w:sz w:val="12"/>
              </w:rPr>
              <w:t>î</w:t>
            </w:r>
            <w:r>
              <w:rPr>
                <w:rFonts w:ascii="Times New Roman" w:hAnsi="Calibri"/>
                <w:noProof/>
                <w:sz w:val="12"/>
              </w:rPr>
              <w:t xml:space="preserve">n aplicare a articolelor 43 </w:t>
            </w:r>
            <w:r>
              <w:rPr>
                <w:rFonts w:ascii="Times New Roman" w:hAnsi="Calibri"/>
                <w:noProof/>
                <w:sz w:val="12"/>
              </w:rPr>
              <w:t>ș</w:t>
            </w:r>
            <w:r>
              <w:rPr>
                <w:rFonts w:ascii="Times New Roman" w:hAnsi="Calibri"/>
                <w:noProof/>
                <w:sz w:val="12"/>
              </w:rPr>
              <w:t>i 44 din Statutul func</w:t>
            </w:r>
            <w:r>
              <w:rPr>
                <w:rFonts w:ascii="Times New Roman" w:hAnsi="Calibri"/>
                <w:noProof/>
                <w:sz w:val="12"/>
              </w:rPr>
              <w:t>ț</w:t>
            </w:r>
            <w:r>
              <w:rPr>
                <w:rFonts w:ascii="Times New Roman" w:hAnsi="Calibri"/>
                <w:noProof/>
                <w:sz w:val="12"/>
              </w:rPr>
              <w:t>ionarilor</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Calibri"/>
                <w:noProof/>
                <w:sz w:val="12"/>
              </w:rPr>
              <w:t>20.12.2017</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7" w:type="dxa"/>
            <w:vMerge w:val="restart"/>
            <w:tcBorders>
              <w:top w:val="single" w:sz="6" w:space="0" w:color="000000"/>
              <w:left w:val="single" w:sz="6" w:space="0" w:color="000000"/>
              <w:right w:val="single" w:sz="6" w:space="0" w:color="000000"/>
            </w:tcBorders>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Promovarea</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126" w:lineRule="exact"/>
              <w:jc w:val="center"/>
              <w:rPr>
                <w:rFonts w:ascii="Times New Roman" w:eastAsia="Times New Roman" w:hAnsi="Times New Roman" w:cs="Times New Roman"/>
                <w:noProof/>
                <w:sz w:val="12"/>
                <w:szCs w:val="12"/>
              </w:rPr>
            </w:pPr>
            <w:r>
              <w:rPr>
                <w:rFonts w:ascii="Times New Roman" w:hAnsi="Times New Roman"/>
                <w:noProof/>
                <w:sz w:val="12"/>
              </w:rPr>
              <w:t>Decizia Ombudsmanului European privind politica de promovare și planificare a carierei</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13.6.2017</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7.1.2021</w:t>
            </w: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39"/>
        </w:trPr>
        <w:tc>
          <w:tcPr>
            <w:tcW w:w="1157" w:type="dxa"/>
            <w:vMerge/>
            <w:tcBorders>
              <w:left w:val="single" w:sz="6" w:space="0" w:color="000000"/>
              <w:bottom w:val="single" w:sz="4" w:space="0" w:color="auto"/>
              <w:right w:val="single" w:sz="6" w:space="0" w:color="000000"/>
            </w:tcBorders>
            <w:vAlign w:val="center"/>
          </w:tcPr>
          <w:p>
            <w:pPr>
              <w:widowControl w:val="0"/>
              <w:spacing w:after="0" w:line="240" w:lineRule="auto"/>
              <w:ind w:right="1"/>
              <w:jc w:val="center"/>
              <w:rPr>
                <w:rFonts w:ascii="Times New Roman" w:eastAsia="Calibri" w:hAnsi="Times New Roman" w:cs="Times New Roman"/>
                <w:b/>
                <w:noProof/>
                <w:sz w:val="12"/>
                <w:lang w:val="en-US"/>
              </w:rPr>
            </w:pPr>
          </w:p>
        </w:tc>
        <w:tc>
          <w:tcPr>
            <w:tcW w:w="2551" w:type="dxa"/>
            <w:vMerge/>
            <w:tcBorders>
              <w:left w:val="single" w:sz="6" w:space="0" w:color="000000"/>
              <w:bottom w:val="single" w:sz="4" w:space="0" w:color="auto"/>
              <w:right w:val="single" w:sz="6" w:space="0" w:color="000000"/>
            </w:tcBorders>
            <w:shd w:val="clear" w:color="auto" w:fill="DA9694"/>
            <w:vAlign w:val="center"/>
          </w:tcPr>
          <w:p>
            <w:pPr>
              <w:widowControl w:val="0"/>
              <w:spacing w:before="95"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4" w:space="0" w:color="000000"/>
            </w:tcBorders>
            <w:shd w:val="clear" w:color="auto" w:fill="DA9694"/>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Decizia Ombudsmanului European privind promovarea</w:t>
            </w:r>
            <w:r>
              <w:rPr>
                <w:noProof/>
              </w:rPr>
              <w:t xml:space="preserve"> </w:t>
            </w:r>
            <w:r>
              <w:rPr>
                <w:noProof/>
              </w:rPr>
              <w:br/>
            </w:r>
            <w:r>
              <w:rPr>
                <w:rFonts w:ascii="Times New Roman" w:hAnsi="Times New Roman"/>
                <w:noProof/>
                <w:sz w:val="12"/>
              </w:rPr>
              <w:t xml:space="preserve"> funcționarilor și reclasificarea agenților temporari și contractuali</w:t>
            </w:r>
          </w:p>
        </w:tc>
        <w:tc>
          <w:tcPr>
            <w:tcW w:w="1322" w:type="dxa"/>
            <w:tcBorders>
              <w:top w:val="single" w:sz="6" w:space="0" w:color="000000"/>
              <w:left w:val="single" w:sz="4" w:space="0" w:color="000000"/>
              <w:bottom w:val="single" w:sz="6"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7.1.2021</w:t>
            </w:r>
          </w:p>
        </w:tc>
        <w:tc>
          <w:tcPr>
            <w:tcW w:w="1687" w:type="dxa"/>
            <w:tcBorders>
              <w:top w:val="single" w:sz="6" w:space="0" w:color="000000"/>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539"/>
        </w:trPr>
        <w:tc>
          <w:tcPr>
            <w:tcW w:w="115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45a</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Certificarea</w:t>
            </w:r>
          </w:p>
        </w:tc>
        <w:tc>
          <w:tcPr>
            <w:tcW w:w="3029" w:type="dxa"/>
            <w:tcBorders>
              <w:top w:val="single" w:sz="6" w:space="0" w:color="000000"/>
              <w:left w:val="single" w:sz="4" w:space="0" w:color="auto"/>
              <w:bottom w:val="single" w:sz="6" w:space="0" w:color="000000"/>
              <w:right w:val="single" w:sz="4"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z w:val="12"/>
                <w:szCs w:val="12"/>
              </w:rPr>
            </w:pPr>
            <w:r>
              <w:rPr>
                <w:rFonts w:ascii="Times New Roman" w:hAnsi="Times New Roman"/>
                <w:noProof/>
                <w:sz w:val="12"/>
              </w:rPr>
              <w:t>Dispozițiile generale de punere în aplicare a articolului 45a</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21.7.2005</w:t>
            </w:r>
          </w:p>
        </w:tc>
        <w:tc>
          <w:tcPr>
            <w:tcW w:w="1687" w:type="dxa"/>
            <w:tcBorders>
              <w:top w:val="single" w:sz="6" w:space="0" w:color="000000"/>
              <w:left w:val="single" w:sz="4" w:space="0" w:color="000000"/>
              <w:bottom w:val="single" w:sz="6" w:space="0" w:color="000000"/>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val="454"/>
        </w:trPr>
        <w:tc>
          <w:tcPr>
            <w:tcW w:w="1156" w:type="dxa"/>
            <w:vMerge w:val="restart"/>
            <w:tcBorders>
              <w:top w:val="single" w:sz="6" w:space="0" w:color="000000"/>
              <w:left w:val="single" w:sz="4" w:space="0" w:color="000000"/>
              <w:right w:val="single" w:sz="3" w:space="0" w:color="000000"/>
            </w:tcBorders>
            <w:shd w:val="clear" w:color="auto" w:fill="DA9694"/>
            <w:vAlign w:val="center"/>
          </w:tcPr>
          <w:p>
            <w:pPr>
              <w:widowControl w:val="0"/>
              <w:spacing w:before="47" w:after="0" w:line="271" w:lineRule="auto"/>
              <w:ind w:right="79"/>
              <w:jc w:val="center"/>
              <w:rPr>
                <w:rFonts w:ascii="Times New Roman" w:eastAsia="Calibri" w:hAnsi="Times New Roman" w:cs="Times New Roman"/>
                <w:b/>
                <w:noProof/>
                <w:spacing w:val="1"/>
                <w:w w:val="105"/>
                <w:sz w:val="12"/>
              </w:rPr>
            </w:pPr>
            <w:r>
              <w:rPr>
                <w:rFonts w:ascii="Times New Roman" w:hAnsi="Times New Roman"/>
                <w:b/>
                <w:noProof/>
                <w:sz w:val="12"/>
              </w:rPr>
              <w:t>55 +</w:t>
            </w:r>
          </w:p>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55a + anexa IVa</w:t>
            </w:r>
          </w:p>
        </w:tc>
        <w:tc>
          <w:tcPr>
            <w:tcW w:w="2551" w:type="dxa"/>
            <w:vMerge w:val="restart"/>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7"/>
              </w:rPr>
              <w:t>Timpul de lucru / Munca de la distanță</w:t>
            </w:r>
          </w:p>
        </w:tc>
        <w:tc>
          <w:tcPr>
            <w:tcW w:w="3029"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Normele interne privind programul de lucru și formulele de organizare flexibilă a timpului de lucru</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12.12.2016</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25.10.2021</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000000"/>
              <w:left w:val="single" w:sz="3"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Decizia Ombudsmanului European privind aplicarea muncii la distanță în cadrul Ombudsmanului European</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30.9.2014</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25.10.2021</w:t>
            </w:r>
          </w:p>
        </w:tc>
        <w:tc>
          <w:tcPr>
            <w:tcW w:w="936" w:type="dxa"/>
            <w:vMerge/>
            <w:tcBorders>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3"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Decizia Ombudsmanului European privind timpul de lucru și munca hibridă</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25.10.2021</w:t>
            </w:r>
          </w:p>
        </w:tc>
        <w:tc>
          <w:tcPr>
            <w:tcW w:w="1687" w:type="dxa"/>
            <w:tcBorders>
              <w:top w:val="single" w:sz="4" w:space="0" w:color="auto"/>
              <w:left w:val="single" w:sz="4"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tcBorders>
              <w:left w:val="single" w:sz="4" w:space="0" w:color="000000"/>
              <w:bottom w:val="single" w:sz="4" w:space="0" w:color="auto"/>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tcBorders>
              <w:top w:val="single" w:sz="6" w:space="0" w:color="000000"/>
              <w:left w:val="single" w:sz="3"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3"/>
                <w:sz w:val="16"/>
              </w:rPr>
            </w:pPr>
            <w:r>
              <w:rPr>
                <w:rFonts w:ascii="Times New Roman" w:hAnsi="Calibri"/>
                <w:b/>
                <w:noProof/>
                <w:sz w:val="16"/>
              </w:rPr>
              <w:t>Activitatea cu norm</w:t>
            </w:r>
            <w:r>
              <w:rPr>
                <w:rFonts w:ascii="Times New Roman" w:hAnsi="Calibri"/>
                <w:b/>
                <w:noProof/>
                <w:sz w:val="16"/>
              </w:rPr>
              <w:t>ă</w:t>
            </w:r>
            <w:r>
              <w:rPr>
                <w:rFonts w:ascii="Times New Roman" w:hAnsi="Calibri"/>
                <w:b/>
                <w:noProof/>
                <w:sz w:val="16"/>
              </w:rPr>
              <w:t xml:space="preserve"> redus</w:t>
            </w:r>
            <w:r>
              <w:rPr>
                <w:rFonts w:ascii="Times New Roman" w:hAnsi="Calibri"/>
                <w:b/>
                <w:noProof/>
                <w:sz w:val="16"/>
              </w:rPr>
              <w:t>ă</w:t>
            </w:r>
          </w:p>
        </w:tc>
        <w:tc>
          <w:tcPr>
            <w:tcW w:w="3029" w:type="dxa"/>
            <w:tcBorders>
              <w:top w:val="single" w:sz="4" w:space="0" w:color="000000"/>
              <w:left w:val="single" w:sz="6" w:space="0" w:color="000000"/>
              <w:bottom w:val="single" w:sz="3" w:space="0" w:color="000000"/>
              <w:right w:val="single" w:sz="3"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pacing w:val="-2"/>
                <w:sz w:val="12"/>
                <w:szCs w:val="12"/>
              </w:rPr>
            </w:pPr>
            <w:r>
              <w:rPr>
                <w:rFonts w:ascii="Times New Roman" w:hAnsi="Times New Roman"/>
                <w:noProof/>
                <w:sz w:val="12"/>
              </w:rPr>
              <w:t>Decizia Ombudsmanului European privind normele interne referitoare la exercitarea activității cu normă redusă</w:t>
            </w:r>
          </w:p>
        </w:tc>
        <w:tc>
          <w:tcPr>
            <w:tcW w:w="1322" w:type="dxa"/>
            <w:tcBorders>
              <w:top w:val="single" w:sz="4"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28.5.2019</w:t>
            </w:r>
          </w:p>
        </w:tc>
        <w:tc>
          <w:tcPr>
            <w:tcW w:w="1687" w:type="dxa"/>
            <w:tcBorders>
              <w:top w:val="single" w:sz="4" w:space="0" w:color="000000"/>
              <w:left w:val="single" w:sz="3" w:space="0" w:color="000000"/>
              <w:bottom w:val="single" w:sz="3"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6" w:space="0" w:color="000000"/>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56 + anexa VI</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Orele suplimentare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 xml:space="preserve">Norme interne – compensația pentru orele suplimentare </w:t>
            </w:r>
            <w:r>
              <w:rPr>
                <w:noProof/>
              </w:rPr>
              <w:t xml:space="preserve"> </w:t>
            </w:r>
            <w:r>
              <w:rPr>
                <w:noProof/>
              </w:rPr>
              <w:br/>
            </w:r>
            <w:r>
              <w:rPr>
                <w:rFonts w:ascii="Times New Roman" w:hAnsi="Times New Roman"/>
                <w:noProof/>
                <w:sz w:val="12"/>
              </w:rPr>
              <w:t>(articolele 55 - 56b și anexa VII)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17"/>
        </w:trPr>
        <w:tc>
          <w:tcPr>
            <w:tcW w:w="1156"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pacing w:val="-2"/>
                <w:sz w:val="12"/>
                <w:szCs w:val="12"/>
              </w:rPr>
            </w:pPr>
            <w:r>
              <w:rPr>
                <w:rFonts w:ascii="Times New Roman" w:hAnsi="Times New Roman"/>
                <w:noProof/>
                <w:sz w:val="12"/>
              </w:rPr>
              <w:t>Norme interne privind indemnizația fixă (pentru șoferi)</w:t>
            </w:r>
            <w:r>
              <w:rPr>
                <w:noProof/>
              </w:rPr>
              <w:t xml:space="preserve"> </w:t>
            </w:r>
            <w:r>
              <w:rPr>
                <w:noProof/>
              </w:rPr>
              <w:br/>
            </w:r>
            <w:r>
              <w:rPr>
                <w:rFonts w:ascii="Times New Roman" w:hAnsi="Times New Roman"/>
                <w:noProof/>
                <w:sz w:val="12"/>
              </w:rPr>
              <w:t xml:space="preserve"> (modificată ultima dată prin Decizia Ombudsmanului European din 7.4.2020)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rPr>
            </w:pPr>
            <w:r>
              <w:rPr>
                <w:rFonts w:ascii="Times New Roman" w:hAnsi="Times New Roman"/>
                <w:noProof/>
                <w:sz w:val="12"/>
              </w:rPr>
              <w:t>5. 6.2008</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shd w:val="clear" w:color="auto" w:fill="C6D9F1"/>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57 + anexa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Concediul anual și concediul special</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Decizia Ombudsmanului European privind concediul și absența la Biroul Ombudsmanului</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20.7.2023</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58</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Concediul de maternitate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Decizia Ombudsmanului European privind concediul și absența la Biroul Ombudsmanului</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20.7.2023</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59 - 60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Concediul medical</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Decizia Ombudsmanului European privind concediul și absența la Biroul Ombudsmanului</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20.7.2023</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443"/>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Articolul 59 alineatul (4)</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Procedura în caz de invaliditate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Decizia Ombudsmanului European privind procedura în caz de invaliditate</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2.12.2015</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before="16"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anexa VII [articolul 1 alineatul (2) litera (d)]</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7"/>
              </w:rPr>
              <w:t>Alocația pentru locuință prin decizie specială</w:t>
            </w:r>
          </w:p>
        </w:tc>
        <w:tc>
          <w:tcPr>
            <w:tcW w:w="3029" w:type="dxa"/>
            <w:tcBorders>
              <w:top w:val="single" w:sz="5" w:space="0" w:color="000000"/>
              <w:left w:val="single" w:sz="3" w:space="0" w:color="000000"/>
              <w:bottom w:val="single" w:sz="4"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acordarea alocației pentru locuință prin decizie specială</w:t>
            </w:r>
          </w:p>
        </w:tc>
        <w:tc>
          <w:tcPr>
            <w:tcW w:w="1322" w:type="dxa"/>
            <w:tcBorders>
              <w:top w:val="single" w:sz="5" w:space="0" w:color="000000"/>
              <w:left w:val="single" w:sz="3" w:space="0" w:color="000000"/>
              <w:bottom w:val="single" w:sz="4"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pPr>
              <w:widowControl w:val="0"/>
              <w:shd w:val="clear" w:color="auto" w:fill="FFFFFF" w:themeFill="background1"/>
              <w:spacing w:before="19"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hd w:val="clear" w:color="auto" w:fill="FFFFFF" w:themeFill="background1"/>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 (articolul 1)</w:t>
            </w:r>
          </w:p>
        </w:tc>
        <w:tc>
          <w:tcPr>
            <w:tcW w:w="2551" w:type="dxa"/>
            <w:tcBorders>
              <w:top w:val="single" w:sz="3"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Alocația familială</w:t>
            </w:r>
          </w:p>
        </w:tc>
        <w:tc>
          <w:tcPr>
            <w:tcW w:w="3029"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a articolelor 67 și 68 și a articolelor 1, 2, și 3 din anexa VII privind plata alocației familiale</w:t>
            </w:r>
          </w:p>
        </w:tc>
        <w:tc>
          <w:tcPr>
            <w:tcW w:w="1322"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4"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after="0" w:line="111" w:lineRule="exact"/>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 (articolul 2)</w:t>
            </w:r>
          </w:p>
        </w:tc>
        <w:tc>
          <w:tcPr>
            <w:tcW w:w="2551" w:type="dxa"/>
            <w:tcBorders>
              <w:top w:val="single" w:sz="4" w:space="0" w:color="000000"/>
              <w:left w:val="single" w:sz="3" w:space="0" w:color="000000"/>
              <w:bottom w:val="single" w:sz="3"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Alocația pentru copilul aflat în întreținere</w:t>
            </w:r>
          </w:p>
        </w:tc>
        <w:tc>
          <w:tcPr>
            <w:tcW w:w="3029"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a articolelor 67 și 68 și articolelor 1, 2, și 3 din anexa VII privind plata alocației familiale</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vAlign w:val="center"/>
          </w:tcPr>
          <w:p>
            <w:pPr>
              <w:widowControl w:val="0"/>
              <w:spacing w:before="1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 [articolul 2 alineatul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7"/>
              </w:rPr>
              <w:t>Persoana considerată copil aflat în întreținere</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articolul 2 alineatul (4) din anexa VII</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before="31"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Anexa VII (articolul 3)</w:t>
            </w:r>
          </w:p>
        </w:tc>
        <w:tc>
          <w:tcPr>
            <w:tcW w:w="2551" w:type="dxa"/>
            <w:tcBorders>
              <w:top w:val="single" w:sz="3" w:space="0" w:color="000000"/>
              <w:left w:val="single" w:sz="4"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7"/>
              </w:rPr>
              <w:t>Alocația școlară</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6"/>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acordarea alocației școlare</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Secțiunea 3 – Rambursarea cheltuielilor</w:t>
            </w:r>
          </w:p>
        </w:tc>
      </w:tr>
      <w:tr>
        <w:trPr>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71 + anexa VII (articolele 7 - 8)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6"/>
              </w:rPr>
              <w:t>Locul de origine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Dispoziții generale de punere în aplicare privind locul</w:t>
            </w:r>
            <w:r>
              <w:rPr>
                <w:noProof/>
              </w:rPr>
              <w:t xml:space="preserve"> </w:t>
            </w:r>
            <w:r>
              <w:rPr>
                <w:noProof/>
              </w:rPr>
              <w:br/>
            </w:r>
            <w:r>
              <w:rPr>
                <w:rFonts w:ascii="Times New Roman" w:hAnsi="Times New Roman"/>
                <w:noProof/>
                <w:sz w:val="12"/>
              </w:rPr>
              <w:t xml:space="preserve"> de origine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w:t>
            </w:r>
            <w:r>
              <w:rPr>
                <w:noProof/>
              </w:rPr>
              <w:t xml:space="preserve"> </w:t>
            </w:r>
            <w:r>
              <w:rPr>
                <w:noProof/>
              </w:rPr>
              <w:br/>
            </w:r>
            <w:r>
              <w:rPr>
                <w:rFonts w:ascii="Times New Roman" w:hAnsi="Times New Roman"/>
                <w:b/>
                <w:noProof/>
                <w:sz w:val="12"/>
              </w:rPr>
              <w:t xml:space="preserve"> (articolul 8)</w:t>
            </w:r>
          </w:p>
        </w:tc>
        <w:tc>
          <w:tcPr>
            <w:tcW w:w="2551"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Cheltuielile de călătorie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a articolului 8 din anexa VII privind plata cheltuielilor de călătorie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(articolul 9)</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 de mutare</w:t>
            </w:r>
          </w:p>
        </w:tc>
        <w:tc>
          <w:tcPr>
            <w:tcW w:w="3029" w:type="dxa"/>
            <w:tcBorders>
              <w:top w:val="single" w:sz="4" w:space="0" w:color="000000"/>
              <w:left w:val="single" w:sz="4" w:space="0" w:color="000000"/>
              <w:bottom w:val="single" w:sz="4"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Calibri"/>
                <w:noProof/>
                <w:sz w:val="12"/>
              </w:rPr>
              <w:t>Decizia privind dispozi</w:t>
            </w:r>
            <w:r>
              <w:rPr>
                <w:rFonts w:ascii="Times New Roman" w:hAnsi="Calibri"/>
                <w:noProof/>
                <w:sz w:val="12"/>
              </w:rPr>
              <w:t>ț</w:t>
            </w:r>
            <w:r>
              <w:rPr>
                <w:rFonts w:ascii="Times New Roman" w:hAnsi="Calibri"/>
                <w:noProof/>
                <w:sz w:val="12"/>
              </w:rPr>
              <w:t xml:space="preserve">iile generale de punere </w:t>
            </w:r>
            <w:r>
              <w:rPr>
                <w:rFonts w:ascii="Times New Roman" w:hAnsi="Calibri"/>
                <w:noProof/>
                <w:sz w:val="12"/>
              </w:rPr>
              <w:t>î</w:t>
            </w:r>
            <w:r>
              <w:rPr>
                <w:rFonts w:ascii="Times New Roman" w:hAnsi="Calibri"/>
                <w:noProof/>
                <w:sz w:val="12"/>
              </w:rPr>
              <w:t xml:space="preserve">n aplicare </w:t>
            </w:r>
            <w:r>
              <w:rPr>
                <w:noProof/>
              </w:rPr>
              <w:t xml:space="preserve"> </w:t>
            </w:r>
            <w:r>
              <w:rPr>
                <w:noProof/>
              </w:rPr>
              <w:br/>
            </w:r>
            <w:r>
              <w:rPr>
                <w:rFonts w:ascii="Times New Roman" w:hAnsi="Calibri"/>
                <w:noProof/>
                <w:sz w:val="12"/>
              </w:rPr>
              <w:t>privind rambursarea cheltuielilor de mutare</w:t>
            </w:r>
          </w:p>
        </w:tc>
        <w:tc>
          <w:tcPr>
            <w:tcW w:w="1322" w:type="dxa"/>
            <w:tcBorders>
              <w:top w:val="single" w:sz="4"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12.12.2019</w:t>
            </w:r>
          </w:p>
        </w:tc>
        <w:tc>
          <w:tcPr>
            <w:tcW w:w="1687" w:type="dxa"/>
            <w:tcBorders>
              <w:top w:val="single" w:sz="4"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(articolul 11)</w:t>
            </w:r>
          </w:p>
        </w:tc>
        <w:tc>
          <w:tcPr>
            <w:tcW w:w="2551" w:type="dxa"/>
            <w:tcBorders>
              <w:top w:val="single" w:sz="4" w:space="0" w:color="000000"/>
              <w:left w:val="single" w:sz="4" w:space="0" w:color="000000"/>
              <w:bottom w:val="single" w:sz="4"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Cheltuielile de misiune și de deplasare</w:t>
            </w:r>
          </w:p>
        </w:tc>
        <w:tc>
          <w:tcPr>
            <w:tcW w:w="3029"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Calibri"/>
                <w:noProof/>
                <w:sz w:val="12"/>
              </w:rPr>
              <w:t>Decizia Ombudsmanului European referitoare la dispozi</w:t>
            </w:r>
            <w:r>
              <w:rPr>
                <w:rFonts w:ascii="Times New Roman" w:hAnsi="Calibri"/>
                <w:noProof/>
                <w:sz w:val="12"/>
              </w:rPr>
              <w:t>ț</w:t>
            </w:r>
            <w:r>
              <w:rPr>
                <w:rFonts w:ascii="Times New Roman" w:hAnsi="Calibri"/>
                <w:noProof/>
                <w:sz w:val="12"/>
              </w:rPr>
              <w:t xml:space="preserve">iile generale de punere </w:t>
            </w:r>
            <w:r>
              <w:rPr>
                <w:rFonts w:ascii="Times New Roman" w:hAnsi="Calibri"/>
                <w:noProof/>
                <w:sz w:val="12"/>
              </w:rPr>
              <w:t>î</w:t>
            </w:r>
            <w:r>
              <w:rPr>
                <w:rFonts w:ascii="Times New Roman" w:hAnsi="Calibri"/>
                <w:noProof/>
                <w:sz w:val="12"/>
              </w:rPr>
              <w:t xml:space="preserve">n aplicare a articolelor 11, 12 </w:t>
            </w:r>
            <w:r>
              <w:rPr>
                <w:rFonts w:ascii="Times New Roman" w:hAnsi="Calibri"/>
                <w:noProof/>
                <w:sz w:val="12"/>
              </w:rPr>
              <w:t>ș</w:t>
            </w:r>
            <w:r>
              <w:rPr>
                <w:rFonts w:ascii="Times New Roman" w:hAnsi="Calibri"/>
                <w:noProof/>
                <w:sz w:val="12"/>
              </w:rPr>
              <w:t>i 13 din anexa VII la Statutul func</w:t>
            </w:r>
            <w:r>
              <w:rPr>
                <w:rFonts w:ascii="Times New Roman" w:hAnsi="Calibri"/>
                <w:noProof/>
                <w:sz w:val="12"/>
              </w:rPr>
              <w:t>ț</w:t>
            </w:r>
            <w:r>
              <w:rPr>
                <w:rFonts w:ascii="Times New Roman" w:hAnsi="Calibri"/>
                <w:noProof/>
                <w:sz w:val="12"/>
              </w:rPr>
              <w:t>ionarilor</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Calibri"/>
                <w:noProof/>
                <w:sz w:val="12"/>
              </w:rPr>
              <w:t xml:space="preserve">1.1.2019 </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Calibri"/>
                <w:b/>
                <w:noProof/>
                <w:sz w:val="16"/>
              </w:rPr>
              <w:t>1 DGA</w:t>
            </w:r>
          </w:p>
        </w:tc>
      </w:tr>
      <w:tr>
        <w:trPr>
          <w:trHeight w:hRule="exact" w:val="567"/>
        </w:trPr>
        <w:tc>
          <w:tcPr>
            <w:tcW w:w="1156" w:type="dxa"/>
            <w:vMerge w:val="restart"/>
            <w:tcBorders>
              <w:top w:val="single" w:sz="4" w:space="0" w:color="000000"/>
              <w:left w:val="single" w:sz="4" w:space="0" w:color="000000"/>
              <w:right w:val="single" w:sz="3"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w:t>
            </w:r>
          </w:p>
        </w:tc>
        <w:tc>
          <w:tcPr>
            <w:tcW w:w="2551" w:type="dxa"/>
            <w:vMerge w:val="restart"/>
            <w:tcBorders>
              <w:top w:val="single" w:sz="4" w:space="0" w:color="000000"/>
              <w:left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Contribuția la cheltuielile cu transportul public</w:t>
            </w:r>
          </w:p>
        </w:tc>
        <w:tc>
          <w:tcPr>
            <w:tcW w:w="3029"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Decizia Ombudsmanului European privind normele interne referitoare la contribuția la cheltuielile cu transportul public</w:t>
            </w:r>
          </w:p>
        </w:tc>
        <w:tc>
          <w:tcPr>
            <w:tcW w:w="1322"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17.5.2016</w:t>
            </w:r>
          </w:p>
        </w:tc>
        <w:tc>
          <w:tcPr>
            <w:tcW w:w="1687"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28.4.2023</w:t>
            </w:r>
          </w:p>
        </w:tc>
        <w:tc>
          <w:tcPr>
            <w:tcW w:w="936" w:type="dxa"/>
            <w:vMerge w:val="restart"/>
            <w:tcBorders>
              <w:top w:val="single" w:sz="4" w:space="0" w:color="000000"/>
              <w:left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4" w:space="0" w:color="000000"/>
              <w:bottom w:val="single" w:sz="3" w:space="0" w:color="000000"/>
              <w:right w:val="single" w:sz="3" w:space="0" w:color="000000"/>
            </w:tcBorders>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before="60" w:after="0" w:line="240" w:lineRule="auto"/>
              <w:ind w:left="45" w:right="17"/>
              <w:jc w:val="center"/>
              <w:rPr>
                <w:rFonts w:ascii="Times New Roman" w:eastAsia="Calibri" w:hAnsi="Calibri" w:cs="Times New Roman"/>
                <w:bCs/>
                <w:noProof/>
                <w:w w:val="105"/>
                <w:sz w:val="12"/>
              </w:rPr>
            </w:pPr>
            <w:r>
              <w:rPr>
                <w:rFonts w:ascii="Times New Roman" w:hAnsi="Times New Roman"/>
                <w:noProof/>
                <w:sz w:val="12"/>
              </w:rPr>
              <w:t>Decizia Ombudsmanului European privind normele interne referitoare la o contribuție la mobilitatea durabilă din partea personalului care se deplasează de la domiciliu la locul de desfășurare a activității</w:t>
            </w:r>
          </w:p>
        </w:tc>
        <w:tc>
          <w:tcPr>
            <w:tcW w:w="1322"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28.4.2023</w:t>
            </w:r>
          </w:p>
        </w:tc>
        <w:tc>
          <w:tcPr>
            <w:tcW w:w="1687" w:type="dxa"/>
            <w:tcBorders>
              <w:top w:val="single" w:sz="4" w:space="0" w:color="000000"/>
              <w:left w:val="single" w:sz="3" w:space="0" w:color="000000"/>
              <w:bottom w:val="single" w:sz="3" w:space="0" w:color="000000"/>
              <w:right w:val="single" w:sz="3" w:space="0" w:color="000000"/>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5" w:space="0" w:color="000000"/>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 – Regimul disciplinar  </w:t>
            </w:r>
          </w:p>
        </w:tc>
      </w:tr>
      <w:tr>
        <w:trPr>
          <w:trHeight w:hRule="exact" w:val="567"/>
        </w:trPr>
        <w:tc>
          <w:tcPr>
            <w:tcW w:w="1156" w:type="dxa"/>
            <w:vMerge w:val="restart"/>
            <w:tcBorders>
              <w:top w:val="single" w:sz="5" w:space="0" w:color="000000"/>
              <w:left w:val="single" w:sz="4"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 + anexa IX</w:t>
            </w:r>
          </w:p>
        </w:tc>
        <w:tc>
          <w:tcPr>
            <w:tcW w:w="2551" w:type="dxa"/>
            <w:vMerge w:val="restart"/>
            <w:tcBorders>
              <w:top w:val="single" w:sz="5" w:space="0" w:color="000000"/>
              <w:left w:val="single" w:sz="3" w:space="0" w:color="000000"/>
              <w:right w:val="single" w:sz="3" w:space="0" w:color="000000"/>
            </w:tcBorders>
            <w:shd w:val="clear" w:color="auto" w:fill="FFFF65"/>
            <w:vAlign w:val="center"/>
          </w:tcPr>
          <w:p>
            <w:pPr>
              <w:widowControl w:val="0"/>
              <w:spacing w:after="0" w:line="258" w:lineRule="auto"/>
              <w:ind w:right="311"/>
              <w:jc w:val="center"/>
              <w:rPr>
                <w:rFonts w:ascii="Times New Roman" w:eastAsia="Times New Roman" w:hAnsi="Times New Roman" w:cs="Times New Roman"/>
                <w:noProof/>
                <w:sz w:val="16"/>
                <w:szCs w:val="16"/>
              </w:rPr>
            </w:pPr>
            <w:r>
              <w:rPr>
                <w:rFonts w:ascii="Times New Roman" w:hAnsi="Times New Roman"/>
                <w:b/>
                <w:noProof/>
                <w:sz w:val="16"/>
              </w:rPr>
              <w:t>Procedura disciplinară și anchetele administrative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procedurile disciplinare și anchetele administrative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23.2.2023</w:t>
            </w:r>
          </w:p>
        </w:tc>
        <w:tc>
          <w:tcPr>
            <w:tcW w:w="936" w:type="dxa"/>
            <w:vMerge w:val="restart"/>
            <w:tcBorders>
              <w:top w:val="single" w:sz="5"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Calibri"/>
                <w:b/>
                <w:noProof/>
                <w:sz w:val="16"/>
              </w:rPr>
              <w:t>1 DGA</w:t>
            </w:r>
          </w:p>
        </w:tc>
      </w:tr>
      <w:tr>
        <w:trPr>
          <w:trHeight w:hRule="exact" w:val="567"/>
        </w:trPr>
        <w:tc>
          <w:tcPr>
            <w:tcW w:w="1156" w:type="dxa"/>
            <w:vMerge/>
            <w:tcBorders>
              <w:left w:val="single" w:sz="4" w:space="0" w:color="000000"/>
              <w:bottom w:val="single" w:sz="3"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Ombudsmanului European de stabilire a dispozițiilor generale de punere în aplicare privind desfășurarea anchetelor administrative și a procedurii disciplinare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23.2.2023</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 – Agenții temporari</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Capitolul 1 – Dispoziții generale</w:t>
            </w:r>
          </w:p>
        </w:tc>
      </w:tr>
      <w:tr>
        <w:trPr>
          <w:trHeight w:hRule="exact" w:val="624"/>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ind w:right="3"/>
              <w:jc w:val="center"/>
              <w:rPr>
                <w:rFonts w:ascii="Times New Roman" w:eastAsia="Calibri" w:hAnsi="Times New Roman" w:cs="Times New Roman"/>
                <w:b/>
                <w:noProof/>
                <w:spacing w:val="1"/>
                <w:w w:val="105"/>
                <w:sz w:val="12"/>
              </w:rPr>
            </w:pPr>
            <w:r>
              <w:rPr>
                <w:rFonts w:ascii="Times New Roman" w:hAnsi="Times New Roman"/>
                <w:b/>
                <w:noProof/>
                <w:sz w:val="12"/>
              </w:rPr>
              <w:t>2 + 8</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jc w:val="center"/>
              <w:rPr>
                <w:rFonts w:ascii="Times New Roman" w:eastAsia="Times New Roman" w:hAnsi="Times New Roman" w:cs="Times New Roman"/>
                <w:b/>
                <w:noProof/>
                <w:sz w:val="16"/>
                <w:szCs w:val="16"/>
              </w:rPr>
            </w:pPr>
            <w:r>
              <w:rPr>
                <w:rFonts w:ascii="Times New Roman" w:hAnsi="Times New Roman"/>
                <w:b/>
                <w:noProof/>
                <w:sz w:val="16"/>
              </w:rPr>
              <w:t>Angajarea și utilizarea agenților temporari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criteriile aplicabile încadrării în treaptă la momentul numirii sau recrutării</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624"/>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before="137"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Norme privind ocuparea posturilor temporare din schema de personal a Ombudsmanului European</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7.12.2010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3"/>
              <w:jc w:val="center"/>
              <w:rPr>
                <w:rFonts w:ascii="Times New Roman" w:eastAsia="Calibri" w:hAnsi="Times New Roman" w:cs="Times New Roman"/>
                <w:b/>
                <w:noProof/>
                <w:spacing w:val="1"/>
                <w:w w:val="105"/>
                <w:sz w:val="12"/>
              </w:rPr>
            </w:pPr>
            <w:r>
              <w:rPr>
                <w:rFonts w:ascii="Times New Roman" w:hAnsi="Times New Roman"/>
                <w:b/>
                <w:noProof/>
                <w:sz w:val="12"/>
              </w:rPr>
              <w:t>10</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Reclasificarea agenților temporari</w:t>
            </w:r>
          </w:p>
        </w:tc>
        <w:tc>
          <w:tcPr>
            <w:tcW w:w="3029" w:type="dxa"/>
            <w:tcBorders>
              <w:top w:val="single" w:sz="4" w:space="0" w:color="auto"/>
              <w:left w:val="single" w:sz="4" w:space="0" w:color="auto"/>
              <w:bottom w:val="single" w:sz="4" w:space="0" w:color="auto"/>
              <w:right w:val="single" w:sz="4" w:space="0" w:color="auto"/>
            </w:tcBorders>
            <w:shd w:val="clear" w:color="auto" w:fill="D99594"/>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Decizia Ombudsmanului European privind promovarea funcționarilor și reclasificarea agenților temporari și contractuali</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noProof/>
              </w:rPr>
              <w:t xml:space="preserve"> </w:t>
            </w:r>
            <w:r>
              <w:rPr>
                <w:noProof/>
              </w:rPr>
              <w:br/>
            </w:r>
            <w:r>
              <w:rPr>
                <w:rFonts w:ascii="Times New Roman" w:hAnsi="Times New Roman"/>
                <w:noProof/>
                <w:sz w:val="12"/>
              </w:rPr>
              <w:t>7.1.2021</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567"/>
        </w:trPr>
        <w:tc>
          <w:tcPr>
            <w:tcW w:w="1156" w:type="dxa"/>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alineatul (2)</w:t>
            </w:r>
          </w:p>
        </w:tc>
        <w:tc>
          <w:tcPr>
            <w:tcW w:w="2551" w:type="dxa"/>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Utilizarea agenților contractuali</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privind procedurile de angajare a agenților contractuali</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szCs w:val="16"/>
              </w:rPr>
            </w:pPr>
            <w:r>
              <w:rPr>
                <w:rFonts w:ascii="Times New Roman" w:hAnsi="Times New Roman"/>
                <w:b/>
                <w:noProof/>
                <w:sz w:val="16"/>
              </w:rPr>
              <w:t>Procedurile de recrutare pentru agenții contractuali</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Decizia privind procedurile de angajare a agenților contractuali</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before="5" w:after="0" w:line="240" w:lineRule="auto"/>
              <w:jc w:val="center"/>
              <w:rPr>
                <w:rFonts w:ascii="Times New Roman" w:eastAsia="Times New Roman" w:hAnsi="Times New Roman" w:cs="Times New Roman"/>
                <w:noProof/>
                <w:sz w:val="10"/>
                <w:szCs w:val="10"/>
                <w:lang w:val="en-US"/>
              </w:rPr>
            </w:pPr>
          </w:p>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1.12.2014</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Încadrarea în grad la momentul recrutării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0"/>
                <w:szCs w:val="10"/>
                <w:lang w:val="fr-BE"/>
              </w:rPr>
            </w:pPr>
          </w:p>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privind procedurile de angajare a agenților contractuali</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0"/>
                <w:szCs w:val="10"/>
                <w:lang w:val="en-US"/>
              </w:rPr>
            </w:pPr>
          </w:p>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1.12.2014</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2"/>
              </w:rPr>
            </w:pPr>
            <w:r>
              <w:rPr>
                <w:rFonts w:ascii="Times New Roman" w:hAnsi="Times New Roman"/>
                <w:b/>
                <w:noProof/>
                <w:sz w:val="12"/>
              </w:rPr>
              <w:t>87</w:t>
            </w:r>
          </w:p>
        </w:tc>
        <w:tc>
          <w:tcPr>
            <w:tcW w:w="2551" w:type="dxa"/>
            <w:vMerge w:val="restart"/>
            <w:tcBorders>
              <w:top w:val="single" w:sz="4" w:space="0" w:color="auto"/>
              <w:left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szCs w:val="16"/>
              </w:rPr>
            </w:pPr>
            <w:r>
              <w:rPr>
                <w:rFonts w:ascii="Times New Roman" w:hAnsi="Times New Roman"/>
                <w:b/>
                <w:noProof/>
                <w:sz w:val="17"/>
              </w:rPr>
              <w:t>Evaluarea și reclasificarea agenților contractuali</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Ombudsmanului European privind promovarea</w:t>
            </w:r>
            <w:r>
              <w:rPr>
                <w:noProof/>
              </w:rPr>
              <w:t xml:space="preserve"> </w:t>
            </w:r>
            <w:r>
              <w:rPr>
                <w:noProof/>
              </w:rPr>
              <w:br/>
            </w:r>
            <w:r>
              <w:rPr>
                <w:rFonts w:ascii="Times New Roman" w:hAnsi="Times New Roman"/>
                <w:noProof/>
                <w:sz w:val="12"/>
              </w:rPr>
              <w:t xml:space="preserve"> funcționarilor și reclasificarea agenților temporari și contractuali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7" w:after="0" w:line="240" w:lineRule="auto"/>
              <w:jc w:val="center"/>
              <w:rPr>
                <w:rFonts w:ascii="Times New Roman" w:eastAsia="Times New Roman" w:hAnsi="Times New Roman" w:cs="Times New Roman"/>
                <w:noProof/>
                <w:sz w:val="12"/>
                <w:szCs w:val="12"/>
              </w:rPr>
            </w:pPr>
            <w:r>
              <w:rPr>
                <w:rFonts w:ascii="Times New Roman" w:hAnsi="Times New Roman"/>
                <w:noProof/>
                <w:sz w:val="12"/>
              </w:rPr>
              <w:t>7.1.2021</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4" w:space="0" w:color="auto"/>
              <w:right w:val="single" w:sz="5" w:space="0" w:color="000000"/>
            </w:tcBorders>
            <w:shd w:val="clear" w:color="auto" w:fill="DA96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567"/>
        </w:trPr>
        <w:tc>
          <w:tcPr>
            <w:tcW w:w="1156"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2"/>
                <w:lang w:val="en-US"/>
              </w:rPr>
            </w:pPr>
          </w:p>
        </w:tc>
        <w:tc>
          <w:tcPr>
            <w:tcW w:w="2551" w:type="dxa"/>
            <w:vMerge/>
            <w:tcBorders>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szCs w:val="16"/>
                <w:lang w:val="en-US"/>
              </w:rPr>
            </w:pP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Ombudsmanului European privind dispozițiile generale de punere în aplicare a articolelor 43 și 44 din Statutul funcționarilor</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7" w:after="0" w:line="240" w:lineRule="auto"/>
              <w:jc w:val="center"/>
              <w:rPr>
                <w:rFonts w:ascii="Times New Roman" w:eastAsia="Times New Roman" w:hAnsi="Times New Roman" w:cs="Times New Roman"/>
                <w:noProof/>
                <w:sz w:val="12"/>
                <w:szCs w:val="12"/>
              </w:rPr>
            </w:pPr>
            <w:r>
              <w:rPr>
                <w:rFonts w:ascii="Times New Roman" w:hAnsi="Times New Roman"/>
                <w:noProof/>
                <w:sz w:val="12"/>
              </w:rPr>
              <w:t>20.12.2017</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Legendă</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70528"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1656305274" name="Rectangle 1656305274"/>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56305274" o:spid="_x0000_s1032" style="position:absolute;margin-left:178.4pt;margin-top:17.9pt;width:156.2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Dispoziții generale de punere în aplicare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Alte norme de punere în aplicare</w:t>
            </w:r>
          </w:p>
        </w:tc>
      </w:tr>
    </w:tbl>
    <w:p>
      <w:pPr>
        <w:rPr>
          <w:noProof/>
        </w:rPr>
      </w:pPr>
    </w:p>
    <w:p>
      <w:pPr>
        <w:rPr>
          <w:noProof/>
        </w:rPr>
      </w:pPr>
      <w:r>
        <w:rPr>
          <w:noProof/>
        </w:rPr>
        <w:br w:type="page"/>
      </w: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1295"/>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tcPr>
          <w:p>
            <w:pPr>
              <w:widowControl w:val="0"/>
              <w:spacing w:before="102" w:after="0" w:line="240" w:lineRule="auto"/>
              <w:jc w:val="center"/>
              <w:rPr>
                <w:rFonts w:ascii="Times New Roman" w:eastAsia="Times New Roman" w:hAnsi="Times New Roman" w:cs="Times New Roman"/>
                <w:noProof/>
                <w:sz w:val="50"/>
                <w:szCs w:val="50"/>
              </w:rPr>
            </w:pPr>
            <w:r>
              <w:rPr>
                <w:rFonts w:ascii="Times New Roman" w:hAnsi="Times New Roman"/>
                <w:b/>
                <w:noProof/>
                <w:sz w:val="50"/>
              </w:rPr>
              <w:t>AUTORITATEA EUROPEANĂ PENTRU PROTECȚIA DATELOR</w:t>
            </w:r>
          </w:p>
        </w:tc>
      </w:tr>
      <w:tr>
        <w:trPr>
          <w:trHeight w:hRule="exact" w:val="737"/>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28" w:after="0" w:line="240" w:lineRule="auto"/>
              <w:ind w:right="933"/>
              <w:jc w:val="center"/>
              <w:rPr>
                <w:rFonts w:ascii="Times New Roman" w:eastAsia="Times New Roman" w:hAnsi="Times New Roman" w:cs="Times New Roman"/>
                <w:noProof/>
                <w:sz w:val="39"/>
                <w:szCs w:val="39"/>
              </w:rPr>
            </w:pPr>
            <w:r>
              <w:rPr>
                <w:rFonts w:ascii="Times New Roman" w:hAnsi="Times New Roman"/>
                <w:b/>
                <w:noProof/>
                <w:sz w:val="39"/>
              </w:rPr>
              <w:t xml:space="preserve">         Statutul funcționarilor</w:t>
            </w:r>
          </w:p>
          <w:p>
            <w:pPr>
              <w:widowControl w:val="0"/>
              <w:spacing w:before="18" w:after="0" w:line="240" w:lineRule="auto"/>
              <w:ind w:right="933"/>
              <w:jc w:val="center"/>
              <w:rPr>
                <w:rFonts w:ascii="Times New Roman" w:eastAsia="Times New Roman" w:hAnsi="Times New Roman" w:cs="Times New Roman"/>
                <w:noProof/>
                <w:sz w:val="18"/>
                <w:szCs w:val="18"/>
              </w:rPr>
            </w:pPr>
            <w:r>
              <w:rPr>
                <w:rFonts w:ascii="Times New Roman" w:hAnsi="Times New Roman"/>
                <w:b/>
                <w:noProof/>
                <w:sz w:val="18"/>
              </w:rPr>
              <w:t>(aplicabil, prin analogie, celorlalți agenți ori de câte ori Regimul aplicabil celorlalți agenți prevede în mod expres acest lucru)</w:t>
            </w:r>
          </w:p>
        </w:tc>
      </w:tr>
      <w:tr>
        <w:trPr>
          <w:trHeight w:hRule="exact" w:val="420"/>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06"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04"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themeColor="text1"/>
              <w:left w:val="single" w:sz="4" w:space="0" w:color="000000" w:themeColor="text1"/>
              <w:bottom w:val="single" w:sz="4" w:space="0" w:color="auto"/>
              <w:right w:val="single" w:sz="7" w:space="0" w:color="000000" w:themeColor="text1"/>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 – Dispoziții generale</w:t>
            </w:r>
          </w:p>
        </w:tc>
      </w:tr>
      <w:tr>
        <w:trPr>
          <w:trHeight w:hRule="exact" w:val="567"/>
        </w:trPr>
        <w:tc>
          <w:tcPr>
            <w:tcW w:w="1156" w:type="dxa"/>
            <w:tcBorders>
              <w:top w:val="single" w:sz="6"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b/>
                <w:noProof/>
                <w:sz w:val="12"/>
              </w:rPr>
              <w:t>5 + anexa I</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Tipurile de posturi și titlurile posturilor</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 xml:space="preserve">Decizia privind tipurile de posturi și titlurile posturilor </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left w:val="single" w:sz="4" w:space="0" w:color="auto"/>
              <w:bottom w:val="single" w:sz="4" w:space="0" w:color="auto"/>
              <w:right w:val="single" w:sz="7"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szCs w:val="12"/>
              </w:rPr>
            </w:pPr>
            <w:r>
              <w:rPr>
                <w:rFonts w:ascii="Times New Roman" w:hAnsi="Times New Roman"/>
                <w:b/>
                <w:noProof/>
                <w:sz w:val="12"/>
              </w:rPr>
              <w:t>9</w:t>
            </w:r>
          </w:p>
        </w:tc>
        <w:tc>
          <w:tcPr>
            <w:tcW w:w="2551"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z w:val="16"/>
                <w:szCs w:val="16"/>
              </w:rPr>
            </w:pPr>
            <w:r>
              <w:rPr>
                <w:rFonts w:ascii="Times New Roman" w:hAnsi="Times New Roman"/>
                <w:b/>
                <w:noProof/>
                <w:sz w:val="16"/>
              </w:rPr>
              <w:t>Comitetele</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Decizia privind instituirea unui comitet al personalului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before="9" w:after="0" w:line="240" w:lineRule="auto"/>
              <w:jc w:val="center"/>
              <w:rPr>
                <w:rFonts w:ascii="Times New Roman" w:eastAsia="Calibri" w:hAnsi="Times New Roman" w:cs="Times New Roman"/>
                <w:noProof/>
                <w:sz w:val="12"/>
                <w:szCs w:val="12"/>
              </w:rPr>
            </w:pPr>
            <w:r>
              <w:rPr>
                <w:rFonts w:ascii="Times New Roman" w:hAnsi="Times New Roman"/>
                <w:noProof/>
                <w:sz w:val="12"/>
              </w:rPr>
              <w:t>8.2.2006</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7" w:space="0" w:color="000000"/>
            </w:tcBorders>
            <w:shd w:val="clear" w:color="auto" w:fill="DCE6F1"/>
          </w:tcPr>
          <w:p>
            <w:pPr>
              <w:widowControl w:val="0"/>
              <w:spacing w:before="50" w:after="200" w:line="240" w:lineRule="auto"/>
              <w:jc w:val="center"/>
              <w:rPr>
                <w:rFonts w:ascii="Times New Roman" w:eastAsia="Calibri" w:hAnsi="Times New Roman" w:cs="Times New Roman"/>
                <w:noProof/>
                <w:sz w:val="25"/>
                <w:szCs w:val="25"/>
              </w:rPr>
            </w:pPr>
            <w:r>
              <w:rPr>
                <w:rFonts w:ascii="Times New Roman" w:hAnsi="Times New Roman"/>
                <w:b/>
                <w:noProof/>
                <w:sz w:val="25"/>
              </w:rPr>
              <w:t>Titlul II – Drepturile și obligațiile funcționarului</w:t>
            </w:r>
          </w:p>
        </w:tc>
      </w:tr>
      <w:tr>
        <w:trPr>
          <w:trHeight w:val="611"/>
        </w:trPr>
        <w:tc>
          <w:tcPr>
            <w:tcW w:w="1156" w:type="dxa"/>
            <w:vMerge w:val="restart"/>
            <w:tcBorders>
              <w:top w:val="single" w:sz="5" w:space="0" w:color="000000"/>
              <w:left w:val="single" w:sz="4"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noProof/>
                <w:sz w:val="12"/>
                <w:szCs w:val="12"/>
              </w:rPr>
            </w:pPr>
            <w:r>
              <w:rPr>
                <w:rFonts w:ascii="Times New Roman" w:hAnsi="Times New Roman"/>
                <w:noProof/>
                <w:sz w:val="12"/>
              </w:rPr>
              <w:t>12a</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6"/>
                <w:szCs w:val="16"/>
              </w:rPr>
            </w:pPr>
            <w:r>
              <w:rPr>
                <w:rFonts w:ascii="Times New Roman" w:hAnsi="Times New Roman"/>
                <w:b/>
                <w:noProof/>
                <w:sz w:val="16"/>
              </w:rPr>
              <w:t>Hărțuirea</w:t>
            </w: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z w:val="12"/>
                <w:szCs w:val="12"/>
              </w:rPr>
            </w:pPr>
            <w:r>
              <w:rPr>
                <w:rFonts w:ascii="Times New Roman" w:hAnsi="Times New Roman"/>
                <w:noProof/>
                <w:sz w:val="12"/>
              </w:rPr>
              <w:t>Decizia de adoptare a măsurilor de punere în aplicare referitoare la articolele 12a și 24 din Statutul funcționarilor cu privire la procedura referitoare la combaterea hărțuirii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10.12.2014</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22.12.2020</w:t>
            </w: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548"/>
        </w:trPr>
        <w:tc>
          <w:tcPr>
            <w:tcW w:w="1156" w:type="dxa"/>
            <w:vMerge/>
            <w:tcBorders>
              <w:left w:val="single" w:sz="4" w:space="0" w:color="000000"/>
              <w:bottom w:val="single" w:sz="3" w:space="0" w:color="000000"/>
              <w:right w:val="single" w:sz="4" w:space="0" w:color="auto"/>
            </w:tcBorders>
            <w:vAlign w:val="center"/>
          </w:tcPr>
          <w:p>
            <w:pPr>
              <w:widowControl w:val="0"/>
              <w:spacing w:after="200" w:line="240" w:lineRule="auto"/>
              <w:ind w:right="2"/>
              <w:jc w:val="center"/>
              <w:rPr>
                <w:rFonts w:ascii="Times New Roman" w:eastAsia="Calibri" w:hAnsi="Times New Roman" w:cs="Times New Roman"/>
                <w:b/>
                <w:noProof/>
                <w:sz w:val="12"/>
                <w:lang w:val="en-GB"/>
              </w:rPr>
            </w:pPr>
          </w:p>
        </w:tc>
        <w:tc>
          <w:tcPr>
            <w:tcW w:w="2551" w:type="dxa"/>
            <w:vMerge/>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GB"/>
              </w:rPr>
            </w:pPr>
          </w:p>
        </w:tc>
        <w:tc>
          <w:tcPr>
            <w:tcW w:w="3029"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ind w:right="74"/>
              <w:jc w:val="center"/>
              <w:rPr>
                <w:rFonts w:ascii="Times New Roman" w:eastAsia="Calibri" w:hAnsi="Times New Roman" w:cs="Times New Roman"/>
                <w:noProof/>
                <w:spacing w:val="-2"/>
                <w:sz w:val="12"/>
                <w:szCs w:val="12"/>
              </w:rPr>
            </w:pPr>
            <w:r>
              <w:rPr>
                <w:rFonts w:ascii="Times New Roman" w:hAnsi="Times New Roman"/>
                <w:noProof/>
                <w:sz w:val="12"/>
              </w:rPr>
              <w:t>Decizia din 22 decembrie 2020 de înlocuire a Deciziei din 10 decembrie 2014 de adoptare a unor măsuri de punere în aplicare a articolelor 12a și 24 din Statutul funcționarilor privind procedura de combatere a hărțuirii și numirea consilierilor confidențiali</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22.12.2020</w:t>
            </w:r>
          </w:p>
        </w:tc>
        <w:tc>
          <w:tcPr>
            <w:tcW w:w="1687"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vAlign w:val="center"/>
          </w:tcPr>
          <w:p>
            <w:pPr>
              <w:widowControl w:val="0"/>
              <w:spacing w:after="200" w:line="240" w:lineRule="auto"/>
              <w:ind w:right="2"/>
              <w:jc w:val="center"/>
              <w:rPr>
                <w:rFonts w:ascii="Times New Roman" w:eastAsia="Calibri" w:hAnsi="Times New Roman" w:cs="Times New Roman"/>
                <w:b/>
                <w:bCs/>
                <w:noProof/>
                <w:sz w:val="12"/>
              </w:rPr>
            </w:pPr>
            <w:r>
              <w:rPr>
                <w:rFonts w:ascii="Times New Roman" w:hAnsi="Times New Roman"/>
                <w:b/>
                <w:noProof/>
                <w:sz w:val="12"/>
              </w:rPr>
              <w:t>12b - 16 - 17</w:t>
            </w:r>
          </w:p>
        </w:tc>
        <w:tc>
          <w:tcPr>
            <w:tcW w:w="2551" w:type="dxa"/>
            <w:tcBorders>
              <w:top w:val="single" w:sz="4" w:space="0" w:color="auto"/>
              <w:left w:val="single" w:sz="6" w:space="0" w:color="000000"/>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Activitățile externe</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privind activitățile și sarcinile externe, precum și activitățile profesionale după încetarea raporturilor de muncă</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13.9.2019</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bCs/>
                <w:noProof/>
                <w:sz w:val="12"/>
              </w:rPr>
            </w:pPr>
            <w:r>
              <w:rPr>
                <w:rFonts w:ascii="Times New Roman" w:hAnsi="Times New Roman"/>
                <w:b/>
                <w:noProof/>
                <w:sz w:val="12"/>
              </w:rPr>
              <w:t>22a - 22c</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Avertizarea în interes public</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privind normele interne referitoare la avertizarea în interes public</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29.11.2019</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4" w:space="0" w:color="auto"/>
              <w:left w:val="single" w:sz="4" w:space="0" w:color="auto"/>
              <w:bottom w:val="single" w:sz="4" w:space="0" w:color="auto"/>
              <w:right w:val="single" w:sz="6" w:space="0" w:color="000000"/>
            </w:tcBorders>
            <w:vAlign w:val="center"/>
          </w:tcPr>
          <w:p>
            <w:pPr>
              <w:widowControl w:val="0"/>
              <w:spacing w:after="0" w:line="240" w:lineRule="auto"/>
              <w:jc w:val="center"/>
              <w:rPr>
                <w:rFonts w:ascii="Times New Roman" w:eastAsia="Calibri" w:hAnsi="Times New Roman" w:cs="Times New Roman"/>
                <w:b/>
                <w:bCs/>
                <w:noProof/>
                <w:sz w:val="12"/>
              </w:rPr>
            </w:pPr>
            <w:r>
              <w:rPr>
                <w:rFonts w:ascii="Times New Roman" w:hAnsi="Times New Roman"/>
                <w:b/>
                <w:noProof/>
                <w:sz w:val="12"/>
              </w:rPr>
              <w:t>24a</w:t>
            </w:r>
          </w:p>
        </w:tc>
        <w:tc>
          <w:tcPr>
            <w:tcW w:w="2551" w:type="dxa"/>
            <w:tcBorders>
              <w:top w:val="single" w:sz="4" w:space="0" w:color="auto"/>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Formarea profesională</w:t>
            </w:r>
          </w:p>
        </w:tc>
        <w:tc>
          <w:tcPr>
            <w:tcW w:w="3029" w:type="dxa"/>
            <w:tcBorders>
              <w:top w:val="single" w:sz="4" w:space="0" w:color="auto"/>
              <w:left w:val="single" w:sz="6"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privind învățarea și dezvoltarea</w:t>
            </w:r>
          </w:p>
        </w:tc>
        <w:tc>
          <w:tcPr>
            <w:tcW w:w="1322"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14.7.2015</w:t>
            </w:r>
          </w:p>
        </w:tc>
        <w:tc>
          <w:tcPr>
            <w:tcW w:w="1687" w:type="dxa"/>
            <w:tcBorders>
              <w:top w:val="single" w:sz="4" w:space="0" w:color="auto"/>
              <w:left w:val="single" w:sz="4" w:space="0" w:color="auto"/>
              <w:bottom w:val="single" w:sz="4" w:space="0" w:color="auto"/>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pacing w:val="-1"/>
                <w:sz w:val="12"/>
                <w:szCs w:val="12"/>
                <w:lang w:val="en-GB"/>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tcPr>
          <w:p>
            <w:pPr>
              <w:widowControl w:val="0"/>
              <w:spacing w:before="50"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III – Cariera funcționarului</w:t>
            </w:r>
          </w:p>
        </w:tc>
      </w:tr>
      <w:tr>
        <w:trPr>
          <w:trHeight w:hRule="exact" w:val="351"/>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tcPr>
          <w:p>
            <w:pPr>
              <w:widowControl w:val="0"/>
              <w:spacing w:before="76" w:after="0" w:line="240" w:lineRule="auto"/>
              <w:ind w:right="934"/>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 Recrutarea</w:t>
            </w:r>
          </w:p>
        </w:tc>
      </w:tr>
      <w:tr>
        <w:trPr>
          <w:trHeight w:hRule="exact" w:val="567"/>
        </w:trPr>
        <w:tc>
          <w:tcPr>
            <w:tcW w:w="1156"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Times New Roman" w:hAnsi="Times New Roman" w:cs="Times New Roman"/>
                <w:noProof/>
                <w:sz w:val="12"/>
                <w:szCs w:val="12"/>
              </w:rPr>
            </w:pPr>
            <w:r>
              <w:rPr>
                <w:rFonts w:ascii="Times New Roman" w:hAnsi="Times New Roman"/>
                <w:b/>
                <w:noProof/>
                <w:sz w:val="12"/>
              </w:rPr>
              <w:t>27 - 34</w:t>
            </w:r>
          </w:p>
        </w:tc>
        <w:tc>
          <w:tcPr>
            <w:tcW w:w="2551"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130"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Recrutarea</w:t>
            </w:r>
          </w:p>
        </w:tc>
        <w:tc>
          <w:tcPr>
            <w:tcW w:w="3029"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before="76" w:after="0" w:line="254" w:lineRule="auto"/>
              <w:ind w:right="165"/>
              <w:jc w:val="center"/>
              <w:rPr>
                <w:rFonts w:ascii="Times New Roman" w:eastAsia="Times New Roman" w:hAnsi="Times New Roman" w:cs="Times New Roman"/>
                <w:noProof/>
                <w:sz w:val="12"/>
                <w:szCs w:val="12"/>
              </w:rPr>
            </w:pPr>
            <w:r>
              <w:rPr>
                <w:rFonts w:ascii="Times New Roman" w:hAnsi="Times New Roman"/>
                <w:noProof/>
                <w:sz w:val="12"/>
              </w:rPr>
              <w:t>Decizia 54 privind dispozițiile generale de punere în aplicare privind încadrarea în treaptă la momentul recrutării sau angajării</w:t>
            </w:r>
          </w:p>
        </w:tc>
        <w:tc>
          <w:tcPr>
            <w:tcW w:w="1322"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6" w:space="0" w:color="000000"/>
              <w:left w:val="single" w:sz="4" w:space="0" w:color="000000"/>
              <w:bottom w:val="single" w:sz="6" w:space="0" w:color="000000"/>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6" w:space="0" w:color="000000"/>
              <w:left w:val="single" w:sz="4"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tabs>
          <w:tab w:val="left" w:pos="9190"/>
        </w:tabs>
        <w:spacing w:after="0" w:line="240" w:lineRule="auto"/>
        <w:rPr>
          <w:rFonts w:ascii="Times New Roman" w:eastAsia="Times New Roman" w:hAnsi="Times New Roman" w:cs="Times New Roman"/>
          <w:b/>
          <w:bCs/>
          <w:noProof/>
          <w:sz w:val="20"/>
          <w:szCs w:val="20"/>
        </w:rPr>
      </w:pPr>
      <w:r>
        <w:rPr>
          <w:noProof/>
        </w:rPr>
        <w:tab/>
      </w: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85"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9"/>
              </w:rPr>
              <w:t xml:space="preserve">                     Capitolul 2 – Situații administrative</w:t>
            </w:r>
          </w:p>
        </w:tc>
      </w:tr>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2 – Detașarea</w:t>
            </w:r>
          </w:p>
        </w:tc>
      </w:tr>
      <w:tr>
        <w:trPr>
          <w:trHeight w:hRule="exact" w:val="567"/>
        </w:trPr>
        <w:tc>
          <w:tcPr>
            <w:tcW w:w="1156" w:type="dxa"/>
            <w:vMerge w:val="restart"/>
            <w:tcBorders>
              <w:top w:val="single" w:sz="6" w:space="0" w:color="000000"/>
              <w:left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38</w:t>
            </w:r>
          </w:p>
        </w:tc>
        <w:tc>
          <w:tcPr>
            <w:tcW w:w="2551"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Detașarea</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Politica AEPD privind detașările și schimburile pe perioade scurte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9" w:after="0" w:line="240" w:lineRule="auto"/>
              <w:jc w:val="center"/>
              <w:rPr>
                <w:rFonts w:ascii="Times New Roman" w:eastAsia="Calibri" w:hAnsi="Times New Roman" w:cs="Times New Roman"/>
                <w:noProof/>
                <w:sz w:val="12"/>
                <w:szCs w:val="12"/>
              </w:rPr>
            </w:pPr>
            <w:r>
              <w:rPr>
                <w:rFonts w:ascii="Times New Roman" w:hAnsi="Times New Roman"/>
                <w:noProof/>
                <w:sz w:val="12"/>
              </w:rPr>
              <w:t>12.6.2014</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vMerge/>
            <w:tcBorders>
              <w:left w:val="single" w:sz="6" w:space="0" w:color="000000"/>
              <w:bottom w:val="single" w:sz="6" w:space="0" w:color="000000"/>
              <w:right w:val="single" w:sz="6" w:space="0" w:color="000000"/>
            </w:tcBorders>
            <w:vAlign w:val="center"/>
          </w:tcPr>
          <w:p>
            <w:pPr>
              <w:widowControl w:val="0"/>
              <w:spacing w:before="101"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Decizia comună a AEPD și CEPD referitoare la programul CEPD privind detașările pe perioade scurte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spacing w:before="40" w:after="0"/>
              <w:jc w:val="center"/>
              <w:rPr>
                <w:rFonts w:ascii="Times New Roman" w:eastAsia="Calibri" w:hAnsi="Times New Roman" w:cs="Times New Roman"/>
                <w:noProof/>
                <w:sz w:val="12"/>
                <w:szCs w:val="12"/>
              </w:rPr>
            </w:pPr>
            <w:r>
              <w:rPr>
                <w:rFonts w:ascii="Times New Roman" w:hAnsi="Times New Roman"/>
                <w:noProof/>
                <w:sz w:val="12"/>
              </w:rPr>
              <w:t>12.6.2019</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BE5F1"/>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3 – Concediul pentru interese personale</w:t>
            </w:r>
          </w:p>
        </w:tc>
      </w:tr>
      <w:tr>
        <w:trPr>
          <w:trHeight w:hRule="exact" w:val="567"/>
        </w:trPr>
        <w:tc>
          <w:tcPr>
            <w:tcW w:w="1156" w:type="dxa"/>
            <w:tcBorders>
              <w:left w:val="single" w:sz="6" w:space="0" w:color="000000"/>
              <w:bottom w:val="single" w:sz="6" w:space="0" w:color="000000"/>
              <w:right w:val="single" w:sz="6" w:space="0" w:color="000000"/>
            </w:tcBorders>
            <w:vAlign w:val="center"/>
          </w:tcPr>
          <w:p>
            <w:pPr>
              <w:widowControl w:val="0"/>
              <w:spacing w:before="101" w:after="0" w:line="240" w:lineRule="auto"/>
              <w:jc w:val="center"/>
              <w:rPr>
                <w:rFonts w:ascii="Times New Roman" w:eastAsia="Calibri" w:hAnsi="Times New Roman" w:cs="Times New Roman"/>
                <w:b/>
                <w:noProof/>
                <w:sz w:val="12"/>
              </w:rPr>
            </w:pPr>
            <w:r>
              <w:rPr>
                <w:rFonts w:ascii="Times New Roman" w:hAnsi="Times New Roman"/>
                <w:b/>
                <w:noProof/>
                <w:sz w:val="12"/>
              </w:rPr>
              <w:t>40</w:t>
            </w:r>
          </w:p>
        </w:tc>
        <w:tc>
          <w:tcPr>
            <w:tcW w:w="2551" w:type="dxa"/>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interese personale</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91" w:after="0" w:line="254" w:lineRule="auto"/>
              <w:ind w:right="47"/>
              <w:jc w:val="center"/>
              <w:rPr>
                <w:rFonts w:ascii="Times New Roman" w:eastAsia="Times New Roman" w:hAnsi="Times New Roman" w:cs="Times New Roman"/>
                <w:noProof/>
                <w:spacing w:val="-2"/>
                <w:sz w:val="12"/>
                <w:szCs w:val="12"/>
              </w:rPr>
            </w:pPr>
            <w:r>
              <w:rPr>
                <w:rFonts w:ascii="Times New Roman" w:hAnsi="Times New Roman"/>
                <w:noProof/>
                <w:sz w:val="12"/>
              </w:rPr>
              <w:t xml:space="preserve">Decizia Autorității Europene pentru Protecția Datelor </w:t>
            </w:r>
            <w:r>
              <w:rPr>
                <w:noProof/>
              </w:rPr>
              <w:t xml:space="preserve"> </w:t>
            </w:r>
            <w:r>
              <w:rPr>
                <w:noProof/>
              </w:rPr>
              <w:br/>
            </w:r>
            <w:r>
              <w:rPr>
                <w:rFonts w:ascii="Times New Roman" w:hAnsi="Times New Roman"/>
                <w:noProof/>
                <w:sz w:val="12"/>
              </w:rPr>
              <w:t>din 19 decembrie 2019 privind măsurile referitoare la concediul pentru interese personale pentru funcționari și concediul fără plată pentru agenții temporari și contractuali ai Uniunii Europene</w:t>
            </w:r>
          </w:p>
        </w:tc>
        <w:tc>
          <w:tcPr>
            <w:tcW w:w="1322" w:type="dxa"/>
            <w:tcBorders>
              <w:top w:val="single" w:sz="6" w:space="0" w:color="000000"/>
              <w:left w:val="single" w:sz="6" w:space="0" w:color="000000"/>
              <w:bottom w:val="single" w:sz="6" w:space="0" w:color="000000"/>
              <w:right w:val="single" w:sz="6" w:space="0" w:color="000000"/>
            </w:tcBorders>
            <w:shd w:val="clear" w:color="auto" w:fill="DA9694"/>
            <w:vAlign w:val="center"/>
          </w:tcPr>
          <w:p>
            <w:pPr>
              <w:spacing w:before="40" w:after="0"/>
              <w:jc w:val="center"/>
              <w:rPr>
                <w:rFonts w:ascii="Times New Roman" w:eastAsia="Calibri" w:hAnsi="Times New Roman" w:cs="Times New Roman"/>
                <w:noProof/>
                <w:sz w:val="12"/>
                <w:szCs w:val="12"/>
              </w:rPr>
            </w:pPr>
            <w:r>
              <w:rPr>
                <w:rFonts w:ascii="Times New Roman" w:hAnsi="Times New Roman"/>
                <w:noProof/>
                <w:sz w:val="12"/>
              </w:rPr>
              <w:t>19.12.2019</w:t>
            </w:r>
          </w:p>
        </w:tc>
        <w:tc>
          <w:tcPr>
            <w:tcW w:w="1687"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6" w:space="0" w:color="000000"/>
              <w:bottom w:val="single" w:sz="6" w:space="0" w:color="000000"/>
              <w:right w:val="single" w:sz="6" w:space="0" w:color="000000"/>
            </w:tcBorders>
            <w:shd w:val="clear" w:color="auto" w:fill="DA9694"/>
            <w:vAlign w:val="center"/>
          </w:tcPr>
          <w:p>
            <w:pPr>
              <w:widowControl w:val="0"/>
              <w:spacing w:before="90"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3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tcPr>
          <w:p>
            <w:pPr>
              <w:widowControl w:val="0"/>
              <w:spacing w:before="84" w:after="0" w:line="240" w:lineRule="auto"/>
              <w:ind w:right="933"/>
              <w:jc w:val="center"/>
              <w:rPr>
                <w:rFonts w:ascii="Times New Roman" w:eastAsia="Times New Roman" w:hAnsi="Times New Roman" w:cs="Times New Roman"/>
                <w:noProof/>
                <w:sz w:val="17"/>
                <w:szCs w:val="17"/>
              </w:rPr>
            </w:pPr>
            <w:r>
              <w:rPr>
                <w:rFonts w:ascii="Times New Roman" w:hAnsi="Times New Roman"/>
                <w:b/>
                <w:noProof/>
                <w:sz w:val="17"/>
              </w:rPr>
              <w:t xml:space="preserve">                 Secțiunea 6 – Concediul pentru creșterea copilului sau concediul din motive familiale</w:t>
            </w:r>
          </w:p>
        </w:tc>
      </w:tr>
      <w:tr>
        <w:trPr>
          <w:trHeight w:hRule="exact" w:val="668"/>
        </w:trPr>
        <w:tc>
          <w:tcPr>
            <w:tcW w:w="1156" w:type="dxa"/>
            <w:tcBorders>
              <w:left w:val="single" w:sz="4" w:space="0" w:color="000000"/>
              <w:bottom w:val="single" w:sz="4" w:space="0" w:color="000000"/>
              <w:right w:val="single" w:sz="4" w:space="0" w:color="000000"/>
            </w:tcBorders>
            <w:shd w:val="clear" w:color="auto" w:fill="FFFF65"/>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42a</w:t>
            </w:r>
          </w:p>
        </w:tc>
        <w:tc>
          <w:tcPr>
            <w:tcW w:w="2551" w:type="dxa"/>
            <w:tcBorders>
              <w:left w:val="single" w:sz="4"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pentru creșterea copilului</w:t>
            </w:r>
          </w:p>
        </w:tc>
        <w:tc>
          <w:tcPr>
            <w:tcW w:w="3029"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123" w:lineRule="exact"/>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a articolului 42a privind concediul pentru creșterea</w:t>
            </w:r>
          </w:p>
          <w:p>
            <w:pPr>
              <w:widowControl w:val="0"/>
              <w:spacing w:after="0" w:line="254" w:lineRule="auto"/>
              <w:ind w:right="205"/>
              <w:jc w:val="center"/>
              <w:rPr>
                <w:rFonts w:ascii="Times New Roman" w:eastAsia="Calibri" w:hAnsi="Times New Roman" w:cs="Times New Roman"/>
                <w:noProof/>
                <w:spacing w:val="-2"/>
                <w:sz w:val="12"/>
                <w:szCs w:val="12"/>
              </w:rPr>
            </w:pPr>
            <w:r>
              <w:rPr>
                <w:rFonts w:ascii="Times New Roman" w:hAnsi="Times New Roman"/>
                <w:noProof/>
                <w:sz w:val="12"/>
              </w:rPr>
              <w:t>copilului</w:t>
            </w:r>
          </w:p>
        </w:tc>
        <w:tc>
          <w:tcPr>
            <w:tcW w:w="1322"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1.7.2005</w:t>
            </w:r>
          </w:p>
        </w:tc>
        <w:tc>
          <w:tcPr>
            <w:tcW w:w="1687" w:type="dxa"/>
            <w:tcBorders>
              <w:top w:val="single" w:sz="3" w:space="0" w:color="000000"/>
              <w:left w:val="single" w:sz="3" w:space="0" w:color="000000"/>
              <w:bottom w:val="single" w:sz="3" w:space="0" w:color="000000"/>
              <w:right w:val="single" w:sz="3" w:space="0" w:color="000000"/>
            </w:tcBorders>
            <w:shd w:val="clear" w:color="auto" w:fill="FFFF66"/>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6"/>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3"/>
        </w:trPr>
        <w:tc>
          <w:tcPr>
            <w:tcW w:w="1156" w:type="dxa"/>
            <w:tcBorders>
              <w:top w:val="single" w:sz="4" w:space="0" w:color="000000"/>
              <w:left w:val="single" w:sz="4" w:space="0" w:color="000000"/>
              <w:bottom w:val="single" w:sz="4"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42a, 42b +35</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pentru creșterea copilului</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 xml:space="preserve">Directiva 1/2009 privind suspendările perioadelor de probă în cazul concediului pentru creșterea copilului și al concediului din motive familiale  </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1.9.2009</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3"/>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42b</w:t>
            </w:r>
          </w:p>
        </w:tc>
        <w:tc>
          <w:tcPr>
            <w:tcW w:w="2551"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123"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din motive familiale</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69" w:after="0" w:line="254" w:lineRule="auto"/>
              <w:ind w:right="124"/>
              <w:jc w:val="center"/>
              <w:rPr>
                <w:rFonts w:ascii="Times New Roman" w:eastAsia="Times New Roman" w:hAnsi="Times New Roman" w:cs="Times New Roman"/>
                <w:noProof/>
                <w:sz w:val="12"/>
                <w:szCs w:val="12"/>
              </w:rPr>
            </w:pPr>
            <w:r>
              <w:rPr>
                <w:rFonts w:ascii="Times New Roman" w:hAnsi="Times New Roman"/>
                <w:noProof/>
                <w:sz w:val="12"/>
              </w:rPr>
              <w:t>Decizia 14 privind normele de punere în aplicare referitoare la concediul din motive familiale</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2" w:type="dxa"/>
        <w:tblInd w:w="112" w:type="dxa"/>
        <w:tblLayout w:type="fixed"/>
        <w:tblCellMar>
          <w:left w:w="0" w:type="dxa"/>
          <w:right w:w="0" w:type="dxa"/>
        </w:tblCellMar>
        <w:tblLook w:val="01E0" w:firstRow="1" w:lastRow="1" w:firstColumn="1" w:lastColumn="1" w:noHBand="0" w:noVBand="0"/>
      </w:tblPr>
      <w:tblGrid>
        <w:gridCol w:w="1157"/>
        <w:gridCol w:w="2551"/>
        <w:gridCol w:w="3029"/>
        <w:gridCol w:w="1322"/>
        <w:gridCol w:w="1687"/>
        <w:gridCol w:w="936"/>
      </w:tblGrid>
      <w:tr>
        <w:trPr>
          <w:trHeight w:hRule="exact" w:val="370"/>
        </w:trPr>
        <w:tc>
          <w:tcPr>
            <w:tcW w:w="10682" w:type="dxa"/>
            <w:gridSpan w:val="6"/>
            <w:tcBorders>
              <w:top w:val="single" w:sz="5" w:space="0" w:color="000000"/>
              <w:left w:val="single" w:sz="4" w:space="0" w:color="000000"/>
              <w:bottom w:val="single" w:sz="6" w:space="0" w:color="000000"/>
              <w:right w:val="single" w:sz="5" w:space="0" w:color="000000"/>
            </w:tcBorders>
            <w:shd w:val="clear" w:color="auto" w:fill="DBE5F1"/>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Evaluarea, avansarea în treaptă și promovarea</w:t>
            </w:r>
          </w:p>
        </w:tc>
      </w:tr>
      <w:tr>
        <w:trPr>
          <w:trHeight w:hRule="exact" w:val="567"/>
        </w:trPr>
        <w:tc>
          <w:tcPr>
            <w:tcW w:w="1157"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Articolul 43</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rPr>
            </w:pPr>
            <w:r>
              <w:rPr>
                <w:rFonts w:ascii="Times New Roman" w:hAnsi="Times New Roman"/>
                <w:b/>
                <w:noProof/>
                <w:sz w:val="16"/>
              </w:rPr>
              <w:t>Raportul anual</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Decizia 30a de adoptare a dispozițiilor generale de punere în aplicare privind rapoartele de evaluare</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15.12.2014</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21.12.2020</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7"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FFFF65"/>
            <w:vAlign w:val="center"/>
          </w:tcPr>
          <w:p>
            <w:pPr>
              <w:widowControl w:val="0"/>
              <w:spacing w:before="126" w:after="0" w:line="161" w:lineRule="exact"/>
              <w:jc w:val="center"/>
              <w:rPr>
                <w:rFonts w:ascii="Times New Roman" w:eastAsia="Calibri" w:hAnsi="Times New Roman" w:cs="Times New Roman"/>
                <w:b/>
                <w:noProof/>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107" w:after="0" w:line="254" w:lineRule="auto"/>
              <w:ind w:right="259"/>
              <w:jc w:val="center"/>
              <w:rPr>
                <w:rFonts w:ascii="Times New Roman" w:eastAsia="Calibri" w:hAnsi="Times New Roman" w:cs="Times New Roman"/>
                <w:noProof/>
                <w:sz w:val="12"/>
                <w:szCs w:val="12"/>
              </w:rPr>
            </w:pPr>
            <w:r>
              <w:rPr>
                <w:rFonts w:ascii="Times New Roman" w:hAnsi="Times New Roman"/>
                <w:noProof/>
                <w:sz w:val="12"/>
              </w:rPr>
              <w:t>DECIZIA AEPD de stabilire a dispozițiilor generale de punere în aplicare a articolului 43 din Statutul funcționarilor și a articolului 44 primul paragraf din Statutul funcționarilor</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21.12.2020</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vMerge w:val="restart"/>
            <w:tcBorders>
              <w:top w:val="single" w:sz="6" w:space="0" w:color="000000"/>
              <w:left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45</w:t>
            </w:r>
          </w:p>
        </w:tc>
        <w:tc>
          <w:tcPr>
            <w:tcW w:w="2551"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Promovarea</w:t>
            </w: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38b de adoptare a dispozițiilor generale de punere în aplicare privind promovarea</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24.5.2017</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27.4.2022</w:t>
            </w:r>
          </w:p>
        </w:tc>
        <w:tc>
          <w:tcPr>
            <w:tcW w:w="936" w:type="dxa"/>
            <w:vMerge w:val="restart"/>
            <w:tcBorders>
              <w:top w:val="single" w:sz="6" w:space="0" w:color="000000"/>
              <w:left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836"/>
        </w:trPr>
        <w:tc>
          <w:tcPr>
            <w:tcW w:w="1157" w:type="dxa"/>
            <w:vMerge/>
            <w:tcBorders>
              <w:left w:val="single" w:sz="6" w:space="0" w:color="000000"/>
              <w:bottom w:val="single" w:sz="6" w:space="0" w:color="000000"/>
              <w:right w:val="single" w:sz="6" w:space="0" w:color="000000"/>
            </w:tcBorders>
            <w:vAlign w:val="center"/>
          </w:tcPr>
          <w:p>
            <w:pPr>
              <w:widowControl w:val="0"/>
              <w:spacing w:after="0" w:line="240" w:lineRule="auto"/>
              <w:jc w:val="center"/>
              <w:rPr>
                <w:rFonts w:ascii="Times New Roman" w:eastAsia="Calibri" w:hAnsi="Times New Roman" w:cs="Times New Roman"/>
                <w:b/>
                <w:noProof/>
                <w:sz w:val="12"/>
                <w:lang w:val="en-US"/>
              </w:rPr>
            </w:pPr>
          </w:p>
        </w:tc>
        <w:tc>
          <w:tcPr>
            <w:tcW w:w="2551"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sz w:val="16"/>
                <w:lang w:val="en-US"/>
              </w:rPr>
            </w:pPr>
          </w:p>
        </w:tc>
        <w:tc>
          <w:tcPr>
            <w:tcW w:w="3029"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Decizia Autorității Europene pentru Protecția Datelor</w:t>
            </w:r>
            <w:r>
              <w:rPr>
                <w:noProof/>
              </w:rPr>
              <w:t xml:space="preserve"> </w:t>
            </w:r>
            <w:r>
              <w:rPr>
                <w:noProof/>
              </w:rPr>
              <w:br/>
            </w:r>
            <w:r>
              <w:rPr>
                <w:rFonts w:ascii="Times New Roman" w:hAnsi="Times New Roman"/>
                <w:noProof/>
                <w:sz w:val="12"/>
              </w:rPr>
              <w:t xml:space="preserve"> din 27 aprilie 2022 de adoptare a dispozițiilor de punere în aplicare privind promovarea și de abrogare a deciziei privind dispozițiile generale de punere în aplicare privind promovările</w:t>
            </w:r>
            <w:r>
              <w:rPr>
                <w:noProof/>
              </w:rPr>
              <w:t xml:space="preserve"> </w:t>
            </w:r>
            <w:r>
              <w:rPr>
                <w:noProof/>
              </w:rPr>
              <w:br/>
            </w:r>
            <w:r>
              <w:rPr>
                <w:rFonts w:ascii="Times New Roman" w:hAnsi="Times New Roman"/>
                <w:noProof/>
                <w:sz w:val="12"/>
              </w:rPr>
              <w:t xml:space="preserve"> din 24 mai 2017</w:t>
            </w:r>
          </w:p>
        </w:tc>
        <w:tc>
          <w:tcPr>
            <w:tcW w:w="1322"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before="40" w:after="0" w:line="240" w:lineRule="auto"/>
              <w:jc w:val="center"/>
              <w:rPr>
                <w:rFonts w:ascii="Times New Roman" w:eastAsia="Times New Roman" w:hAnsi="Times New Roman" w:cs="Times New Roman"/>
                <w:iCs/>
                <w:noProof/>
                <w:sz w:val="12"/>
                <w:szCs w:val="12"/>
              </w:rPr>
            </w:pPr>
            <w:r>
              <w:rPr>
                <w:rFonts w:ascii="Times New Roman" w:hAnsi="Times New Roman"/>
                <w:noProof/>
                <w:sz w:val="12"/>
              </w:rPr>
              <w:t>27.4.2022</w:t>
            </w:r>
          </w:p>
        </w:tc>
        <w:tc>
          <w:tcPr>
            <w:tcW w:w="1687" w:type="dxa"/>
            <w:tcBorders>
              <w:top w:val="single" w:sz="6" w:space="0" w:color="000000"/>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vMerge/>
            <w:tcBorders>
              <w:left w:val="single" w:sz="6" w:space="0" w:color="000000"/>
              <w:bottom w:val="single" w:sz="6"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7"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ind w:right="1"/>
              <w:jc w:val="center"/>
              <w:rPr>
                <w:rFonts w:ascii="Times New Roman" w:eastAsia="Calibri" w:hAnsi="Times New Roman" w:cs="Times New Roman"/>
                <w:b/>
                <w:noProof/>
                <w:sz w:val="12"/>
              </w:rPr>
            </w:pPr>
            <w:r>
              <w:rPr>
                <w:rFonts w:ascii="Times New Roman" w:hAnsi="Times New Roman"/>
                <w:b/>
                <w:noProof/>
                <w:sz w:val="12"/>
              </w:rPr>
              <w:t>Articolul 45a</w:t>
            </w:r>
          </w:p>
        </w:tc>
        <w:tc>
          <w:tcPr>
            <w:tcW w:w="2551"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before="95" w:after="0" w:line="240" w:lineRule="auto"/>
              <w:jc w:val="center"/>
              <w:rPr>
                <w:rFonts w:ascii="Times New Roman" w:eastAsia="Calibri" w:hAnsi="Times New Roman" w:cs="Times New Roman"/>
                <w:b/>
                <w:noProof/>
                <w:spacing w:val="-1"/>
                <w:sz w:val="16"/>
              </w:rPr>
            </w:pPr>
            <w:r>
              <w:rPr>
                <w:rFonts w:ascii="Times New Roman" w:hAnsi="Times New Roman"/>
                <w:b/>
                <w:noProof/>
                <w:sz w:val="16"/>
              </w:rPr>
              <w:t>Certificarea</w:t>
            </w:r>
          </w:p>
        </w:tc>
        <w:tc>
          <w:tcPr>
            <w:tcW w:w="3029"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54" w:lineRule="auto"/>
              <w:ind w:right="183"/>
              <w:jc w:val="center"/>
              <w:rPr>
                <w:rFonts w:ascii="Times New Roman" w:eastAsia="Calibri" w:hAnsi="Times New Roman" w:cs="Times New Roman"/>
                <w:noProof/>
                <w:spacing w:val="-2"/>
                <w:sz w:val="12"/>
                <w:szCs w:val="12"/>
              </w:rPr>
            </w:pPr>
            <w:r>
              <w:rPr>
                <w:rFonts w:ascii="Times New Roman" w:hAnsi="Times New Roman"/>
                <w:noProof/>
                <w:sz w:val="12"/>
              </w:rPr>
              <w:t>Decizia 43b de stabilire a dispozițiilor generale de punere în aplicare privind articolul 45a</w:t>
            </w:r>
          </w:p>
        </w:tc>
        <w:tc>
          <w:tcPr>
            <w:tcW w:w="1322"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15.12.2014</w:t>
            </w:r>
          </w:p>
        </w:tc>
        <w:tc>
          <w:tcPr>
            <w:tcW w:w="1687"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4" w:space="0" w:color="000000"/>
              <w:right w:val="single" w:sz="6"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96"/>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9"/>
              </w:rPr>
              <w:t>Capitolul 4 – Încetarea raporturilor de muncă</w:t>
            </w:r>
          </w:p>
        </w:tc>
      </w:tr>
      <w:tr>
        <w:trPr>
          <w:trHeight w:hRule="exact" w:val="3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BE5F1"/>
            <w:vAlign w:val="center"/>
          </w:tcPr>
          <w:p>
            <w:pPr>
              <w:widowControl w:val="0"/>
              <w:spacing w:before="32" w:after="0" w:line="240" w:lineRule="auto"/>
              <w:ind w:right="935"/>
              <w:jc w:val="center"/>
              <w:rPr>
                <w:rFonts w:ascii="Times New Roman" w:eastAsia="Calibri" w:hAnsi="Times New Roman" w:cs="Times New Roman"/>
                <w:b/>
                <w:noProof/>
                <w:spacing w:val="-1"/>
                <w:sz w:val="17"/>
                <w:szCs w:val="17"/>
              </w:rPr>
            </w:pPr>
            <w:r>
              <w:rPr>
                <w:rFonts w:ascii="Times New Roman" w:hAnsi="Times New Roman"/>
                <w:b/>
                <w:noProof/>
                <w:sz w:val="17"/>
              </w:rPr>
              <w:t>Secțiunea 4 – Procedurile privind incompetența profesională</w:t>
            </w:r>
          </w:p>
        </w:tc>
      </w:tr>
      <w:tr>
        <w:trPr>
          <w:trHeight w:hRule="exact" w:val="513"/>
        </w:trPr>
        <w:tc>
          <w:tcPr>
            <w:tcW w:w="1156" w:type="dxa"/>
            <w:tcBorders>
              <w:top w:val="single" w:sz="6"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51</w:t>
            </w:r>
          </w:p>
        </w:tc>
        <w:tc>
          <w:tcPr>
            <w:tcW w:w="2551" w:type="dxa"/>
            <w:tcBorders>
              <w:top w:val="single" w:sz="5" w:space="0" w:color="000000"/>
              <w:left w:val="single" w:sz="4" w:space="0" w:color="000000"/>
              <w:bottom w:val="single" w:sz="3" w:space="0" w:color="000000"/>
              <w:right w:val="single" w:sz="3" w:space="0" w:color="000000"/>
            </w:tcBorders>
            <w:shd w:val="clear" w:color="auto" w:fill="DA9694"/>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 xml:space="preserve">Incompetența profesională </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Autorității Europene pentru Protecția Datelor privind procedura de depistare, gestionare și soluționare a incompetenței profesionale</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10.11.2015</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52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5"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 xml:space="preserve">Titlul IV </w:t>
            </w:r>
            <w:r>
              <w:rPr>
                <w:rFonts w:ascii="Times New Roman" w:hAnsi="Times New Roman"/>
                <w:b/>
                <w:i/>
                <w:noProof/>
                <w:sz w:val="25"/>
              </w:rPr>
              <w:t>–</w:t>
            </w:r>
            <w:r>
              <w:rPr>
                <w:rFonts w:ascii="Times New Roman" w:hAnsi="Times New Roman"/>
                <w:b/>
                <w:noProof/>
                <w:sz w:val="25"/>
              </w:rPr>
              <w:t xml:space="preserve"> Condițiile de muncă ale funcționarului</w:t>
            </w:r>
          </w:p>
        </w:tc>
      </w:tr>
      <w:tr>
        <w:trPr>
          <w:trHeight w:hRule="exact" w:val="40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0" w:after="0" w:line="240" w:lineRule="auto"/>
              <w:ind w:right="931"/>
              <w:jc w:val="center"/>
              <w:rPr>
                <w:rFonts w:ascii="Times New Roman" w:eastAsia="Times New Roman" w:hAnsi="Times New Roman" w:cs="Times New Roman"/>
                <w:noProof/>
                <w:sz w:val="19"/>
                <w:szCs w:val="19"/>
              </w:rPr>
            </w:pPr>
            <w:r>
              <w:rPr>
                <w:rFonts w:ascii="Times New Roman" w:hAnsi="Times New Roman"/>
                <w:b/>
                <w:noProof/>
                <w:sz w:val="19"/>
              </w:rPr>
              <w:t xml:space="preserve">                 Capitolul 1 </w:t>
            </w:r>
            <w:r>
              <w:rPr>
                <w:rFonts w:ascii="Times New Roman" w:hAnsi="Times New Roman"/>
                <w:b/>
                <w:i/>
                <w:noProof/>
                <w:sz w:val="19"/>
              </w:rPr>
              <w:t>–</w:t>
            </w:r>
            <w:r>
              <w:rPr>
                <w:rFonts w:ascii="Times New Roman" w:hAnsi="Times New Roman"/>
                <w:b/>
                <w:noProof/>
                <w:sz w:val="19"/>
              </w:rPr>
              <w:t xml:space="preserve"> Programul de lucru</w:t>
            </w:r>
          </w:p>
        </w:tc>
      </w:tr>
      <w:tr>
        <w:trPr>
          <w:trHeight w:val="454"/>
        </w:trPr>
        <w:tc>
          <w:tcPr>
            <w:tcW w:w="115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w:t>
            </w:r>
          </w:p>
        </w:tc>
        <w:tc>
          <w:tcPr>
            <w:tcW w:w="2551" w:type="dxa"/>
            <w:vMerge w:val="restart"/>
            <w:tcBorders>
              <w:left w:val="single" w:sz="6"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Timpul de lucru</w:t>
            </w: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Decizia privind timpul de lucru</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21.4.2022</w:t>
            </w:r>
          </w:p>
        </w:tc>
        <w:tc>
          <w:tcPr>
            <w:tcW w:w="936" w:type="dxa"/>
            <w:vMerge w:val="restart"/>
            <w:tcBorders>
              <w:left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tcBorders>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tcBorders>
              <w:left w:val="single" w:sz="6" w:space="0" w:color="000000"/>
              <w:bottom w:val="single" w:sz="4"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3029"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before="52" w:after="0" w:line="254" w:lineRule="auto"/>
              <w:ind w:right="38"/>
              <w:jc w:val="center"/>
              <w:rPr>
                <w:rFonts w:ascii="Times New Roman" w:eastAsia="Calibri" w:hAnsi="Times New Roman" w:cs="Times New Roman"/>
                <w:noProof/>
                <w:sz w:val="12"/>
                <w:szCs w:val="12"/>
              </w:rPr>
            </w:pPr>
            <w:r>
              <w:rPr>
                <w:rFonts w:ascii="Times New Roman" w:hAnsi="Times New Roman"/>
                <w:noProof/>
                <w:sz w:val="12"/>
              </w:rPr>
              <w:t>Decizia Autorității Europene pentru Protecția Datelor</w:t>
            </w:r>
            <w:r>
              <w:rPr>
                <w:noProof/>
              </w:rPr>
              <w:t xml:space="preserve"> </w:t>
            </w:r>
            <w:r>
              <w:rPr>
                <w:noProof/>
              </w:rPr>
              <w:br/>
            </w:r>
            <w:r>
              <w:rPr>
                <w:rFonts w:ascii="Times New Roman" w:hAnsi="Times New Roman"/>
                <w:noProof/>
                <w:sz w:val="12"/>
              </w:rPr>
              <w:t xml:space="preserve"> din 21 aprilie 2022 privind timpul de lucru și munca hibridă</w:t>
            </w:r>
          </w:p>
        </w:tc>
        <w:tc>
          <w:tcPr>
            <w:tcW w:w="1322"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21.4.2022</w:t>
            </w:r>
          </w:p>
        </w:tc>
        <w:tc>
          <w:tcPr>
            <w:tcW w:w="1687" w:type="dxa"/>
            <w:tcBorders>
              <w:top w:val="single" w:sz="3"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vMerge/>
            <w:tcBorders>
              <w:left w:val="single" w:sz="3" w:space="0" w:color="000000"/>
              <w:bottom w:val="single" w:sz="4" w:space="0" w:color="auto"/>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val="454"/>
        </w:trPr>
        <w:tc>
          <w:tcPr>
            <w:tcW w:w="1156"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2"/>
              </w:rPr>
              <w:t>55a + anexa IVa</w:t>
            </w:r>
          </w:p>
        </w:tc>
        <w:tc>
          <w:tcPr>
            <w:tcW w:w="2551" w:type="dxa"/>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Activitatea cu normă redusă</w:t>
            </w:r>
          </w:p>
        </w:tc>
        <w:tc>
          <w:tcPr>
            <w:tcW w:w="3029" w:type="dxa"/>
            <w:tcBorders>
              <w:top w:val="single" w:sz="3" w:space="0" w:color="000000"/>
              <w:left w:val="single" w:sz="4"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Decizia 10 privind normele referitoare la exercitarea activității cu normă redusă</w:t>
            </w:r>
          </w:p>
        </w:tc>
        <w:tc>
          <w:tcPr>
            <w:tcW w:w="1322" w:type="dxa"/>
            <w:tcBorders>
              <w:top w:val="single" w:sz="3" w:space="0" w:color="000000"/>
              <w:left w:val="single" w:sz="3" w:space="0" w:color="000000"/>
              <w:bottom w:val="single" w:sz="4" w:space="0" w:color="000000"/>
              <w:right w:val="single" w:sz="3" w:space="0" w:color="000000"/>
            </w:tcBorders>
            <w:shd w:val="clear" w:color="auto" w:fill="DA9694"/>
            <w:vAlign w:val="center"/>
          </w:tcPr>
          <w:p>
            <w:pPr>
              <w:widowControl w:val="0"/>
              <w:spacing w:before="8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val="454"/>
        </w:trPr>
        <w:tc>
          <w:tcPr>
            <w:tcW w:w="115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b/>
                <w:noProof/>
                <w:sz w:val="16"/>
              </w:rPr>
              <w:t>Munca de la distanță</w:t>
            </w:r>
          </w:p>
        </w:tc>
        <w:tc>
          <w:tcPr>
            <w:tcW w:w="3029"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Decizia privind munca de la distanță</w:t>
            </w:r>
          </w:p>
        </w:tc>
        <w:tc>
          <w:tcPr>
            <w:tcW w:w="1322" w:type="dxa"/>
            <w:tcBorders>
              <w:top w:val="single" w:sz="4" w:space="0" w:color="000000"/>
              <w:left w:val="single" w:sz="4" w:space="0" w:color="000000"/>
              <w:bottom w:val="single" w:sz="4" w:space="0" w:color="auto"/>
              <w:right w:val="single" w:sz="4" w:space="0" w:color="000000"/>
            </w:tcBorders>
            <w:shd w:val="clear" w:color="auto" w:fill="DA9694"/>
            <w:vAlign w:val="center"/>
          </w:tcPr>
          <w:p>
            <w:pPr>
              <w:widowControl w:val="0"/>
              <w:spacing w:before="80" w:after="0" w:line="240" w:lineRule="auto"/>
              <w:jc w:val="center"/>
              <w:rPr>
                <w:rFonts w:ascii="Times New Roman" w:eastAsia="Calibri" w:hAnsi="Times New Roman" w:cs="Times New Roman"/>
                <w:noProof/>
                <w:sz w:val="12"/>
                <w:szCs w:val="12"/>
              </w:rPr>
            </w:pPr>
            <w:r>
              <w:rPr>
                <w:rFonts w:ascii="Times New Roman" w:hAnsi="Times New Roman"/>
                <w:noProof/>
                <w:sz w:val="12"/>
              </w:rPr>
              <w:t>7.2.2019</w:t>
            </w:r>
          </w:p>
        </w:tc>
        <w:tc>
          <w:tcPr>
            <w:tcW w:w="1687" w:type="dxa"/>
            <w:tcBorders>
              <w:top w:val="single" w:sz="4" w:space="0" w:color="000000"/>
              <w:left w:val="single" w:sz="4" w:space="0" w:color="000000"/>
              <w:bottom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21.4.2022</w:t>
            </w:r>
          </w:p>
        </w:tc>
        <w:tc>
          <w:tcPr>
            <w:tcW w:w="936" w:type="dxa"/>
            <w:vMerge w:val="restart"/>
            <w:tcBorders>
              <w:top w:val="single" w:sz="4" w:space="0" w:color="auto"/>
              <w:left w:val="single" w:sz="4" w:space="0" w:color="auto"/>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val="454"/>
        </w:trPr>
        <w:tc>
          <w:tcPr>
            <w:tcW w:w="1156" w:type="dxa"/>
            <w:vMerge/>
            <w:tcBorders>
              <w:left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lang w:val="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before="38" w:after="0" w:line="254" w:lineRule="auto"/>
              <w:ind w:right="68"/>
              <w:jc w:val="center"/>
              <w:rPr>
                <w:rFonts w:ascii="Times New Roman" w:eastAsia="Times New Roman" w:hAnsi="Times New Roman" w:cs="Times New Roman"/>
                <w:noProof/>
                <w:sz w:val="12"/>
                <w:szCs w:val="12"/>
              </w:rPr>
            </w:pPr>
            <w:r>
              <w:rPr>
                <w:rFonts w:ascii="Times New Roman" w:hAnsi="Times New Roman"/>
                <w:noProof/>
                <w:sz w:val="12"/>
              </w:rPr>
              <w:t>Decizia Autorității Europene pentru Protecția Datelor</w:t>
            </w:r>
            <w:r>
              <w:rPr>
                <w:noProof/>
              </w:rPr>
              <w:t xml:space="preserve"> </w:t>
            </w:r>
            <w:r>
              <w:rPr>
                <w:noProof/>
              </w:rPr>
              <w:br/>
            </w:r>
            <w:r>
              <w:rPr>
                <w:rFonts w:ascii="Times New Roman" w:hAnsi="Times New Roman"/>
                <w:noProof/>
                <w:sz w:val="12"/>
              </w:rPr>
              <w:t xml:space="preserve"> din 21 aprilie 2022 privind timpul de lucru și munca hibridă</w:t>
            </w:r>
          </w:p>
        </w:tc>
        <w:tc>
          <w:tcPr>
            <w:tcW w:w="1322" w:type="dxa"/>
            <w:tcBorders>
              <w:top w:val="single" w:sz="4" w:space="0" w:color="auto"/>
              <w:left w:val="single" w:sz="4" w:space="0" w:color="000000"/>
              <w:bottom w:val="single" w:sz="4" w:space="0" w:color="000000"/>
              <w:right w:val="single" w:sz="4"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21.4.2022</w:t>
            </w:r>
          </w:p>
        </w:tc>
        <w:tc>
          <w:tcPr>
            <w:tcW w:w="1687" w:type="dxa"/>
            <w:tcBorders>
              <w:top w:val="single" w:sz="4" w:space="0" w:color="auto"/>
              <w:left w:val="single" w:sz="4" w:space="0" w:color="000000"/>
              <w:bottom w:val="single" w:sz="4"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tcBorders>
              <w:left w:val="single" w:sz="4" w:space="0" w:color="auto"/>
              <w:bottom w:val="single" w:sz="6" w:space="0" w:color="000000"/>
              <w:right w:val="single" w:sz="4" w:space="0" w:color="auto"/>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511"/>
        <w:gridCol w:w="1498"/>
        <w:gridCol w:w="936"/>
      </w:tblGrid>
      <w:tr>
        <w:trPr>
          <w:trHeight w:hRule="exact" w:val="370"/>
        </w:trPr>
        <w:tc>
          <w:tcPr>
            <w:tcW w:w="10681" w:type="dxa"/>
            <w:gridSpan w:val="6"/>
            <w:tcBorders>
              <w:top w:val="single" w:sz="5" w:space="0" w:color="000000"/>
              <w:left w:val="single" w:sz="4" w:space="0" w:color="000000"/>
              <w:bottom w:val="single" w:sz="6" w:space="0" w:color="000000"/>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2 – Concediile</w:t>
            </w:r>
          </w:p>
        </w:tc>
      </w:tr>
      <w:tr>
        <w:trPr>
          <w:trHeight w:hRule="exact" w:val="567"/>
        </w:trPr>
        <w:tc>
          <w:tcPr>
            <w:tcW w:w="1156" w:type="dxa"/>
            <w:tcBorders>
              <w:top w:val="single" w:sz="6" w:space="0" w:color="000000"/>
              <w:left w:val="single" w:sz="4" w:space="0" w:color="000000"/>
              <w:right w:val="single" w:sz="4" w:space="0" w:color="000000"/>
            </w:tcBorders>
            <w:shd w:val="clear" w:color="auto" w:fill="C6D9F1"/>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57 + anexa V</w:t>
            </w:r>
          </w:p>
        </w:tc>
        <w:tc>
          <w:tcPr>
            <w:tcW w:w="2551" w:type="dxa"/>
            <w:tcBorders>
              <w:top w:val="single" w:sz="6" w:space="0" w:color="000000"/>
              <w:left w:val="single" w:sz="4" w:space="0" w:color="000000"/>
              <w:right w:val="single" w:sz="4" w:space="0" w:color="000000"/>
            </w:tcBorders>
            <w:shd w:val="clear" w:color="auto" w:fill="DA9694"/>
            <w:vAlign w:val="center"/>
          </w:tcPr>
          <w:p>
            <w:pPr>
              <w:widowControl w:val="0"/>
              <w:spacing w:before="112"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anual și concediul special</w:t>
            </w:r>
          </w:p>
        </w:tc>
        <w:tc>
          <w:tcPr>
            <w:tcW w:w="3029"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35"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Decizia privind concediile</w:t>
            </w:r>
          </w:p>
        </w:tc>
        <w:tc>
          <w:tcPr>
            <w:tcW w:w="1511" w:type="dxa"/>
            <w:vMerge w:val="restart"/>
            <w:tcBorders>
              <w:top w:val="single" w:sz="6" w:space="0" w:color="000000"/>
              <w:left w:val="single" w:sz="4" w:space="0" w:color="000000"/>
              <w:right w:val="single" w:sz="4" w:space="0" w:color="000000"/>
            </w:tcBorders>
            <w:shd w:val="clear" w:color="auto" w:fill="DA9694"/>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498" w:type="dxa"/>
            <w:vMerge w:val="restart"/>
            <w:tcBorders>
              <w:top w:val="single" w:sz="6" w:space="0" w:color="000000"/>
              <w:left w:val="single" w:sz="4"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vMerge w:val="restart"/>
            <w:tcBorders>
              <w:top w:val="single" w:sz="6" w:space="0" w:color="000000"/>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3" w:space="0" w:color="000000"/>
              <w:left w:val="single" w:sz="4" w:space="0" w:color="000000"/>
              <w:right w:val="single" w:sz="4" w:space="0" w:color="000000"/>
            </w:tcBorders>
            <w:vAlign w:val="center"/>
          </w:tcPr>
          <w:p>
            <w:pPr>
              <w:widowControl w:val="0"/>
              <w:spacing w:before="107"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58</w:t>
            </w:r>
          </w:p>
        </w:tc>
        <w:tc>
          <w:tcPr>
            <w:tcW w:w="2551" w:type="dxa"/>
            <w:tcBorders>
              <w:top w:val="single" w:sz="3" w:space="0" w:color="000000"/>
              <w:left w:val="single" w:sz="4" w:space="0" w:color="000000"/>
              <w:right w:val="single" w:sz="4" w:space="0" w:color="000000"/>
            </w:tcBorders>
            <w:shd w:val="clear" w:color="auto" w:fill="DA9694"/>
            <w:vAlign w:val="center"/>
          </w:tcPr>
          <w:p>
            <w:pPr>
              <w:widowControl w:val="0"/>
              <w:spacing w:before="8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de maternitate</w:t>
            </w:r>
          </w:p>
        </w:tc>
        <w:tc>
          <w:tcPr>
            <w:tcW w:w="3029" w:type="dxa"/>
            <w:vMerge/>
            <w:tcBorders>
              <w:left w:val="single" w:sz="4" w:space="0" w:color="000000"/>
              <w:bottom w:val="single" w:sz="6" w:space="0" w:color="000000"/>
              <w:right w:val="single" w:sz="4" w:space="0" w:color="000000"/>
            </w:tcBorders>
            <w:shd w:val="clear" w:color="auto" w:fill="DA9694"/>
            <w:vAlign w:val="center"/>
          </w:tcPr>
          <w:p>
            <w:pPr>
              <w:widowControl w:val="0"/>
              <w:spacing w:before="33" w:after="0" w:line="254" w:lineRule="auto"/>
              <w:ind w:right="31"/>
              <w:jc w:val="center"/>
              <w:rPr>
                <w:rFonts w:ascii="Times New Roman" w:eastAsia="Times New Roman" w:hAnsi="Times New Roman" w:cs="Times New Roman"/>
                <w:noProof/>
                <w:sz w:val="12"/>
                <w:szCs w:val="12"/>
                <w:lang w:val="en-US"/>
              </w:rPr>
            </w:pPr>
          </w:p>
        </w:tc>
        <w:tc>
          <w:tcPr>
            <w:tcW w:w="1511" w:type="dxa"/>
            <w:vMerge/>
            <w:tcBorders>
              <w:left w:val="single" w:sz="4" w:space="0" w:color="000000"/>
              <w:bottom w:val="single" w:sz="6" w:space="0" w:color="000000"/>
              <w:right w:val="single" w:sz="4" w:space="0" w:color="000000"/>
            </w:tcBorders>
            <w:shd w:val="clear" w:color="auto" w:fill="DA9694"/>
            <w:vAlign w:val="center"/>
          </w:tcPr>
          <w:p>
            <w:pPr>
              <w:widowControl w:val="0"/>
              <w:spacing w:before="105" w:after="0" w:line="240" w:lineRule="auto"/>
              <w:jc w:val="center"/>
              <w:rPr>
                <w:rFonts w:ascii="Times New Roman" w:eastAsia="Times New Roman" w:hAnsi="Times New Roman" w:cs="Times New Roman"/>
                <w:noProof/>
                <w:sz w:val="12"/>
                <w:szCs w:val="12"/>
                <w:lang w:val="en-US"/>
              </w:rPr>
            </w:pPr>
          </w:p>
        </w:tc>
        <w:tc>
          <w:tcPr>
            <w:tcW w:w="1498" w:type="dxa"/>
            <w:vMerge/>
            <w:tcBorders>
              <w:left w:val="single" w:sz="4"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Articolul 57 alineatul (2) + anexa V</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Concediul anual și concediul special</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Directiva nr. 2/2009 privind gestionarea timpului pentru alăptat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1.9.2009</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r>
        <w:trPr>
          <w:trHeight w:hRule="exact" w:val="567"/>
        </w:trPr>
        <w:tc>
          <w:tcPr>
            <w:tcW w:w="1156" w:type="dxa"/>
            <w:tcBorders>
              <w:top w:val="single" w:sz="6" w:space="0" w:color="000000"/>
              <w:left w:val="single" w:sz="6" w:space="0" w:color="000000"/>
              <w:bottom w:val="single" w:sz="6" w:space="0" w:color="000000"/>
              <w:right w:val="single" w:sz="6" w:space="0" w:color="000000"/>
            </w:tcBorders>
            <w:vAlign w:val="center"/>
          </w:tcPr>
          <w:p>
            <w:pPr>
              <w:widowControl w:val="0"/>
              <w:spacing w:after="0" w:line="240" w:lineRule="auto"/>
              <w:ind w:right="2"/>
              <w:jc w:val="center"/>
              <w:rPr>
                <w:rFonts w:ascii="Times New Roman" w:eastAsia="Calibri" w:hAnsi="Times New Roman" w:cs="Times New Roman"/>
                <w:b/>
                <w:noProof/>
                <w:sz w:val="12"/>
              </w:rPr>
            </w:pPr>
            <w:r>
              <w:rPr>
                <w:rFonts w:ascii="Times New Roman" w:hAnsi="Times New Roman"/>
                <w:b/>
                <w:noProof/>
                <w:sz w:val="12"/>
              </w:rPr>
              <w:t>59 - 60</w:t>
            </w:r>
          </w:p>
        </w:tc>
        <w:tc>
          <w:tcPr>
            <w:tcW w:w="255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sz w:val="16"/>
              </w:rPr>
            </w:pPr>
            <w:r>
              <w:rPr>
                <w:rFonts w:ascii="Times New Roman" w:hAnsi="Times New Roman"/>
                <w:b/>
                <w:noProof/>
                <w:sz w:val="16"/>
              </w:rPr>
              <w:t xml:space="preserve">Concediul medical </w:t>
            </w:r>
          </w:p>
        </w:tc>
        <w:tc>
          <w:tcPr>
            <w:tcW w:w="3029"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11" w:after="0" w:line="254" w:lineRule="auto"/>
              <w:ind w:right="38"/>
              <w:jc w:val="center"/>
              <w:rPr>
                <w:rFonts w:ascii="Times New Roman" w:eastAsia="Calibri" w:hAnsi="Times New Roman" w:cs="Times New Roman"/>
                <w:noProof/>
                <w:spacing w:val="-2"/>
                <w:sz w:val="12"/>
              </w:rPr>
            </w:pPr>
            <w:r>
              <w:rPr>
                <w:rFonts w:ascii="Times New Roman" w:hAnsi="Times New Roman"/>
                <w:noProof/>
                <w:sz w:val="12"/>
              </w:rPr>
              <w:t>Decizia privind instituirea de dispoziții de punere în aplicare în ceea ce privește absența din motiv de boală sau de accident</w:t>
            </w:r>
          </w:p>
        </w:tc>
        <w:tc>
          <w:tcPr>
            <w:tcW w:w="1511"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Calibri" w:hAnsi="Times New Roman" w:cs="Times New Roman"/>
                <w:noProof/>
                <w:spacing w:val="-1"/>
                <w:sz w:val="12"/>
              </w:rPr>
            </w:pPr>
            <w:r>
              <w:rPr>
                <w:rFonts w:ascii="Times New Roman" w:hAnsi="Times New Roman"/>
                <w:noProof/>
                <w:sz w:val="12"/>
              </w:rPr>
              <w:t>20.12.2004</w:t>
            </w:r>
          </w:p>
        </w:tc>
        <w:tc>
          <w:tcPr>
            <w:tcW w:w="1498"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before="83" w:after="0" w:line="240" w:lineRule="auto"/>
              <w:jc w:val="center"/>
              <w:rPr>
                <w:rFonts w:ascii="Times New Roman" w:eastAsia="Times New Roman" w:hAnsi="Times New Roman" w:cs="Times New Roman"/>
                <w:noProof/>
                <w:sz w:val="12"/>
                <w:szCs w:val="12"/>
                <w:lang w:val="en-US"/>
              </w:rPr>
            </w:pPr>
          </w:p>
        </w:tc>
        <w:tc>
          <w:tcPr>
            <w:tcW w:w="936" w:type="dxa"/>
            <w:tcBorders>
              <w:top w:val="single" w:sz="6" w:space="0" w:color="000000"/>
              <w:left w:val="single" w:sz="6" w:space="0" w:color="000000"/>
              <w:bottom w:val="single" w:sz="6" w:space="0" w:color="000000"/>
              <w:right w:val="single" w:sz="6"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b/>
          <w:bCs/>
          <w:noProof/>
          <w:sz w:val="20"/>
          <w:szCs w:val="20"/>
          <w:lang w:val="en-GB"/>
        </w:rPr>
      </w:pPr>
    </w:p>
    <w:p>
      <w:pPr>
        <w:widowControl w:val="0"/>
        <w:spacing w:after="0" w:line="240" w:lineRule="auto"/>
        <w:jc w:val="center"/>
        <w:rPr>
          <w:rFonts w:ascii="Times New Roman" w:eastAsia="Times New Roman" w:hAnsi="Times New Roman" w:cs="Times New Roman"/>
          <w:b/>
          <w:bCs/>
          <w:noProof/>
          <w:sz w:val="20"/>
          <w:szCs w:val="20"/>
          <w:lang w:val="en-GB"/>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V + anexa VII – Regimul financiar și prestațiile de asigurări sociale ale funcționarului</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1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Anexa VII – Remunerarea și rambursarea cheltuielilor</w:t>
            </w:r>
          </w:p>
        </w:tc>
      </w:tr>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85" w:after="0" w:line="240" w:lineRule="auto"/>
              <w:ind w:right="935"/>
              <w:jc w:val="center"/>
              <w:rPr>
                <w:rFonts w:ascii="Times New Roman" w:eastAsia="Times New Roman" w:hAnsi="Times New Roman" w:cs="Times New Roman"/>
                <w:noProof/>
                <w:sz w:val="17"/>
                <w:szCs w:val="17"/>
              </w:rPr>
            </w:pPr>
            <w:r>
              <w:rPr>
                <w:rFonts w:ascii="Times New Roman" w:hAnsi="Times New Roman"/>
                <w:b/>
                <w:noProof/>
                <w:sz w:val="17"/>
              </w:rPr>
              <w:t xml:space="preserve">               Secțiunea 1 – Alocațiile familiale</w:t>
            </w:r>
          </w:p>
        </w:tc>
      </w:tr>
      <w:tr>
        <w:trPr>
          <w:trHeight w:hRule="exact" w:val="567"/>
        </w:trPr>
        <w:tc>
          <w:tcPr>
            <w:tcW w:w="1156" w:type="dxa"/>
            <w:tcBorders>
              <w:top w:val="single" w:sz="6" w:space="0" w:color="000000"/>
              <w:left w:val="single" w:sz="4" w:space="0" w:color="000000"/>
              <w:bottom w:val="single" w:sz="4" w:space="0" w:color="000000"/>
              <w:right w:val="single" w:sz="4" w:space="0" w:color="000000"/>
            </w:tcBorders>
            <w:vAlign w:val="center"/>
          </w:tcPr>
          <w:p>
            <w:pPr>
              <w:widowControl w:val="0"/>
              <w:spacing w:after="0" w:line="254" w:lineRule="auto"/>
              <w:ind w:right="65"/>
              <w:jc w:val="center"/>
              <w:rPr>
                <w:rFonts w:ascii="Times New Roman" w:eastAsia="Times New Roman" w:hAnsi="Times New Roman" w:cs="Times New Roman"/>
                <w:noProof/>
                <w:sz w:val="12"/>
                <w:szCs w:val="12"/>
              </w:rPr>
            </w:pPr>
            <w:r>
              <w:rPr>
                <w:rFonts w:ascii="Times New Roman" w:hAnsi="Times New Roman"/>
                <w:b/>
                <w:noProof/>
                <w:sz w:val="12"/>
              </w:rPr>
              <w:t>67 - 68 + anexa VII [articolul 1 alineatul (2) litera (d)]</w:t>
            </w:r>
          </w:p>
        </w:tc>
        <w:tc>
          <w:tcPr>
            <w:tcW w:w="2551" w:type="dxa"/>
            <w:tcBorders>
              <w:top w:val="single" w:sz="5" w:space="0" w:color="000000"/>
              <w:left w:val="single" w:sz="4" w:space="0" w:color="000000"/>
              <w:bottom w:val="single" w:sz="3" w:space="0" w:color="000000"/>
              <w:right w:val="single" w:sz="3" w:space="0" w:color="000000"/>
            </w:tcBorders>
            <w:shd w:val="clear" w:color="auto" w:fill="FFFF65"/>
            <w:vAlign w:val="center"/>
          </w:tcPr>
          <w:p>
            <w:pPr>
              <w:widowControl w:val="0"/>
              <w:spacing w:before="94" w:after="0" w:line="247" w:lineRule="auto"/>
              <w:ind w:right="201"/>
              <w:jc w:val="center"/>
              <w:rPr>
                <w:rFonts w:ascii="Times New Roman" w:eastAsia="Times New Roman" w:hAnsi="Times New Roman" w:cs="Times New Roman"/>
                <w:noProof/>
                <w:sz w:val="16"/>
                <w:szCs w:val="16"/>
              </w:rPr>
            </w:pPr>
            <w:r>
              <w:rPr>
                <w:rFonts w:ascii="Times New Roman" w:hAnsi="Times New Roman"/>
                <w:b/>
                <w:noProof/>
                <w:sz w:val="16"/>
              </w:rPr>
              <w:t>Alocația pentru locuință prin decizie specială</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4" w:lineRule="auto"/>
              <w:ind w:right="150"/>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alocația pentru locuință prin decizie specială – Decizia 21</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70"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45"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 anexa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[articolul 2 alineatul (4)]</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Persoana considerată copil aflat în întreținere</w:t>
            </w:r>
          </w:p>
        </w:tc>
        <w:tc>
          <w:tcPr>
            <w:tcW w:w="3029" w:type="dxa"/>
            <w:tcBorders>
              <w:top w:val="single" w:sz="3" w:space="0" w:color="000000"/>
              <w:left w:val="single" w:sz="3" w:space="0" w:color="000000"/>
              <w:right w:val="single" w:sz="3" w:space="0" w:color="000000"/>
            </w:tcBorders>
            <w:shd w:val="clear" w:color="auto" w:fill="FFFF65"/>
            <w:vAlign w:val="center"/>
          </w:tcPr>
          <w:p>
            <w:pPr>
              <w:widowControl w:val="0"/>
              <w:spacing w:after="0" w:line="254" w:lineRule="auto"/>
              <w:ind w:right="6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persoana considerată copil aflat în întreținere</w:t>
            </w:r>
          </w:p>
        </w:tc>
        <w:tc>
          <w:tcPr>
            <w:tcW w:w="1322"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1.5.2004</w:t>
            </w:r>
          </w:p>
        </w:tc>
        <w:tc>
          <w:tcPr>
            <w:tcW w:w="1687" w:type="dxa"/>
            <w:tcBorders>
              <w:top w:val="single" w:sz="3" w:space="0" w:color="000000"/>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3" w:space="0" w:color="000000"/>
              <w:left w:val="single" w:sz="4" w:space="0" w:color="000000"/>
              <w:bottom w:val="single" w:sz="4" w:space="0" w:color="000000"/>
              <w:right w:val="single" w:sz="3" w:space="0" w:color="000000"/>
            </w:tcBorders>
            <w:shd w:val="clear" w:color="auto" w:fill="FFFF65"/>
            <w:vAlign w:val="center"/>
          </w:tcPr>
          <w:p>
            <w:pPr>
              <w:widowControl w:val="0"/>
              <w:spacing w:before="105"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67 - 68 + anexa VII</w:t>
            </w:r>
          </w:p>
          <w:p>
            <w:pPr>
              <w:widowControl w:val="0"/>
              <w:spacing w:before="8"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(articolul 3)</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Alocația școlară</w:t>
            </w:r>
          </w:p>
        </w:tc>
        <w:tc>
          <w:tcPr>
            <w:tcW w:w="3029"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95" w:after="0" w:line="254" w:lineRule="auto"/>
              <w:ind w:right="7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acordarea alocației școlare – Decizia 55</w:t>
            </w:r>
          </w:p>
        </w:tc>
        <w:tc>
          <w:tcPr>
            <w:tcW w:w="1322"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14.7.2014</w:t>
            </w:r>
          </w:p>
        </w:tc>
        <w:tc>
          <w:tcPr>
            <w:tcW w:w="1687"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7429"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gridCol w:w="1687"/>
        <w:gridCol w:w="1687"/>
        <w:gridCol w:w="1687"/>
        <w:gridCol w:w="1687"/>
      </w:tblGrid>
      <w:tr>
        <w:trPr>
          <w:gridAfter w:val="4"/>
          <w:wAfter w:w="6748" w:type="dxa"/>
          <w:trHeight w:hRule="exact" w:val="391"/>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vAlign w:val="center"/>
          </w:tcPr>
          <w:p>
            <w:pPr>
              <w:widowControl w:val="0"/>
              <w:spacing w:before="97"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Secțiunea 3 – Rambursarea cheltuielilor</w:t>
            </w:r>
          </w:p>
        </w:tc>
      </w:tr>
      <w:tr>
        <w:trPr>
          <w:gridAfter w:val="4"/>
          <w:wAfter w:w="6748" w:type="dxa"/>
          <w:trHeight w:hRule="exact" w:val="567"/>
        </w:trPr>
        <w:tc>
          <w:tcPr>
            <w:tcW w:w="1156" w:type="dxa"/>
            <w:tcBorders>
              <w:left w:val="single" w:sz="4" w:space="0" w:color="000000"/>
              <w:bottom w:val="single" w:sz="4" w:space="0" w:color="000000"/>
              <w:right w:val="single" w:sz="4" w:space="0" w:color="000000"/>
            </w:tcBorders>
            <w:vAlign w:val="center"/>
          </w:tcPr>
          <w:p>
            <w:pPr>
              <w:widowControl w:val="0"/>
              <w:spacing w:before="38" w:after="0" w:line="254" w:lineRule="auto"/>
              <w:ind w:right="93"/>
              <w:jc w:val="center"/>
              <w:rPr>
                <w:rFonts w:ascii="Times New Roman" w:eastAsia="Calibri" w:hAnsi="Times New Roman" w:cs="Times New Roman"/>
                <w:b/>
                <w:noProof/>
                <w:sz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(articolele 7 și 8)</w:t>
            </w:r>
          </w:p>
        </w:tc>
        <w:tc>
          <w:tcPr>
            <w:tcW w:w="2551" w:type="dxa"/>
            <w:tcBorders>
              <w:left w:val="single" w:sz="4" w:space="0" w:color="000000"/>
              <w:bottom w:val="single" w:sz="3" w:space="0" w:color="000000"/>
              <w:right w:val="single" w:sz="3" w:space="0" w:color="000000"/>
            </w:tcBorders>
            <w:shd w:val="clear" w:color="auto" w:fill="FFFF65"/>
            <w:vAlign w:val="center"/>
          </w:tcPr>
          <w:p>
            <w:pPr>
              <w:widowControl w:val="0"/>
              <w:spacing w:before="87" w:after="0" w:line="240" w:lineRule="auto"/>
              <w:jc w:val="center"/>
              <w:rPr>
                <w:rFonts w:ascii="Times New Roman" w:eastAsia="Calibri" w:hAnsi="Times New Roman" w:cs="Times New Roman"/>
                <w:b/>
                <w:noProof/>
                <w:spacing w:val="-1"/>
                <w:sz w:val="16"/>
              </w:rPr>
            </w:pPr>
            <w:r>
              <w:rPr>
                <w:rFonts w:ascii="Times New Roman" w:hAnsi="Times New Roman"/>
                <w:b/>
                <w:noProof/>
                <w:sz w:val="16"/>
              </w:rPr>
              <w:t>Cheltuielile de călătorie</w:t>
            </w: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35" w:after="0" w:line="254" w:lineRule="auto"/>
              <w:ind w:right="71"/>
              <w:jc w:val="center"/>
              <w:rPr>
                <w:rFonts w:ascii="Times New Roman" w:eastAsia="Calibri" w:hAnsi="Times New Roman" w:cs="Times New Roman"/>
                <w:noProof/>
                <w:spacing w:val="-2"/>
                <w:sz w:val="12"/>
                <w:szCs w:val="12"/>
              </w:rPr>
            </w:pPr>
            <w:r>
              <w:rPr>
                <w:rFonts w:ascii="Times New Roman" w:hAnsi="Times New Roman"/>
                <w:noProof/>
                <w:sz w:val="12"/>
              </w:rPr>
              <w:t>Decizia de adoptare a dispozițiilor generale de punere în aplicare privind cheltuielile anuale de călătorie</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gridAfter w:val="4"/>
          <w:wAfter w:w="6748" w:type="dxa"/>
          <w:trHeight w:hRule="exact" w:val="567"/>
        </w:trPr>
        <w:tc>
          <w:tcPr>
            <w:tcW w:w="1156" w:type="dxa"/>
            <w:tcBorders>
              <w:top w:val="single" w:sz="4" w:space="0" w:color="000000"/>
              <w:left w:val="single" w:sz="4" w:space="0" w:color="000000"/>
              <w:bottom w:val="single" w:sz="3" w:space="0" w:color="000000"/>
              <w:right w:val="single" w:sz="3" w:space="0" w:color="000000"/>
            </w:tcBorders>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w:t>
            </w:r>
            <w:r>
              <w:rPr>
                <w:noProof/>
              </w:rPr>
              <w:t xml:space="preserve"> </w:t>
            </w:r>
            <w:r>
              <w:rPr>
                <w:noProof/>
              </w:rPr>
              <w:br/>
            </w:r>
            <w:r>
              <w:rPr>
                <w:rFonts w:ascii="Times New Roman" w:hAnsi="Times New Roman"/>
                <w:b/>
                <w:noProof/>
                <w:sz w:val="12"/>
              </w:rPr>
              <w:t xml:space="preserve"> (articolul 8)</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bookmarkStart w:id="28" w:name="_Hlk225238360"/>
            <w:r>
              <w:rPr>
                <w:rFonts w:ascii="Times New Roman" w:hAnsi="Times New Roman"/>
                <w:b/>
                <w:noProof/>
                <w:sz w:val="16"/>
              </w:rPr>
              <w:t>Locul de origine</w:t>
            </w:r>
            <w:bookmarkEnd w:id="28"/>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Decizia privind dispozițiile generale de punere în aplicare a articolului 7 alineatul (4) din anexa VII privind locul de origine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4" w:space="0" w:color="000000"/>
              <w:left w:val="single" w:sz="4" w:space="0" w:color="000000"/>
              <w:bottom w:val="single" w:sz="3"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71 + anexa VII</w:t>
            </w:r>
            <w:r>
              <w:rPr>
                <w:noProof/>
              </w:rPr>
              <w:t xml:space="preserve"> </w:t>
            </w:r>
            <w:r>
              <w:rPr>
                <w:noProof/>
              </w:rPr>
              <w:br/>
            </w:r>
            <w:r>
              <w:rPr>
                <w:rFonts w:ascii="Times New Roman" w:hAnsi="Times New Roman"/>
                <w:b/>
                <w:noProof/>
                <w:sz w:val="12"/>
              </w:rPr>
              <w:t xml:space="preserve"> (articolul 9)</w:t>
            </w:r>
          </w:p>
        </w:tc>
        <w:tc>
          <w:tcPr>
            <w:tcW w:w="2551" w:type="dxa"/>
            <w:tcBorders>
              <w:top w:val="single" w:sz="3" w:space="0" w:color="000000"/>
              <w:left w:val="single" w:sz="3" w:space="0" w:color="000000"/>
              <w:bottom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 de mutare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Decizia 53 de adoptare a dispozițiilor generale de punere în aplicare privind cheltuielile de mutare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3" w:space="0" w:color="000000"/>
              <w:left w:val="single" w:sz="3" w:space="0" w:color="000000"/>
              <w:bottom w:val="single" w:sz="4"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c>
          <w:tcPr>
            <w:tcW w:w="1687" w:type="dxa"/>
            <w:vAlign w:val="center"/>
          </w:tcPr>
          <w:p>
            <w:pPr>
              <w:rPr>
                <w:noProof/>
              </w:rPr>
            </w:pPr>
          </w:p>
        </w:tc>
        <w:tc>
          <w:tcPr>
            <w:tcW w:w="1687" w:type="dxa"/>
            <w:vAlign w:val="center"/>
          </w:tcPr>
          <w:p>
            <w:pPr>
              <w:rPr>
                <w:noProof/>
              </w:rPr>
            </w:pPr>
          </w:p>
        </w:tc>
        <w:tc>
          <w:tcPr>
            <w:tcW w:w="1687" w:type="dxa"/>
            <w:vAlign w:val="center"/>
          </w:tcPr>
          <w:p>
            <w:pPr>
              <w:rPr>
                <w:noProof/>
              </w:rPr>
            </w:pPr>
          </w:p>
        </w:tc>
        <w:tc>
          <w:tcPr>
            <w:tcW w:w="1687" w:type="dxa"/>
            <w:vAlign w:val="center"/>
          </w:tcPr>
          <w:p>
            <w:pPr>
              <w:rPr>
                <w:noProof/>
              </w:rPr>
            </w:pPr>
          </w:p>
        </w:tc>
      </w:tr>
      <w:tr>
        <w:trPr>
          <w:gridAfter w:val="4"/>
          <w:wAfter w:w="6748" w:type="dxa"/>
          <w:trHeight w:hRule="exact" w:val="567"/>
        </w:trPr>
        <w:tc>
          <w:tcPr>
            <w:tcW w:w="1156" w:type="dxa"/>
            <w:vMerge w:val="restart"/>
            <w:tcBorders>
              <w:top w:val="single" w:sz="4" w:space="0" w:color="000000"/>
              <w:left w:val="single" w:sz="4" w:space="0" w:color="000000"/>
              <w:right w:val="single" w:sz="3" w:space="0" w:color="000000"/>
            </w:tcBorders>
            <w:shd w:val="clear" w:color="auto" w:fill="FFFF65"/>
            <w:vAlign w:val="center"/>
          </w:tcPr>
          <w:p>
            <w:pPr>
              <w:widowControl w:val="0"/>
              <w:spacing w:before="40" w:after="0" w:line="254" w:lineRule="auto"/>
              <w:ind w:right="93"/>
              <w:jc w:val="center"/>
              <w:rPr>
                <w:rFonts w:ascii="Times New Roman" w:eastAsia="Times New Roman" w:hAnsi="Times New Roman" w:cs="Times New Roman"/>
                <w:noProof/>
                <w:sz w:val="12"/>
                <w:szCs w:val="12"/>
              </w:rPr>
            </w:pPr>
            <w:r>
              <w:rPr>
                <w:rFonts w:ascii="Times New Roman" w:hAnsi="Times New Roman"/>
                <w:b/>
                <w:noProof/>
                <w:sz w:val="12"/>
              </w:rPr>
              <w:t xml:space="preserve">71 + anexa VII </w:t>
            </w:r>
            <w:r>
              <w:rPr>
                <w:noProof/>
              </w:rPr>
              <w:t xml:space="preserve"> </w:t>
            </w:r>
            <w:r>
              <w:rPr>
                <w:noProof/>
              </w:rPr>
              <w:br/>
            </w:r>
            <w:r>
              <w:rPr>
                <w:rFonts w:ascii="Times New Roman" w:hAnsi="Times New Roman"/>
                <w:b/>
                <w:noProof/>
                <w:sz w:val="12"/>
              </w:rPr>
              <w:t>(articolele 11 - 13a)</w:t>
            </w:r>
          </w:p>
        </w:tc>
        <w:tc>
          <w:tcPr>
            <w:tcW w:w="2551" w:type="dxa"/>
            <w:vMerge w:val="restart"/>
            <w:tcBorders>
              <w:top w:val="single" w:sz="3" w:space="0" w:color="000000"/>
              <w:left w:val="single" w:sz="3" w:space="0" w:color="000000"/>
              <w:right w:val="single" w:sz="3" w:space="0" w:color="000000"/>
            </w:tcBorders>
            <w:shd w:val="clear" w:color="auto" w:fill="FFFF65"/>
            <w:vAlign w:val="center"/>
          </w:tcPr>
          <w:p>
            <w:pPr>
              <w:widowControl w:val="0"/>
              <w:spacing w:before="89"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Cheltuielile de misiune și de deplasare</w:t>
            </w:r>
          </w:p>
        </w:tc>
        <w:tc>
          <w:tcPr>
            <w:tcW w:w="3029"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before="38" w:after="0" w:line="254" w:lineRule="auto"/>
              <w:ind w:right="107"/>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privind adoptarea Ghidului privind delegațiile</w:t>
            </w:r>
          </w:p>
        </w:tc>
        <w:tc>
          <w:tcPr>
            <w:tcW w:w="1322"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9.12.2004</w:t>
            </w:r>
          </w:p>
        </w:tc>
        <w:tc>
          <w:tcPr>
            <w:tcW w:w="1687" w:type="dxa"/>
            <w:tcBorders>
              <w:top w:val="single" w:sz="3" w:space="0" w:color="000000"/>
              <w:left w:val="single" w:sz="3" w:space="0" w:color="000000"/>
              <w:bottom w:val="single" w:sz="4"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20.6.2022</w:t>
            </w:r>
          </w:p>
        </w:tc>
        <w:tc>
          <w:tcPr>
            <w:tcW w:w="936" w:type="dxa"/>
            <w:vMerge w:val="restart"/>
            <w:tcBorders>
              <w:top w:val="single" w:sz="3"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gridAfter w:val="4"/>
          <w:wAfter w:w="6748" w:type="dxa"/>
          <w:trHeight w:hRule="exact" w:val="567"/>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54" w:lineRule="auto"/>
              <w:ind w:right="9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before="60" w:after="0" w:line="240" w:lineRule="auto"/>
              <w:ind w:left="45" w:right="17"/>
              <w:jc w:val="center"/>
              <w:rPr>
                <w:rFonts w:ascii="Times New Roman" w:eastAsia="Calibri" w:hAnsi="Calibri" w:cs="Times New Roman"/>
                <w:noProof/>
                <w:w w:val="105"/>
                <w:sz w:val="12"/>
              </w:rPr>
            </w:pPr>
            <w:r>
              <w:rPr>
                <w:rFonts w:ascii="Times New Roman" w:hAnsi="Times New Roman"/>
                <w:noProof/>
                <w:sz w:val="12"/>
              </w:rPr>
              <w:t>Decizia AEPD privind delegațiile și deplasările autorizate și de modificare și aprobare a ghidului AEPD privind delegațiile</w:t>
            </w:r>
          </w:p>
        </w:tc>
        <w:tc>
          <w:tcPr>
            <w:tcW w:w="1322"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20.6.2022</w:t>
            </w:r>
          </w:p>
        </w:tc>
        <w:tc>
          <w:tcPr>
            <w:tcW w:w="1687" w:type="dxa"/>
            <w:tcBorders>
              <w:top w:val="single" w:sz="4"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AEEF3"/>
          </w:tcPr>
          <w:p>
            <w:pPr>
              <w:widowControl w:val="0"/>
              <w:spacing w:before="75" w:after="0" w:line="240" w:lineRule="auto"/>
              <w:jc w:val="center"/>
              <w:rPr>
                <w:rFonts w:ascii="Times New Roman" w:eastAsia="Times New Roman" w:hAnsi="Times New Roman" w:cs="Times New Roman"/>
                <w:noProof/>
                <w:sz w:val="19"/>
                <w:szCs w:val="19"/>
              </w:rPr>
            </w:pPr>
            <w:r>
              <w:rPr>
                <w:rFonts w:ascii="Times New Roman" w:hAnsi="Times New Roman"/>
                <w:b/>
                <w:noProof/>
                <w:sz w:val="19"/>
              </w:rPr>
              <w:t>Capitolul 3 + anexele VIII și XIII – Pensiile și prestația de invaliditate</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77 + anexa XIII</w:t>
            </w:r>
            <w:r>
              <w:rPr>
                <w:noProof/>
              </w:rPr>
              <w:t xml:space="preserve"> </w:t>
            </w:r>
            <w:r>
              <w:rPr>
                <w:noProof/>
              </w:rPr>
              <w:br/>
            </w:r>
            <w:r>
              <w:rPr>
                <w:rFonts w:ascii="Times New Roman" w:hAnsi="Times New Roman"/>
                <w:b/>
                <w:noProof/>
                <w:sz w:val="12"/>
              </w:rPr>
              <w:t xml:space="preserve"> (articolul 4)</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Calcularea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Dispozițiile generale de punere în aplicare a articolului 4 din anexa VIII privind calcularea drepturilor de pensie pentru anii lucrați înainte de angajare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1.10.2007</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567"/>
        </w:trPr>
        <w:tc>
          <w:tcPr>
            <w:tcW w:w="1156" w:type="dxa"/>
            <w:tcBorders>
              <w:top w:val="single" w:sz="5" w:space="0" w:color="000000"/>
              <w:left w:val="single" w:sz="4" w:space="0" w:color="000000"/>
              <w:bottom w:val="single" w:sz="5" w:space="0" w:color="000000"/>
              <w:right w:val="single" w:sz="3" w:space="0" w:color="000000"/>
            </w:tcBorders>
            <w:shd w:val="clear" w:color="auto" w:fill="FFFF65"/>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 xml:space="preserve">77 + anexa VIII </w:t>
            </w:r>
            <w:r>
              <w:rPr>
                <w:noProof/>
              </w:rPr>
              <w:t xml:space="preserve"> </w:t>
            </w:r>
            <w:r>
              <w:rPr>
                <w:noProof/>
              </w:rPr>
              <w:br/>
            </w:r>
            <w:r>
              <w:rPr>
                <w:rFonts w:ascii="Times New Roman" w:hAnsi="Times New Roman"/>
                <w:b/>
                <w:noProof/>
                <w:sz w:val="12"/>
              </w:rPr>
              <w:t>(articolele 11 și 12)</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135"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Transferul drepturilor de pensie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36a de adoptare a dispozițiilor generale de punere în aplicare a articolelor 11 și 12 din anexa VIII privind transferul drepturilor de pensie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16.2.2012</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 – Regimul disciplinar  </w:t>
            </w:r>
          </w:p>
        </w:tc>
      </w:tr>
      <w:tr>
        <w:trPr>
          <w:trHeight w:hRule="exact" w:val="717"/>
        </w:trPr>
        <w:tc>
          <w:tcPr>
            <w:tcW w:w="1156" w:type="dxa"/>
            <w:tcBorders>
              <w:top w:val="single" w:sz="5" w:space="0" w:color="000000"/>
              <w:left w:val="single" w:sz="4" w:space="0" w:color="000000"/>
              <w:bottom w:val="single" w:sz="5" w:space="0" w:color="000000"/>
              <w:right w:val="single" w:sz="3" w:space="0" w:color="000000"/>
            </w:tcBorders>
            <w:shd w:val="clear" w:color="auto" w:fill="DA9694"/>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86 + anexa IX</w:t>
            </w:r>
          </w:p>
        </w:tc>
        <w:tc>
          <w:tcPr>
            <w:tcW w:w="2551"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Procedura disciplinară și anchetele administrative</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AEPD de adoptare a dispozițiilor generale de punere în aplicare privind desfășurarea anchetelor administrative și a procedurilor disciplinare</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5"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717"/>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noProof/>
                <w:sz w:val="12"/>
              </w:rPr>
              <w:t>86 + anexa IX</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Prevenirea fraudei, a corupției și a oricăror alte activități ilegale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Decizia privind condițiile și modalitățile pentru anchetele interne referitoare la combaterea fraudei, a corupției și a oricăror activități ilegale care aduc atingere intereselor Uniunii</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3"/>
              </w:rPr>
              <w:t>24.9.2019</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C5D9F1"/>
            <w:vAlign w:val="center"/>
          </w:tcPr>
          <w:p>
            <w:pPr>
              <w:widowControl w:val="0"/>
              <w:spacing w:before="86" w:after="0" w:line="240" w:lineRule="auto"/>
              <w:jc w:val="center"/>
              <w:rPr>
                <w:rFonts w:ascii="Times New Roman" w:eastAsia="Times New Roman" w:hAnsi="Times New Roman" w:cs="Times New Roman"/>
                <w:noProof/>
                <w:sz w:val="23"/>
                <w:szCs w:val="23"/>
              </w:rPr>
            </w:pPr>
            <w:r>
              <w:rPr>
                <w:rFonts w:ascii="Times New Roman" w:hAnsi="Times New Roman"/>
                <w:b/>
                <w:noProof/>
                <w:sz w:val="25"/>
              </w:rPr>
              <w:t xml:space="preserve">Titlul VII – CĂILE DE ATAC  </w:t>
            </w:r>
          </w:p>
        </w:tc>
      </w:tr>
      <w:tr>
        <w:trPr>
          <w:trHeight w:hRule="exact" w:val="567"/>
        </w:trPr>
        <w:tc>
          <w:tcPr>
            <w:tcW w:w="1156" w:type="dxa"/>
            <w:tcBorders>
              <w:top w:val="single" w:sz="5" w:space="0" w:color="000000"/>
              <w:left w:val="single" w:sz="4" w:space="0" w:color="000000"/>
              <w:bottom w:val="single" w:sz="3" w:space="0" w:color="000000"/>
              <w:right w:val="single" w:sz="3" w:space="0" w:color="000000"/>
            </w:tcBorders>
            <w:vAlign w:val="center"/>
          </w:tcPr>
          <w:p>
            <w:pPr>
              <w:widowControl w:val="0"/>
              <w:spacing w:before="83" w:after="0" w:line="254" w:lineRule="auto"/>
              <w:ind w:right="31"/>
              <w:jc w:val="center"/>
              <w:rPr>
                <w:rFonts w:ascii="Times New Roman" w:eastAsia="Times New Roman" w:hAnsi="Times New Roman" w:cs="Times New Roman"/>
                <w:noProof/>
                <w:sz w:val="12"/>
                <w:szCs w:val="12"/>
              </w:rPr>
            </w:pPr>
            <w:r>
              <w:rPr>
                <w:rFonts w:ascii="Times New Roman" w:hAnsi="Times New Roman"/>
                <w:b/>
                <w:noProof/>
                <w:sz w:val="12"/>
              </w:rPr>
              <w:t>90 - 91</w:t>
            </w:r>
          </w:p>
        </w:tc>
        <w:tc>
          <w:tcPr>
            <w:tcW w:w="2551"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Reclamații și acțiuni în justiție</w:t>
            </w:r>
          </w:p>
        </w:tc>
        <w:tc>
          <w:tcPr>
            <w:tcW w:w="3029"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9" w:after="0" w:line="254" w:lineRule="auto"/>
              <w:ind w:right="121"/>
              <w:jc w:val="center"/>
              <w:rPr>
                <w:rFonts w:ascii="Times New Roman" w:eastAsia="Times New Roman" w:hAnsi="Times New Roman" w:cs="Times New Roman"/>
                <w:noProof/>
                <w:sz w:val="12"/>
                <w:szCs w:val="12"/>
              </w:rPr>
            </w:pPr>
            <w:r>
              <w:rPr>
                <w:rFonts w:ascii="Times New Roman" w:hAnsi="Times New Roman"/>
                <w:noProof/>
                <w:sz w:val="12"/>
              </w:rPr>
              <w:t xml:space="preserve">Decizie de adoptare a măsurilor de punere în aplicare privind </w:t>
            </w:r>
            <w:r>
              <w:rPr>
                <w:noProof/>
              </w:rPr>
              <w:t xml:space="preserve"> </w:t>
            </w:r>
            <w:r>
              <w:rPr>
                <w:noProof/>
              </w:rPr>
              <w:br/>
            </w:r>
            <w:r>
              <w:rPr>
                <w:rFonts w:ascii="Times New Roman" w:hAnsi="Times New Roman"/>
                <w:noProof/>
                <w:sz w:val="12"/>
              </w:rPr>
              <w:t>articolele 90 și 91</w:t>
            </w:r>
          </w:p>
        </w:tc>
        <w:tc>
          <w:tcPr>
            <w:tcW w:w="132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11.11.2014</w:t>
            </w:r>
          </w:p>
        </w:tc>
        <w:tc>
          <w:tcPr>
            <w:tcW w:w="1687"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5" w:space="0" w:color="000000"/>
              <w:left w:val="single" w:sz="3" w:space="0" w:color="000000"/>
              <w:bottom w:val="single" w:sz="3" w:space="0" w:color="000000"/>
              <w:right w:val="single" w:sz="5" w:space="0" w:color="000000"/>
            </w:tcBorders>
            <w:shd w:val="clear" w:color="auto" w:fill="DA96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p>
      <w:pPr>
        <w:widowControl w:val="0"/>
        <w:spacing w:after="0" w:line="240" w:lineRule="auto"/>
        <w:rPr>
          <w:rFonts w:ascii="Times New Roman" w:eastAsia="Times New Roman" w:hAnsi="Times New Roman" w:cs="Times New Roman"/>
          <w:noProof/>
          <w:sz w:val="20"/>
          <w:szCs w:val="20"/>
          <w:lang w:val="en-US"/>
        </w:rPr>
      </w:pPr>
    </w:p>
    <w:tbl>
      <w:tblPr>
        <w:tblW w:w="0" w:type="auto"/>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744"/>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B8CCE4"/>
          </w:tcPr>
          <w:p>
            <w:pPr>
              <w:widowControl w:val="0"/>
              <w:spacing w:before="143" w:after="0" w:line="240" w:lineRule="auto"/>
              <w:jc w:val="center"/>
              <w:rPr>
                <w:rFonts w:ascii="Times New Roman" w:eastAsia="Times New Roman" w:hAnsi="Times New Roman" w:cs="Times New Roman"/>
                <w:noProof/>
                <w:sz w:val="39"/>
                <w:szCs w:val="39"/>
              </w:rPr>
            </w:pPr>
            <w:r>
              <w:rPr>
                <w:rFonts w:ascii="Times New Roman" w:hAnsi="Times New Roman"/>
                <w:b/>
                <w:noProof/>
                <w:sz w:val="39"/>
              </w:rPr>
              <w:t>Regimul aplicabil celorlalți agenți</w:t>
            </w:r>
          </w:p>
        </w:tc>
      </w:tr>
      <w:tr>
        <w:trPr>
          <w:trHeight w:hRule="exact" w:val="468"/>
        </w:trPr>
        <w:tc>
          <w:tcPr>
            <w:tcW w:w="1156" w:type="dxa"/>
            <w:tcBorders>
              <w:top w:val="single" w:sz="5" w:space="0" w:color="000000"/>
              <w:left w:val="single" w:sz="4"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Articolul</w:t>
            </w:r>
          </w:p>
        </w:tc>
        <w:tc>
          <w:tcPr>
            <w:tcW w:w="2551"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Obiectul</w:t>
            </w:r>
          </w:p>
        </w:tc>
        <w:tc>
          <w:tcPr>
            <w:tcW w:w="3029"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Norma de punere în aplicare</w:t>
            </w:r>
          </w:p>
        </w:tc>
        <w:tc>
          <w:tcPr>
            <w:tcW w:w="1322"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Intrarea în vigoare</w:t>
            </w:r>
          </w:p>
        </w:tc>
        <w:tc>
          <w:tcPr>
            <w:tcW w:w="1687" w:type="dxa"/>
            <w:tcBorders>
              <w:top w:val="single" w:sz="5" w:space="0" w:color="000000"/>
              <w:left w:val="single" w:sz="3" w:space="0" w:color="000000"/>
              <w:bottom w:val="single" w:sz="3" w:space="0" w:color="000000"/>
              <w:right w:val="single" w:sz="3" w:space="0" w:color="000000"/>
            </w:tcBorders>
            <w:shd w:val="clear" w:color="auto" w:fill="DAEEF3"/>
          </w:tcPr>
          <w:p>
            <w:pPr>
              <w:widowControl w:val="0"/>
              <w:spacing w:before="130"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Data expirării</w:t>
            </w:r>
          </w:p>
        </w:tc>
        <w:tc>
          <w:tcPr>
            <w:tcW w:w="936" w:type="dxa"/>
            <w:tcBorders>
              <w:top w:val="single" w:sz="5" w:space="0" w:color="000000"/>
              <w:left w:val="single" w:sz="3" w:space="0" w:color="000000"/>
              <w:bottom w:val="single" w:sz="3" w:space="0" w:color="000000"/>
              <w:right w:val="single" w:sz="5" w:space="0" w:color="000000"/>
            </w:tcBorders>
            <w:shd w:val="clear" w:color="auto" w:fill="DAEEF3"/>
          </w:tcPr>
          <w:p>
            <w:pPr>
              <w:widowControl w:val="0"/>
              <w:spacing w:before="128" w:after="0" w:line="240" w:lineRule="auto"/>
              <w:jc w:val="center"/>
              <w:rPr>
                <w:rFonts w:ascii="Times New Roman" w:eastAsia="Times New Roman" w:hAnsi="Times New Roman" w:cs="Times New Roman"/>
                <w:noProof/>
                <w:sz w:val="17"/>
                <w:szCs w:val="17"/>
              </w:rPr>
            </w:pPr>
            <w:r>
              <w:rPr>
                <w:rFonts w:ascii="Times New Roman" w:hAnsi="Times New Roman"/>
                <w:b/>
                <w:noProof/>
                <w:sz w:val="17"/>
              </w:rPr>
              <w:t>Contabilizare</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0681"/>
      </w:tblGrid>
      <w:tr>
        <w:trPr>
          <w:trHeight w:hRule="exact" w:val="370"/>
        </w:trPr>
        <w:tc>
          <w:tcPr>
            <w:tcW w:w="10681" w:type="dxa"/>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jc w:val="center"/>
              <w:rPr>
                <w:rFonts w:ascii="Times New Roman" w:eastAsia="Times New Roman" w:hAnsi="Times New Roman" w:cs="Times New Roman"/>
                <w:noProof/>
                <w:sz w:val="25"/>
                <w:szCs w:val="25"/>
              </w:rPr>
            </w:pPr>
            <w:r>
              <w:rPr>
                <w:rFonts w:ascii="Times New Roman" w:hAnsi="Times New Roman"/>
                <w:b/>
                <w:noProof/>
                <w:sz w:val="25"/>
              </w:rPr>
              <w:t>Titlul II – Agenții temporari</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4" w:space="0" w:color="auto"/>
              <w:right w:val="single" w:sz="5" w:space="0" w:color="000000"/>
            </w:tcBorders>
            <w:shd w:val="clear" w:color="auto" w:fill="DAEEF3"/>
            <w:vAlign w:val="center"/>
          </w:tcPr>
          <w:p>
            <w:pPr>
              <w:widowControl w:val="0"/>
              <w:spacing w:before="75" w:after="0" w:line="240" w:lineRule="auto"/>
              <w:ind w:right="933"/>
              <w:jc w:val="center"/>
              <w:rPr>
                <w:rFonts w:ascii="Times New Roman" w:eastAsia="Times New Roman" w:hAnsi="Times New Roman" w:cs="Times New Roman"/>
                <w:noProof/>
                <w:sz w:val="19"/>
                <w:szCs w:val="19"/>
              </w:rPr>
            </w:pPr>
            <w:r>
              <w:rPr>
                <w:rFonts w:ascii="Times New Roman" w:hAnsi="Times New Roman"/>
                <w:b/>
                <w:noProof/>
                <w:sz w:val="19"/>
              </w:rPr>
              <w:t xml:space="preserve">                  Capitolul 4 – Condițiile de muncă</w:t>
            </w:r>
          </w:p>
        </w:tc>
      </w:tr>
      <w:tr>
        <w:trPr>
          <w:trHeight w:hRule="exact" w:val="624"/>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17 + 91</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137"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Concediul de maternitate și alocația aferentă</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before="83" w:after="0" w:line="254" w:lineRule="auto"/>
              <w:ind w:right="123"/>
              <w:jc w:val="center"/>
              <w:rPr>
                <w:rFonts w:ascii="Times New Roman" w:eastAsia="Times New Roman" w:hAnsi="Times New Roman" w:cs="Times New Roman"/>
                <w:noProof/>
                <w:sz w:val="12"/>
                <w:szCs w:val="12"/>
              </w:rPr>
            </w:pPr>
            <w:r>
              <w:rPr>
                <w:rFonts w:ascii="Times New Roman" w:hAnsi="Times New Roman"/>
                <w:noProof/>
                <w:sz w:val="12"/>
              </w:rPr>
              <w:t>Decizia 51 privind concediul de maternitate și alocația aferentă atunci când concediul de maternitate începe înainte de sfârșitul contractului</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1.1.2014</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sz w:val="12"/>
                <w:szCs w:val="12"/>
                <w:lang w:val="en-US"/>
              </w:rPr>
            </w:pPr>
          </w:p>
        </w:tc>
        <w:tc>
          <w:tcPr>
            <w:tcW w:w="936"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370"/>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48" w:after="0" w:line="240" w:lineRule="auto"/>
              <w:ind w:right="936"/>
              <w:jc w:val="center"/>
              <w:rPr>
                <w:rFonts w:ascii="Times New Roman" w:eastAsia="Times New Roman" w:hAnsi="Times New Roman" w:cs="Times New Roman"/>
                <w:noProof/>
                <w:sz w:val="25"/>
                <w:szCs w:val="25"/>
              </w:rPr>
            </w:pPr>
            <w:r>
              <w:rPr>
                <w:rFonts w:ascii="Times New Roman" w:hAnsi="Times New Roman"/>
                <w:b/>
                <w:noProof/>
                <w:sz w:val="25"/>
              </w:rPr>
              <w:t xml:space="preserve">               Titlul IV </w:t>
            </w:r>
            <w:r>
              <w:rPr>
                <w:rFonts w:ascii="Times New Roman" w:hAnsi="Times New Roman"/>
                <w:b/>
                <w:i/>
                <w:noProof/>
                <w:sz w:val="25"/>
              </w:rPr>
              <w:t>–</w:t>
            </w:r>
            <w:r>
              <w:rPr>
                <w:rFonts w:ascii="Times New Roman" w:hAnsi="Times New Roman"/>
                <w:b/>
                <w:noProof/>
                <w:sz w:val="25"/>
              </w:rPr>
              <w:t xml:space="preserve"> Agenții contractuali</w:t>
            </w:r>
          </w:p>
        </w:tc>
      </w:tr>
      <w:tr>
        <w:trPr>
          <w:trHeight w:hRule="exact" w:val="448"/>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56" w:after="0" w:line="240" w:lineRule="auto"/>
              <w:rPr>
                <w:rFonts w:ascii="Times New Roman" w:eastAsia="Times New Roman" w:hAnsi="Times New Roman" w:cs="Times New Roman"/>
                <w:noProof/>
                <w:sz w:val="19"/>
                <w:szCs w:val="19"/>
              </w:rPr>
            </w:pPr>
            <w:r>
              <w:rPr>
                <w:rFonts w:ascii="Times New Roman" w:hAnsi="Times New Roman"/>
                <w:b/>
                <w:noProof/>
                <w:sz w:val="19"/>
              </w:rPr>
              <w:t xml:space="preserve">                                                                                        Capitolul 1 – Dispoziții generale</w:t>
            </w:r>
          </w:p>
        </w:tc>
      </w:tr>
      <w:tr>
        <w:trPr>
          <w:trHeight w:hRule="exact" w:val="895"/>
        </w:trPr>
        <w:tc>
          <w:tcPr>
            <w:tcW w:w="1156" w:type="dxa"/>
            <w:vMerge w:val="restart"/>
            <w:tcBorders>
              <w:left w:val="single" w:sz="4"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rPr>
            </w:pPr>
            <w:r>
              <w:rPr>
                <w:rFonts w:ascii="Times New Roman" w:hAnsi="Times New Roman"/>
                <w:b/>
                <w:noProof/>
                <w:sz w:val="12"/>
              </w:rPr>
              <w:t>79 alineatul (2)</w:t>
            </w:r>
          </w:p>
        </w:tc>
        <w:tc>
          <w:tcPr>
            <w:tcW w:w="2551" w:type="dxa"/>
            <w:vMerge w:val="restart"/>
            <w:tcBorders>
              <w:left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Utilizarea agenților contractuali</w:t>
            </w:r>
          </w:p>
        </w:tc>
        <w:tc>
          <w:tcPr>
            <w:tcW w:w="3029"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Decizia 48 privind dispozițiile generale de punere în aplicare a articolului 79 alineatul (2) din Regimul aplicabil celorlalți agenți ai Uniunii Europene privind condițiile de angajare a agenților contractuali 3a și 3b (modificată prin Decizia 56 </w:t>
            </w:r>
            <w:r>
              <w:rPr>
                <w:noProof/>
              </w:rPr>
              <w:t xml:space="preserve"> </w:t>
            </w:r>
            <w:r>
              <w:rPr>
                <w:noProof/>
              </w:rPr>
              <w:br/>
            </w:r>
            <w:r>
              <w:rPr>
                <w:rFonts w:ascii="Times New Roman" w:hAnsi="Times New Roman"/>
                <w:noProof/>
                <w:sz w:val="12"/>
              </w:rPr>
              <w:t>din 1 ianuarie 2014 privind normele generale de punere în aplicare referitoare la condițiile de angajare a agenților contractuali)</w:t>
            </w:r>
          </w:p>
        </w:tc>
        <w:tc>
          <w:tcPr>
            <w:tcW w:w="1322"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16.2.2012</w:t>
            </w:r>
          </w:p>
        </w:tc>
        <w:tc>
          <w:tcPr>
            <w:tcW w:w="1687" w:type="dxa"/>
            <w:tcBorders>
              <w:top w:val="single" w:sz="5" w:space="0" w:color="000000"/>
              <w:left w:val="single" w:sz="3" w:space="0" w:color="000000"/>
              <w:bottom w:val="single" w:sz="5"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rPr>
            </w:pPr>
            <w:r>
              <w:rPr>
                <w:rFonts w:ascii="Times New Roman" w:hAnsi="Times New Roman"/>
                <w:noProof/>
                <w:sz w:val="12"/>
              </w:rPr>
              <w:t>4.11.2020</w:t>
            </w:r>
          </w:p>
        </w:tc>
        <w:tc>
          <w:tcPr>
            <w:tcW w:w="936" w:type="dxa"/>
            <w:vMerge w:val="restart"/>
            <w:tcBorders>
              <w:top w:val="single" w:sz="5" w:space="0" w:color="000000"/>
              <w:left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DGA</w:t>
            </w:r>
          </w:p>
        </w:tc>
      </w:tr>
      <w:tr>
        <w:trPr>
          <w:trHeight w:hRule="exact" w:val="1276"/>
        </w:trPr>
        <w:tc>
          <w:tcPr>
            <w:tcW w:w="1156" w:type="dxa"/>
            <w:vMerge/>
            <w:tcBorders>
              <w:left w:val="single" w:sz="4" w:space="0" w:color="000000"/>
              <w:bottom w:val="single" w:sz="3" w:space="0" w:color="000000"/>
              <w:right w:val="single" w:sz="3" w:space="0" w:color="000000"/>
            </w:tcBorders>
            <w:shd w:val="clear" w:color="auto" w:fill="FFFF65"/>
            <w:vAlign w:val="center"/>
          </w:tcPr>
          <w:p>
            <w:pPr>
              <w:widowControl w:val="0"/>
              <w:spacing w:after="0" w:line="240" w:lineRule="auto"/>
              <w:ind w:right="3"/>
              <w:jc w:val="center"/>
              <w:rPr>
                <w:rFonts w:ascii="Times New Roman" w:eastAsia="Times New Roman" w:hAnsi="Times New Roman" w:cs="Times New Roman"/>
                <w:noProof/>
                <w:sz w:val="12"/>
                <w:szCs w:val="12"/>
                <w:lang w:val="en-US"/>
              </w:rPr>
            </w:pPr>
          </w:p>
        </w:tc>
        <w:tc>
          <w:tcPr>
            <w:tcW w:w="2551" w:type="dxa"/>
            <w:vMerge/>
            <w:tcBorders>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lang w:val="en-US"/>
              </w:rPr>
            </w:pPr>
          </w:p>
        </w:tc>
        <w:tc>
          <w:tcPr>
            <w:tcW w:w="3029"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before="2" w:after="0" w:line="254" w:lineRule="auto"/>
              <w:ind w:right="34"/>
              <w:jc w:val="center"/>
              <w:rPr>
                <w:rFonts w:ascii="Times New Roman" w:eastAsia="Calibri" w:hAnsi="Times New Roman" w:cs="Times New Roman"/>
                <w:noProof/>
                <w:sz w:val="12"/>
              </w:rPr>
            </w:pPr>
            <w:r>
              <w:rPr>
                <w:rFonts w:ascii="Times New Roman" w:hAnsi="Times New Roman"/>
                <w:noProof/>
                <w:sz w:val="12"/>
              </w:rPr>
              <w:t xml:space="preserve">Decizia Autorității Europene pentru Protecția Datelor </w:t>
            </w:r>
            <w:r>
              <w:rPr>
                <w:noProof/>
              </w:rPr>
              <w:t xml:space="preserve"> </w:t>
            </w:r>
            <w:r>
              <w:rPr>
                <w:noProof/>
              </w:rPr>
              <w:br/>
            </w:r>
            <w:r>
              <w:rPr>
                <w:rFonts w:ascii="Times New Roman" w:hAnsi="Times New Roman"/>
                <w:noProof/>
                <w:sz w:val="12"/>
              </w:rPr>
              <w:t>din 4 noiembrie 2020 privind dispozițiile generale</w:t>
            </w:r>
            <w:r>
              <w:rPr>
                <w:noProof/>
              </w:rPr>
              <w:t xml:space="preserve"> </w:t>
            </w:r>
            <w:r>
              <w:rPr>
                <w:noProof/>
              </w:rPr>
              <w:br/>
            </w:r>
            <w:r>
              <w:rPr>
                <w:rFonts w:ascii="Times New Roman" w:hAnsi="Times New Roman"/>
                <w:noProof/>
                <w:sz w:val="12"/>
              </w:rPr>
              <w:t xml:space="preserve"> de punere în aplicare a articolului 79 alineatul (2) din Regimul</w:t>
            </w:r>
            <w:r>
              <w:rPr>
                <w:noProof/>
              </w:rPr>
              <w:t xml:space="preserve"> </w:t>
            </w:r>
            <w:r>
              <w:rPr>
                <w:noProof/>
              </w:rPr>
              <w:br/>
            </w:r>
            <w:r>
              <w:rPr>
                <w:rFonts w:ascii="Times New Roman" w:hAnsi="Times New Roman"/>
                <w:noProof/>
                <w:sz w:val="12"/>
              </w:rPr>
              <w:t xml:space="preserve"> aplicabil celorlalți agenți ai Uniunii Europene care reglementează condițiile de încadrare în muncă a agenților contractuali angajați de Autoritatea Europeană pentru Protecția Datelor în temeiul articolelor 3a și 3b din regimul menționat</w:t>
            </w:r>
          </w:p>
        </w:tc>
        <w:tc>
          <w:tcPr>
            <w:tcW w:w="13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4.11.2020</w:t>
            </w:r>
          </w:p>
        </w:tc>
        <w:tc>
          <w:tcPr>
            <w:tcW w:w="1687"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vMerge/>
            <w:tcBorders>
              <w:left w:val="single" w:sz="3" w:space="0" w:color="000000"/>
              <w:bottom w:val="single" w:sz="3" w:space="0" w:color="000000"/>
              <w:right w:val="single" w:sz="5" w:space="0" w:color="000000"/>
            </w:tcBorders>
            <w:shd w:val="clear" w:color="auto" w:fill="FFFF65"/>
            <w:vAlign w:val="center"/>
          </w:tcPr>
          <w:p>
            <w:pPr>
              <w:widowControl w:val="0"/>
              <w:spacing w:after="0" w:line="240" w:lineRule="auto"/>
              <w:jc w:val="center"/>
              <w:rPr>
                <w:rFonts w:ascii="Times New Roman" w:eastAsia="Calibri" w:hAnsi="Times New Roman" w:cs="Times New Roman"/>
                <w:b/>
                <w:noProof/>
                <w:spacing w:val="1"/>
                <w:w w:val="105"/>
                <w:sz w:val="16"/>
                <w:szCs w:val="16"/>
                <w:lang w:val="en-US"/>
              </w:rPr>
            </w:pP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8"/>
              </w:rPr>
              <w:t>Capitolul 3 – Condițiile de angajare</w:t>
            </w:r>
          </w:p>
        </w:tc>
      </w:tr>
      <w:tr>
        <w:trPr>
          <w:trHeight w:hRule="exact" w:val="848"/>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b/>
                <w:noProof/>
                <w:sz w:val="12"/>
              </w:rPr>
            </w:pPr>
            <w:r>
              <w:rPr>
                <w:rFonts w:ascii="Times New Roman" w:hAnsi="Times New Roman"/>
                <w:b/>
                <w:noProof/>
                <w:sz w:val="12"/>
              </w:rPr>
              <w:t>82</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ind w:right="326"/>
              <w:jc w:val="center"/>
              <w:rPr>
                <w:rFonts w:ascii="Times New Roman" w:eastAsia="Calibri" w:hAnsi="Times New Roman" w:cs="Times New Roman"/>
                <w:b/>
                <w:noProof/>
                <w:spacing w:val="-1"/>
                <w:sz w:val="16"/>
              </w:rPr>
            </w:pPr>
            <w:r>
              <w:rPr>
                <w:rFonts w:ascii="Times New Roman" w:hAnsi="Times New Roman"/>
                <w:b/>
                <w:noProof/>
                <w:sz w:val="16"/>
              </w:rPr>
              <w:t>Procedurile de recrutare pentru agenții contractuali</w:t>
            </w:r>
          </w:p>
        </w:tc>
        <w:tc>
          <w:tcPr>
            <w:tcW w:w="3029" w:type="dxa"/>
            <w:tcBorders>
              <w:top w:val="single" w:sz="6" w:space="0" w:color="000000"/>
              <w:left w:val="single" w:sz="4" w:space="0" w:color="auto"/>
              <w:bottom w:val="single" w:sz="4" w:space="0" w:color="auto"/>
              <w:right w:val="single" w:sz="4" w:space="0" w:color="000000"/>
            </w:tcBorders>
            <w:shd w:val="clear" w:color="auto" w:fill="FFFF65"/>
            <w:vAlign w:val="center"/>
          </w:tcPr>
          <w:p>
            <w:pPr>
              <w:widowControl w:val="0"/>
              <w:spacing w:after="0" w:line="271" w:lineRule="auto"/>
              <w:ind w:right="65"/>
              <w:jc w:val="center"/>
              <w:rPr>
                <w:noProof/>
              </w:rPr>
            </w:pPr>
            <w:r>
              <w:rPr>
                <w:rFonts w:ascii="Times New Roman" w:hAnsi="Times New Roman"/>
                <w:noProof/>
                <w:sz w:val="12"/>
              </w:rPr>
              <w:t xml:space="preserve">Decizia 48 privind dispozițiile generale de punere în aplicare a articolului 79 alineatul (2) din Regimul aplicabil celorlalți agenți ai Uniunii Europene privind condițiile de angajare </w:t>
            </w:r>
            <w:r>
              <w:rPr>
                <w:noProof/>
              </w:rPr>
              <w:t xml:space="preserve"> </w:t>
            </w:r>
            <w:r>
              <w:rPr>
                <w:noProof/>
              </w:rPr>
              <w:br/>
            </w:r>
            <w:r>
              <w:rPr>
                <w:rFonts w:ascii="Times New Roman" w:hAnsi="Times New Roman"/>
                <w:noProof/>
                <w:sz w:val="12"/>
              </w:rPr>
              <w:t>a agenților contractuali 3a și 3b (modificată prin Decizia 56</w:t>
            </w:r>
            <w:r>
              <w:rPr>
                <w:noProof/>
              </w:rPr>
              <w:t xml:space="preserve"> </w:t>
            </w:r>
            <w:r>
              <w:rPr>
                <w:noProof/>
              </w:rPr>
              <w:br/>
            </w:r>
            <w:r>
              <w:rPr>
                <w:rFonts w:ascii="Times New Roman" w:hAnsi="Times New Roman"/>
                <w:noProof/>
                <w:sz w:val="12"/>
              </w:rPr>
              <w:t xml:space="preserve"> din 1 ianuarie 2014 privind normele generale de punere în aplicare referitoare la condițiile de angajare a agenților contractuali)</w:t>
            </w:r>
          </w:p>
        </w:tc>
        <w:tc>
          <w:tcPr>
            <w:tcW w:w="1322" w:type="dxa"/>
            <w:tcBorders>
              <w:top w:val="single" w:sz="6" w:space="0" w:color="000000"/>
              <w:left w:val="single" w:sz="4" w:space="0" w:color="000000"/>
              <w:bottom w:val="single" w:sz="4" w:space="0" w:color="auto"/>
              <w:right w:val="single" w:sz="4" w:space="0" w:color="000000"/>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rPr>
            </w:pPr>
            <w:r>
              <w:rPr>
                <w:rFonts w:ascii="Times New Roman" w:hAnsi="Times New Roman"/>
                <w:noProof/>
                <w:sz w:val="12"/>
              </w:rPr>
              <w:t>16.2.2012</w:t>
            </w:r>
          </w:p>
        </w:tc>
        <w:tc>
          <w:tcPr>
            <w:tcW w:w="1687" w:type="dxa"/>
            <w:tcBorders>
              <w:top w:val="single" w:sz="6" w:space="0" w:color="000000"/>
              <w:left w:val="single" w:sz="4" w:space="0" w:color="000000"/>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sz w:val="12"/>
                <w:szCs w:val="12"/>
                <w:lang w:val="en-GB"/>
              </w:rPr>
            </w:pPr>
          </w:p>
        </w:tc>
        <w:tc>
          <w:tcPr>
            <w:tcW w:w="93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4"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r>
        <w:trPr>
          <w:trHeight w:hRule="exact" w:val="700"/>
        </w:trPr>
        <w:tc>
          <w:tcPr>
            <w:tcW w:w="1156"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b/>
                <w:noProof/>
                <w:sz w:val="12"/>
              </w:rPr>
              <w:t>86</w:t>
            </w:r>
          </w:p>
        </w:tc>
        <w:tc>
          <w:tcPr>
            <w:tcW w:w="2551"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Procedurile de recrutare pentru agenții contractuali</w:t>
            </w:r>
          </w:p>
        </w:tc>
        <w:tc>
          <w:tcPr>
            <w:tcW w:w="3029"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before="107" w:after="0" w:line="254" w:lineRule="auto"/>
              <w:ind w:right="38"/>
              <w:jc w:val="center"/>
              <w:rPr>
                <w:rFonts w:ascii="Times New Roman" w:eastAsia="Times New Roman" w:hAnsi="Times New Roman" w:cs="Times New Roman"/>
                <w:noProof/>
                <w:sz w:val="12"/>
                <w:szCs w:val="12"/>
              </w:rPr>
            </w:pPr>
            <w:r>
              <w:rPr>
                <w:rFonts w:ascii="Times New Roman" w:hAnsi="Times New Roman"/>
                <w:noProof/>
                <w:sz w:val="12"/>
              </w:rPr>
              <w:t xml:space="preserve">Decizia 48 privind dispozițiile generale de punere în aplicare a articolului 79 alineatul (2) din Regimul aplicabil celorlalți agenți ai Uniunii Europene privind condițiile de angajare </w:t>
            </w:r>
            <w:r>
              <w:rPr>
                <w:noProof/>
              </w:rPr>
              <w:t xml:space="preserve"> </w:t>
            </w:r>
            <w:r>
              <w:rPr>
                <w:noProof/>
              </w:rPr>
              <w:br/>
            </w:r>
            <w:r>
              <w:rPr>
                <w:rFonts w:ascii="Times New Roman" w:hAnsi="Times New Roman"/>
                <w:noProof/>
                <w:sz w:val="12"/>
              </w:rPr>
              <w:t>a agenților contractuali 3a și 3b (modificată prin Decizia 56</w:t>
            </w:r>
            <w:r>
              <w:rPr>
                <w:noProof/>
              </w:rPr>
              <w:t xml:space="preserve"> </w:t>
            </w:r>
            <w:r>
              <w:rPr>
                <w:noProof/>
              </w:rPr>
              <w:br/>
            </w:r>
            <w:r>
              <w:rPr>
                <w:rFonts w:ascii="Times New Roman" w:hAnsi="Times New Roman"/>
                <w:noProof/>
                <w:sz w:val="12"/>
              </w:rPr>
              <w:t xml:space="preserve"> din 1 ianuarie 2014 privind normele generale de punere în aplicare referitoare la condițiile de angajare a agenților contractuali)</w:t>
            </w:r>
          </w:p>
        </w:tc>
        <w:tc>
          <w:tcPr>
            <w:tcW w:w="1322"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16.2.2012</w:t>
            </w:r>
          </w:p>
        </w:tc>
        <w:tc>
          <w:tcPr>
            <w:tcW w:w="1687" w:type="dxa"/>
            <w:tcBorders>
              <w:top w:val="single" w:sz="4" w:space="0" w:color="auto"/>
              <w:left w:val="single" w:sz="4" w:space="0" w:color="auto"/>
              <w:bottom w:val="single" w:sz="4" w:space="0" w:color="auto"/>
              <w:right w:val="single" w:sz="4" w:space="0" w:color="auto"/>
            </w:tcBorders>
            <w:shd w:val="clear" w:color="auto" w:fill="FFFF65"/>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5" w:space="0" w:color="000000"/>
            </w:tcBorders>
            <w:shd w:val="clear" w:color="auto" w:fill="FFFF65"/>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0</w:t>
            </w:r>
          </w:p>
        </w:tc>
      </w:tr>
    </w:tbl>
    <w:p>
      <w:pPr>
        <w:widowControl w:val="0"/>
        <w:spacing w:after="0" w:line="240" w:lineRule="auto"/>
        <w:jc w:val="center"/>
        <w:rPr>
          <w:rFonts w:ascii="Times New Roman" w:eastAsia="Times New Roman" w:hAnsi="Times New Roman" w:cs="Times New Roman"/>
          <w:noProof/>
          <w:sz w:val="20"/>
          <w:szCs w:val="20"/>
          <w:lang w:val="en-US"/>
        </w:rPr>
      </w:pPr>
    </w:p>
    <w:tbl>
      <w:tblPr>
        <w:tblW w:w="10681" w:type="dxa"/>
        <w:tblInd w:w="112" w:type="dxa"/>
        <w:tblLayout w:type="fixed"/>
        <w:tblCellMar>
          <w:left w:w="0" w:type="dxa"/>
          <w:right w:w="0" w:type="dxa"/>
        </w:tblCellMar>
        <w:tblLook w:val="01E0" w:firstRow="1" w:lastRow="1" w:firstColumn="1" w:lastColumn="1" w:noHBand="0" w:noVBand="0"/>
      </w:tblPr>
      <w:tblGrid>
        <w:gridCol w:w="1156"/>
        <w:gridCol w:w="2551"/>
        <w:gridCol w:w="3029"/>
        <w:gridCol w:w="1322"/>
        <w:gridCol w:w="1687"/>
        <w:gridCol w:w="936"/>
      </w:tblGrid>
      <w:tr>
        <w:trPr>
          <w:trHeight w:hRule="exact" w:val="473"/>
        </w:trPr>
        <w:tc>
          <w:tcPr>
            <w:tcW w:w="10681" w:type="dxa"/>
            <w:gridSpan w:val="6"/>
            <w:tcBorders>
              <w:top w:val="single" w:sz="5" w:space="0" w:color="000000"/>
              <w:left w:val="single" w:sz="4" w:space="0" w:color="000000"/>
              <w:bottom w:val="single" w:sz="5" w:space="0" w:color="000000"/>
              <w:right w:val="single" w:sz="5" w:space="0" w:color="000000"/>
            </w:tcBorders>
            <w:shd w:val="clear" w:color="auto" w:fill="DCE6F1"/>
            <w:vAlign w:val="center"/>
          </w:tcPr>
          <w:p>
            <w:pPr>
              <w:widowControl w:val="0"/>
              <w:spacing w:before="126" w:after="0" w:line="240" w:lineRule="auto"/>
              <w:jc w:val="center"/>
              <w:rPr>
                <w:rFonts w:ascii="Times New Roman" w:eastAsia="Times New Roman" w:hAnsi="Times New Roman" w:cs="Times New Roman"/>
                <w:noProof/>
                <w:sz w:val="18"/>
                <w:szCs w:val="18"/>
              </w:rPr>
            </w:pPr>
            <w:r>
              <w:rPr>
                <w:rFonts w:ascii="Times New Roman" w:hAnsi="Times New Roman"/>
                <w:b/>
                <w:noProof/>
                <w:sz w:val="19"/>
              </w:rPr>
              <w:t>Capitolul 5 – Dispoziții speciale</w:t>
            </w:r>
          </w:p>
        </w:tc>
      </w:tr>
      <w:tr>
        <w:trPr>
          <w:trHeight w:hRule="exact" w:val="581"/>
        </w:trPr>
        <w:tc>
          <w:tcPr>
            <w:tcW w:w="1156" w:type="dxa"/>
            <w:tcBorders>
              <w:top w:val="single" w:sz="4" w:space="0" w:color="auto"/>
              <w:left w:val="single" w:sz="4" w:space="0" w:color="auto"/>
              <w:bottom w:val="single" w:sz="4" w:space="0" w:color="auto"/>
              <w:right w:val="single" w:sz="4" w:space="0" w:color="auto"/>
            </w:tcBorders>
            <w:vAlign w:val="center"/>
          </w:tcPr>
          <w:p>
            <w:pPr>
              <w:widowControl w:val="0"/>
              <w:spacing w:after="0" w:line="240" w:lineRule="auto"/>
              <w:jc w:val="center"/>
              <w:rPr>
                <w:rFonts w:ascii="Times New Roman" w:eastAsia="Times New Roman" w:hAnsi="Times New Roman" w:cs="Times New Roman"/>
                <w:b/>
                <w:bCs/>
                <w:noProof/>
                <w:sz w:val="12"/>
                <w:szCs w:val="12"/>
              </w:rPr>
            </w:pPr>
            <w:r>
              <w:rPr>
                <w:rFonts w:ascii="Times New Roman" w:hAnsi="Times New Roman"/>
                <w:b/>
                <w:noProof/>
                <w:sz w:val="12"/>
              </w:rPr>
              <w:t>2 + 88</w:t>
            </w:r>
          </w:p>
        </w:tc>
        <w:tc>
          <w:tcPr>
            <w:tcW w:w="2551"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Durata maximă pentru care se recurge la personal nepermanent</w:t>
            </w:r>
          </w:p>
        </w:tc>
        <w:tc>
          <w:tcPr>
            <w:tcW w:w="3029"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71" w:lineRule="auto"/>
              <w:ind w:right="26"/>
              <w:jc w:val="center"/>
              <w:rPr>
                <w:rFonts w:ascii="Times New Roman" w:hAnsi="Times New Roman" w:cs="Times New Roman"/>
                <w:noProof/>
                <w:w w:val="105"/>
                <w:sz w:val="12"/>
              </w:rPr>
            </w:pPr>
            <w:r>
              <w:rPr>
                <w:rFonts w:ascii="Times New Roman" w:hAnsi="Times New Roman"/>
                <w:noProof/>
                <w:sz w:val="12"/>
              </w:rPr>
              <w:t>Decizia Autorității Europene pentru Protecția Datelor (AEPD) din 13.12.2018 privind durata maximă pentru care se poate recurge la personal nepermanent în cadrul AEPD</w:t>
            </w:r>
          </w:p>
        </w:tc>
        <w:tc>
          <w:tcPr>
            <w:tcW w:w="1322"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Times New Roman" w:hAnsi="Times New Roman" w:cs="Times New Roman"/>
                <w:noProof/>
                <w:sz w:val="12"/>
                <w:szCs w:val="12"/>
              </w:rPr>
            </w:pPr>
            <w:r>
              <w:rPr>
                <w:rFonts w:ascii="Times New Roman" w:hAnsi="Times New Roman"/>
                <w:noProof/>
                <w:sz w:val="12"/>
              </w:rPr>
              <w:t>13.12.2018</w:t>
            </w:r>
          </w:p>
        </w:tc>
        <w:tc>
          <w:tcPr>
            <w:tcW w:w="1687" w:type="dxa"/>
            <w:tcBorders>
              <w:top w:val="single" w:sz="4" w:space="0" w:color="auto"/>
              <w:left w:val="single" w:sz="4" w:space="0" w:color="auto"/>
              <w:bottom w:val="single" w:sz="4" w:space="0" w:color="auto"/>
              <w:right w:val="single" w:sz="4" w:space="0" w:color="auto"/>
            </w:tcBorders>
            <w:shd w:val="clear" w:color="auto" w:fill="D99594"/>
            <w:vAlign w:val="center"/>
          </w:tcPr>
          <w:p>
            <w:pPr>
              <w:widowControl w:val="0"/>
              <w:spacing w:after="0" w:line="240" w:lineRule="auto"/>
              <w:jc w:val="center"/>
              <w:rPr>
                <w:rFonts w:ascii="Times New Roman" w:eastAsia="Calibri" w:hAnsi="Times New Roman" w:cs="Times New Roman"/>
                <w:noProof/>
                <w:lang w:val="en-US"/>
              </w:rPr>
            </w:pPr>
          </w:p>
        </w:tc>
        <w:tc>
          <w:tcPr>
            <w:tcW w:w="936" w:type="dxa"/>
            <w:tcBorders>
              <w:top w:val="single" w:sz="4" w:space="0" w:color="auto"/>
              <w:left w:val="single" w:sz="4" w:space="0" w:color="auto"/>
              <w:bottom w:val="single" w:sz="3" w:space="0" w:color="000000"/>
              <w:right w:val="single" w:sz="6" w:space="0" w:color="000000"/>
            </w:tcBorders>
            <w:shd w:val="clear" w:color="auto" w:fill="D99594"/>
            <w:vAlign w:val="center"/>
          </w:tcPr>
          <w:p>
            <w:pPr>
              <w:widowControl w:val="0"/>
              <w:spacing w:before="107" w:after="0" w:line="240" w:lineRule="auto"/>
              <w:jc w:val="center"/>
              <w:rPr>
                <w:rFonts w:ascii="Times New Roman" w:eastAsia="Calibri" w:hAnsi="Times New Roman" w:cs="Times New Roman"/>
                <w:b/>
                <w:noProof/>
                <w:spacing w:val="1"/>
                <w:w w:val="105"/>
                <w:sz w:val="16"/>
                <w:szCs w:val="16"/>
              </w:rPr>
            </w:pPr>
            <w:r>
              <w:rPr>
                <w:rFonts w:ascii="Times New Roman" w:hAnsi="Times New Roman"/>
                <w:b/>
                <w:noProof/>
                <w:sz w:val="16"/>
              </w:rPr>
              <w:t>1 IR</w:t>
            </w:r>
          </w:p>
        </w:tc>
      </w:tr>
    </w:tbl>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after="0" w:line="240" w:lineRule="auto"/>
        <w:jc w:val="center"/>
        <w:rPr>
          <w:rFonts w:ascii="Times New Roman" w:eastAsia="Times New Roman" w:hAnsi="Times New Roman" w:cs="Times New Roman"/>
          <w:noProof/>
          <w:sz w:val="20"/>
          <w:szCs w:val="20"/>
          <w:lang w:val="en-US"/>
        </w:rPr>
      </w:pPr>
    </w:p>
    <w:p>
      <w:pPr>
        <w:widowControl w:val="0"/>
        <w:spacing w:before="88" w:after="0" w:line="240" w:lineRule="auto"/>
        <w:jc w:val="center"/>
        <w:rPr>
          <w:rFonts w:ascii="Times New Roman" w:eastAsia="Times New Roman" w:hAnsi="Times New Roman" w:cs="Times New Roman"/>
          <w:b/>
          <w:noProof/>
          <w:sz w:val="24"/>
          <w:szCs w:val="24"/>
          <w:u w:val="single"/>
        </w:rPr>
      </w:pPr>
      <w:r>
        <w:rPr>
          <w:rFonts w:ascii="Times New Roman" w:hAnsi="Times New Roman"/>
          <w:b/>
          <w:i/>
          <w:noProof/>
          <w:sz w:val="24"/>
          <w:u w:val="single"/>
        </w:rPr>
        <w:t>Legendă</w:t>
      </w:r>
    </w:p>
    <w:p>
      <w:pPr>
        <w:widowControl w:val="0"/>
        <w:spacing w:before="10" w:after="0" w:line="240" w:lineRule="auto"/>
        <w:rPr>
          <w:rFonts w:ascii="Times New Roman" w:eastAsia="Times New Roman" w:hAnsi="Times New Roman" w:cs="Times New Roman"/>
          <w:i/>
          <w:noProof/>
          <w:sz w:val="24"/>
          <w:szCs w:val="24"/>
        </w:rPr>
      </w:pPr>
      <w:r>
        <w:rPr>
          <w:rFonts w:ascii="Times New Roman" w:hAnsi="Times New Roman"/>
          <w:i/>
          <w:noProof/>
          <w:sz w:val="24"/>
        </w:rPr>
        <mc:AlternateContent>
          <mc:Choice Requires="wps">
            <w:drawing>
              <wp:anchor distT="0" distB="0" distL="114300" distR="114300" simplePos="0" relativeHeight="251672576" behindDoc="0" locked="0" layoutInCell="1" allowOverlap="1">
                <wp:simplePos x="0" y="0"/>
                <wp:positionH relativeFrom="column">
                  <wp:posOffset>2265875</wp:posOffset>
                </wp:positionH>
                <wp:positionV relativeFrom="paragraph">
                  <wp:posOffset>227037</wp:posOffset>
                </wp:positionV>
                <wp:extent cx="1983545" cy="457200"/>
                <wp:effectExtent l="0" t="0" r="17145" b="19050"/>
                <wp:wrapNone/>
                <wp:docPr id="2054482631" name="Rectangle 2054482631"/>
                <wp:cNvGraphicFramePr/>
                <a:graphic xmlns:a="http://schemas.openxmlformats.org/drawingml/2006/main">
                  <a:graphicData uri="http://schemas.microsoft.com/office/word/2010/wordprocessingShape">
                    <wps:wsp>
                      <wps:cNvSpPr/>
                      <wps:spPr>
                        <a:xfrm>
                          <a:off x="0" y="0"/>
                          <a:ext cx="1983545" cy="457200"/>
                        </a:xfrm>
                        <a:prstGeom prst="rect">
                          <a:avLst/>
                        </a:prstGeom>
                        <a:solidFill>
                          <a:schemeClr val="tx2">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054482631" o:spid="_x0000_s1033" style="position:absolute;margin-left:178.4pt;margin-top:17.9pt;width:156.2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" fillcolor="#d5dce4 [671]" strokecolor="black [3213]" strokeweight="1pt">
                <v:textbox>
                  <w:txbxContent>
                    <w:p>
                      <w:pPr>
                        <w:widowControl w:val="0"/>
                        <w:spacing w:before="111" w:after="0" w:line="240" w:lineRule="auto"/>
                        <w:jc w:val="center"/>
                        <w:rPr>
                          <w:rFonts w:ascii="Times New Roman" w:eastAsia="Calibri" w:hAnsi="Times New Roman" w:cs="Times New Roman"/>
                          <w:b/>
                          <w:noProof/>
                          <w:color w:val="000000" w:themeColor="text1"/>
                          <w:spacing w:val="-1"/>
                          <w:sz w:val="16"/>
                        </w:rPr>
                      </w:pPr>
                      <w:r>
                        <w:rPr>
                          <w:rFonts w:ascii="Times New Roman" w:hAnsi="Times New Roman"/>
                          <w:b/>
                          <w:color w:val="000000" w:themeColor="text1"/>
                          <w:sz w:val="16"/>
                        </w:rPr>
                        <w:t>Normă adoptată de comun acord de către instituții</w:t>
                      </w:r>
                    </w:p>
                  </w:txbxContent>
                </v:textbox>
              </v:rect>
            </w:pict>
          </mc:Fallback>
        </mc:AlternateContent>
      </w:r>
    </w:p>
    <w:tbl>
      <w:tblPr>
        <w:tblW w:w="2722" w:type="dxa"/>
        <w:tblInd w:w="96" w:type="dxa"/>
        <w:tblLayout w:type="fixed"/>
        <w:tblCellMar>
          <w:left w:w="0" w:type="dxa"/>
          <w:right w:w="0" w:type="dxa"/>
        </w:tblCellMar>
        <w:tblLook w:val="01E0" w:firstRow="1" w:lastRow="1" w:firstColumn="1" w:lastColumn="1" w:noHBand="0" w:noVBand="0"/>
      </w:tblPr>
      <w:tblGrid>
        <w:gridCol w:w="2722"/>
      </w:tblGrid>
      <w:tr>
        <w:trPr>
          <w:trHeight w:hRule="exact" w:val="744"/>
        </w:trPr>
        <w:tc>
          <w:tcPr>
            <w:tcW w:w="2722" w:type="dxa"/>
            <w:tcBorders>
              <w:top w:val="single" w:sz="5" w:space="0" w:color="000000"/>
              <w:left w:val="single" w:sz="3" w:space="0" w:color="000000"/>
              <w:bottom w:val="single" w:sz="3" w:space="0" w:color="000000"/>
              <w:right w:val="single" w:sz="3" w:space="0" w:color="000000"/>
            </w:tcBorders>
            <w:shd w:val="clear" w:color="auto" w:fill="FFFF65"/>
            <w:vAlign w:val="center"/>
          </w:tcPr>
          <w:p>
            <w:pPr>
              <w:widowControl w:val="0"/>
              <w:spacing w:after="0" w:line="256" w:lineRule="auto"/>
              <w:ind w:right="52"/>
              <w:jc w:val="center"/>
              <w:rPr>
                <w:rFonts w:ascii="Times New Roman" w:eastAsia="Times New Roman" w:hAnsi="Times New Roman" w:cs="Times New Roman"/>
                <w:noProof/>
                <w:sz w:val="16"/>
                <w:szCs w:val="16"/>
              </w:rPr>
            </w:pPr>
            <w:r>
              <w:rPr>
                <w:rFonts w:ascii="Times New Roman" w:hAnsi="Times New Roman"/>
                <w:b/>
                <w:noProof/>
                <w:sz w:val="16"/>
              </w:rPr>
              <w:t>Dispoziții generale de punere în aplicare</w:t>
            </w:r>
          </w:p>
        </w:tc>
      </w:tr>
    </w:tbl>
    <w:tbl>
      <w:tblPr>
        <w:tblpPr w:leftFromText="141" w:rightFromText="141" w:vertAnchor="text" w:horzAnchor="margin" w:tblpXSpec="right" w:tblpY="-661"/>
        <w:tblW w:w="2872" w:type="dxa"/>
        <w:tblLayout w:type="fixed"/>
        <w:tblCellMar>
          <w:left w:w="0" w:type="dxa"/>
          <w:right w:w="0" w:type="dxa"/>
        </w:tblCellMar>
        <w:tblLook w:val="01E0" w:firstRow="1" w:lastRow="1" w:firstColumn="1" w:lastColumn="1" w:noHBand="0" w:noVBand="0"/>
      </w:tblPr>
      <w:tblGrid>
        <w:gridCol w:w="2872"/>
      </w:tblGrid>
      <w:tr>
        <w:trPr>
          <w:trHeight w:hRule="exact" w:val="742"/>
        </w:trPr>
        <w:tc>
          <w:tcPr>
            <w:tcW w:w="2872" w:type="dxa"/>
            <w:tcBorders>
              <w:top w:val="single" w:sz="5" w:space="0" w:color="000000"/>
              <w:left w:val="single" w:sz="3" w:space="0" w:color="000000"/>
              <w:bottom w:val="single" w:sz="3" w:space="0" w:color="000000"/>
              <w:right w:val="single" w:sz="3" w:space="0" w:color="000000"/>
            </w:tcBorders>
            <w:shd w:val="clear" w:color="auto" w:fill="DA9694"/>
            <w:vAlign w:val="center"/>
          </w:tcPr>
          <w:p>
            <w:pPr>
              <w:widowControl w:val="0"/>
              <w:spacing w:before="111" w:after="0" w:line="240" w:lineRule="auto"/>
              <w:jc w:val="center"/>
              <w:rPr>
                <w:rFonts w:ascii="Times New Roman" w:eastAsia="Times New Roman" w:hAnsi="Times New Roman" w:cs="Times New Roman"/>
                <w:noProof/>
                <w:sz w:val="16"/>
                <w:szCs w:val="16"/>
              </w:rPr>
            </w:pPr>
            <w:r>
              <w:rPr>
                <w:rFonts w:ascii="Times New Roman" w:hAnsi="Times New Roman"/>
                <w:b/>
                <w:noProof/>
                <w:sz w:val="16"/>
              </w:rPr>
              <w:t>Alte norme de punere în aplicare</w:t>
            </w:r>
          </w:p>
        </w:tc>
      </w:tr>
    </w:tbl>
    <w:p>
      <w:pPr>
        <w:rPr>
          <w:noProof/>
        </w:rPr>
      </w:pPr>
    </w:p>
    <w:p>
      <w:pPr>
        <w:rPr>
          <w:noProof/>
        </w:rPr>
      </w:pPr>
    </w:p>
    <w:sectPr>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sz w:val="16"/>
          <w:szCs w:val="16"/>
        </w:rPr>
      </w:pPr>
      <w:bookmarkStart w:id="26" w:name="_Hlk165031264"/>
      <w:r>
        <w:rPr>
          <w:rStyle w:val="FootnoteReference"/>
          <w:sz w:val="16"/>
          <w:szCs w:val="16"/>
        </w:rPr>
        <w:footnoteRef/>
      </w:r>
      <w:r>
        <w:rPr>
          <w:sz w:val="16"/>
        </w:rPr>
        <w:t xml:space="preserve"> Decizia 282/23 A privind programele de lucru hibride și modalitățile de acordare a orelor suplimentare și a concediului special pentru activități profesionale excepționale în cadrul CESE, adoptată la 22.2.2023 și intrată în vigoare la 1.1.2024</w:t>
      </w:r>
      <w:r>
        <w:t>.</w:t>
      </w:r>
      <w:bookmarkEnd w:id="26"/>
    </w:p>
  </w:footnote>
  <w:footnote w:id="2">
    <w:p>
      <w:pPr>
        <w:pStyle w:val="FootnoteText"/>
        <w:rPr>
          <w:sz w:val="16"/>
          <w:szCs w:val="16"/>
        </w:rPr>
      </w:pPr>
      <w:r>
        <w:rPr>
          <w:rStyle w:val="FootnoteReference"/>
          <w:sz w:val="16"/>
          <w:szCs w:val="16"/>
        </w:rPr>
        <w:footnoteRef/>
      </w:r>
      <w:r>
        <w:rPr>
          <w:sz w:val="16"/>
        </w:rPr>
        <w:t xml:space="preserve"> Idem</w:t>
      </w:r>
      <w:r>
        <w:t>.</w:t>
      </w:r>
    </w:p>
  </w:footnote>
  <w:footnote w:id="3">
    <w:p>
      <w:pPr>
        <w:pStyle w:val="FootnoteText"/>
        <w:rPr>
          <w:sz w:val="16"/>
          <w:szCs w:val="16"/>
        </w:rPr>
      </w:pPr>
      <w:r>
        <w:rPr>
          <w:rStyle w:val="FootnoteReference"/>
          <w:sz w:val="16"/>
          <w:szCs w:val="16"/>
        </w:rPr>
        <w:footnoteRef/>
      </w:r>
      <w:r>
        <w:rPr>
          <w:sz w:val="16"/>
        </w:rPr>
        <w:t xml:space="preserve"> Idem</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37E31"/>
    <w:multiLevelType w:val="hybridMultilevel"/>
    <w:tmpl w:val="DF08BC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EC07085"/>
    <w:multiLevelType w:val="hybridMultilevel"/>
    <w:tmpl w:val="CF3E3BEE"/>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B2435B6"/>
    <w:multiLevelType w:val="multilevel"/>
    <w:tmpl w:val="738E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1D6D7F"/>
    <w:multiLevelType w:val="hybridMultilevel"/>
    <w:tmpl w:val="E842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7431E"/>
    <w:multiLevelType w:val="multilevel"/>
    <w:tmpl w:val="1988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7545E0"/>
    <w:multiLevelType w:val="multilevel"/>
    <w:tmpl w:val="A57E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9C2B42"/>
    <w:multiLevelType w:val="hybridMultilevel"/>
    <w:tmpl w:val="59CC632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0"/>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la "/>
    <w:docVar w:name="LW_ANNEX_NBR_FIRST" w:val="2"/>
    <w:docVar w:name="LW_ANNEX_NBR_LAST" w:val="2"/>
    <w:docVar w:name="LW_ANNEX_UNIQUE" w:val="0"/>
    <w:docVar w:name="LW_CORRIGENDUM" w:val="&lt;UNUSED&gt;"/>
    <w:docVar w:name="LW_COVERPAGE_EXISTS" w:val="True"/>
    <w:docVar w:name="LW_COVERPAGE_GUID" w:val="B16E2A3D-AF30-47F4-8492-F6ED64BD4353"/>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lt;FMT:Font=Calibri CE&gt;privind normele adoptate de autoritatea împuternicit\u259? s\u259? fac\u259? numiri a fiec\u259?rei institu\u539?ii pentru punerea în aplicare a Statutului func\u539?ionarilor&lt;/FMT&gt;_x000d__x000d__x000b_"/>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RAPORTUL COMISIEI C\u258?TRE PARLAMENTUL EUROPEAN \u536?I CONSILIU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C2CFAC-4C3C-4BD3-B532-E45C40BD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1">
    <w:name w:val="No List11"/>
    <w:next w:val="NoList"/>
    <w:uiPriority w:val="99"/>
    <w:semiHidden/>
    <w:unhideWhenUsed/>
  </w:style>
  <w:style w:type="paragraph" w:styleId="BodyText">
    <w:name w:val="Body Text"/>
    <w:basedOn w:val="Normal"/>
    <w:link w:val="BodyTextChar"/>
    <w:uiPriority w:val="1"/>
    <w:qFormat/>
    <w:pPr>
      <w:widowControl w:val="0"/>
      <w:spacing w:before="83" w:after="0" w:line="240" w:lineRule="auto"/>
      <w:ind w:left="920"/>
    </w:pPr>
    <w:rPr>
      <w:rFonts w:ascii="Times New Roman" w:eastAsia="Times New Roman" w:hAnsi="Times New Roman"/>
      <w:i/>
      <w:sz w:val="15"/>
      <w:szCs w:val="15"/>
    </w:rPr>
  </w:style>
  <w:style w:type="character" w:customStyle="1" w:styleId="BodyTextChar">
    <w:name w:val="Body Text Char"/>
    <w:basedOn w:val="DefaultParagraphFont"/>
    <w:link w:val="BodyText"/>
    <w:uiPriority w:val="1"/>
    <w:rPr>
      <w:rFonts w:ascii="Times New Roman" w:eastAsia="Times New Roman" w:hAnsi="Times New Roman"/>
      <w:i/>
      <w:sz w:val="15"/>
      <w:szCs w:val="15"/>
      <w:lang w:val="ro-RO"/>
    </w:rPr>
  </w:style>
  <w:style w:type="paragraph" w:styleId="ListParagraph">
    <w:name w:val="List Paragraph"/>
    <w:basedOn w:val="Normal"/>
    <w:uiPriority w:val="34"/>
    <w:qFormat/>
    <w:pPr>
      <w:widowControl w:val="0"/>
      <w:spacing w:after="0" w:line="240" w:lineRule="auto"/>
    </w:pPr>
  </w:style>
  <w:style w:type="paragraph" w:customStyle="1" w:styleId="TableParagraph">
    <w:name w:val="Table Paragraph"/>
    <w:basedOn w:val="Normal"/>
    <w:uiPriority w:val="1"/>
    <w:qFormat/>
    <w:pPr>
      <w:widowControl w:val="0"/>
      <w:spacing w:after="0" w:line="240" w:lineRule="auto"/>
    </w:pPr>
  </w:style>
  <w:style w:type="numbering" w:customStyle="1" w:styleId="NoList2">
    <w:name w:val="No List2"/>
    <w:next w:val="NoList"/>
    <w:uiPriority w:val="99"/>
    <w:semiHidden/>
    <w:unhideWhenUsed/>
  </w:style>
  <w:style w:type="numbering" w:customStyle="1" w:styleId="NoList3">
    <w:name w:val="No List3"/>
    <w:next w:val="NoList"/>
    <w:uiPriority w:val="99"/>
    <w:semiHidden/>
    <w:unhideWhenUsed/>
  </w:style>
  <w:style w:type="numbering" w:customStyle="1" w:styleId="NoList4">
    <w:name w:val="No List4"/>
    <w:next w:val="NoList"/>
    <w:uiPriority w:val="99"/>
    <w:semiHidden/>
    <w:unhideWhenUsed/>
  </w:style>
  <w:style w:type="numbering" w:customStyle="1" w:styleId="NoList5">
    <w:name w:val="No List5"/>
    <w:next w:val="NoList"/>
    <w:uiPriority w:val="99"/>
    <w:semiHidden/>
    <w:unhideWhenUsed/>
  </w:style>
  <w:style w:type="numbering" w:customStyle="1" w:styleId="NoList6">
    <w:name w:val="No List6"/>
    <w:next w:val="NoList"/>
    <w:uiPriority w:val="99"/>
    <w:semiHidden/>
    <w:unhideWhenUsed/>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bCs/>
      <w:sz w:val="24"/>
      <w:szCs w:val="24"/>
      <w:lang w:eastAsia="en-GB"/>
    </w:rPr>
  </w:style>
  <w:style w:type="paragraph" w:customStyle="1" w:styleId="Typedudocument">
    <w:name w:val="Type du document"/>
    <w:basedOn w:val="Normal"/>
    <w:next w:val="Normal"/>
    <w:pPr>
      <w:spacing w:before="360" w:after="0" w:line="240" w:lineRule="auto"/>
      <w:jc w:val="center"/>
    </w:pPr>
    <w:rPr>
      <w:rFonts w:ascii="Times New Roman" w:eastAsia="Times New Roman" w:hAnsi="Times New Roman" w:cs="Times New Roman"/>
      <w:b/>
      <w:bCs/>
      <w:sz w:val="24"/>
      <w:szCs w:val="24"/>
      <w:lang w:eastAsia="en-GB"/>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ro-RO"/>
    </w:rPr>
  </w:style>
  <w:style w:type="character" w:styleId="FootnoteReference">
    <w:name w:val="footnote reference"/>
    <w:basedOn w:val="DefaultParagraphFont"/>
    <w:uiPriority w:val="99"/>
    <w:semiHidden/>
    <w:unhideWhenUsed/>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Hyperlink">
    <w:name w:val="Hyperlink"/>
    <w:basedOn w:val="DefaultParagraphFont"/>
    <w:uiPriority w:val="99"/>
    <w:unhideWhenUsed/>
    <w:rPr>
      <w:color w:val="0000FF"/>
      <w:u w:val="single"/>
    </w:rPr>
  </w:style>
  <w:style w:type="paragraph" w:styleId="Revision">
    <w:name w:val="Revision"/>
    <w:hidden/>
    <w:uiPriority w:val="99"/>
    <w:semiHidden/>
    <w:pPr>
      <w:spacing w:after="0" w:line="240" w:lineRule="auto"/>
    </w:p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0509">
      <w:bodyDiv w:val="1"/>
      <w:marLeft w:val="0"/>
      <w:marRight w:val="0"/>
      <w:marTop w:val="0"/>
      <w:marBottom w:val="0"/>
      <w:divBdr>
        <w:top w:val="none" w:sz="0" w:space="0" w:color="auto"/>
        <w:left w:val="none" w:sz="0" w:space="0" w:color="auto"/>
        <w:bottom w:val="none" w:sz="0" w:space="0" w:color="auto"/>
        <w:right w:val="none" w:sz="0" w:space="0" w:color="auto"/>
      </w:divBdr>
    </w:div>
    <w:div w:id="192153080">
      <w:bodyDiv w:val="1"/>
      <w:marLeft w:val="0"/>
      <w:marRight w:val="0"/>
      <w:marTop w:val="0"/>
      <w:marBottom w:val="0"/>
      <w:divBdr>
        <w:top w:val="none" w:sz="0" w:space="0" w:color="auto"/>
        <w:left w:val="none" w:sz="0" w:space="0" w:color="auto"/>
        <w:bottom w:val="none" w:sz="0" w:space="0" w:color="auto"/>
        <w:right w:val="none" w:sz="0" w:space="0" w:color="auto"/>
      </w:divBdr>
    </w:div>
    <w:div w:id="193156913">
      <w:bodyDiv w:val="1"/>
      <w:marLeft w:val="0"/>
      <w:marRight w:val="0"/>
      <w:marTop w:val="0"/>
      <w:marBottom w:val="0"/>
      <w:divBdr>
        <w:top w:val="none" w:sz="0" w:space="0" w:color="auto"/>
        <w:left w:val="none" w:sz="0" w:space="0" w:color="auto"/>
        <w:bottom w:val="none" w:sz="0" w:space="0" w:color="auto"/>
        <w:right w:val="none" w:sz="0" w:space="0" w:color="auto"/>
      </w:divBdr>
      <w:divsChild>
        <w:div w:id="2082754472">
          <w:marLeft w:val="0"/>
          <w:marRight w:val="0"/>
          <w:marTop w:val="0"/>
          <w:marBottom w:val="0"/>
          <w:divBdr>
            <w:top w:val="none" w:sz="0" w:space="0" w:color="auto"/>
            <w:left w:val="none" w:sz="0" w:space="0" w:color="auto"/>
            <w:bottom w:val="none" w:sz="0" w:space="0" w:color="auto"/>
            <w:right w:val="none" w:sz="0" w:space="0" w:color="auto"/>
          </w:divBdr>
          <w:divsChild>
            <w:div w:id="10771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7244">
      <w:bodyDiv w:val="1"/>
      <w:marLeft w:val="0"/>
      <w:marRight w:val="0"/>
      <w:marTop w:val="0"/>
      <w:marBottom w:val="0"/>
      <w:divBdr>
        <w:top w:val="none" w:sz="0" w:space="0" w:color="auto"/>
        <w:left w:val="none" w:sz="0" w:space="0" w:color="auto"/>
        <w:bottom w:val="none" w:sz="0" w:space="0" w:color="auto"/>
        <w:right w:val="none" w:sz="0" w:space="0" w:color="auto"/>
      </w:divBdr>
    </w:div>
    <w:div w:id="544030640">
      <w:bodyDiv w:val="1"/>
      <w:marLeft w:val="0"/>
      <w:marRight w:val="0"/>
      <w:marTop w:val="0"/>
      <w:marBottom w:val="0"/>
      <w:divBdr>
        <w:top w:val="none" w:sz="0" w:space="0" w:color="auto"/>
        <w:left w:val="none" w:sz="0" w:space="0" w:color="auto"/>
        <w:bottom w:val="none" w:sz="0" w:space="0" w:color="auto"/>
        <w:right w:val="none" w:sz="0" w:space="0" w:color="auto"/>
      </w:divBdr>
    </w:div>
    <w:div w:id="737751806">
      <w:bodyDiv w:val="1"/>
      <w:marLeft w:val="0"/>
      <w:marRight w:val="0"/>
      <w:marTop w:val="0"/>
      <w:marBottom w:val="0"/>
      <w:divBdr>
        <w:top w:val="none" w:sz="0" w:space="0" w:color="auto"/>
        <w:left w:val="none" w:sz="0" w:space="0" w:color="auto"/>
        <w:bottom w:val="none" w:sz="0" w:space="0" w:color="auto"/>
        <w:right w:val="none" w:sz="0" w:space="0" w:color="auto"/>
      </w:divBdr>
    </w:div>
    <w:div w:id="835191806">
      <w:bodyDiv w:val="1"/>
      <w:marLeft w:val="0"/>
      <w:marRight w:val="0"/>
      <w:marTop w:val="0"/>
      <w:marBottom w:val="0"/>
      <w:divBdr>
        <w:top w:val="none" w:sz="0" w:space="0" w:color="auto"/>
        <w:left w:val="none" w:sz="0" w:space="0" w:color="auto"/>
        <w:bottom w:val="none" w:sz="0" w:space="0" w:color="auto"/>
        <w:right w:val="none" w:sz="0" w:space="0" w:color="auto"/>
      </w:divBdr>
      <w:divsChild>
        <w:div w:id="1170022704">
          <w:marLeft w:val="0"/>
          <w:marRight w:val="0"/>
          <w:marTop w:val="0"/>
          <w:marBottom w:val="0"/>
          <w:divBdr>
            <w:top w:val="none" w:sz="0" w:space="0" w:color="auto"/>
            <w:left w:val="none" w:sz="0" w:space="0" w:color="auto"/>
            <w:bottom w:val="none" w:sz="0" w:space="0" w:color="auto"/>
            <w:right w:val="none" w:sz="0" w:space="0" w:color="auto"/>
          </w:divBdr>
          <w:divsChild>
            <w:div w:id="181031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25759">
      <w:bodyDiv w:val="1"/>
      <w:marLeft w:val="0"/>
      <w:marRight w:val="0"/>
      <w:marTop w:val="0"/>
      <w:marBottom w:val="0"/>
      <w:divBdr>
        <w:top w:val="none" w:sz="0" w:space="0" w:color="auto"/>
        <w:left w:val="none" w:sz="0" w:space="0" w:color="auto"/>
        <w:bottom w:val="none" w:sz="0" w:space="0" w:color="auto"/>
        <w:right w:val="none" w:sz="0" w:space="0" w:color="auto"/>
      </w:divBdr>
      <w:divsChild>
        <w:div w:id="949046969">
          <w:marLeft w:val="0"/>
          <w:marRight w:val="0"/>
          <w:marTop w:val="0"/>
          <w:marBottom w:val="0"/>
          <w:divBdr>
            <w:top w:val="none" w:sz="0" w:space="0" w:color="auto"/>
            <w:left w:val="none" w:sz="0" w:space="0" w:color="auto"/>
            <w:bottom w:val="none" w:sz="0" w:space="0" w:color="auto"/>
            <w:right w:val="none" w:sz="0" w:space="0" w:color="auto"/>
          </w:divBdr>
          <w:divsChild>
            <w:div w:id="99236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05662">
      <w:bodyDiv w:val="1"/>
      <w:marLeft w:val="0"/>
      <w:marRight w:val="0"/>
      <w:marTop w:val="0"/>
      <w:marBottom w:val="0"/>
      <w:divBdr>
        <w:top w:val="none" w:sz="0" w:space="0" w:color="auto"/>
        <w:left w:val="none" w:sz="0" w:space="0" w:color="auto"/>
        <w:bottom w:val="none" w:sz="0" w:space="0" w:color="auto"/>
        <w:right w:val="none" w:sz="0" w:space="0" w:color="auto"/>
      </w:divBdr>
    </w:div>
    <w:div w:id="982807774">
      <w:bodyDiv w:val="1"/>
      <w:marLeft w:val="0"/>
      <w:marRight w:val="0"/>
      <w:marTop w:val="0"/>
      <w:marBottom w:val="0"/>
      <w:divBdr>
        <w:top w:val="none" w:sz="0" w:space="0" w:color="auto"/>
        <w:left w:val="none" w:sz="0" w:space="0" w:color="auto"/>
        <w:bottom w:val="none" w:sz="0" w:space="0" w:color="auto"/>
        <w:right w:val="none" w:sz="0" w:space="0" w:color="auto"/>
      </w:divBdr>
      <w:divsChild>
        <w:div w:id="898202584">
          <w:marLeft w:val="0"/>
          <w:marRight w:val="0"/>
          <w:marTop w:val="0"/>
          <w:marBottom w:val="0"/>
          <w:divBdr>
            <w:top w:val="none" w:sz="0" w:space="0" w:color="auto"/>
            <w:left w:val="none" w:sz="0" w:space="0" w:color="auto"/>
            <w:bottom w:val="none" w:sz="0" w:space="0" w:color="auto"/>
            <w:right w:val="none" w:sz="0" w:space="0" w:color="auto"/>
          </w:divBdr>
          <w:divsChild>
            <w:div w:id="122325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03129">
      <w:bodyDiv w:val="1"/>
      <w:marLeft w:val="0"/>
      <w:marRight w:val="0"/>
      <w:marTop w:val="0"/>
      <w:marBottom w:val="0"/>
      <w:divBdr>
        <w:top w:val="none" w:sz="0" w:space="0" w:color="auto"/>
        <w:left w:val="none" w:sz="0" w:space="0" w:color="auto"/>
        <w:bottom w:val="none" w:sz="0" w:space="0" w:color="auto"/>
        <w:right w:val="none" w:sz="0" w:space="0" w:color="auto"/>
      </w:divBdr>
    </w:div>
    <w:div w:id="1432700066">
      <w:bodyDiv w:val="1"/>
      <w:marLeft w:val="0"/>
      <w:marRight w:val="0"/>
      <w:marTop w:val="0"/>
      <w:marBottom w:val="0"/>
      <w:divBdr>
        <w:top w:val="none" w:sz="0" w:space="0" w:color="auto"/>
        <w:left w:val="none" w:sz="0" w:space="0" w:color="auto"/>
        <w:bottom w:val="none" w:sz="0" w:space="0" w:color="auto"/>
        <w:right w:val="none" w:sz="0" w:space="0" w:color="auto"/>
      </w:divBdr>
    </w:div>
    <w:div w:id="1571382526">
      <w:bodyDiv w:val="1"/>
      <w:marLeft w:val="0"/>
      <w:marRight w:val="0"/>
      <w:marTop w:val="0"/>
      <w:marBottom w:val="0"/>
      <w:divBdr>
        <w:top w:val="none" w:sz="0" w:space="0" w:color="auto"/>
        <w:left w:val="none" w:sz="0" w:space="0" w:color="auto"/>
        <w:bottom w:val="none" w:sz="0" w:space="0" w:color="auto"/>
        <w:right w:val="none" w:sz="0" w:space="0" w:color="auto"/>
      </w:divBdr>
    </w:div>
    <w:div w:id="163008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mycor.cor.europa.eu/EN/Directorate_E/Documents/Guide_recruitment_EN.pdf"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mycor.cor.europa.eu/EN/Directorate_E/Documents/Guide_recruitment_EN.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mycor.cor.europa.eu/EN/Directorate_E/Documents/Guide_recruitment_EN.pdf"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mycor.cor.europa.eu/EN/Directorate_E/Documents/Guide_recruitment_EN.pdf"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mycor.cor.europa.eu/EN/Directorate_E/Documents/Guide_recruitment_EN.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mycor.cor.europa.eu/EN/Directorate_E/Documents/Guide_recruitment_EN.pdf" TargetMode="Externa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0EAE99CC9E7746B483BE235311504F" ma:contentTypeVersion="2" ma:contentTypeDescription="Create a new document." ma:contentTypeScope="" ma:versionID="3c9848c6b6557fab318c025a8ed6bb24">
  <xsd:schema xmlns:xsd="http://www.w3.org/2001/XMLSchema" xmlns:xs="http://www.w3.org/2001/XMLSchema" xmlns:p="http://schemas.microsoft.com/office/2006/metadata/properties" xmlns:ns2="d4103b44-30bb-4c0a-b500-a8733876a7e3" targetNamespace="http://schemas.microsoft.com/office/2006/metadata/properties" ma:root="true" ma:fieldsID="2609c24d4ebd9dffc166b90425401509" ns2:_="">
    <xsd:import namespace="d4103b44-30bb-4c0a-b500-a8733876a7e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103b44-30bb-4c0a-b500-a8733876a7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8FABD-9DF4-43D4-90E7-960F2C254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103b44-30bb-4c0a-b500-a8733876a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63B0AD-DB77-4BE3-88FA-81E9FDC8F664}">
  <ds:schemaRefs>
    <ds:schemaRef ds:uri="http://schemas.microsoft.com/sharepoint/v3/contenttype/forms"/>
  </ds:schemaRefs>
</ds:datastoreItem>
</file>

<file path=customXml/itemProps3.xml><?xml version="1.0" encoding="utf-8"?>
<ds:datastoreItem xmlns:ds="http://schemas.openxmlformats.org/officeDocument/2006/customXml" ds:itemID="{AE745F7F-6CE3-48CE-82C9-5597DDCEE9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87E76F-1774-42DB-B9B3-0187E861C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26576</Words>
  <Characters>151485</Characters>
  <Application>Microsoft Office Word</Application>
  <DocSecurity>0</DocSecurity>
  <Lines>1262</Lines>
  <Paragraphs>355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14</cp:revision>
  <cp:lastPrinted>2026-03-26T10:11:00Z</cp:lastPrinted>
  <dcterms:created xsi:type="dcterms:W3CDTF">2026-05-05T10:59:00Z</dcterms:created>
  <dcterms:modified xsi:type="dcterms:W3CDTF">2026-09-10T12:54:00Z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2024-02-28T11:35:04Z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4114eea7-f404-40cb-89f4-624a0941ce0d</vt:lpwstr>
  </property>
  <property fmtid="{D5CDD505-2E9C-101B-9397-08002B2CF9AE}" pid="8" name="MSIP_Label_6bd9ddd1-4d20-43f6-abfa-fc3c07406f94_ContentBits">
    <vt:lpwstr>0</vt:lpwstr>
  </property>
  <property fmtid="{D5CDD505-2E9C-101B-9397-08002B2CF9AE}" pid="9" name="ContentTypeId">
    <vt:lpwstr>0x010100F50EAE99CC9E7746B483BE235311504F</vt:lpwstr>
  </property>
  <property fmtid="{D5CDD505-2E9C-101B-9397-08002B2CF9AE}" pid="10" name="Level of sensitivity">
    <vt:lpwstr>Standard treatment</vt:lpwstr>
  </property>
  <property fmtid="{D5CDD505-2E9C-101B-9397-08002B2CF9AE}" pid="11" name="First annex">
    <vt:lpwstr>2</vt:lpwstr>
  </property>
  <property fmtid="{D5CDD505-2E9C-101B-9397-08002B2CF9AE}" pid="12" name="Last annex">
    <vt:lpwstr>2</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ies>
</file>