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4893BF4-F6F4-40D6-9D6F-144017144AF7" style="width:455.25pt;height:387pt">
            <v:imagedata r:id="rId7" o:title=""/>
          </v:shape>
        </w:pict>
      </w:r>
    </w:p>
    <w:bookmarkEnd w:id="0"/>
    <w:p>
      <w:pPr>
        <w:rPr>
          <w:noProof/>
          <w:lang w:eastAsia="en-GB"/>
        </w:rPr>
        <w:sectPr>
          <w:headerReference w:type="even" r:id="rId8"/>
          <w:headerReference w:type="default" r:id="rId9"/>
          <w:footerReference w:type="even" r:id="rId10"/>
          <w:footerReference w:type="default" r:id="rId11"/>
          <w:headerReference w:type="first" r:id="rId12"/>
          <w:footerReference w:type="first" r:id="rId13"/>
          <w:pgSz w:w="11906" w:h="16838" w:code="8"/>
          <w:pgMar w:top="1134" w:right="1417" w:bottom="1134" w:left="1417" w:header="709" w:footer="709" w:gutter="0"/>
          <w:pgNumType w:start="0"/>
          <w:cols w:space="720"/>
          <w:docGrid w:linePitch="360"/>
        </w:sectPr>
      </w:pPr>
    </w:p>
    <w:tbl>
      <w:tblPr>
        <w:tblStyle w:val="TableGrid"/>
        <w:tblW w:w="15559" w:type="dxa"/>
        <w:tblLook w:val="04A0" w:firstRow="1" w:lastRow="0" w:firstColumn="1" w:lastColumn="0" w:noHBand="0" w:noVBand="1"/>
      </w:tblPr>
      <w:tblGrid>
        <w:gridCol w:w="15559"/>
      </w:tblGrid>
      <w:tr>
        <w:tc>
          <w:tcPr>
            <w:tcW w:w="15559" w:type="dxa"/>
            <w:shd w:val="clear" w:color="auto" w:fill="C2D69B" w:themeFill="accent3" w:themeFillTint="99"/>
            <w:vAlign w:val="center"/>
          </w:tcPr>
          <w:p>
            <w:pPr>
              <w:pStyle w:val="Objetacteprincipal"/>
              <w:rPr>
                <w:noProof/>
              </w:rPr>
            </w:pPr>
            <w:r>
              <w:rPr>
                <w:noProof/>
                <w:sz w:val="72"/>
              </w:rPr>
              <w:lastRenderedPageBreak/>
              <w:t>Statut</w:t>
            </w:r>
            <w:r>
              <w:rPr>
                <w:noProof/>
                <w:sz w:val="72"/>
              </w:rPr>
              <w:br/>
            </w:r>
            <w:r>
              <w:rPr>
                <w:noProof/>
                <w:sz w:val="36"/>
              </w:rPr>
              <w:t>(applicable par analogie aux autres agents lorsque le RAA le prévoit expressément)</w:t>
            </w:r>
          </w:p>
        </w:tc>
      </w:tr>
    </w:tbl>
    <w:p>
      <w:pPr>
        <w:pStyle w:val="Objetacteprincipal"/>
        <w:rPr>
          <w:noProof/>
        </w:rPr>
      </w:pP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rPr>
          <w:trHeight w:val="875"/>
        </w:trPr>
        <w:tc>
          <w:tcPr>
            <w:tcW w:w="1407"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szCs w:val="28"/>
              </w:rPr>
              <w:t xml:space="preserve">Article </w:t>
            </w:r>
          </w:p>
        </w:tc>
        <w:tc>
          <w:tcPr>
            <w:tcW w:w="2452"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Sujet</w:t>
            </w:r>
          </w:p>
        </w:tc>
        <w:tc>
          <w:tcPr>
            <w:tcW w:w="1337"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PE</w:t>
            </w:r>
          </w:p>
        </w:tc>
        <w:tc>
          <w:tcPr>
            <w:tcW w:w="984"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w:t>
            </w:r>
          </w:p>
        </w:tc>
        <w:tc>
          <w:tcPr>
            <w:tcW w:w="1337"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COM</w:t>
            </w:r>
          </w:p>
        </w:tc>
        <w:tc>
          <w:tcPr>
            <w:tcW w:w="1337"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CJUE</w:t>
            </w:r>
          </w:p>
        </w:tc>
        <w:tc>
          <w:tcPr>
            <w:tcW w:w="1337"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CCE</w:t>
            </w:r>
          </w:p>
        </w:tc>
        <w:tc>
          <w:tcPr>
            <w:tcW w:w="1116"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 xml:space="preserve">SEAE </w:t>
            </w:r>
          </w:p>
        </w:tc>
        <w:tc>
          <w:tcPr>
            <w:tcW w:w="1205"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CESE</w:t>
            </w:r>
          </w:p>
        </w:tc>
        <w:tc>
          <w:tcPr>
            <w:tcW w:w="1337"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CdR</w:t>
            </w:r>
          </w:p>
        </w:tc>
        <w:tc>
          <w:tcPr>
            <w:tcW w:w="851"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ME</w:t>
            </w:r>
          </w:p>
        </w:tc>
        <w:tc>
          <w:tcPr>
            <w:tcW w:w="915" w:type="dxa"/>
            <w:tcBorders>
              <w:bottom w:val="single" w:sz="4" w:space="0" w:color="auto"/>
            </w:tcBorders>
            <w:shd w:val="clear" w:color="auto" w:fill="C2D69B" w:themeFill="accent3" w:themeFillTint="99"/>
            <w:vAlign w:val="center"/>
          </w:tcPr>
          <w:p>
            <w:pPr>
              <w:jc w:val="center"/>
              <w:rPr>
                <w:b/>
                <w:noProof/>
                <w:sz w:val="24"/>
                <w:szCs w:val="24"/>
              </w:rPr>
            </w:pPr>
            <w:r>
              <w:rPr>
                <w:rFonts w:ascii="Times New Roman" w:hAnsi="Times New Roman"/>
                <w:b/>
                <w:noProof/>
                <w:sz w:val="24"/>
                <w:szCs w:val="24"/>
              </w:rPr>
              <w:t>CEPD</w:t>
            </w:r>
          </w:p>
        </w:tc>
      </w:tr>
      <w:tr>
        <w:trPr>
          <w:trHeight w:val="297"/>
        </w:trPr>
        <w:tc>
          <w:tcPr>
            <w:tcW w:w="1407" w:type="dxa"/>
            <w:tcBorders>
              <w:top w:val="single" w:sz="4" w:space="0" w:color="auto"/>
              <w:left w:val="nil"/>
              <w:bottom w:val="single" w:sz="4" w:space="0" w:color="auto"/>
              <w:right w:val="nil"/>
            </w:tcBorders>
          </w:tcPr>
          <w:p>
            <w:pPr>
              <w:jc w:val="center"/>
              <w:rPr>
                <w:noProof/>
                <w:sz w:val="24"/>
                <w:szCs w:val="24"/>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bottom w:val="single" w:sz="4" w:space="0" w:color="auto"/>
            </w:tcBorders>
            <w:shd w:val="clear" w:color="auto" w:fill="C2D69B" w:themeFill="accent3" w:themeFillTint="99"/>
          </w:tcPr>
          <w:p>
            <w:pPr>
              <w:jc w:val="center"/>
              <w:rPr>
                <w:noProof/>
                <w:sz w:val="24"/>
                <w:szCs w:val="24"/>
              </w:rPr>
            </w:pPr>
            <w:r>
              <w:rPr>
                <w:rFonts w:ascii="Times New Roman" w:hAnsi="Times New Roman"/>
                <w:b/>
                <w:noProof/>
                <w:sz w:val="24"/>
                <w:szCs w:val="24"/>
              </w:rPr>
              <w:t>Titre I – Dispositions générales</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quinquies</w:t>
            </w:r>
            <w:r>
              <w:rPr>
                <w:rFonts w:ascii="Times New Roman" w:hAnsi="Times New Roman"/>
                <w:b/>
                <w:noProof/>
                <w:sz w:val="24"/>
                <w:szCs w:val="24"/>
              </w:rPr>
              <w:t>, par. 4</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Handicap</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noProof/>
              </w:rPr>
            </w:pPr>
            <w:r>
              <w:rPr>
                <w:rFonts w:ascii="Times New Roman" w:hAnsi="Times New Roman"/>
                <w:b/>
                <w:noProof/>
                <w:sz w:val="36"/>
              </w:rPr>
              <w:t> 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quinquies</w:t>
            </w:r>
            <w:r>
              <w:rPr>
                <w:rFonts w:ascii="Times New Roman" w:hAnsi="Times New Roman"/>
                <w:b/>
                <w:noProof/>
                <w:sz w:val="24"/>
                <w:szCs w:val="24"/>
              </w:rPr>
              <w:t>, par. 4 + 76</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1" w:name="_Hlk177924707"/>
            <w:r>
              <w:rPr>
                <w:rFonts w:ascii="Times New Roman" w:hAnsi="Times New Roman"/>
                <w:b/>
                <w:noProof/>
                <w:sz w:val="28"/>
              </w:rPr>
              <w:t>Octroi d’une aide complémentaire aux personnes handicapées</w:t>
            </w:r>
            <w:bookmarkEnd w:id="1"/>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sexies</w:t>
            </w:r>
            <w:r>
              <w:rPr>
                <w:rFonts w:ascii="Times New Roman" w:hAnsi="Times New Roman"/>
                <w:b/>
                <w:noProof/>
                <w:sz w:val="24"/>
                <w:szCs w:val="24"/>
              </w:rPr>
              <w:t>, par. 1</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Mesures à caractère social</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quinquies</w:t>
            </w:r>
            <w:r>
              <w:rPr>
                <w:rFonts w:ascii="Times New Roman" w:hAnsi="Times New Roman"/>
                <w:b/>
                <w:noProof/>
                <w:sz w:val="24"/>
                <w:szCs w:val="24"/>
              </w:rPr>
              <w:t>, par. 1 / 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quinquies</w:t>
            </w:r>
            <w:r>
              <w:rPr>
                <w:rFonts w:ascii="Times New Roman" w:hAnsi="Times New Roman"/>
                <w:b/>
                <w:noProof/>
                <w:sz w:val="24"/>
                <w:szCs w:val="24"/>
              </w:rPr>
              <w:t>, par. 2</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Télétravail</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sexies</w:t>
            </w:r>
            <w:r>
              <w:rPr>
                <w:rFonts w:ascii="Times New Roman" w:hAnsi="Times New Roman"/>
                <w:b/>
                <w:noProof/>
                <w:sz w:val="24"/>
                <w:szCs w:val="24"/>
              </w:rPr>
              <w:t>, par. 2</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Santé et sécurité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quinquies</w:t>
            </w:r>
            <w:r>
              <w:rPr>
                <w:rFonts w:ascii="Times New Roman" w:hAnsi="Times New Roman"/>
                <w:b/>
                <w:noProof/>
                <w:sz w:val="24"/>
                <w:szCs w:val="24"/>
              </w:rPr>
              <w:t>, par. 1 / 1</w:t>
            </w:r>
            <w:r>
              <w:rPr>
                <w:rFonts w:ascii="Times New Roman" w:hAnsi="Times New Roman"/>
                <w:b/>
                <w:noProof/>
                <w:sz w:val="24"/>
                <w:szCs w:val="24"/>
                <w:vertAlign w:val="superscript"/>
              </w:rPr>
              <w:t>er</w:t>
            </w:r>
            <w:r>
              <w:rPr>
                <w:rFonts w:ascii="Times New Roman" w:hAnsi="Times New Roman"/>
                <w:b/>
                <w:noProof/>
                <w:sz w:val="24"/>
                <w:szCs w:val="24"/>
              </w:rPr>
              <w:t xml:space="preserve"> </w:t>
            </w:r>
            <w:r>
              <w:rPr>
                <w:rFonts w:ascii="Times New Roman" w:hAnsi="Times New Roman"/>
                <w:b/>
                <w:i/>
                <w:iCs/>
                <w:noProof/>
                <w:sz w:val="24"/>
                <w:szCs w:val="24"/>
              </w:rPr>
              <w:t>quinquies</w:t>
            </w:r>
            <w:r>
              <w:rPr>
                <w:rFonts w:ascii="Times New Roman" w:hAnsi="Times New Roman"/>
                <w:b/>
                <w:noProof/>
                <w:sz w:val="24"/>
                <w:szCs w:val="24"/>
              </w:rPr>
              <w:t>, par. 2</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Indemnité compensatoire pour le personnel affecté à Luxembourg percevant un salaire inférieur au salaire minimum</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2</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Pouvoirs de l’autorité investie du pouvoir de nomination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4</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Comité consultatif des nominations (CCN)</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vMerge w:val="restart"/>
            <w:tcBorders>
              <w:top w:val="nil"/>
              <w:left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 xml:space="preserve">5 + </w:t>
            </w:r>
            <w:r>
              <w:rPr>
                <w:rFonts w:ascii="Times New Roman" w:hAnsi="Times New Roman"/>
                <w:b/>
                <w:noProof/>
                <w:sz w:val="24"/>
                <w:szCs w:val="24"/>
              </w:rPr>
              <w:br/>
              <w:t xml:space="preserve">annexe I </w:t>
            </w:r>
          </w:p>
        </w:tc>
        <w:tc>
          <w:tcPr>
            <w:tcW w:w="2452"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Emplois types et intitulés d’emploi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r>
      <w:tr>
        <w:tc>
          <w:tcPr>
            <w:tcW w:w="1407" w:type="dxa"/>
            <w:vMerge/>
            <w:tcBorders>
              <w:left w:val="single" w:sz="4" w:space="0" w:color="auto"/>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65"/>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5 + annexe I et annexe XIII (art. 30 et 31)</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Classement des fonctionnaires investis de responsabilités particulières en tant que «chef d’unité ou équivalent» ou «conseiller ou équivalent» avant le 31 décembre 2015</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851"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rPr>
              <w:t>X</w:t>
            </w: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7</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Transfert/mobilité</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407" w:type="dxa"/>
            <w:tcBorders>
              <w:top w:val="nil"/>
              <w:left w:val="single" w:sz="4" w:space="0" w:color="auto"/>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lastRenderedPageBreak/>
              <w:t>Article 9 + annexe II (art. 2)</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Modalités de constitution de la commission paritaire commune (Coparco)</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9 + annexe II, annexe IX</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Comités et commissions</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b/>
                <w:bCs/>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10</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Comité du statut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bottom w:val="single" w:sz="4" w:space="0" w:color="auto"/>
            </w:tcBorders>
            <w:shd w:val="clear" w:color="auto" w:fill="C2D69B" w:themeFill="accent3" w:themeFillTint="99"/>
          </w:tcPr>
          <w:p>
            <w:pPr>
              <w:jc w:val="center"/>
              <w:rPr>
                <w:noProof/>
              </w:rPr>
            </w:pPr>
            <w:r>
              <w:rPr>
                <w:rFonts w:ascii="Times New Roman" w:hAnsi="Times New Roman"/>
                <w:b/>
                <w:noProof/>
                <w:sz w:val="56"/>
              </w:rPr>
              <w:t>Titre II – Droits et obligations</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11 à 21</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Éthique et intégrité</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12 </w:t>
            </w:r>
            <w:r>
              <w:rPr>
                <w:rFonts w:ascii="Times New Roman" w:hAnsi="Times New Roman"/>
                <w:b/>
                <w:i/>
                <w:iCs/>
                <w:noProof/>
                <w:sz w:val="24"/>
                <w:szCs w:val="24"/>
              </w:rPr>
              <w:t>bis</w:t>
            </w:r>
            <w:r>
              <w:rPr>
                <w:rFonts w:ascii="Times New Roman" w:hAnsi="Times New Roman"/>
                <w:b/>
                <w:noProof/>
                <w:sz w:val="24"/>
                <w:szCs w:val="24"/>
              </w:rPr>
              <w:t xml:space="preserve"> </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Harcèlement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12 </w:t>
            </w:r>
            <w:r>
              <w:rPr>
                <w:rFonts w:ascii="Times New Roman" w:hAnsi="Times New Roman"/>
                <w:b/>
                <w:i/>
                <w:iCs/>
                <w:noProof/>
                <w:sz w:val="24"/>
                <w:szCs w:val="24"/>
              </w:rPr>
              <w:t>ter</w:t>
            </w:r>
            <w:r>
              <w:rPr>
                <w:rFonts w:ascii="Times New Roman" w:hAnsi="Times New Roman"/>
                <w:b/>
                <w:noProof/>
                <w:sz w:val="24"/>
                <w:szCs w:val="24"/>
              </w:rPr>
              <w:t>, 16 et 17</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Activités extérieures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15</w:t>
            </w:r>
          </w:p>
        </w:tc>
        <w:tc>
          <w:tcPr>
            <w:tcW w:w="2452" w:type="dxa"/>
            <w:tcBorders>
              <w:top w:val="nil"/>
              <w:left w:val="nil"/>
              <w:bottom w:val="single" w:sz="4" w:space="0" w:color="auto"/>
              <w:right w:val="single" w:sz="4" w:space="0" w:color="auto"/>
            </w:tcBorders>
            <w:vAlign w:val="center"/>
          </w:tcPr>
          <w:p>
            <w:pPr>
              <w:rPr>
                <w:rFonts w:ascii="Times New Roman" w:eastAsia="Times New Roman" w:hAnsi="Times New Roman" w:cs="Times New Roman"/>
                <w:b/>
                <w:bCs/>
                <w:noProof/>
                <w:sz w:val="28"/>
                <w:szCs w:val="28"/>
              </w:rPr>
            </w:pPr>
            <w:bookmarkStart w:id="2" w:name="_Hlk177924834"/>
            <w:r>
              <w:rPr>
                <w:rFonts w:ascii="Times New Roman" w:hAnsi="Times New Roman"/>
                <w:b/>
                <w:noProof/>
                <w:sz w:val="28"/>
              </w:rPr>
              <w:t xml:space="preserve">Activités extérieures - </w:t>
            </w:r>
          </w:p>
          <w:p>
            <w:pPr>
              <w:jc w:val="center"/>
              <w:rPr>
                <w:rFonts w:ascii="Times New Roman" w:eastAsia="Times New Roman" w:hAnsi="Times New Roman" w:cs="Times New Roman"/>
                <w:b/>
                <w:bCs/>
                <w:noProof/>
                <w:sz w:val="28"/>
                <w:szCs w:val="28"/>
              </w:rPr>
            </w:pPr>
            <w:r>
              <w:rPr>
                <w:rFonts w:ascii="Times New Roman" w:hAnsi="Times New Roman"/>
                <w:b/>
                <w:noProof/>
                <w:sz w:val="28"/>
              </w:rPr>
              <w:t>conduite du personnel liée aux élections</w:t>
            </w:r>
            <w:bookmarkEnd w:id="2"/>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20</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Lieu de résidence</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22</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Responsabilité financière</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 xml:space="preserve">22 </w:t>
            </w:r>
            <w:r>
              <w:rPr>
                <w:rFonts w:ascii="Times New Roman" w:hAnsi="Times New Roman"/>
                <w:b/>
                <w:i/>
                <w:iCs/>
                <w:noProof/>
                <w:sz w:val="24"/>
                <w:szCs w:val="24"/>
              </w:rPr>
              <w:t>bis</w:t>
            </w:r>
            <w:r>
              <w:rPr>
                <w:rFonts w:ascii="Times New Roman" w:hAnsi="Times New Roman"/>
                <w:b/>
                <w:noProof/>
                <w:sz w:val="24"/>
                <w:szCs w:val="24"/>
              </w:rPr>
              <w:t xml:space="preserve"> à 22 </w:t>
            </w:r>
            <w:r>
              <w:rPr>
                <w:rFonts w:ascii="Times New Roman" w:hAnsi="Times New Roman"/>
                <w:b/>
                <w:i/>
                <w:iCs/>
                <w:noProof/>
                <w:sz w:val="24"/>
                <w:szCs w:val="24"/>
              </w:rPr>
              <w:t>quater</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Dénonciation des dysfonctionnements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24</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Demandes d’assistance -</w:t>
            </w:r>
            <w:r>
              <w:rPr>
                <w:noProof/>
              </w:rPr>
              <w:t xml:space="preserve"> </w:t>
            </w:r>
            <w:bookmarkStart w:id="3" w:name="_Hlk177924940"/>
            <w:r>
              <w:rPr>
                <w:rFonts w:ascii="Times New Roman" w:hAnsi="Times New Roman"/>
                <w:b/>
                <w:noProof/>
                <w:sz w:val="28"/>
              </w:rPr>
              <w:t>Plaintes pour harcèlement concernant des députés au Parlement européen</w:t>
            </w:r>
            <w:bookmarkEnd w:id="3"/>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24 </w:t>
            </w:r>
            <w:r>
              <w:rPr>
                <w:rFonts w:ascii="Times New Roman" w:hAnsi="Times New Roman"/>
                <w:b/>
                <w:i/>
                <w:iCs/>
                <w:noProof/>
                <w:sz w:val="24"/>
                <w:szCs w:val="24"/>
              </w:rPr>
              <w:t>bis</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Formation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 xml:space="preserve">24 </w:t>
            </w:r>
            <w:r>
              <w:rPr>
                <w:rFonts w:ascii="Times New Roman" w:hAnsi="Times New Roman"/>
                <w:b/>
                <w:i/>
                <w:iCs/>
                <w:noProof/>
                <w:sz w:val="24"/>
                <w:szCs w:val="24"/>
              </w:rPr>
              <w:t>bis</w:t>
            </w:r>
            <w:r>
              <w:rPr>
                <w:rFonts w:ascii="Times New Roman" w:hAnsi="Times New Roman"/>
                <w:b/>
                <w:noProof/>
                <w:sz w:val="24"/>
                <w:szCs w:val="24"/>
              </w:rPr>
              <w:t xml:space="preserve"> (57, annexe V)</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Formation sur la propre initiative du personnel</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 xml:space="preserve">24 </w:t>
            </w:r>
            <w:r>
              <w:rPr>
                <w:rFonts w:ascii="Times New Roman" w:hAnsi="Times New Roman"/>
                <w:b/>
                <w:i/>
                <w:iCs/>
                <w:noProof/>
                <w:sz w:val="24"/>
                <w:szCs w:val="24"/>
              </w:rPr>
              <w:t>ter</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Organisations syndicales</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rFonts w:ascii="Times New Roman" w:eastAsia="Times New Roman" w:hAnsi="Times New Roman" w:cs="Times New Roman"/>
                <w:b/>
                <w:bCs/>
                <w:noProof/>
                <w:sz w:val="44"/>
                <w:szCs w:val="44"/>
              </w:rPr>
            </w:pPr>
            <w:r>
              <w:rPr>
                <w:rFonts w:ascii="Times New Roman" w:hAnsi="Times New Roman"/>
                <w:b/>
                <w:noProof/>
                <w:sz w:val="44"/>
              </w:rPr>
              <w:t xml:space="preserve">Titre III – De la carrière du fonctionnaire </w:t>
            </w:r>
          </w:p>
        </w:tc>
      </w:tr>
      <w:tr>
        <w:tc>
          <w:tcPr>
            <w:tcW w:w="15615" w:type="dxa"/>
            <w:gridSpan w:val="12"/>
            <w:shd w:val="clear" w:color="auto" w:fill="C2D69B" w:themeFill="accent3" w:themeFillTint="99"/>
            <w:vAlign w:val="center"/>
          </w:tcPr>
          <w:p>
            <w:pPr>
              <w:jc w:val="center"/>
              <w:rPr>
                <w:rFonts w:ascii="Times New Roman" w:eastAsia="Times New Roman" w:hAnsi="Times New Roman" w:cs="Times New Roman"/>
                <w:b/>
                <w:bCs/>
                <w:noProof/>
                <w:sz w:val="44"/>
                <w:szCs w:val="44"/>
              </w:rPr>
            </w:pPr>
            <w:r>
              <w:rPr>
                <w:rFonts w:ascii="Times New Roman" w:hAnsi="Times New Roman"/>
                <w:b/>
                <w:noProof/>
                <w:sz w:val="44"/>
              </w:rPr>
              <w:t xml:space="preserve">Chapitre 1 – Recrutement </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27 à 34</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Recrutement</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27</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Équilibre géographique</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29</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Encadrement intermédiaire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29, par. 2 </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Recrutement de personnel d’encadrement supérieur</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Pr>
          <w:p>
            <w:pPr>
              <w:jc w:val="center"/>
              <w:rPr>
                <w:noProof/>
                <w:sz w:val="24"/>
                <w:szCs w:val="24"/>
              </w:rPr>
            </w:pPr>
            <w:r>
              <w:rPr>
                <w:rFonts w:ascii="Times New Roman" w:hAnsi="Times New Roman"/>
                <w:b/>
                <w:noProof/>
                <w:sz w:val="24"/>
                <w:szCs w:val="24"/>
              </w:rPr>
              <w:t>34</w:t>
            </w:r>
          </w:p>
        </w:tc>
        <w:tc>
          <w:tcPr>
            <w:tcW w:w="2452" w:type="dxa"/>
          </w:tcPr>
          <w:p>
            <w:pPr>
              <w:jc w:val="center"/>
              <w:rPr>
                <w:noProof/>
              </w:rPr>
            </w:pPr>
            <w:r>
              <w:rPr>
                <w:rFonts w:ascii="Times New Roman" w:hAnsi="Times New Roman"/>
                <w:b/>
                <w:noProof/>
                <w:sz w:val="28"/>
              </w:rPr>
              <w:t>Période de stage</w:t>
            </w:r>
          </w:p>
        </w:tc>
        <w:tc>
          <w:tcPr>
            <w:tcW w:w="1337" w:type="dxa"/>
          </w:tcPr>
          <w:p>
            <w:pPr>
              <w:jc w:val="center"/>
              <w:rPr>
                <w:noProof/>
              </w:rPr>
            </w:pPr>
          </w:p>
        </w:tc>
        <w:tc>
          <w:tcPr>
            <w:tcW w:w="984" w:type="dxa"/>
            <w:shd w:val="clear" w:color="auto" w:fill="D99594" w:themeFill="accent2" w:themeFillTint="99"/>
          </w:tcPr>
          <w:p>
            <w:pPr>
              <w:jc w:val="center"/>
              <w:rPr>
                <w:noProof/>
              </w:rPr>
            </w:pPr>
            <w:r>
              <w:rPr>
                <w:rFonts w:ascii="Times New Roman" w:hAnsi="Times New Roman"/>
                <w:b/>
                <w:noProof/>
                <w:sz w:val="36"/>
              </w:rPr>
              <w:t>X</w:t>
            </w:r>
          </w:p>
        </w:tc>
        <w:tc>
          <w:tcPr>
            <w:tcW w:w="1337" w:type="dxa"/>
          </w:tcPr>
          <w:p>
            <w:pPr>
              <w:jc w:val="center"/>
              <w:rPr>
                <w:noProof/>
              </w:rPr>
            </w:pPr>
          </w:p>
        </w:tc>
        <w:tc>
          <w:tcPr>
            <w:tcW w:w="1337" w:type="dxa"/>
          </w:tcPr>
          <w:p>
            <w:pPr>
              <w:jc w:val="center"/>
              <w:rPr>
                <w:noProof/>
              </w:rPr>
            </w:pPr>
          </w:p>
        </w:tc>
        <w:tc>
          <w:tcPr>
            <w:tcW w:w="1337" w:type="dxa"/>
            <w:shd w:val="clear" w:color="auto" w:fill="D99594" w:themeFill="accent2" w:themeFillTint="99"/>
          </w:tcPr>
          <w:p>
            <w:pPr>
              <w:jc w:val="center"/>
              <w:rPr>
                <w:noProof/>
              </w:rPr>
            </w:pPr>
            <w:r>
              <w:rPr>
                <w:rFonts w:ascii="Times New Roman" w:hAnsi="Times New Roman"/>
                <w:b/>
                <w:noProof/>
                <w:sz w:val="36"/>
              </w:rPr>
              <w:t>X</w:t>
            </w:r>
          </w:p>
        </w:tc>
        <w:tc>
          <w:tcPr>
            <w:tcW w:w="1116" w:type="dxa"/>
          </w:tcPr>
          <w:p>
            <w:pPr>
              <w:jc w:val="center"/>
              <w:rPr>
                <w:noProof/>
              </w:rPr>
            </w:pPr>
          </w:p>
        </w:tc>
        <w:tc>
          <w:tcPr>
            <w:tcW w:w="1205" w:type="dxa"/>
          </w:tcPr>
          <w:p>
            <w:pPr>
              <w:jc w:val="center"/>
              <w:rPr>
                <w:noProof/>
              </w:rPr>
            </w:pPr>
          </w:p>
        </w:tc>
        <w:tc>
          <w:tcPr>
            <w:tcW w:w="1337" w:type="dxa"/>
          </w:tcPr>
          <w:p>
            <w:pPr>
              <w:jc w:val="center"/>
              <w:rPr>
                <w:noProof/>
              </w:rPr>
            </w:pPr>
          </w:p>
        </w:tc>
        <w:tc>
          <w:tcPr>
            <w:tcW w:w="851" w:type="dxa"/>
          </w:tcPr>
          <w:p>
            <w:pPr>
              <w:jc w:val="center"/>
              <w:rPr>
                <w:noProof/>
              </w:rPr>
            </w:pPr>
          </w:p>
        </w:tc>
        <w:tc>
          <w:tcPr>
            <w:tcW w:w="915" w:type="dxa"/>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left w:val="single" w:sz="8" w:space="0" w:color="auto"/>
              <w:bottom w:val="single" w:sz="8" w:space="0" w:color="auto"/>
              <w:right w:val="single" w:sz="8" w:space="0" w:color="000000"/>
            </w:tcBorders>
            <w:shd w:val="clear" w:color="000000" w:fill="C4D79B"/>
            <w:vAlign w:val="center"/>
          </w:tcPr>
          <w:p>
            <w:pPr>
              <w:jc w:val="center"/>
              <w:rPr>
                <w:noProof/>
              </w:rPr>
            </w:pPr>
            <w:r>
              <w:rPr>
                <w:rFonts w:ascii="Times New Roman" w:hAnsi="Times New Roman"/>
                <w:b/>
                <w:noProof/>
                <w:sz w:val="44"/>
              </w:rPr>
              <w:t xml:space="preserve">Chapitre 2 – Positions </w:t>
            </w:r>
          </w:p>
        </w:tc>
      </w:tr>
      <w:tr>
        <w:tc>
          <w:tcPr>
            <w:tcW w:w="15615" w:type="dxa"/>
            <w:gridSpan w:val="12"/>
            <w:tcBorders>
              <w:top w:val="single" w:sz="8" w:space="0" w:color="auto"/>
              <w:left w:val="single" w:sz="8" w:space="0" w:color="auto"/>
              <w:bottom w:val="single" w:sz="8" w:space="0" w:color="auto"/>
              <w:right w:val="single" w:sz="8" w:space="0" w:color="000000"/>
            </w:tcBorders>
            <w:shd w:val="clear" w:color="000000" w:fill="C4D79B"/>
            <w:vAlign w:val="center"/>
          </w:tcPr>
          <w:p>
            <w:pPr>
              <w:jc w:val="center"/>
              <w:rPr>
                <w:noProof/>
              </w:rPr>
            </w:pPr>
            <w:r>
              <w:rPr>
                <w:rFonts w:ascii="Times New Roman" w:hAnsi="Times New Roman"/>
                <w:b/>
                <w:noProof/>
                <w:sz w:val="36"/>
              </w:rPr>
              <w:t xml:space="preserve">Section 2 – Détachement </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lastRenderedPageBreak/>
              <w:t>37, point b)</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Liste des organismes consacrés à la poursuite des intérêts de l’Union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37 à 39 </w:t>
            </w:r>
          </w:p>
        </w:tc>
        <w:tc>
          <w:tcPr>
            <w:tcW w:w="2452" w:type="dxa"/>
            <w:vMerge w:val="restart"/>
            <w:tcBorders>
              <w:top w:val="nil"/>
              <w:left w:val="single" w:sz="4" w:space="0" w:color="auto"/>
              <w:bottom w:val="single" w:sz="4" w:space="0" w:color="000000"/>
              <w:right w:val="single" w:sz="4" w:space="0" w:color="auto"/>
            </w:tcBorders>
            <w:vAlign w:val="center"/>
          </w:tcPr>
          <w:p>
            <w:pPr>
              <w:jc w:val="center"/>
              <w:rPr>
                <w:noProof/>
              </w:rPr>
            </w:pPr>
            <w:r>
              <w:rPr>
                <w:rFonts w:ascii="Times New Roman" w:hAnsi="Times New Roman"/>
                <w:b/>
                <w:noProof/>
                <w:sz w:val="28"/>
              </w:rPr>
              <w:t xml:space="preserve">Détachement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38, point d)</w:t>
            </w:r>
          </w:p>
        </w:tc>
        <w:tc>
          <w:tcPr>
            <w:tcW w:w="2452" w:type="dxa"/>
            <w:vMerge/>
            <w:tcBorders>
              <w:top w:val="nil"/>
              <w:left w:val="single" w:sz="4" w:space="0" w:color="auto"/>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Section 3 – Le congé de convenance personnelle</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40</w:t>
            </w:r>
          </w:p>
        </w:tc>
        <w:tc>
          <w:tcPr>
            <w:tcW w:w="2452" w:type="dxa"/>
            <w:tcBorders>
              <w:top w:val="single" w:sz="4" w:space="0" w:color="auto"/>
              <w:left w:val="nil"/>
              <w:bottom w:val="single" w:sz="4" w:space="0" w:color="auto"/>
              <w:right w:val="nil"/>
            </w:tcBorders>
            <w:vAlign w:val="center"/>
          </w:tcPr>
          <w:p>
            <w:pPr>
              <w:jc w:val="center"/>
              <w:rPr>
                <w:noProof/>
              </w:rPr>
            </w:pPr>
            <w:r>
              <w:rPr>
                <w:rFonts w:ascii="Times New Roman" w:hAnsi="Times New Roman"/>
                <w:b/>
                <w:noProof/>
                <w:sz w:val="28"/>
              </w:rPr>
              <w:t>Congés de convenance personnelle</w:t>
            </w:r>
          </w:p>
        </w:tc>
        <w:tc>
          <w:tcPr>
            <w:tcW w:w="1337" w:type="dxa"/>
            <w:tcBorders>
              <w:top w:val="single" w:sz="4" w:space="0" w:color="auto"/>
              <w:left w:val="single" w:sz="4" w:space="0" w:color="auto"/>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Section 6 – Congé parental ou familial</w:t>
            </w:r>
          </w:p>
        </w:tc>
      </w:tr>
      <w:tr>
        <w:tc>
          <w:tcPr>
            <w:tcW w:w="140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 xml:space="preserve">42 </w:t>
            </w:r>
            <w:r>
              <w:rPr>
                <w:rFonts w:ascii="Times New Roman" w:hAnsi="Times New Roman"/>
                <w:b/>
                <w:i/>
                <w:iCs/>
                <w:noProof/>
                <w:sz w:val="24"/>
                <w:szCs w:val="24"/>
              </w:rPr>
              <w:t>bis</w:t>
            </w:r>
            <w:r>
              <w:rPr>
                <w:rFonts w:ascii="Times New Roman" w:hAnsi="Times New Roman"/>
                <w:b/>
                <w:noProof/>
                <w:sz w:val="24"/>
                <w:szCs w:val="24"/>
              </w:rPr>
              <w:t xml:space="preserve"> </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Congé parental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5"/>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42 </w:t>
            </w:r>
            <w:r>
              <w:rPr>
                <w:rFonts w:ascii="Times New Roman" w:hAnsi="Times New Roman"/>
                <w:b/>
                <w:i/>
                <w:iCs/>
                <w:noProof/>
                <w:sz w:val="24"/>
                <w:szCs w:val="24"/>
              </w:rPr>
              <w:t>ter</w:t>
            </w:r>
            <w:r>
              <w:rPr>
                <w:rFonts w:ascii="Times New Roman" w:hAnsi="Times New Roman"/>
                <w:b/>
                <w:noProof/>
                <w:sz w:val="24"/>
                <w:szCs w:val="24"/>
              </w:rPr>
              <w:t xml:space="preserve"> </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Congé familial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b/>
                <w:bCs/>
                <w:noProof/>
              </w:rPr>
            </w:pPr>
            <w:r>
              <w:rPr>
                <w:rFonts w:ascii="Times New Roman" w:hAnsi="Times New Roman"/>
                <w:b/>
                <w:noProof/>
                <w:sz w:val="36"/>
              </w:rPr>
              <w:t>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42 </w:t>
            </w:r>
            <w:r>
              <w:rPr>
                <w:rFonts w:ascii="Times New Roman" w:hAnsi="Times New Roman"/>
                <w:b/>
                <w:i/>
                <w:iCs/>
                <w:noProof/>
                <w:sz w:val="24"/>
                <w:szCs w:val="24"/>
              </w:rPr>
              <w:t>quater</w:t>
            </w:r>
          </w:p>
        </w:tc>
        <w:tc>
          <w:tcPr>
            <w:tcW w:w="2452" w:type="dxa"/>
            <w:tcBorders>
              <w:top w:val="nil"/>
              <w:left w:val="nil"/>
              <w:bottom w:val="single" w:sz="4" w:space="0" w:color="auto"/>
              <w:right w:val="single" w:sz="4" w:space="0" w:color="auto"/>
            </w:tcBorders>
            <w:vAlign w:val="center"/>
          </w:tcPr>
          <w:p>
            <w:pPr>
              <w:jc w:val="center"/>
              <w:rPr>
                <w:noProof/>
              </w:rPr>
            </w:pPr>
            <w:bookmarkStart w:id="4" w:name="_Hlk177918205"/>
            <w:r>
              <w:rPr>
                <w:rFonts w:ascii="Times New Roman" w:hAnsi="Times New Roman"/>
                <w:b/>
                <w:noProof/>
                <w:sz w:val="28"/>
              </w:rPr>
              <w:t>Congé dans l’intérêt du service</w:t>
            </w:r>
            <w:bookmarkEnd w:id="4"/>
          </w:p>
        </w:tc>
        <w:tc>
          <w:tcPr>
            <w:tcW w:w="133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Chapitre 3 – Notation, avancement d’échelon et promotion</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43</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Rapport annuel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44, 1</w:t>
            </w:r>
            <w:r>
              <w:rPr>
                <w:rFonts w:ascii="Times New Roman" w:hAnsi="Times New Roman"/>
                <w:b/>
                <w:noProof/>
                <w:sz w:val="24"/>
                <w:szCs w:val="24"/>
                <w:vertAlign w:val="superscript"/>
              </w:rPr>
              <w:t>er</w:t>
            </w:r>
            <w:r>
              <w:rPr>
                <w:rFonts w:ascii="Times New Roman" w:hAnsi="Times New Roman"/>
                <w:b/>
                <w:noProof/>
                <w:sz w:val="24"/>
                <w:szCs w:val="24"/>
              </w:rPr>
              <w:t xml:space="preserve"> alinéa</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Avancement d’échelon</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44, 2</w:t>
            </w:r>
            <w:r>
              <w:rPr>
                <w:rFonts w:ascii="Times New Roman" w:hAnsi="Times New Roman"/>
                <w:b/>
                <w:noProof/>
                <w:sz w:val="24"/>
                <w:szCs w:val="24"/>
                <w:vertAlign w:val="superscript"/>
              </w:rPr>
              <w:t>e</w:t>
            </w:r>
            <w:r>
              <w:rPr>
                <w:rFonts w:ascii="Times New Roman" w:hAnsi="Times New Roman"/>
                <w:b/>
                <w:noProof/>
                <w:sz w:val="24"/>
                <w:szCs w:val="24"/>
              </w:rPr>
              <w:t> alinéa, à 46</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Confirmation dans des postes d’encadrement</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vMerge w:val="restart"/>
            <w:tcBorders>
              <w:top w:val="nil"/>
              <w:left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45</w:t>
            </w:r>
          </w:p>
        </w:tc>
        <w:tc>
          <w:tcPr>
            <w:tcW w:w="2452"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Promotions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45, par. 2</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Capacité des fonctionnaires à travailler dans une troisième langue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 xml:space="preserve">45 </w:t>
            </w:r>
            <w:r>
              <w:rPr>
                <w:rFonts w:ascii="Times New Roman" w:hAnsi="Times New Roman"/>
                <w:b/>
                <w:i/>
                <w:iCs/>
                <w:noProof/>
                <w:sz w:val="24"/>
                <w:szCs w:val="24"/>
              </w:rPr>
              <w:t>bis</w:t>
            </w:r>
            <w:r>
              <w:rPr>
                <w:rFonts w:ascii="Times New Roman" w:hAnsi="Times New Roman"/>
                <w:b/>
                <w:noProof/>
                <w:sz w:val="24"/>
                <w:szCs w:val="24"/>
              </w:rPr>
              <w:t>, par. 5</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Attestation</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Chapitre 4 – Cessation définitive des fonctions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Section 4 – Procédures de traitement de l’insuffisance professionnelle </w:t>
            </w:r>
          </w:p>
        </w:tc>
      </w:tr>
      <w:tr>
        <w:tc>
          <w:tcPr>
            <w:tcW w:w="140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51</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Insuffisance professionnelle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Section 5 – Mise à la retraite</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52</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Retraite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rPr>
          <w:trHeight w:val="182"/>
        </w:trPr>
        <w:tc>
          <w:tcPr>
            <w:tcW w:w="140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2452"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84"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120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851"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36"/>
              </w:rPr>
              <w:t xml:space="preserve">Section 6 – Honorariat </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54</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Honorariat</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56"/>
              </w:rPr>
              <w:lastRenderedPageBreak/>
              <w:t xml:space="preserve">Titre IV – Des conditions de travail du fonctionnaire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 xml:space="preserve">Chapitre 1 – Durée du travail </w:t>
            </w:r>
          </w:p>
        </w:tc>
      </w:tr>
      <w:tr>
        <w:trPr>
          <w:trHeight w:val="1353"/>
        </w:trPr>
        <w:tc>
          <w:tcPr>
            <w:tcW w:w="1407" w:type="dxa"/>
            <w:tcBorders>
              <w:top w:val="single" w:sz="4" w:space="0" w:color="auto"/>
              <w:left w:val="single" w:sz="4" w:space="0" w:color="auto"/>
              <w:bottom w:val="single" w:sz="4" w:space="0" w:color="auto"/>
              <w:right w:val="single" w:sz="4" w:space="0" w:color="auto"/>
            </w:tcBorders>
            <w:shd w:val="clear" w:color="auto" w:fill="D99594"/>
            <w:vAlign w:val="center"/>
          </w:tcPr>
          <w:p>
            <w:pPr>
              <w:jc w:val="center"/>
              <w:rPr>
                <w:noProof/>
                <w:sz w:val="24"/>
                <w:szCs w:val="24"/>
              </w:rPr>
            </w:pPr>
            <w:r>
              <w:rPr>
                <w:rFonts w:ascii="Times New Roman" w:hAnsi="Times New Roman"/>
                <w:b/>
                <w:noProof/>
                <w:sz w:val="24"/>
                <w:szCs w:val="24"/>
              </w:rPr>
              <w:t>55</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Temps de travail, y compris les formules souples de travail</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vMerge w:val="restart"/>
            <w:tcBorders>
              <w:top w:val="nil"/>
              <w:left w:val="single" w:sz="4" w:space="0" w:color="auto"/>
              <w:bottom w:val="single" w:sz="4" w:space="0" w:color="000000"/>
              <w:right w:val="single" w:sz="4" w:space="0" w:color="auto"/>
            </w:tcBorders>
            <w:shd w:val="clear" w:color="auto" w:fill="D99594"/>
            <w:vAlign w:val="center"/>
          </w:tcPr>
          <w:p>
            <w:pPr>
              <w:jc w:val="center"/>
              <w:rPr>
                <w:noProof/>
                <w:sz w:val="24"/>
                <w:szCs w:val="24"/>
              </w:rPr>
            </w:pPr>
            <w:r>
              <w:rPr>
                <w:rFonts w:ascii="Times New Roman" w:hAnsi="Times New Roman"/>
                <w:b/>
                <w:noProof/>
                <w:sz w:val="24"/>
                <w:szCs w:val="24"/>
              </w:rPr>
              <w:t xml:space="preserve">55 </w:t>
            </w:r>
            <w:r>
              <w:rPr>
                <w:rFonts w:ascii="Times New Roman" w:hAnsi="Times New Roman"/>
                <w:b/>
                <w:i/>
                <w:iCs/>
                <w:noProof/>
                <w:sz w:val="24"/>
                <w:szCs w:val="24"/>
                <w:u w:val="single"/>
              </w:rPr>
              <w:t>bis</w:t>
            </w:r>
            <w:r>
              <w:rPr>
                <w:rFonts w:ascii="Times New Roman" w:hAnsi="Times New Roman"/>
                <w:b/>
                <w:noProof/>
                <w:sz w:val="24"/>
                <w:szCs w:val="24"/>
              </w:rPr>
              <w:t xml:space="preserve"> + annexe IV </w:t>
            </w:r>
            <w:r>
              <w:rPr>
                <w:rFonts w:ascii="Times New Roman" w:hAnsi="Times New Roman"/>
                <w:b/>
                <w:i/>
                <w:iCs/>
                <w:noProof/>
                <w:sz w:val="24"/>
                <w:szCs w:val="24"/>
              </w:rPr>
              <w:t>bis</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Activité à temps partiel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vMerge/>
            <w:tcBorders>
              <w:top w:val="nil"/>
              <w:left w:val="single" w:sz="4" w:space="0" w:color="auto"/>
              <w:bottom w:val="single" w:sz="4" w:space="0" w:color="000000"/>
              <w:right w:val="single" w:sz="4" w:space="0" w:color="auto"/>
            </w:tcBorders>
            <w:shd w:val="clear" w:color="auto" w:fill="D99594"/>
            <w:vAlign w:val="center"/>
          </w:tcPr>
          <w:p>
            <w:pPr>
              <w:jc w:val="center"/>
              <w:rPr>
                <w:noProof/>
                <w:sz w:val="24"/>
                <w:szCs w:val="24"/>
              </w:rPr>
            </w:pP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Télétravail </w:t>
            </w:r>
          </w:p>
        </w:tc>
        <w:tc>
          <w:tcPr>
            <w:tcW w:w="1337"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rPr>
              <w:t>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 xml:space="preserve">55 </w:t>
            </w:r>
            <w:r>
              <w:rPr>
                <w:rFonts w:ascii="Times New Roman" w:hAnsi="Times New Roman"/>
                <w:b/>
                <w:i/>
                <w:iCs/>
                <w:noProof/>
                <w:sz w:val="24"/>
                <w:szCs w:val="24"/>
              </w:rPr>
              <w:t>ter</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Emploi partagé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56 + annexe VI</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Heures supplémentaires</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 xml:space="preserve">56 </w:t>
            </w:r>
            <w:r>
              <w:rPr>
                <w:rFonts w:ascii="Times New Roman" w:hAnsi="Times New Roman"/>
                <w:b/>
                <w:i/>
                <w:iCs/>
                <w:noProof/>
                <w:sz w:val="24"/>
                <w:szCs w:val="24"/>
              </w:rPr>
              <w:t>ter</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Astreintes</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Chapitre 2 – Congés</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57 + annexe V</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Congés annuels et congés spéciaux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58</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Congé de maternité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r>
              <w:rPr>
                <w:rFonts w:ascii="Times New Roman" w:hAnsi="Times New Roman"/>
                <w:noProof/>
              </w:rPr>
              <w:t> </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59 et 60</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Congé de maladie </w:t>
            </w:r>
            <w:r>
              <w:rPr>
                <w:rFonts w:ascii="Times New Roman" w:hAnsi="Times New Roman"/>
                <w:b/>
                <w:noProof/>
                <w:sz w:val="28"/>
              </w:rPr>
              <w:br/>
              <w:t>Absence</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rPr>
              <w:t>X</w:t>
            </w:r>
            <w:r>
              <w:rPr>
                <w:rFonts w:ascii="Times New Roman" w:hAnsi="Times New Roman"/>
                <w:noProof/>
              </w:rPr>
              <w:t> </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59, par. 4</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Procédure d’invalidité</w:t>
            </w:r>
          </w:p>
        </w:tc>
        <w:tc>
          <w:tcPr>
            <w:tcW w:w="133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59, par. 6</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Visite médicale annuelle</w:t>
            </w:r>
          </w:p>
        </w:tc>
        <w:tc>
          <w:tcPr>
            <w:tcW w:w="133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Chapitre 3 – Jours fériés </w:t>
            </w:r>
          </w:p>
        </w:tc>
      </w:tr>
      <w:tr>
        <w:tc>
          <w:tcPr>
            <w:tcW w:w="1407" w:type="dxa"/>
            <w:tcBorders>
              <w:top w:val="single" w:sz="4" w:space="0" w:color="auto"/>
              <w:left w:val="single" w:sz="4" w:space="0" w:color="auto"/>
              <w:bottom w:val="single" w:sz="4" w:space="0" w:color="auto"/>
              <w:right w:val="single" w:sz="4" w:space="0" w:color="auto"/>
            </w:tcBorders>
            <w:shd w:val="clear" w:color="auto" w:fill="C5D9F1"/>
            <w:vAlign w:val="center"/>
          </w:tcPr>
          <w:p>
            <w:pPr>
              <w:jc w:val="center"/>
              <w:rPr>
                <w:noProof/>
              </w:rPr>
            </w:pPr>
            <w:r>
              <w:rPr>
                <w:rFonts w:ascii="Times New Roman" w:hAnsi="Times New Roman"/>
                <w:b/>
                <w:noProof/>
                <w:sz w:val="28"/>
              </w:rPr>
              <w:t>61</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Liste des jours fériés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nil"/>
            </w:tcBorders>
            <w:shd w:val="clear" w:color="auto" w:fill="C2D69B" w:themeFill="accent3" w:themeFillTint="99"/>
            <w:vAlign w:val="center"/>
          </w:tcPr>
          <w:p>
            <w:pPr>
              <w:jc w:val="center"/>
              <w:rPr>
                <w:noProof/>
              </w:rPr>
            </w:pPr>
            <w:r>
              <w:rPr>
                <w:rFonts w:ascii="Times New Roman" w:hAnsi="Times New Roman"/>
                <w:b/>
                <w:noProof/>
                <w:sz w:val="56"/>
              </w:rPr>
              <w:t xml:space="preserve">Titre V – Du régime pécuniaire et des avantages sociaux du fonctionnaire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 xml:space="preserve">Chapitre 1 – Rémunération et remboursement de frais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Annexe VII – Règles relatives à la rémunération et aux remboursements de frais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Section 1 – Allocations familiales </w:t>
            </w:r>
          </w:p>
        </w:tc>
      </w:tr>
      <w:tr>
        <w:tc>
          <w:tcPr>
            <w:tcW w:w="1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4"/>
                <w:szCs w:val="24"/>
              </w:rPr>
            </w:pPr>
            <w:r>
              <w:rPr>
                <w:rFonts w:ascii="Times New Roman" w:hAnsi="Times New Roman"/>
                <w:b/>
                <w:noProof/>
                <w:sz w:val="24"/>
                <w:szCs w:val="24"/>
              </w:rPr>
              <w:t>67 et 68 + annexe VII (art. 1</w:t>
            </w:r>
            <w:r>
              <w:rPr>
                <w:rFonts w:ascii="Times New Roman" w:hAnsi="Times New Roman"/>
                <w:b/>
                <w:noProof/>
                <w:sz w:val="24"/>
                <w:szCs w:val="24"/>
                <w:vertAlign w:val="superscript"/>
              </w:rPr>
              <w:t>er</w:t>
            </w:r>
            <w:r>
              <w:rPr>
                <w:rFonts w:ascii="Times New Roman" w:hAnsi="Times New Roman"/>
                <w:b/>
                <w:noProof/>
                <w:sz w:val="24"/>
                <w:szCs w:val="24"/>
              </w:rPr>
              <w:t xml:space="preserve"> à 3)</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Allocations familiales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nil"/>
            </w:tcBorders>
            <w:shd w:val="clear" w:color="auto" w:fill="FFFF66"/>
            <w:vAlign w:val="center"/>
          </w:tcPr>
          <w:p>
            <w:pPr>
              <w:jc w:val="center"/>
              <w:rPr>
                <w:noProof/>
                <w:highlight w:val="yellow"/>
              </w:rPr>
            </w:pPr>
            <w:r>
              <w:rPr>
                <w:rFonts w:ascii="Times New Roman" w:hAnsi="Times New Roman"/>
                <w:b/>
                <w:noProof/>
                <w:sz w:val="36"/>
              </w:rPr>
              <w:t>X</w:t>
            </w:r>
            <w:r>
              <w:rPr>
                <w:rFonts w:ascii="Times New Roman" w:hAnsi="Times New Roman"/>
                <w:noProof/>
                <w:highlight w:val="yellow"/>
              </w:rPr>
              <w:t xml:space="preserve"> </w:t>
            </w:r>
          </w:p>
        </w:tc>
        <w:tc>
          <w:tcPr>
            <w:tcW w:w="133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67 et 68 + annexe VII [art. 1</w:t>
            </w:r>
            <w:r>
              <w:rPr>
                <w:rFonts w:ascii="Times New Roman" w:hAnsi="Times New Roman"/>
                <w:b/>
                <w:noProof/>
                <w:sz w:val="24"/>
                <w:szCs w:val="24"/>
                <w:vertAlign w:val="superscript"/>
              </w:rPr>
              <w:t>er</w:t>
            </w:r>
            <w:r>
              <w:rPr>
                <w:rFonts w:ascii="Times New Roman" w:hAnsi="Times New Roman"/>
                <w:b/>
                <w:noProof/>
                <w:sz w:val="24"/>
                <w:szCs w:val="24"/>
              </w:rPr>
              <w:t>, par. 2, point d)]</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Allocation de foyer par décision spéciale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rPr>
              <w:t> </w:t>
            </w: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highlight w:val="yellow"/>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67 et 68 + annexe VII (art. 2, par. 4)</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Personnes assimilées à un enfant à charge</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rPr>
              <w:t>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highlight w:val="yellow"/>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67 et 68 + annexe VII (art. 3)</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Allocation scolaire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lastRenderedPageBreak/>
              <w:t>Section 3 – Remboursement de frais</w:t>
            </w:r>
          </w:p>
        </w:tc>
      </w:tr>
      <w:tr>
        <w:tc>
          <w:tcPr>
            <w:tcW w:w="1407" w:type="dxa"/>
            <w:vMerge w:val="restart"/>
            <w:tcBorders>
              <w:top w:val="single" w:sz="4" w:space="0" w:color="auto"/>
              <w:left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71 + annexe VII (art. 7 et 8)</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Frais de voyage</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71 + annexe VII (art. 8)</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Lieu d’origine</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71 + annexe VII (art. 9)</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Frais de déménagement</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val="restart"/>
            <w:tcBorders>
              <w:top w:val="nil"/>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 xml:space="preserve">71 + annexe VII (art. 11 à 13 </w:t>
            </w:r>
            <w:r>
              <w:rPr>
                <w:rFonts w:ascii="Times New Roman" w:hAnsi="Times New Roman"/>
                <w:b/>
                <w:i/>
                <w:iCs/>
                <w:noProof/>
                <w:sz w:val="24"/>
                <w:szCs w:val="24"/>
              </w:rPr>
              <w:t>bis</w:t>
            </w:r>
            <w:r>
              <w:rPr>
                <w:rFonts w:ascii="Times New Roman" w:hAnsi="Times New Roman"/>
                <w:b/>
                <w:noProof/>
                <w:sz w:val="24"/>
                <w:szCs w:val="24"/>
              </w:rPr>
              <w:t>)</w:t>
            </w:r>
          </w:p>
        </w:tc>
        <w:tc>
          <w:tcPr>
            <w:tcW w:w="2452"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Frais de mission et de déplacement</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5"/>
            <w:vAlign w:val="center"/>
          </w:tcPr>
          <w:p>
            <w:pPr>
              <w:jc w:val="center"/>
              <w:rPr>
                <w:noProof/>
              </w:rPr>
            </w:pPr>
            <w:r>
              <w:rPr>
                <w:rFonts w:ascii="Times New Roman" w:hAnsi="Times New Roman"/>
                <w:noProof/>
              </w:rPr>
              <w:t> </w:t>
            </w: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noProof/>
                <w:sz w:val="24"/>
                <w:szCs w:val="24"/>
              </w:rPr>
            </w:pPr>
          </w:p>
        </w:tc>
        <w:tc>
          <w:tcPr>
            <w:tcW w:w="2452" w:type="dxa"/>
            <w:vMerge/>
            <w:tcBorders>
              <w:left w:val="nil"/>
              <w:bottom w:val="single" w:sz="4" w:space="0" w:color="auto"/>
              <w:right w:val="single" w:sz="4" w:space="0" w:color="auto"/>
            </w:tcBorders>
            <w:vAlign w:val="center"/>
          </w:tcPr>
          <w:p>
            <w:pPr>
              <w:jc w:val="center"/>
              <w:rPr>
                <w:rFonts w:asciiTheme="majorBidi" w:hAnsiTheme="majorBidi" w:cstheme="majorBidi"/>
                <w:b/>
                <w:bCs/>
                <w:noProof/>
                <w:sz w:val="28"/>
                <w:szCs w:val="28"/>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left w:val="single" w:sz="4" w:space="0" w:color="auto"/>
              <w:bottom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71 + annexe VII [art. 13, par. 2, point b)]</w:t>
            </w:r>
          </w:p>
        </w:tc>
        <w:tc>
          <w:tcPr>
            <w:tcW w:w="2452" w:type="dxa"/>
            <w:tcBorders>
              <w:left w:val="nil"/>
              <w:bottom w:val="single" w:sz="4" w:space="0" w:color="auto"/>
              <w:right w:val="single" w:sz="4" w:space="0" w:color="auto"/>
            </w:tcBorders>
            <w:vAlign w:val="center"/>
          </w:tcPr>
          <w:p>
            <w:pPr>
              <w:jc w:val="center"/>
              <w:rPr>
                <w:rFonts w:asciiTheme="majorBidi" w:hAnsiTheme="majorBidi" w:cstheme="majorBidi"/>
                <w:b/>
                <w:bCs/>
                <w:noProof/>
                <w:sz w:val="28"/>
                <w:szCs w:val="28"/>
              </w:rPr>
            </w:pPr>
            <w:r>
              <w:rPr>
                <w:rFonts w:asciiTheme="majorBidi" w:hAnsiTheme="majorBidi"/>
                <w:b/>
                <w:noProof/>
                <w:sz w:val="28"/>
              </w:rPr>
              <w:t>Barème applicable aux missions dans des pays tiers</w:t>
            </w:r>
          </w:p>
        </w:tc>
        <w:tc>
          <w:tcPr>
            <w:tcW w:w="133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left w:val="single" w:sz="4" w:space="0" w:color="auto"/>
              <w:bottom w:val="single" w:sz="4" w:space="0" w:color="auto"/>
              <w:right w:val="single" w:sz="4" w:space="0" w:color="auto"/>
            </w:tcBorders>
            <w:vAlign w:val="center"/>
          </w:tcPr>
          <w:p>
            <w:pPr>
              <w:jc w:val="center"/>
              <w:rPr>
                <w:rFonts w:asciiTheme="majorBidi" w:hAnsiTheme="majorBidi" w:cstheme="majorBidi"/>
                <w:b/>
                <w:bCs/>
                <w:noProof/>
                <w:sz w:val="24"/>
                <w:szCs w:val="24"/>
              </w:rPr>
            </w:pPr>
            <w:r>
              <w:rPr>
                <w:rFonts w:asciiTheme="majorBidi" w:hAnsiTheme="majorBidi"/>
                <w:b/>
                <w:noProof/>
                <w:sz w:val="24"/>
                <w:szCs w:val="24"/>
              </w:rPr>
              <w:t>71</w:t>
            </w:r>
          </w:p>
        </w:tc>
        <w:tc>
          <w:tcPr>
            <w:tcW w:w="2452" w:type="dxa"/>
            <w:tcBorders>
              <w:left w:val="nil"/>
              <w:bottom w:val="single" w:sz="4" w:space="0" w:color="auto"/>
              <w:right w:val="single" w:sz="4" w:space="0" w:color="auto"/>
            </w:tcBorders>
            <w:vAlign w:val="center"/>
          </w:tcPr>
          <w:p>
            <w:pPr>
              <w:jc w:val="center"/>
              <w:rPr>
                <w:rFonts w:asciiTheme="majorBidi" w:hAnsiTheme="majorBidi" w:cstheme="majorBidi"/>
                <w:b/>
                <w:bCs/>
                <w:noProof/>
                <w:sz w:val="28"/>
                <w:szCs w:val="28"/>
              </w:rPr>
            </w:pPr>
            <w:r>
              <w:rPr>
                <w:rFonts w:asciiTheme="majorBidi" w:hAnsiTheme="majorBidi"/>
                <w:b/>
                <w:noProof/>
                <w:sz w:val="28"/>
              </w:rPr>
              <w:t>Contribution aux frais de transport public</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Section 4 – Règlement des sommes dues</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Annexe VII (art. 17)</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Transfert d’émoluments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Chapitre 2 – Sécurité sociale Aide financière</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72</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Assurance maladie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shd w:val="clear" w:color="auto" w:fill="FFFF00"/>
            <w:vAlign w:val="center"/>
          </w:tcPr>
          <w:p>
            <w:pPr>
              <w:jc w:val="center"/>
              <w:rPr>
                <w:noProof/>
                <w:sz w:val="24"/>
                <w:szCs w:val="24"/>
              </w:rPr>
            </w:pPr>
            <w:r>
              <w:rPr>
                <w:rFonts w:ascii="Times New Roman" w:hAnsi="Times New Roman"/>
                <w:b/>
                <w:noProof/>
                <w:sz w:val="24"/>
                <w:szCs w:val="24"/>
              </w:rPr>
              <w:t>72</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Remboursement des frais médicaux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4"/>
              </w:rPr>
              <w:t> </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4"/>
              </w:rPr>
              <w:t> </w:t>
            </w:r>
          </w:p>
        </w:tc>
        <w:tc>
          <w:tcPr>
            <w:tcW w:w="1337" w:type="dxa"/>
            <w:tcBorders>
              <w:top w:val="nil"/>
              <w:left w:val="nil"/>
              <w:bottom w:val="single" w:sz="4" w:space="0" w:color="auto"/>
              <w:right w:val="single" w:sz="4" w:space="0" w:color="auto"/>
            </w:tcBorders>
            <w:shd w:val="clear" w:color="000000" w:fill="FFFF00"/>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73</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Assurance contre les risques de maladie professionnelle et les risques d’accident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76</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Prêts et avances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4"/>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r>
              <w:rPr>
                <w:rFonts w:ascii="Times New Roman" w:hAnsi="Times New Roman"/>
                <w:b/>
                <w:noProof/>
                <w:sz w:val="36"/>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 xml:space="preserve">76 </w:t>
            </w:r>
            <w:r>
              <w:rPr>
                <w:rFonts w:ascii="Times New Roman" w:hAnsi="Times New Roman"/>
                <w:b/>
                <w:i/>
                <w:iCs/>
                <w:noProof/>
                <w:sz w:val="24"/>
                <w:szCs w:val="24"/>
              </w:rPr>
              <w:t>bis</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Aide financière complétant la pension d’un conjoint survivant affecté d’une maladie grave ou prolongée ou souffrant d’un handicap</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lastRenderedPageBreak/>
              <w:t>Chapitre 3 + annexe VIII – Pensions et allocation d’invalidité</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77 + annexe VIII </w:t>
            </w:r>
            <w:r>
              <w:rPr>
                <w:rFonts w:ascii="Times New Roman" w:hAnsi="Times New Roman"/>
                <w:b/>
                <w:noProof/>
                <w:sz w:val="24"/>
                <w:szCs w:val="24"/>
              </w:rPr>
              <w:br/>
              <w:t>(art. 4)</w:t>
            </w:r>
          </w:p>
        </w:tc>
        <w:tc>
          <w:tcPr>
            <w:tcW w:w="2452" w:type="dxa"/>
            <w:tcBorders>
              <w:top w:val="single" w:sz="4" w:space="0" w:color="auto"/>
              <w:left w:val="nil"/>
              <w:bottom w:val="single" w:sz="4" w:space="0" w:color="auto"/>
              <w:right w:val="nil"/>
            </w:tcBorders>
            <w:vAlign w:val="center"/>
          </w:tcPr>
          <w:p>
            <w:pPr>
              <w:jc w:val="center"/>
              <w:rPr>
                <w:noProof/>
              </w:rPr>
            </w:pPr>
            <w:r>
              <w:rPr>
                <w:rFonts w:ascii="Times New Roman" w:hAnsi="Times New Roman"/>
                <w:b/>
                <w:noProof/>
                <w:sz w:val="28"/>
              </w:rPr>
              <w:t xml:space="preserve">Calcul des droits à pension </w:t>
            </w:r>
          </w:p>
        </w:tc>
        <w:tc>
          <w:tcPr>
            <w:tcW w:w="1337"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shd w:val="clear" w:color="auto" w:fill="FFFF6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 xml:space="preserve">77 + annexe VIII </w:t>
            </w:r>
          </w:p>
          <w:p>
            <w:pPr>
              <w:jc w:val="center"/>
              <w:rPr>
                <w:noProof/>
                <w:sz w:val="24"/>
                <w:szCs w:val="24"/>
              </w:rPr>
            </w:pPr>
            <w:r>
              <w:rPr>
                <w:rFonts w:ascii="Times New Roman" w:hAnsi="Times New Roman"/>
                <w:b/>
                <w:noProof/>
                <w:sz w:val="24"/>
                <w:szCs w:val="24"/>
              </w:rPr>
              <w:t>(art. 9)</w:t>
            </w:r>
          </w:p>
        </w:tc>
        <w:tc>
          <w:tcPr>
            <w:tcW w:w="2452" w:type="dxa"/>
            <w:tcBorders>
              <w:top w:val="nil"/>
              <w:left w:val="nil"/>
              <w:bottom w:val="single" w:sz="4" w:space="0" w:color="auto"/>
              <w:right w:val="nil"/>
            </w:tcBorders>
            <w:vAlign w:val="center"/>
          </w:tcPr>
          <w:p>
            <w:pPr>
              <w:jc w:val="center"/>
              <w:rPr>
                <w:noProof/>
              </w:rPr>
            </w:pPr>
            <w:r>
              <w:rPr>
                <w:rFonts w:ascii="Times New Roman" w:hAnsi="Times New Roman"/>
                <w:b/>
                <w:noProof/>
                <w:sz w:val="28"/>
              </w:rPr>
              <w:t>Préretraite</w:t>
            </w:r>
          </w:p>
        </w:tc>
        <w:tc>
          <w:tcPr>
            <w:tcW w:w="1337" w:type="dxa"/>
            <w:tcBorders>
              <w:top w:val="nil"/>
              <w:left w:val="single" w:sz="4" w:space="0" w:color="auto"/>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407" w:type="dxa"/>
            <w:vMerge w:val="restart"/>
            <w:tcBorders>
              <w:top w:val="nil"/>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77 + annexe VIII (art. 11 et 12)</w:t>
            </w:r>
          </w:p>
        </w:tc>
        <w:tc>
          <w:tcPr>
            <w:tcW w:w="2452" w:type="dxa"/>
            <w:vMerge w:val="restart"/>
            <w:tcBorders>
              <w:top w:val="nil"/>
              <w:left w:val="nil"/>
              <w:right w:val="nil"/>
            </w:tcBorders>
            <w:vAlign w:val="center"/>
          </w:tcPr>
          <w:p>
            <w:pPr>
              <w:jc w:val="center"/>
              <w:rPr>
                <w:noProof/>
              </w:rPr>
            </w:pPr>
            <w:r>
              <w:rPr>
                <w:rFonts w:ascii="Times New Roman" w:hAnsi="Times New Roman"/>
                <w:b/>
                <w:noProof/>
                <w:sz w:val="28"/>
              </w:rPr>
              <w:t xml:space="preserve">Transfert des droits à pension </w:t>
            </w:r>
          </w:p>
        </w:tc>
        <w:tc>
          <w:tcPr>
            <w:tcW w:w="1337" w:type="dxa"/>
            <w:tcBorders>
              <w:top w:val="nil"/>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noProof/>
              </w:rPr>
              <w:t> </w:t>
            </w: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73 et 78 + annexe VIII (art. 13 à 15)</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Allocation d’invalidité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sz w:val="36"/>
              </w:rPr>
              <w:t>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Titre VI – Du régime disciplinaire</w:t>
            </w:r>
          </w:p>
        </w:tc>
      </w:tr>
      <w:tr>
        <w:tc>
          <w:tcPr>
            <w:tcW w:w="1407" w:type="dxa"/>
            <w:vMerge w:val="restart"/>
            <w:tcBorders>
              <w:top w:val="single" w:sz="4" w:space="0" w:color="auto"/>
              <w:left w:val="single" w:sz="4" w:space="0" w:color="auto"/>
              <w:right w:val="single" w:sz="4" w:space="0" w:color="auto"/>
            </w:tcBorders>
            <w:shd w:val="clear" w:color="auto" w:fill="D99594"/>
            <w:vAlign w:val="center"/>
          </w:tcPr>
          <w:p>
            <w:pPr>
              <w:jc w:val="center"/>
              <w:rPr>
                <w:noProof/>
                <w:sz w:val="24"/>
                <w:szCs w:val="24"/>
              </w:rPr>
            </w:pPr>
            <w:r>
              <w:rPr>
                <w:rFonts w:ascii="Times New Roman" w:hAnsi="Times New Roman"/>
                <w:b/>
                <w:noProof/>
                <w:sz w:val="24"/>
                <w:szCs w:val="24"/>
                <w:shd w:val="clear" w:color="auto" w:fill="D99594"/>
              </w:rPr>
              <w:t>86 + annexe</w:t>
            </w:r>
            <w:r>
              <w:rPr>
                <w:rFonts w:ascii="Times New Roman" w:hAnsi="Times New Roman"/>
                <w:b/>
                <w:noProof/>
                <w:sz w:val="24"/>
                <w:szCs w:val="24"/>
              </w:rPr>
              <w:t xml:space="preserve"> IX</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Procédures disciplinaires et enquêtes administratives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noProof/>
              </w:rPr>
              <w:t> </w:t>
            </w:r>
            <w:r>
              <w:rPr>
                <w:rFonts w:ascii="Times New Roman" w:hAnsi="Times New Roman"/>
                <w:b/>
                <w:noProof/>
                <w:sz w:val="36"/>
                <w:shd w:val="clear" w:color="auto" w:fill="FFFF6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noProof/>
              </w:rPr>
              <w:t> </w:t>
            </w:r>
            <w:r>
              <w:rPr>
                <w:rFonts w:ascii="Times New Roman" w:hAnsi="Times New Roman"/>
                <w:b/>
                <w:noProof/>
                <w:sz w:val="36"/>
                <w:shd w:val="clear" w:color="auto" w:fill="FFFF6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right w:val="single" w:sz="4" w:space="0" w:color="auto"/>
            </w:tcBorders>
            <w:shd w:val="clear" w:color="auto" w:fill="D99594"/>
            <w:vAlign w:val="center"/>
          </w:tcPr>
          <w:p>
            <w:pPr>
              <w:jc w:val="center"/>
              <w:rPr>
                <w:noProof/>
              </w:rPr>
            </w:pPr>
          </w:p>
        </w:tc>
        <w:tc>
          <w:tcPr>
            <w:tcW w:w="2452" w:type="dxa"/>
            <w:vMerge/>
            <w:tcBorders>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r>
      <w:tr>
        <w:tc>
          <w:tcPr>
            <w:tcW w:w="1407" w:type="dxa"/>
            <w:vMerge/>
            <w:tcBorders>
              <w:left w:val="single" w:sz="4" w:space="0" w:color="auto"/>
              <w:right w:val="single" w:sz="4" w:space="0" w:color="auto"/>
            </w:tcBorders>
            <w:shd w:val="clear" w:color="auto" w:fill="D99594"/>
            <w:vAlign w:val="center"/>
          </w:tcPr>
          <w:p>
            <w:pPr>
              <w:jc w:val="center"/>
              <w:rPr>
                <w:noProof/>
              </w:rPr>
            </w:pPr>
          </w:p>
        </w:tc>
        <w:tc>
          <w:tcPr>
            <w:tcW w:w="2452" w:type="dxa"/>
            <w:tcBorders>
              <w:left w:val="nil"/>
              <w:bottom w:val="single" w:sz="4" w:space="0" w:color="auto"/>
              <w:right w:val="single" w:sz="4" w:space="0" w:color="auto"/>
            </w:tcBorders>
            <w:vAlign w:val="center"/>
          </w:tcPr>
          <w:p>
            <w:pPr>
              <w:jc w:val="center"/>
              <w:rPr>
                <w:rFonts w:asciiTheme="majorBidi" w:hAnsiTheme="majorBidi" w:cstheme="majorBidi"/>
                <w:b/>
                <w:noProof/>
                <w:sz w:val="28"/>
                <w:szCs w:val="28"/>
              </w:rPr>
            </w:pPr>
            <w:bookmarkStart w:id="5" w:name="_Hlk187056900"/>
            <w:r>
              <w:rPr>
                <w:rFonts w:asciiTheme="majorBidi" w:hAnsiTheme="majorBidi"/>
                <w:b/>
                <w:noProof/>
                <w:sz w:val="28"/>
              </w:rPr>
              <w:t>Lutte contre la fraude, la corruption et toute autre activité illégale</w:t>
            </w:r>
            <w:bookmarkEnd w:id="5"/>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r>
      <w:tr>
        <w:tc>
          <w:tcPr>
            <w:tcW w:w="1407" w:type="dxa"/>
            <w:vMerge/>
            <w:tcBorders>
              <w:left w:val="single" w:sz="4" w:space="0" w:color="auto"/>
              <w:bottom w:val="single" w:sz="4" w:space="0" w:color="auto"/>
              <w:right w:val="single" w:sz="4" w:space="0" w:color="auto"/>
            </w:tcBorders>
            <w:shd w:val="clear" w:color="auto" w:fill="D99594"/>
            <w:vAlign w:val="center"/>
          </w:tcPr>
          <w:p>
            <w:pPr>
              <w:jc w:val="center"/>
              <w:rPr>
                <w:noProof/>
              </w:rPr>
            </w:pP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Enquêtes concernant les jurys EPSO</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Titre VII – Des voies de recours</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90 à 91</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Réclamations et recours</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bookmarkStart w:id="6" w:name="_Hlk177742365"/>
            <w:r>
              <w:rPr>
                <w:rFonts w:ascii="Times New Roman" w:hAnsi="Times New Roman"/>
                <w:b/>
                <w:noProof/>
                <w:sz w:val="56"/>
              </w:rPr>
              <w:t xml:space="preserve">Titre VIII </w:t>
            </w:r>
            <w:r>
              <w:rPr>
                <w:rFonts w:ascii="Times New Roman" w:hAnsi="Times New Roman"/>
                <w:b/>
                <w:i/>
                <w:iCs/>
                <w:noProof/>
                <w:sz w:val="56"/>
              </w:rPr>
              <w:t>bis</w:t>
            </w:r>
            <w:r>
              <w:rPr>
                <w:rFonts w:ascii="Times New Roman" w:hAnsi="Times New Roman"/>
                <w:b/>
                <w:noProof/>
                <w:sz w:val="56"/>
              </w:rPr>
              <w:t xml:space="preserve"> - Dispositions particulières applicables au SEAE</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96</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Gestion des délégations de l’UE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tcPr>
          <w:p>
            <w:pPr>
              <w:jc w:val="center"/>
              <w:rPr>
                <w:noProof/>
              </w:rPr>
            </w:pPr>
            <w:r>
              <w:rPr>
                <w:rFonts w:ascii="Times New Roman" w:hAnsi="Times New Roman"/>
                <w:b/>
                <w:noProof/>
                <w:sz w:val="56"/>
              </w:rPr>
              <w:t xml:space="preserve">Titre VIII </w:t>
            </w:r>
            <w:r>
              <w:rPr>
                <w:rFonts w:ascii="Times New Roman" w:hAnsi="Times New Roman"/>
                <w:b/>
                <w:i/>
                <w:iCs/>
                <w:noProof/>
                <w:sz w:val="56"/>
              </w:rPr>
              <w:t>ter</w:t>
            </w:r>
            <w:r>
              <w:rPr>
                <w:rFonts w:ascii="Times New Roman" w:hAnsi="Times New Roman"/>
                <w:b/>
                <w:noProof/>
                <w:sz w:val="56"/>
              </w:rPr>
              <w:t xml:space="preserve"> - Dispositions particulières et dérogatoires applicables aux fonctionnaires affectés dans un pays tiers</w:t>
            </w: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ANNEXE X</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Chapitre 1 – Dispositions générales</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Annexe X</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Prescriptions particulières s’appliquant au Groenland</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1</w:t>
            </w:r>
            <w:r>
              <w:rPr>
                <w:rFonts w:ascii="Times New Roman" w:hAnsi="Times New Roman"/>
                <w:b/>
                <w:noProof/>
                <w:sz w:val="24"/>
                <w:szCs w:val="24"/>
                <w:vertAlign w:val="superscript"/>
              </w:rPr>
              <w:t>er</w:t>
            </w:r>
            <w:r>
              <w:rPr>
                <w:rFonts w:ascii="Times New Roman" w:hAnsi="Times New Roman"/>
                <w:b/>
                <w:noProof/>
                <w:sz w:val="24"/>
                <w:szCs w:val="24"/>
              </w:rPr>
              <w:t>)</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Dispositions générales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single" w:sz="4" w:space="0" w:color="auto"/>
              <w:bottom w:val="single" w:sz="4" w:space="0" w:color="auto"/>
              <w:right w:val="single" w:sz="4" w:space="0" w:color="auto"/>
            </w:tcBorders>
            <w:shd w:val="clear" w:color="auto" w:fill="D99594"/>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2)</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Mobilité</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bookmarkEnd w:id="6"/>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lastRenderedPageBreak/>
              <w:t>Chapitre 2 – Obligations</w:t>
            </w:r>
          </w:p>
        </w:tc>
      </w:tr>
      <w:tr>
        <w:tc>
          <w:tcPr>
            <w:tcW w:w="140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5 et 23)</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Logement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Chapitre 3 – Conditions de travail</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8)</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Congé de détente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Chapitre 4 – Régime pécuniaire et avantages sociaux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Section 1 – Régime pécuniaire et allocations familiales  </w:t>
            </w:r>
          </w:p>
        </w:tc>
      </w:tr>
      <w:tr>
        <w:tc>
          <w:tcPr>
            <w:tcW w:w="1407" w:type="dxa"/>
            <w:vMerge w:val="restart"/>
            <w:tcBorders>
              <w:top w:val="single" w:sz="4" w:space="0" w:color="auto"/>
              <w:left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10)</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Indemnité de conditions de vie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12 et 13)</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Monnaie et pondération</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w:t>
            </w:r>
          </w:p>
          <w:p>
            <w:pPr>
              <w:jc w:val="center"/>
              <w:rPr>
                <w:rFonts w:ascii="Times New Roman" w:eastAsia="Times New Roman" w:hAnsi="Times New Roman" w:cs="Times New Roman"/>
                <w:b/>
                <w:bCs/>
                <w:noProof/>
                <w:sz w:val="24"/>
                <w:szCs w:val="24"/>
              </w:rPr>
            </w:pPr>
            <w:r>
              <w:rPr>
                <w:rFonts w:ascii="Times New Roman" w:hAnsi="Times New Roman"/>
                <w:b/>
                <w:noProof/>
                <w:sz w:val="24"/>
                <w:szCs w:val="24"/>
              </w:rPr>
              <w:t>(art. 3 et 15)</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Allocation scolaire pour la durée des affectations temporaires au siège de l’institution ou à tout autre lieu d’affectation dans l’Union</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16)</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Remboursements aux fonctionnaires affectés dans les pays tiers</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 xml:space="preserve">Section 2 – Règles relatives au remboursement des frais  </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22)</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Indemnité de logement provisoire et frais de transport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Section 3 – Sécurité sociale</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24)</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Assurance maladie</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nil"/>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 xml:space="preserve">101 </w:t>
            </w:r>
            <w:r>
              <w:rPr>
                <w:rFonts w:ascii="Times New Roman" w:hAnsi="Times New Roman"/>
                <w:b/>
                <w:i/>
                <w:iCs/>
                <w:noProof/>
                <w:sz w:val="24"/>
                <w:szCs w:val="24"/>
              </w:rPr>
              <w:t>bis</w:t>
            </w:r>
            <w:r>
              <w:rPr>
                <w:rFonts w:ascii="Times New Roman" w:hAnsi="Times New Roman"/>
                <w:b/>
                <w:noProof/>
                <w:sz w:val="24"/>
                <w:szCs w:val="24"/>
              </w:rPr>
              <w:t xml:space="preserve"> - annexe X (art. 25)</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Assurance accidents</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2452"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pPr>
              <w:jc w:val="center"/>
              <w:rPr>
                <w:rFonts w:ascii="Times New Roman" w:eastAsia="Times New Roman" w:hAnsi="Times New Roman" w:cs="Times New Roman"/>
                <w:noProof/>
              </w:rPr>
            </w:pPr>
            <w:bookmarkStart w:id="7" w:name="_Hlk177923439"/>
            <w:r>
              <w:rPr>
                <w:rFonts w:ascii="Times New Roman" w:hAnsi="Times New Roman"/>
                <w:b/>
                <w:noProof/>
                <w:sz w:val="56"/>
              </w:rPr>
              <w:t>Titre IX – Dispositions transitoires et finales</w:t>
            </w:r>
            <w:bookmarkEnd w:id="7"/>
          </w:p>
        </w:tc>
      </w:tr>
      <w:tr>
        <w:tc>
          <w:tcPr>
            <w:tcW w:w="15615" w:type="dxa"/>
            <w:gridSpan w:val="12"/>
            <w:tcBorders>
              <w:top w:val="nil"/>
              <w:left w:val="single" w:sz="4" w:space="0" w:color="auto"/>
              <w:bottom w:val="single" w:sz="4" w:space="0" w:color="auto"/>
              <w:right w:val="single" w:sz="4" w:space="0" w:color="auto"/>
            </w:tcBorders>
            <w:shd w:val="clear" w:color="auto" w:fill="C2D69B" w:themeFill="accent3" w:themeFillTint="99"/>
            <w:vAlign w:val="center"/>
          </w:tcPr>
          <w:p>
            <w:pPr>
              <w:jc w:val="center"/>
              <w:rPr>
                <w:rFonts w:ascii="Times New Roman" w:eastAsia="Times New Roman" w:hAnsi="Times New Roman" w:cs="Times New Roman"/>
                <w:b/>
                <w:bCs/>
                <w:noProof/>
                <w:sz w:val="44"/>
                <w:szCs w:val="44"/>
              </w:rPr>
            </w:pPr>
            <w:r>
              <w:rPr>
                <w:rFonts w:ascii="Times New Roman" w:hAnsi="Times New Roman"/>
                <w:b/>
                <w:noProof/>
                <w:sz w:val="44"/>
              </w:rPr>
              <w:t>Annexe XIII Mesures de transition applicables aux fonctionnaires (article 107 </w:t>
            </w:r>
            <w:r>
              <w:rPr>
                <w:rFonts w:ascii="Times New Roman" w:hAnsi="Times New Roman"/>
                <w:b/>
                <w:i/>
                <w:iCs/>
                <w:noProof/>
                <w:sz w:val="44"/>
              </w:rPr>
              <w:t>bis</w:t>
            </w:r>
            <w:r>
              <w:rPr>
                <w:rFonts w:ascii="Times New Roman" w:hAnsi="Times New Roman"/>
                <w:b/>
                <w:noProof/>
                <w:sz w:val="44"/>
              </w:rPr>
              <w:t>)</w:t>
            </w:r>
          </w:p>
        </w:tc>
      </w:tr>
      <w:tr>
        <w:tc>
          <w:tcPr>
            <w:tcW w:w="140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Annexe XIII</w:t>
            </w:r>
          </w:p>
        </w:tc>
        <w:tc>
          <w:tcPr>
            <w:tcW w:w="2452"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Paiement compensatoire</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Annexe XIII</w:t>
            </w:r>
            <w:r>
              <w:rPr>
                <w:rFonts w:ascii="Times New Roman" w:hAnsi="Times New Roman"/>
                <w:b/>
                <w:noProof/>
                <w:sz w:val="24"/>
                <w:szCs w:val="24"/>
              </w:rPr>
              <w:br/>
              <w:t xml:space="preserve"> (art. 22 et 26)</w:t>
            </w:r>
          </w:p>
        </w:tc>
        <w:tc>
          <w:tcPr>
            <w:tcW w:w="2452" w:type="dxa"/>
            <w:tcBorders>
              <w:top w:val="nil"/>
              <w:left w:val="nil"/>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Droits à pension</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p>
            <w:pPr>
              <w:jc w:val="center"/>
              <w:rPr>
                <w:rFonts w:ascii="Times New Roman" w:eastAsia="Times New Roman" w:hAnsi="Times New Roman" w:cs="Times New Roman"/>
                <w:noProof/>
                <w:lang w:eastAsia="en-GB"/>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72"/>
              </w:rPr>
              <w:lastRenderedPageBreak/>
              <w:t>Régime applicable aux autres agents</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56"/>
              </w:rPr>
              <w:t>Titre II – Des agents temporaires</w:t>
            </w:r>
          </w:p>
        </w:tc>
      </w:tr>
      <w:tr>
        <w:trPr>
          <w:trHeight w:val="875"/>
          <w:tblHeader/>
        </w:trPr>
        <w:tc>
          <w:tcPr>
            <w:tcW w:w="1407"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 xml:space="preserve">Article </w:t>
            </w:r>
          </w:p>
        </w:tc>
        <w:tc>
          <w:tcPr>
            <w:tcW w:w="2452"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Sujet</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PE</w:t>
            </w:r>
          </w:p>
        </w:tc>
        <w:tc>
          <w:tcPr>
            <w:tcW w:w="984"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COM</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CJUE</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CCE</w:t>
            </w:r>
          </w:p>
        </w:tc>
        <w:tc>
          <w:tcPr>
            <w:tcW w:w="1116"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 xml:space="preserve">SEAE </w:t>
            </w:r>
          </w:p>
        </w:tc>
        <w:tc>
          <w:tcPr>
            <w:tcW w:w="1205"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CESE</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CdR</w:t>
            </w:r>
          </w:p>
        </w:tc>
        <w:tc>
          <w:tcPr>
            <w:tcW w:w="851"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ME</w:t>
            </w:r>
          </w:p>
        </w:tc>
        <w:tc>
          <w:tcPr>
            <w:tcW w:w="915" w:type="dxa"/>
            <w:tcBorders>
              <w:bottom w:val="single" w:sz="4" w:space="0" w:color="auto"/>
            </w:tcBorders>
            <w:shd w:val="clear" w:color="auto" w:fill="C2D69B" w:themeFill="accent3" w:themeFillTint="99"/>
            <w:vAlign w:val="center"/>
          </w:tcPr>
          <w:p>
            <w:pPr>
              <w:jc w:val="center"/>
              <w:rPr>
                <w:b/>
                <w:noProof/>
                <w:sz w:val="26"/>
                <w:szCs w:val="26"/>
              </w:rPr>
            </w:pPr>
            <w:r>
              <w:rPr>
                <w:rFonts w:ascii="Times New Roman" w:hAnsi="Times New Roman"/>
                <w:b/>
                <w:noProof/>
                <w:sz w:val="26"/>
              </w:rPr>
              <w:t>CEPD</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 xml:space="preserve">Chapitre 1 – Dispositions générales </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2</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Programme pour les professionnels juniors</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2 et 88</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Durée maximale du recours au personnel non permanent</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noProof/>
              </w:rPr>
            </w:pPr>
            <w:r>
              <w:rPr>
                <w:rFonts w:ascii="Times New Roman" w:hAnsi="Times New Roman"/>
                <w:b/>
                <w:noProof/>
                <w:sz w:val="36"/>
                <w:shd w:val="clear" w:color="auto" w:fill="D99594" w:themeFill="accent2" w:themeFillTint="99"/>
              </w:rPr>
              <w:t>X</w:t>
            </w:r>
          </w:p>
        </w:tc>
      </w:tr>
      <w:tr>
        <w:tc>
          <w:tcPr>
            <w:tcW w:w="1407" w:type="dxa"/>
            <w:vMerge w:val="restart"/>
            <w:tcBorders>
              <w:top w:val="single" w:sz="4" w:space="0" w:color="auto"/>
              <w:left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8</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Politique générale d’engagement et d’emploi des agents temporaires</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rPr>
            </w:pP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nil"/>
              <w:left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10</w:t>
            </w:r>
          </w:p>
        </w:tc>
        <w:tc>
          <w:tcPr>
            <w:tcW w:w="2452"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Reclassement des agents temporaires</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851"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shd w:val="clear" w:color="auto" w:fill="D99594" w:themeFill="accent2" w:themeFillTint="99"/>
              </w:rPr>
              <w:t>X</w:t>
            </w: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10, par. 5</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Recrutement</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bookmarkStart w:id="8" w:name="_Hlk177742437"/>
            <w:r>
              <w:rPr>
                <w:rFonts w:ascii="Times New Roman" w:hAnsi="Times New Roman"/>
                <w:b/>
                <w:noProof/>
                <w:sz w:val="44"/>
              </w:rPr>
              <w:t xml:space="preserve">Chapitre 3 – Conditions d’engagement  </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12, par. 5</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Procédures de recrutement des agents temporaires </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15</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Classement en échelon des agents temporaires</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16 et 91</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Conditions de travail des chauffeurs agents temporaires</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rPr>
            </w:pPr>
            <w:r>
              <w:rPr>
                <w:rFonts w:ascii="Times New Roman" w:hAnsi="Times New Roman"/>
                <w:noProof/>
              </w:rPr>
              <w:t>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bookmarkEnd w:id="8"/>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Chapitre 4 – Conditions de travail</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17 et 91</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Congé de maternité et son paiement</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Chapitre 6 – Sécurité sociale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Section A – Couverture des risques de maladie et d’accident, allocations de caractère social </w:t>
            </w:r>
          </w:p>
        </w:tc>
      </w:tr>
      <w:tr>
        <w:tc>
          <w:tcPr>
            <w:tcW w:w="14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4"/>
                <w:szCs w:val="24"/>
              </w:rPr>
            </w:pPr>
            <w:r>
              <w:rPr>
                <w:rFonts w:ascii="Times New Roman" w:hAnsi="Times New Roman"/>
                <w:b/>
                <w:noProof/>
                <w:sz w:val="24"/>
                <w:szCs w:val="24"/>
              </w:rPr>
              <w:t xml:space="preserve">28 </w:t>
            </w:r>
            <w:r>
              <w:rPr>
                <w:rFonts w:ascii="Times New Roman" w:hAnsi="Times New Roman"/>
                <w:b/>
                <w:i/>
                <w:iCs/>
                <w:noProof/>
                <w:sz w:val="24"/>
                <w:szCs w:val="24"/>
              </w:rPr>
              <w:t>bis</w:t>
            </w:r>
            <w:r>
              <w:rPr>
                <w:rFonts w:ascii="Times New Roman" w:hAnsi="Times New Roman"/>
                <w:b/>
                <w:noProof/>
                <w:sz w:val="24"/>
                <w:szCs w:val="24"/>
              </w:rPr>
              <w:t>, par. 10</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Allocation de chômage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40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2452"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noProof/>
              </w:rPr>
            </w:pPr>
          </w:p>
        </w:tc>
        <w:tc>
          <w:tcPr>
            <w:tcW w:w="984" w:type="dxa"/>
            <w:tcBorders>
              <w:top w:val="single" w:sz="4" w:space="0" w:color="auto"/>
              <w:left w:val="nil"/>
              <w:bottom w:val="single" w:sz="4" w:space="0" w:color="auto"/>
              <w:right w:val="nil"/>
            </w:tcBorders>
            <w:vAlign w:val="center"/>
          </w:tcPr>
          <w:p>
            <w:pPr>
              <w:jc w:val="center"/>
              <w:rPr>
                <w:noProof/>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noProof/>
              </w:rPr>
            </w:pPr>
          </w:p>
        </w:tc>
        <w:tc>
          <w:tcPr>
            <w:tcW w:w="1337" w:type="dxa"/>
            <w:tcBorders>
              <w:top w:val="single" w:sz="4" w:space="0" w:color="auto"/>
              <w:left w:val="nil"/>
              <w:bottom w:val="single" w:sz="4" w:space="0" w:color="auto"/>
              <w:right w:val="nil"/>
            </w:tcBorders>
            <w:vAlign w:val="center"/>
          </w:tcPr>
          <w:p>
            <w:pPr>
              <w:jc w:val="center"/>
              <w:rPr>
                <w:noProof/>
              </w:rPr>
            </w:pPr>
          </w:p>
        </w:tc>
        <w:tc>
          <w:tcPr>
            <w:tcW w:w="1116" w:type="dxa"/>
            <w:tcBorders>
              <w:top w:val="single" w:sz="4" w:space="0" w:color="auto"/>
              <w:left w:val="nil"/>
              <w:bottom w:val="single" w:sz="4" w:space="0" w:color="auto"/>
              <w:right w:val="nil"/>
            </w:tcBorders>
            <w:vAlign w:val="center"/>
          </w:tcPr>
          <w:p>
            <w:pPr>
              <w:jc w:val="center"/>
              <w:rPr>
                <w:noProof/>
              </w:rPr>
            </w:pPr>
          </w:p>
        </w:tc>
        <w:tc>
          <w:tcPr>
            <w:tcW w:w="1205" w:type="dxa"/>
            <w:tcBorders>
              <w:top w:val="single" w:sz="4" w:space="0" w:color="auto"/>
              <w:left w:val="nil"/>
              <w:bottom w:val="single" w:sz="4" w:space="0" w:color="auto"/>
              <w:right w:val="nil"/>
            </w:tcBorders>
            <w:vAlign w:val="center"/>
          </w:tcPr>
          <w:p>
            <w:pPr>
              <w:jc w:val="center"/>
              <w:rPr>
                <w:noProof/>
              </w:rPr>
            </w:pPr>
          </w:p>
        </w:tc>
        <w:tc>
          <w:tcPr>
            <w:tcW w:w="1337" w:type="dxa"/>
            <w:tcBorders>
              <w:top w:val="single" w:sz="4" w:space="0" w:color="auto"/>
              <w:left w:val="nil"/>
              <w:bottom w:val="single" w:sz="4" w:space="0" w:color="auto"/>
              <w:right w:val="nil"/>
            </w:tcBorders>
            <w:vAlign w:val="center"/>
          </w:tcPr>
          <w:p>
            <w:pPr>
              <w:jc w:val="center"/>
              <w:rPr>
                <w:noProof/>
              </w:rPr>
            </w:pPr>
          </w:p>
        </w:tc>
        <w:tc>
          <w:tcPr>
            <w:tcW w:w="851" w:type="dxa"/>
            <w:tcBorders>
              <w:top w:val="single" w:sz="4" w:space="0" w:color="auto"/>
              <w:left w:val="nil"/>
              <w:bottom w:val="single" w:sz="4" w:space="0" w:color="auto"/>
              <w:right w:val="nil"/>
            </w:tcBorders>
            <w:vAlign w:val="center"/>
          </w:tcPr>
          <w:p>
            <w:pPr>
              <w:jc w:val="center"/>
              <w:rPr>
                <w:noProof/>
              </w:rPr>
            </w:pPr>
          </w:p>
        </w:tc>
        <w:tc>
          <w:tcPr>
            <w:tcW w:w="915" w:type="dxa"/>
            <w:tcBorders>
              <w:top w:val="single" w:sz="4" w:space="0" w:color="auto"/>
              <w:left w:val="nil"/>
              <w:bottom w:val="single" w:sz="4" w:space="0" w:color="auto"/>
              <w:right w:val="nil"/>
            </w:tcBorders>
            <w:vAlign w:val="center"/>
          </w:tcPr>
          <w:p>
            <w:pPr>
              <w:jc w:val="center"/>
              <w:rPr>
                <w:noProof/>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pPr>
              <w:jc w:val="center"/>
              <w:rPr>
                <w:noProof/>
              </w:rPr>
            </w:pPr>
            <w:r>
              <w:rPr>
                <w:rFonts w:ascii="Times New Roman" w:hAnsi="Times New Roman"/>
                <w:b/>
                <w:noProof/>
                <w:sz w:val="36"/>
              </w:rPr>
              <w:t xml:space="preserve">Section C – Pension d’ancienneté et allocation de départ </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39</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Préretraite</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noProof/>
              </w:rPr>
            </w:pP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56"/>
              </w:rPr>
              <w:t>Titre IV – Agents contractuels</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Chapitre 1 – Dispositions générales</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 xml:space="preserve">79, par. 2 </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Recours aux agents contractuels</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407"/>
        <w:gridCol w:w="2452"/>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lastRenderedPageBreak/>
              <w:t>Chapitre 3 - Conditions d’engagement</w:t>
            </w:r>
          </w:p>
        </w:tc>
      </w:tr>
      <w:tr>
        <w:tc>
          <w:tcPr>
            <w:tcW w:w="1407" w:type="dxa"/>
            <w:vMerge w:val="restart"/>
            <w:tcBorders>
              <w:top w:val="single" w:sz="4" w:space="0" w:color="auto"/>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82</w:t>
            </w:r>
          </w:p>
        </w:tc>
        <w:tc>
          <w:tcPr>
            <w:tcW w:w="2452"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Procédures de recrutement des agents contractuels</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2452"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84"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116"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20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851"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1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r>
      <w:tr>
        <w:tc>
          <w:tcPr>
            <w:tcW w:w="15615" w:type="dxa"/>
            <w:gridSpan w:val="12"/>
            <w:tcBorders>
              <w:top w:val="single" w:sz="4" w:space="0" w:color="auto"/>
            </w:tcBorders>
            <w:shd w:val="clear" w:color="auto" w:fill="C2D69B" w:themeFill="accent3" w:themeFillTint="99"/>
          </w:tcPr>
          <w:p>
            <w:pPr>
              <w:jc w:val="center"/>
              <w:rPr>
                <w:rFonts w:ascii="Times New Roman" w:eastAsia="Times New Roman" w:hAnsi="Times New Roman" w:cs="Times New Roman"/>
                <w:b/>
                <w:bCs/>
                <w:noProof/>
                <w:sz w:val="36"/>
                <w:szCs w:val="36"/>
              </w:rPr>
            </w:pPr>
            <w:r>
              <w:rPr>
                <w:rFonts w:ascii="Times New Roman" w:hAnsi="Times New Roman"/>
                <w:b/>
                <w:noProof/>
                <w:sz w:val="44"/>
              </w:rPr>
              <w:t>Chapitre 4 -  Dispositions particulières applicables aux agents contractuels visés à l’article 3 </w:t>
            </w:r>
            <w:r>
              <w:rPr>
                <w:rFonts w:ascii="Times New Roman" w:hAnsi="Times New Roman"/>
                <w:b/>
                <w:i/>
                <w:iCs/>
                <w:noProof/>
                <w:sz w:val="44"/>
              </w:rPr>
              <w:t>bis</w:t>
            </w:r>
          </w:p>
        </w:tc>
      </w:tr>
      <w:tr>
        <w:tc>
          <w:tcPr>
            <w:tcW w:w="1407"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85</w:t>
            </w:r>
          </w:p>
        </w:tc>
        <w:tc>
          <w:tcPr>
            <w:tcW w:w="2452"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9" w:name="_Hlk177924153"/>
            <w:r>
              <w:rPr>
                <w:rFonts w:ascii="Times New Roman" w:hAnsi="Times New Roman"/>
                <w:b/>
                <w:noProof/>
                <w:sz w:val="28"/>
              </w:rPr>
              <w:t>Membres du personnel engagés en vertu du droit national ne pouvant pas devenir agents contractuels</w:t>
            </w:r>
            <w:bookmarkEnd w:id="9"/>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vMerge w:val="restart"/>
            <w:tcBorders>
              <w:top w:val="nil"/>
              <w:left w:val="single" w:sz="4" w:space="0" w:color="auto"/>
              <w:right w:val="single" w:sz="4" w:space="0" w:color="auto"/>
            </w:tcBorders>
            <w:shd w:val="clear" w:color="auto" w:fill="FFFF66"/>
            <w:vAlign w:val="center"/>
          </w:tcPr>
          <w:p>
            <w:pPr>
              <w:jc w:val="center"/>
              <w:rPr>
                <w:noProof/>
                <w:sz w:val="24"/>
                <w:szCs w:val="24"/>
              </w:rPr>
            </w:pPr>
            <w:r>
              <w:rPr>
                <w:rFonts w:ascii="Times New Roman" w:hAnsi="Times New Roman"/>
                <w:b/>
                <w:noProof/>
                <w:sz w:val="24"/>
                <w:szCs w:val="24"/>
              </w:rPr>
              <w:t>86</w:t>
            </w:r>
          </w:p>
        </w:tc>
        <w:tc>
          <w:tcPr>
            <w:tcW w:w="2452"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Grades au recrutement </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r>
      <w:tr>
        <w:tc>
          <w:tcPr>
            <w:tcW w:w="1407"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407" w:type="dxa"/>
            <w:vMerge w:val="restart"/>
            <w:tcBorders>
              <w:top w:val="nil"/>
              <w:left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87</w:t>
            </w:r>
          </w:p>
        </w:tc>
        <w:tc>
          <w:tcPr>
            <w:tcW w:w="2452"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Évaluation des agents contractuels  </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r>
              <w:rPr>
                <w:rFonts w:ascii="Times New Roman" w:hAnsi="Times New Roman"/>
                <w:noProof/>
              </w:rPr>
              <w:t>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vMerge w:val="restart"/>
            <w:tcBorders>
              <w:top w:val="nil"/>
              <w:left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r>
              <w:rPr>
                <w:rFonts w:ascii="Times New Roman" w:hAnsi="Times New Roman"/>
                <w:b/>
                <w:noProof/>
                <w:sz w:val="24"/>
                <w:szCs w:val="24"/>
              </w:rPr>
              <w:t>87, par. 3</w:t>
            </w:r>
          </w:p>
        </w:tc>
        <w:tc>
          <w:tcPr>
            <w:tcW w:w="2452" w:type="dxa"/>
            <w:vMerge w:val="restart"/>
            <w:tcBorders>
              <w:top w:val="nil"/>
              <w:left w:val="nil"/>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Reclassement des agents contractuels</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2452"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val="en-US"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Chapitre 5 - Dispositions particulières applicables aux agents contractuels visés à l’article 3 </w:t>
            </w:r>
            <w:r>
              <w:rPr>
                <w:rFonts w:ascii="Times New Roman" w:hAnsi="Times New Roman"/>
                <w:b/>
                <w:i/>
                <w:iCs/>
                <w:noProof/>
                <w:sz w:val="44"/>
              </w:rPr>
              <w:t>ter</w:t>
            </w:r>
          </w:p>
        </w:tc>
      </w:tr>
      <w:tr>
        <w:tc>
          <w:tcPr>
            <w:tcW w:w="140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4"/>
                <w:szCs w:val="24"/>
              </w:rPr>
            </w:pPr>
            <w:r>
              <w:rPr>
                <w:rFonts w:ascii="Times New Roman" w:hAnsi="Times New Roman"/>
                <w:b/>
                <w:noProof/>
                <w:sz w:val="24"/>
                <w:szCs w:val="24"/>
              </w:rPr>
              <w:t>90</w:t>
            </w:r>
          </w:p>
        </w:tc>
        <w:tc>
          <w:tcPr>
            <w:tcW w:w="2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8"/>
              </w:rPr>
              <w:t>Agents interprètes de conférence</w:t>
            </w: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r>
      <w:tr>
        <w:tc>
          <w:tcPr>
            <w:tcW w:w="140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8"/>
                <w:szCs w:val="28"/>
              </w:rPr>
            </w:pPr>
          </w:p>
        </w:tc>
        <w:tc>
          <w:tcPr>
            <w:tcW w:w="24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8"/>
              </w:rPr>
              <w:t>Conditions de travail des interprètes</w:t>
            </w: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r>
      <w:tr>
        <w:tc>
          <w:tcPr>
            <w:tcW w:w="1407" w:type="dxa"/>
            <w:tcBorders>
              <w:top w:val="single" w:sz="4" w:space="0" w:color="auto"/>
              <w:left w:val="nil"/>
              <w:bottom w:val="single" w:sz="4" w:space="0" w:color="auto"/>
              <w:right w:val="nil"/>
            </w:tcBorders>
          </w:tcPr>
          <w:p>
            <w:pPr>
              <w:jc w:val="center"/>
              <w:rPr>
                <w:noProof/>
                <w:sz w:val="28"/>
                <w:szCs w:val="28"/>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sz w:val="44"/>
                <w:szCs w:val="44"/>
              </w:rPr>
            </w:pPr>
            <w:r>
              <w:rPr>
                <w:rFonts w:ascii="Times New Roman" w:hAnsi="Times New Roman"/>
                <w:b/>
                <w:noProof/>
                <w:sz w:val="44"/>
              </w:rPr>
              <w:t>Chapitre 11 - Dispositions particulières et dérogatoires applicables aux agents contractuels affectés dans un pays tiers</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118</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Mobilité des agents contractuels dans les délégations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Titre V – Des agents locaux</w:t>
            </w:r>
          </w:p>
        </w:tc>
      </w:tr>
      <w:tr>
        <w:tc>
          <w:tcPr>
            <w:tcW w:w="1407" w:type="dxa"/>
            <w:vMerge w:val="restart"/>
            <w:tcBorders>
              <w:top w:val="single" w:sz="4" w:space="0" w:color="auto"/>
              <w:left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120</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Conditions d’emploi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vMerge/>
            <w:tcBorders>
              <w:left w:val="single" w:sz="4" w:space="0" w:color="auto"/>
              <w:bottom w:val="single" w:sz="4" w:space="0" w:color="auto"/>
              <w:right w:val="single" w:sz="4" w:space="0" w:color="auto"/>
            </w:tcBorders>
            <w:vAlign w:val="center"/>
          </w:tcPr>
          <w:p>
            <w:pPr>
              <w:jc w:val="center"/>
              <w:rPr>
                <w:noProof/>
                <w:sz w:val="24"/>
                <w:szCs w:val="24"/>
              </w:rPr>
            </w:pP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Méthode de calcul des salaires</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121</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Sécurité sociale</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4"/>
                <w:szCs w:val="24"/>
              </w:rPr>
            </w:pPr>
            <w:bookmarkStart w:id="10" w:name="_Hlk177744074"/>
            <w:r>
              <w:rPr>
                <w:rFonts w:ascii="Times New Roman" w:hAnsi="Times New Roman"/>
                <w:b/>
                <w:noProof/>
                <w:sz w:val="24"/>
                <w:szCs w:val="24"/>
              </w:rPr>
              <w:t>120 et 121</w:t>
            </w:r>
          </w:p>
        </w:tc>
        <w:tc>
          <w:tcPr>
            <w:tcW w:w="2452"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11" w:name="_Hlk177924626"/>
            <w:r>
              <w:rPr>
                <w:rFonts w:ascii="Times New Roman" w:hAnsi="Times New Roman"/>
                <w:b/>
                <w:noProof/>
                <w:sz w:val="28"/>
              </w:rPr>
              <w:t>Comités paritaires concernant les agents locaux</w:t>
            </w:r>
            <w:bookmarkEnd w:id="11"/>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bookmarkEnd w:id="10"/>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Titre VI – Des conseillers spéciaux</w:t>
            </w:r>
          </w:p>
        </w:tc>
      </w:tr>
      <w:tr>
        <w:tc>
          <w:tcPr>
            <w:tcW w:w="1407" w:type="dxa"/>
            <w:tcBorders>
              <w:top w:val="single" w:sz="4" w:space="0" w:color="auto"/>
              <w:left w:val="single" w:sz="4" w:space="0" w:color="auto"/>
              <w:bottom w:val="single" w:sz="4" w:space="0" w:color="auto"/>
              <w:right w:val="single" w:sz="4" w:space="0" w:color="auto"/>
            </w:tcBorders>
            <w:vAlign w:val="center"/>
          </w:tcPr>
          <w:p>
            <w:pPr>
              <w:jc w:val="center"/>
              <w:rPr>
                <w:noProof/>
                <w:sz w:val="24"/>
                <w:szCs w:val="24"/>
              </w:rPr>
            </w:pPr>
            <w:r>
              <w:rPr>
                <w:rFonts w:ascii="Times New Roman" w:hAnsi="Times New Roman"/>
                <w:b/>
                <w:noProof/>
                <w:sz w:val="24"/>
                <w:szCs w:val="24"/>
              </w:rPr>
              <w:t>5, 123 et 124</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Conseillers spéciaux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r>
        <w:tc>
          <w:tcPr>
            <w:tcW w:w="1407" w:type="dxa"/>
            <w:tcBorders>
              <w:top w:val="single" w:sz="4" w:space="0" w:color="auto"/>
              <w:left w:val="nil"/>
              <w:bottom w:val="single" w:sz="4" w:space="0" w:color="auto"/>
              <w:right w:val="nil"/>
            </w:tcBorders>
          </w:tcPr>
          <w:p>
            <w:pPr>
              <w:jc w:val="center"/>
              <w:rPr>
                <w:noProof/>
              </w:rPr>
            </w:pPr>
          </w:p>
        </w:tc>
        <w:tc>
          <w:tcPr>
            <w:tcW w:w="2452"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Titre VII – Assistants parlementaires</w:t>
            </w:r>
          </w:p>
        </w:tc>
      </w:tr>
      <w:tr>
        <w:tc>
          <w:tcPr>
            <w:tcW w:w="140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sz w:val="24"/>
                <w:szCs w:val="24"/>
              </w:rPr>
            </w:pPr>
            <w:r>
              <w:rPr>
                <w:rFonts w:ascii="Times New Roman" w:hAnsi="Times New Roman"/>
                <w:b/>
                <w:noProof/>
                <w:sz w:val="24"/>
                <w:szCs w:val="24"/>
              </w:rPr>
              <w:t>125 à 139</w:t>
            </w:r>
          </w:p>
        </w:tc>
        <w:tc>
          <w:tcPr>
            <w:tcW w:w="2452"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Mesures d’application du titre VII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w:t>
            </w:r>
          </w:p>
        </w:tc>
      </w:tr>
    </w:tbl>
    <w:tbl>
      <w:tblPr>
        <w:tblW w:w="0" w:type="auto"/>
        <w:tblInd w:w="93" w:type="dxa"/>
        <w:tblLook w:val="04A0" w:firstRow="1" w:lastRow="0" w:firstColumn="1" w:lastColumn="0" w:noHBand="0" w:noVBand="1"/>
      </w:tblPr>
      <w:tblGrid>
        <w:gridCol w:w="1705"/>
        <w:gridCol w:w="6741"/>
        <w:gridCol w:w="271"/>
        <w:gridCol w:w="306"/>
        <w:gridCol w:w="271"/>
        <w:gridCol w:w="448"/>
        <w:gridCol w:w="271"/>
        <w:gridCol w:w="271"/>
        <w:gridCol w:w="271"/>
        <w:gridCol w:w="222"/>
        <w:gridCol w:w="222"/>
        <w:gridCol w:w="222"/>
      </w:tblGrid>
      <w:tr>
        <w:trPr>
          <w:trHeight w:val="1185"/>
        </w:trPr>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rPr>
            </w:pPr>
            <w:r>
              <w:rPr>
                <w:rFonts w:ascii="Times New Roman" w:hAnsi="Times New Roman"/>
                <w:i/>
                <w:noProof/>
                <w:sz w:val="40"/>
              </w:rPr>
              <w:t xml:space="preserve">Légende: </w:t>
            </w: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i/>
                <w:iCs/>
                <w:noProof/>
                <w:sz w:val="28"/>
                <w:szCs w:val="28"/>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r>
        <w:trPr>
          <w:trHeight w:val="641"/>
        </w:trPr>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rPr>
            </w:pPr>
            <w:r>
              <w:rPr>
                <w:rFonts w:ascii="Times New Roman" w:hAnsi="Times New Roman"/>
                <w:i/>
                <w:noProof/>
                <w:sz w:val="28"/>
              </w:rPr>
              <w:t>Dispositions générales d’exécution</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FFFF66"/>
            <w:noWrap/>
            <w:vAlign w:val="center"/>
            <w:hideMark/>
          </w:tcPr>
          <w:p>
            <w:pPr>
              <w:spacing w:after="0" w:line="240" w:lineRule="auto"/>
              <w:jc w:val="center"/>
              <w:rPr>
                <w:rFonts w:ascii="Times New Roman" w:eastAsia="Times New Roman" w:hAnsi="Times New Roman" w:cs="Times New Roman"/>
                <w:b/>
                <w:bCs/>
                <w:noProof/>
                <w:sz w:val="32"/>
                <w:szCs w:val="32"/>
              </w:rPr>
            </w:pPr>
            <w:r>
              <w:rPr>
                <w:rFonts w:ascii="Times New Roman" w:hAnsi="Times New Roman"/>
                <w:b/>
                <w:noProof/>
                <w:sz w:val="32"/>
              </w:rPr>
              <w:t>X</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r>
        <w:trPr>
          <w:trHeight w:val="705"/>
        </w:trPr>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rPr>
            </w:pPr>
            <w:r>
              <w:rPr>
                <w:rFonts w:ascii="Times New Roman" w:hAnsi="Times New Roman"/>
                <w:i/>
                <w:noProof/>
                <w:sz w:val="28"/>
              </w:rPr>
              <w:t xml:space="preserve">Autres règles d’exécution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DA9694"/>
            <w:noWrap/>
            <w:vAlign w:val="center"/>
            <w:hideMark/>
          </w:tcPr>
          <w:p>
            <w:pPr>
              <w:spacing w:after="0" w:line="240" w:lineRule="auto"/>
              <w:jc w:val="center"/>
              <w:rPr>
                <w:rFonts w:ascii="Times New Roman" w:eastAsia="Times New Roman" w:hAnsi="Times New Roman" w:cs="Times New Roman"/>
                <w:b/>
                <w:bCs/>
                <w:noProof/>
                <w:sz w:val="32"/>
                <w:szCs w:val="32"/>
              </w:rPr>
            </w:pPr>
            <w:r>
              <w:rPr>
                <w:rFonts w:ascii="Times New Roman" w:hAnsi="Times New Roman"/>
                <w:b/>
                <w:noProof/>
                <w:sz w:val="32"/>
              </w:rPr>
              <w:t>X</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r>
        <w:trPr>
          <w:trHeight w:val="576"/>
        </w:trPr>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rPr>
            </w:pPr>
            <w:r>
              <w:rPr>
                <w:rFonts w:ascii="Times New Roman" w:hAnsi="Times New Roman"/>
                <w:i/>
                <w:noProof/>
                <w:sz w:val="28"/>
              </w:rPr>
              <w:t xml:space="preserve">Règles arrêtées d’un commun accord entre les institutions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C5D9F1"/>
            <w:vAlign w:val="center"/>
            <w:hideMark/>
          </w:tcPr>
          <w:p>
            <w:pPr>
              <w:spacing w:after="0" w:line="240" w:lineRule="auto"/>
              <w:jc w:val="center"/>
              <w:rPr>
                <w:rFonts w:ascii="Times New Roman" w:eastAsia="Times New Roman" w:hAnsi="Times New Roman" w:cs="Times New Roman"/>
                <w:b/>
                <w:bCs/>
                <w:noProof/>
                <w:sz w:val="36"/>
                <w:szCs w:val="36"/>
              </w:rPr>
            </w:pPr>
            <w:r>
              <w:rPr>
                <w:rFonts w:ascii="Times New Roman" w:hAnsi="Times New Roman"/>
                <w:b/>
                <w:noProof/>
                <w:sz w:val="36"/>
              </w:rPr>
              <w:t>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C5D9F1"/>
            <w:noWrap/>
            <w:vAlign w:val="center"/>
            <w:hideMark/>
          </w:tcPr>
          <w:p>
            <w:pPr>
              <w:spacing w:after="0" w:line="240" w:lineRule="auto"/>
              <w:jc w:val="center"/>
              <w:rPr>
                <w:rFonts w:ascii="Times New Roman" w:eastAsia="Times New Roman" w:hAnsi="Times New Roman" w:cs="Times New Roman"/>
                <w:b/>
                <w:bCs/>
                <w:noProof/>
                <w:sz w:val="32"/>
                <w:szCs w:val="32"/>
              </w:rPr>
            </w:pPr>
            <w:r>
              <w:rPr>
                <w:rFonts w:ascii="Times New Roman" w:hAnsi="Times New Roman"/>
                <w:b/>
                <w:noProof/>
                <w:sz w:val="32"/>
              </w:rPr>
              <w:t>X</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w:t>
            </w: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bl>
    <w:p>
      <w:pPr>
        <w:rPr>
          <w:rFonts w:ascii="Times New Roman" w:hAnsi="Times New Roman" w:cs="Times New Roman"/>
          <w:noProof/>
        </w:rPr>
      </w:pPr>
    </w:p>
    <w:p>
      <w:pPr>
        <w:jc w:val="both"/>
        <w:rPr>
          <w:rFonts w:ascii="Times New Roman" w:hAnsi="Times New Roman" w:cs="Times New Roman"/>
          <w:i/>
          <w:noProof/>
          <w:sz w:val="28"/>
          <w:szCs w:val="28"/>
        </w:rPr>
      </w:pPr>
      <w:r>
        <w:rPr>
          <w:rFonts w:ascii="Times New Roman" w:hAnsi="Times New Roman"/>
          <w:i/>
          <w:noProof/>
          <w:sz w:val="28"/>
        </w:rPr>
        <w:t xml:space="preserve">Dans la colonne «Article», le même code couleur est utilisé pour indiquer lorsque le statut des fonctionnaires ou le régime applicable aux autres agents impose une forme particulière à la règle d’exécution, à savoir respectivement des dispositions générales d’exécution, d’autres règles d’exécution ou des règles arrêtées d’un commun accord entre les institutions. Lorsque le champ concerné est blanc, soit l’adoption d’une règle d’exécution n’est pas prévue explicitement par ces actes, soit ces actes n’imposent aucune forme particulière à cette règle d’exécution. </w:t>
      </w:r>
    </w:p>
    <w:p>
      <w:pPr>
        <w:rPr>
          <w:rFonts w:ascii="Times New Roman" w:hAnsi="Times New Roman" w:cs="Times New Roman"/>
          <w:noProof/>
        </w:rPr>
      </w:pPr>
      <w:r>
        <w:rPr>
          <w:rFonts w:ascii="Times New Roman" w:hAnsi="Times New Roman"/>
          <w:noProof/>
        </w:rPr>
        <w:t xml:space="preserve"> </w:t>
      </w:r>
    </w:p>
    <w:p>
      <w:pPr>
        <w:rPr>
          <w:rFonts w:ascii="Times New Roman" w:hAnsi="Times New Roman" w:cs="Times New Roman"/>
          <w:noProof/>
        </w:rPr>
      </w:pPr>
      <w:r>
        <w:rPr>
          <w:rFonts w:ascii="Times New Roman" w:hAnsi="Times New Roman"/>
          <w:noProof/>
        </w:rPr>
        <w:t xml:space="preserve"> </w:t>
      </w:r>
    </w:p>
    <w:p>
      <w:pPr>
        <w:rPr>
          <w:rFonts w:ascii="Times New Roman" w:hAnsi="Times New Roman" w:cs="Times New Roman"/>
          <w:noProof/>
        </w:rPr>
      </w:pPr>
    </w:p>
    <w:p>
      <w:pPr>
        <w:rPr>
          <w:rFonts w:ascii="Times New Roman" w:hAnsi="Times New Roman" w:cs="Times New Roman"/>
          <w:noProof/>
        </w:rPr>
      </w:pPr>
    </w:p>
    <w:sectPr>
      <w:headerReference w:type="even" r:id="rId14"/>
      <w:headerReference w:type="default" r:id="rId15"/>
      <w:footerReference w:type="even" r:id="rId16"/>
      <w:footerReference w:type="default" r:id="rId17"/>
      <w:headerReference w:type="first" r:id="rId18"/>
      <w:footerReference w:type="first" r:id="rId19"/>
      <w:pgSz w:w="16839" w:h="23814" w:code="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357140"/>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t>1</w:t>
        </w:r>
        <w: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du"/>
    <w:docVar w:name="LW_ANNEX_NBR_FIRST" w:val="3"/>
    <w:docVar w:name="LW_ANNEX_NBR_LAST" w:val="3"/>
    <w:docVar w:name="LW_ANNEX_UNIQUE" w:val="0"/>
    <w:docVar w:name="LW_CORRIGENDUM" w:val="&lt;UNUSED&gt;"/>
    <w:docVar w:name="LW_COVERPAGE_EXISTS" w:val="True"/>
    <w:docVar w:name="LW_COVERPAGE_GUID" w:val="D4893BF4-F6F4-40D6-9D6F-144017144AF7"/>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sur les règles d\u8217?exécution du statut des fonctionnaires adoptées par l\u8217?autorité investie du pouvoir de nomination de chaque institution_x000b__x000d_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083F663-DEB5-403E-BE83-0778900F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F9E89-9538-4E73-8C26-9470F5604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2024-09-30T10:43:00Z</cp:lastPrinted>
  <dcterms:created xsi:type="dcterms:W3CDTF">2026-05-05T11:04:00Z</dcterms:created>
  <dcterms:modified xsi:type="dcterms:W3CDTF">2026-09-10T12:58:00Z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3</vt:lpwstr>
  </property>
  <property fmtid="{D5CDD505-2E9C-101B-9397-08002B2CF9AE}" pid="3" name="Last annex">
    <vt:lpwstr>3</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Last edited using">
    <vt:lpwstr>LW 9.2, Build 20250828</vt:lpwstr>
  </property>
  <property fmtid="{D5CDD505-2E9C-101B-9397-08002B2CF9AE}" pid="9" name="Unique annex">
    <vt:lpwstr>0</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2024-09-09T12:02:37Z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14bcbf43-22ff-45a6-909a-838364a9d6ae</vt:lpwstr>
  </property>
  <property fmtid="{D5CDD505-2E9C-101B-9397-08002B2CF9AE}" pid="17" name="MSIP_Label_6bd9ddd1-4d20-43f6-abfa-fc3c07406f94_ContentBits">
    <vt:lpwstr>0</vt:lpwstr>
  </property>
</Properties>
</file>