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99A121E-EE30-4699-B6DC-CA1299FFF521" style="width:455.25pt;height:415.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spacing w:before="100" w:beforeAutospacing="1" w:after="100" w:afterAutospacing="1" w:line="240" w:lineRule="auto"/>
        <w:rPr>
          <w:rFonts w:ascii="Times New Roman Bold" w:hAnsi="Times New Roman Bold" w:cs="Times New Roman"/>
          <w:b/>
          <w:smallCaps/>
          <w:noProof/>
          <w:sz w:val="36"/>
          <w:szCs w:val="36"/>
        </w:rPr>
      </w:pPr>
    </w:p>
    <w:tbl>
      <w:tblPr>
        <w:tblStyle w:val="TableGrid"/>
        <w:tblW w:w="4900" w:type="pct"/>
        <w:tblInd w:w="0" w:type="dxa"/>
        <w:tblLook w:val="04A0" w:firstRow="1" w:lastRow="0" w:firstColumn="1" w:lastColumn="0" w:noHBand="0" w:noVBand="1"/>
      </w:tblPr>
      <w:tblGrid>
        <w:gridCol w:w="944"/>
        <w:gridCol w:w="1384"/>
        <w:gridCol w:w="1858"/>
        <w:gridCol w:w="1828"/>
        <w:gridCol w:w="1267"/>
        <w:gridCol w:w="1267"/>
        <w:gridCol w:w="1267"/>
        <w:gridCol w:w="1267"/>
        <w:gridCol w:w="984"/>
        <w:gridCol w:w="1127"/>
        <w:gridCol w:w="1267"/>
        <w:gridCol w:w="726"/>
      </w:tblGrid>
      <w:tr>
        <w:tc>
          <w:tcPr>
            <w:tcW w:w="5000" w:type="pct"/>
            <w:gridSpan w:val="12"/>
            <w:tcBorders>
              <w:top w:val="single" w:sz="4" w:space="0" w:color="auto"/>
              <w:left w:val="single" w:sz="4" w:space="0" w:color="auto"/>
              <w:bottom w:val="single" w:sz="4" w:space="0" w:color="auto"/>
              <w:right w:val="single" w:sz="4" w:space="0" w:color="auto"/>
            </w:tcBorders>
            <w:vAlign w:val="bottom"/>
          </w:tcPr>
          <w:p>
            <w:pPr>
              <w:pStyle w:val="TableParagraph"/>
              <w:spacing w:before="49"/>
              <w:ind w:left="114"/>
              <w:jc w:val="center"/>
              <w:rPr>
                <w:rFonts w:ascii="Times New Roman Bold" w:hAnsi="Times New Roman Bold" w:cs="Times New Roman"/>
                <w:b/>
                <w:smallCaps/>
                <w:noProof/>
                <w:sz w:val="36"/>
                <w:szCs w:val="36"/>
              </w:rPr>
            </w:pPr>
            <w:r>
              <w:rPr>
                <w:rFonts w:ascii="Times New Roman Bold" w:hAnsi="Times New Roman Bold" w:cs="Times New Roman"/>
                <w:b/>
                <w:smallCaps/>
                <w:noProof/>
                <w:sz w:val="36"/>
                <w:szCs w:val="36"/>
              </w:rPr>
              <w:t>Staff Regulations</w:t>
            </w:r>
          </w:p>
          <w:p>
            <w:pPr>
              <w:pStyle w:val="TableParagraph"/>
              <w:spacing w:before="49"/>
              <w:ind w:left="114"/>
              <w:jc w:val="center"/>
              <w:rPr>
                <w:rFonts w:ascii="Times New Roman" w:hAnsi="Times New Roman" w:cs="Times New Roman"/>
                <w:b/>
                <w:noProof/>
                <w:spacing w:val="-1"/>
                <w:sz w:val="28"/>
                <w:szCs w:val="28"/>
              </w:rPr>
            </w:pPr>
          </w:p>
        </w:tc>
      </w:tr>
      <w:tr>
        <w:tc>
          <w:tcPr>
            <w:tcW w:w="766"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pPr>
              <w:pStyle w:val="TableParagraph"/>
              <w:spacing w:before="49"/>
              <w:ind w:left="114"/>
              <w:jc w:val="center"/>
              <w:rPr>
                <w:rFonts w:ascii="Times New Roman"/>
                <w:b/>
                <w:noProof/>
                <w:spacing w:val="-1"/>
                <w:sz w:val="16"/>
                <w:szCs w:val="16"/>
              </w:rPr>
            </w:pPr>
          </w:p>
        </w:tc>
        <w:tc>
          <w:tcPr>
            <w:tcW w:w="1214"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noProof/>
                <w:spacing w:val="-1"/>
                <w:sz w:val="16"/>
                <w:szCs w:val="16"/>
              </w:rPr>
            </w:pPr>
            <w:r>
              <w:rPr>
                <w:rFonts w:ascii="Times New Roman" w:hAnsi="Times New Roman" w:cs="Times New Roman"/>
                <w:b/>
                <w:noProof/>
                <w:spacing w:val="-1"/>
                <w:sz w:val="28"/>
                <w:szCs w:val="28"/>
              </w:rPr>
              <w:t>Commission</w:t>
            </w:r>
          </w:p>
        </w:tc>
        <w:tc>
          <w:tcPr>
            <w:tcW w:w="3020" w:type="pct"/>
            <w:gridSpan w:val="8"/>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b/>
                <w:noProof/>
                <w:spacing w:val="-1"/>
                <w:sz w:val="16"/>
                <w:szCs w:val="16"/>
              </w:rPr>
            </w:pPr>
            <w:r>
              <w:rPr>
                <w:rFonts w:ascii="Times New Roman" w:hAnsi="Times New Roman" w:cs="Times New Roman"/>
                <w:b/>
                <w:noProof/>
                <w:spacing w:val="-1"/>
                <w:sz w:val="28"/>
                <w:szCs w:val="28"/>
              </w:rPr>
              <w:t>Agencies</w:t>
            </w:r>
            <w:r>
              <w:rPr>
                <w:rStyle w:val="FootnoteReference"/>
                <w:rFonts w:ascii="Times New Roman" w:hAnsi="Times New Roman" w:cs="Times New Roman"/>
                <w:b/>
                <w:noProof/>
                <w:spacing w:val="-1"/>
                <w:sz w:val="28"/>
                <w:szCs w:val="28"/>
              </w:rPr>
              <w:footnoteReference w:id="1"/>
            </w:r>
            <w:r>
              <w:rPr>
                <w:rFonts w:ascii="Times New Roman" w:hAnsi="Times New Roman" w:cs="Times New Roman"/>
                <w:b/>
                <w:noProof/>
                <w:spacing w:val="-1"/>
                <w:sz w:val="28"/>
                <w:szCs w:val="28"/>
              </w:rPr>
              <w:t xml:space="preserve"> </w:t>
            </w:r>
            <w:r>
              <w:rPr>
                <w:rFonts w:ascii="Times New Roman" w:hAnsi="Times New Roman" w:cs="Times New Roman"/>
                <w:b/>
                <w:noProof/>
                <w:spacing w:val="-1"/>
                <w:sz w:val="28"/>
                <w:szCs w:val="28"/>
              </w:rPr>
              <w:br/>
            </w:r>
            <w:r>
              <w:rPr>
                <w:rFonts w:ascii="Times New Roman" w:hAnsi="Times New Roman" w:cs="Times New Roman"/>
                <w:noProof/>
                <w:spacing w:val="-1"/>
                <w:sz w:val="16"/>
                <w:szCs w:val="16"/>
              </w:rPr>
              <w:t>Number of implementing rules on 31 December 2023</w:t>
            </w:r>
          </w:p>
        </w:tc>
      </w:tr>
      <w:t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hAnsi="Times New Roman" w:cs="Times New Roman"/>
                <w:noProof/>
                <w:spacing w:val="-1"/>
                <w:sz w:val="16"/>
                <w:szCs w:val="16"/>
                <w:lang w:val="en-US"/>
              </w:rPr>
            </w:pPr>
          </w:p>
        </w:tc>
        <w:tc>
          <w:tcPr>
            <w:tcW w:w="834" w:type="pct"/>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pPr>
              <w:pStyle w:val="TableParagraph"/>
              <w:jc w:val="center"/>
              <w:rPr>
                <w:rFonts w:ascii="Times New Roman"/>
                <w:b/>
                <w:noProof/>
                <w:spacing w:val="-1"/>
                <w:sz w:val="20"/>
                <w:szCs w:val="20"/>
              </w:rPr>
            </w:pPr>
            <w:r>
              <w:rPr>
                <w:rFonts w:ascii="Times New Roman"/>
                <w:b/>
                <w:noProof/>
                <w:spacing w:val="-1"/>
                <w:sz w:val="20"/>
                <w:szCs w:val="20"/>
              </w:rPr>
              <w:t>Adopted before 2014 reform</w:t>
            </w:r>
            <w:r>
              <w:rPr>
                <w:rStyle w:val="FootnoteReference"/>
                <w:noProof/>
                <w:spacing w:val="-1"/>
                <w:sz w:val="16"/>
                <w:szCs w:val="16"/>
              </w:rPr>
              <w:footnoteReference w:id="2"/>
            </w:r>
          </w:p>
        </w:tc>
        <w:tc>
          <w:tcPr>
            <w:tcW w:w="1529" w:type="pct"/>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20"/>
                <w:szCs w:val="20"/>
              </w:rPr>
              <w:t>Adopted after 2014 reform</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 xml:space="preserve">No rule / opt-out  </w:t>
            </w:r>
            <w:r>
              <w:rPr>
                <w:rFonts w:ascii="Times New Roman"/>
                <w:noProof/>
                <w:spacing w:val="-1"/>
                <w:sz w:val="16"/>
                <w:szCs w:val="16"/>
              </w:rPr>
              <w:t>(including ongoing requests)</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Total</w:t>
            </w:r>
          </w:p>
        </w:tc>
      </w:tr>
      <w:tr>
        <w:tc>
          <w:tcPr>
            <w:tcW w:w="31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pacing w:val="-1"/>
                <w:sz w:val="16"/>
                <w:szCs w:val="16"/>
              </w:rPr>
              <w:t>Article</w:t>
            </w:r>
          </w:p>
        </w:tc>
        <w:tc>
          <w:tcPr>
            <w:tcW w:w="456"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Subject Matter</w:t>
            </w:r>
          </w:p>
        </w:tc>
        <w:tc>
          <w:tcPr>
            <w:tcW w:w="61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Relevant COM implementing rule</w:t>
            </w:r>
          </w:p>
        </w:tc>
        <w:tc>
          <w:tcPr>
            <w:tcW w:w="60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Ex-ante agreement</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Analogous to COM rule</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 xml:space="preserve">Own rules </w:t>
            </w:r>
          </w:p>
        </w:tc>
        <w:tc>
          <w:tcPr>
            <w:tcW w:w="834"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Analogy - Art. 110</w:t>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pacing w:val="-1"/>
                <w:sz w:val="16"/>
                <w:szCs w:val="16"/>
              </w:rPr>
              <w:t>Rule based on ex-ante agreement</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pacing w:val="-1"/>
                <w:sz w:val="16"/>
                <w:szCs w:val="16"/>
              </w:rPr>
              <w:t xml:space="preserve">Own rules different from COM </w:t>
            </w:r>
            <w:r>
              <w:rPr>
                <w:rFonts w:ascii="Times New Roman"/>
                <w:noProof/>
                <w:spacing w:val="-1"/>
                <w:sz w:val="16"/>
                <w:szCs w:val="16"/>
              </w:rPr>
              <w:t>(including ongoing requests)</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Application by analogy</w:t>
            </w: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9 month period</w:t>
            </w:r>
            <w:r>
              <w:rPr>
                <w:rStyle w:val="FootnoteReference"/>
                <w:rFonts w:ascii="Times New Roman"/>
                <w:noProof/>
                <w:spacing w:val="-1"/>
                <w:sz w:val="16"/>
                <w:szCs w:val="16"/>
              </w:rPr>
              <w:footnoteReference w:id="3"/>
            </w:r>
            <w:r>
              <w:rPr>
                <w:rFonts w:ascii="Times New Roman"/>
                <w:noProof/>
                <w:spacing w:val="-1"/>
                <w:sz w:val="16"/>
                <w:szCs w:val="16"/>
              </w:rPr>
              <w:t xml:space="preserve"> not expired on 31/12/2023</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rPr>
          <w:trHeight w:val="88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1e(1)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Measures of social nature</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C(2013)4876 on guidelines for assistance with home care or care for a sick child</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 xml:space="preserve">2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 xml:space="preserve">2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7</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32</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516"/>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Types of posts and post titles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C(2013)8979 on types of post and post titles</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C(2018) 8800 type of post and post titles</w:t>
            </w:r>
          </w:p>
        </w:tc>
        <w:tc>
          <w:tcPr>
            <w:tcW w:w="417"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28</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26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835"/>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C(2016)3214 concerning the function of adviser</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C(2018)2209 and C(2018)4012 concerning adviser functions</w:t>
            </w:r>
          </w:p>
        </w:tc>
        <w:tc>
          <w:tcPr>
            <w:tcW w:w="417"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6</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13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7</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Transfer</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C(2009)7839 laying down implementing rules as regards temporary occupation of management posts</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C(2017) 7332 on temporary occupation of management posts (all)</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45</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 xml:space="preserve">1 </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445"/>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lastRenderedPageBreak/>
              <w:t>9(1)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Staff Committee</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Rules laying down the composition and operation of the Staff Committee of 22/10/1997</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C(2016)3323 regarding implementing rules on setting up a Staff Committee  and C(2019)4542 on setting up a Common Staff Committee</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2</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39</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2</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9(1)(a)</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Common Committee for Prevention and Protection at Work</w:t>
            </w:r>
          </w:p>
        </w:tc>
        <w:tc>
          <w:tcPr>
            <w:tcW w:w="612"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rPr>
                <w:rFonts w:ascii="Times New Roman"/>
                <w:noProof/>
                <w:spacing w:val="-1"/>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C(2019)5362 on setting up a Common Committee for Prevention and Protection at Work</w:t>
            </w:r>
          </w:p>
        </w:tc>
        <w:tc>
          <w:tcPr>
            <w:tcW w:w="417"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6</w:t>
            </w:r>
          </w:p>
        </w:tc>
      </w:tr>
      <w:tr>
        <w:trPr>
          <w:trHeight w:val="1469"/>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12a</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Anti-harassment</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C(2006)1624/3 on protecting the dignity of the person and preventing psychological harassment and sexual harassment</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C(2016)6595 on policy on protecting the dignity of the person and preventing psychological and sexual harassment</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42</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562"/>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12b - 16 - 17</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Outside activities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hAnsi="Times New Roman"/>
                <w:strike/>
                <w:noProof/>
                <w:spacing w:val="-1"/>
                <w:sz w:val="16"/>
                <w:szCs w:val="16"/>
              </w:rPr>
            </w:pPr>
            <w:r>
              <w:rPr>
                <w:rFonts w:ascii="Times New Roman"/>
                <w:noProof/>
                <w:spacing w:val="-1"/>
                <w:sz w:val="16"/>
                <w:szCs w:val="16"/>
              </w:rPr>
              <w:t>C(2018) 4048 on outside activities and assignments</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258"/>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22a - 22b</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Whistleblowing</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SEC(2012) 679 Guidelines on whistleblowing</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C(2018)1362 Guidelines on Whistleblowing</w:t>
            </w: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45</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8</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695"/>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24a</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Training</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C(2016)3829 Learning and Development Strategy</w:t>
            </w:r>
          </w:p>
        </w:tc>
        <w:tc>
          <w:tcPr>
            <w:tcW w:w="602"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C(2017) 6772 on Learning and development</w:t>
            </w: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38</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669"/>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C(2016)3855 on Training on the own initiative of the staff member</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819"/>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27-34</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Recruitment</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C(2013)8970 GIPs concerning the criteria applicable to classification in step upon recruitment</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73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29</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Middle management</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C(2016)3288 on middle management staff</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C(2018)2542 and C(2018)4360 on middle management staff</w:t>
            </w: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 xml:space="preserve">8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45</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417"/>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lastRenderedPageBreak/>
              <w:t>40</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Leave on personal grounds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C(2013)9054 on measures concerning leave on personal grounds for officials and unpaid leave for temporary and contract staff of the EU</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C(2015)5320 on measures concerning leave on personal grounds for officials and unpaid leave for temporary and contract staff of the EU</w:t>
            </w: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51</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559"/>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43</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Annual report</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C(2013)8985 GIPs on Article 43 and 44(1) SR</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C(2015)1513 on Article 43 and 44(1) SR</w:t>
            </w: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lang w:val="es-ES_tradnl"/>
              </w:rPr>
            </w:pPr>
            <w:r>
              <w:rPr>
                <w:rFonts w:ascii="Times New Roman"/>
                <w:noProof/>
                <w:spacing w:val="-1"/>
                <w:sz w:val="16"/>
                <w:szCs w:val="16"/>
                <w:lang w:val="es-ES_tradnl"/>
              </w:rPr>
              <w:t>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48</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C(2016) 7270 - Amendment Appraisal</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jc w:val="cente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es-ES_tradnl"/>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45</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Promotion</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noProof/>
              </w:rPr>
            </w:pPr>
            <w:r>
              <w:rPr>
                <w:rFonts w:ascii="Times New Roman"/>
                <w:noProof/>
                <w:spacing w:val="-1"/>
                <w:sz w:val="16"/>
                <w:szCs w:val="16"/>
              </w:rPr>
              <w:t xml:space="preserve">C(2013)8968 on implementing Article 45 SR </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C(2015)9563 on implementing Article 45 SR</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20</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 xml:space="preserve">4 </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761"/>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jc w:val="center"/>
              <w:rPr>
                <w:rFonts w:ascii="Times New Roman"/>
                <w:b/>
                <w:noProof/>
                <w:spacing w:val="-1"/>
                <w:sz w:val="16"/>
                <w:szCs w:val="16"/>
              </w:rPr>
            </w:pPr>
            <w:r>
              <w:rPr>
                <w:rFonts w:ascii="Times New Roman"/>
                <w:b/>
                <w:noProof/>
                <w:spacing w:val="-1"/>
                <w:sz w:val="16"/>
                <w:szCs w:val="16"/>
              </w:rPr>
              <w:t>51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Procedures dealing with incompetence</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C(2019)6855 on professional incompetence of officials</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51</w:t>
            </w: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w:t>
            </w: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rFonts w:ascii="Times New Roman"/>
                <w:b/>
                <w:noProof/>
                <w:spacing w:val="-1"/>
                <w:sz w:val="16"/>
                <w:szCs w:val="16"/>
              </w:rPr>
            </w:pPr>
            <w:r>
              <w:rPr>
                <w:rFonts w:ascii="Times New Roman"/>
                <w:b/>
                <w:noProof/>
                <w:spacing w:val="-1"/>
                <w:sz w:val="16"/>
                <w:szCs w:val="16"/>
              </w:rPr>
              <w:t>54</w:t>
            </w:r>
          </w:p>
        </w:tc>
      </w:tr>
      <w:tr>
        <w:trPr>
          <w:trHeight w:val="546"/>
        </w:trPr>
        <w:tc>
          <w:tcPr>
            <w:tcW w:w="311" w:type="pct"/>
            <w:tcBorders>
              <w:top w:val="single" w:sz="4" w:space="0" w:color="auto"/>
              <w:left w:val="single" w:sz="4" w:space="0" w:color="auto"/>
              <w:bottom w:val="single" w:sz="4" w:space="0" w:color="auto"/>
              <w:right w:val="single" w:sz="4" w:space="0" w:color="auto"/>
            </w:tcBorders>
            <w:vAlign w:val="center"/>
          </w:tcPr>
          <w:p>
            <w:pPr>
              <w:pStyle w:val="TableParagraph"/>
              <w:spacing w:before="49"/>
              <w:jc w:val="center"/>
              <w:rPr>
                <w:rFonts w:ascii="Times New Roman"/>
                <w:b/>
                <w:noProof/>
                <w:spacing w:val="-1"/>
                <w:sz w:val="16"/>
                <w:szCs w:val="16"/>
              </w:rPr>
            </w:pPr>
            <w:r>
              <w:rPr>
                <w:rFonts w:ascii="Times New Roman"/>
                <w:b/>
                <w:noProof/>
                <w:spacing w:val="-1"/>
                <w:sz w:val="16"/>
                <w:szCs w:val="16"/>
              </w:rPr>
              <w:t>55</w:t>
            </w:r>
          </w:p>
        </w:tc>
        <w:tc>
          <w:tcPr>
            <w:tcW w:w="456"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 xml:space="preserve">Working time and hybrid working </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tcPr>
          <w:p>
            <w:pPr>
              <w:pStyle w:val="TableParagraph"/>
              <w:rPr>
                <w:rFonts w:ascii="Times New Roman"/>
                <w:noProof/>
                <w:spacing w:val="-1"/>
                <w:sz w:val="16"/>
                <w:szCs w:val="16"/>
              </w:rPr>
            </w:pPr>
            <w:r>
              <w:rPr>
                <w:rFonts w:ascii="Times New Roman"/>
                <w:noProof/>
                <w:spacing w:val="-1"/>
                <w:sz w:val="16"/>
                <w:szCs w:val="16"/>
              </w:rPr>
              <w:t>C(2022) 1788</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pacing w:val="-1"/>
                <w:sz w:val="16"/>
                <w:szCs w:val="16"/>
              </w:rPr>
              <w:t>C(2023) 5076</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45</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3</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b/>
                <w:noProof/>
                <w:spacing w:val="-1"/>
                <w:sz w:val="16"/>
                <w:szCs w:val="16"/>
              </w:rPr>
            </w:pPr>
            <w:r>
              <w:rPr>
                <w:rFonts w:ascii="Times New Roman"/>
                <w:b/>
                <w:noProof/>
                <w:spacing w:val="-1"/>
                <w:sz w:val="16"/>
                <w:szCs w:val="16"/>
              </w:rPr>
              <w:t>54</w:t>
            </w:r>
          </w:p>
        </w:tc>
      </w:tr>
      <w:tr>
        <w:trPr>
          <w:trHeight w:val="553"/>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55a</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Part-time</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C(2015)9720 on Art 55a SR and Annex Iva</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69"/>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55b</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Job-sharing</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C(2004)1314 on Job-sharing</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24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lang w:val="pl-PL"/>
              </w:rPr>
            </w:pPr>
            <w:r>
              <w:rPr>
                <w:rFonts w:ascii="Times New Roman"/>
                <w:noProof/>
                <w:spacing w:val="-1"/>
                <w:sz w:val="16"/>
                <w:szCs w:val="16"/>
                <w:lang w:val="pl-PL"/>
              </w:rPr>
              <w:t>10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pl-PL"/>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8</w:t>
            </w: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69"/>
        </w:trPr>
        <w:tc>
          <w:tcPr>
            <w:tcW w:w="31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56</w:t>
            </w:r>
          </w:p>
        </w:tc>
        <w:tc>
          <w:tcPr>
            <w:tcW w:w="456"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Duties of Commission drivers</w:t>
            </w:r>
          </w:p>
        </w:tc>
        <w:tc>
          <w:tcPr>
            <w:tcW w:w="61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pacing w:val="-1"/>
                <w:sz w:val="16"/>
                <w:szCs w:val="16"/>
              </w:rPr>
              <w:t>C(2004) 1318 and C(2019) 7822</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pl-PL"/>
              </w:rPr>
            </w:pPr>
            <w:r>
              <w:rPr>
                <w:rFonts w:ascii="Times New Roman"/>
                <w:noProof/>
                <w:spacing w:val="-1"/>
                <w:sz w:val="16"/>
                <w:szCs w:val="16"/>
                <w:lang w:val="pl-PL"/>
              </w:rPr>
              <w:t>52</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lang w:val="pl-PL"/>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2</w:t>
            </w:r>
          </w:p>
        </w:tc>
        <w:tc>
          <w:tcPr>
            <w:tcW w:w="239" w:type="pct"/>
            <w:tcBorders>
              <w:top w:val="single" w:sz="4" w:space="0" w:color="auto"/>
              <w:left w:val="single" w:sz="4" w:space="0" w:color="auto"/>
              <w:bottom w:val="single" w:sz="4" w:space="0" w:color="auto"/>
              <w:right w:val="single" w:sz="4" w:space="0" w:color="auto"/>
            </w:tcBorders>
            <w:vAlign w:val="center"/>
          </w:tcPr>
          <w:p>
            <w:pPr>
              <w:jc w:val="center"/>
              <w:rPr>
                <w:rFonts w:ascii="Times New Roman"/>
                <w:b/>
                <w:noProof/>
                <w:spacing w:val="-1"/>
                <w:sz w:val="16"/>
                <w:szCs w:val="16"/>
              </w:rPr>
            </w:pPr>
            <w:r>
              <w:rPr>
                <w:rFonts w:ascii="Times New Roman"/>
                <w:b/>
                <w:noProof/>
                <w:spacing w:val="-1"/>
                <w:sz w:val="16"/>
                <w:szCs w:val="16"/>
              </w:rPr>
              <w:t>54</w:t>
            </w:r>
          </w:p>
        </w:tc>
      </w:tr>
      <w:t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jc w:val="center"/>
              <w:rPr>
                <w:rFonts w:ascii="Times New Roman"/>
                <w:b/>
                <w:noProof/>
                <w:spacing w:val="-1"/>
                <w:sz w:val="16"/>
                <w:szCs w:val="16"/>
              </w:rPr>
            </w:pPr>
            <w:r>
              <w:rPr>
                <w:rFonts w:ascii="Times New Roman"/>
                <w:b/>
                <w:noProof/>
                <w:spacing w:val="-1"/>
                <w:sz w:val="16"/>
                <w:szCs w:val="16"/>
              </w:rPr>
              <w:t>57</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Annual leave and special leave</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C(2013)9051 on leave and C(2020) 1559</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01"/>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59-60</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Sick leave</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C(2004)1597/11 on sick leave</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29</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lang w:val="pl-PL"/>
              </w:rPr>
            </w:pPr>
            <w:r>
              <w:rPr>
                <w:rFonts w:ascii="Times New Roman"/>
                <w:noProof/>
                <w:spacing w:val="-1"/>
                <w:sz w:val="16"/>
                <w:szCs w:val="16"/>
                <w:lang w:val="pl-PL"/>
              </w:rPr>
              <w:t>13</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 xml:space="preserve">2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65"/>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67-68</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Education allowance</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C(2013)8971 GIPs on Art 3 of Annex VII</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4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71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Travel expenses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C(2013)8987 GIPs on Art 8 of Annex VII</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67"/>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71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Place of origin</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C(2013)8982 GIPs on Art 7(4) of Annex VII</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47"/>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71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Removal expenses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C(2013)9040 GIPs on removal expenses</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554"/>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lastRenderedPageBreak/>
              <w:t>71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Mission and duty travel</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C(2017) 5323 Mission Guide</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704"/>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77</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Transfer of pension rights</w:t>
            </w:r>
          </w:p>
        </w:tc>
        <w:tc>
          <w:tcPr>
            <w:tcW w:w="61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C(2011)1278 GIPs on Article 11 and 12 of Annex VIII and C(2020) 4818</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86</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Disciplinary proceedings and administrative investigation</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C(2019)4231 on Administrative inquiries and Disciplinary procedure</w:t>
            </w:r>
            <w:r>
              <w:rPr>
                <w:rFonts w:ascii="Times New Roman"/>
                <w:noProof/>
                <w:spacing w:val="-1"/>
                <w:sz w:val="16"/>
                <w:szCs w:val="16"/>
                <w:shd w:val="clear" w:color="auto" w:fill="92D050"/>
              </w:rPr>
              <w:t xml:space="preserve"> </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r>
              <w:rPr>
                <w:rFonts w:ascii="Times New Roman"/>
                <w:noProof/>
                <w:spacing w:val="-1"/>
                <w:sz w:val="16"/>
                <w:szCs w:val="16"/>
              </w:rPr>
              <w:t>C(2022) 497 on Administrative inquires and Disciplinary procedure</w:t>
            </w: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24</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jc w:val="center"/>
              <w:rPr>
                <w:noProof/>
              </w:rPr>
            </w:pPr>
            <w:r>
              <w:rPr>
                <w:rFonts w:ascii="Times New Roman"/>
                <w:b/>
                <w:noProof/>
                <w:spacing w:val="-1"/>
                <w:sz w:val="16"/>
                <w:szCs w:val="16"/>
              </w:rPr>
              <w:t>54</w:t>
            </w:r>
          </w:p>
        </w:tc>
      </w:tr>
      <w:tr>
        <w:trPr>
          <w:trHeight w:val="1044"/>
        </w:trPr>
        <w:tc>
          <w:tcPr>
            <w:tcW w:w="5000" w:type="pct"/>
            <w:gridSpan w:val="12"/>
            <w:tcBorders>
              <w:top w:val="single" w:sz="4" w:space="0" w:color="auto"/>
              <w:left w:val="single" w:sz="4" w:space="0" w:color="auto"/>
              <w:bottom w:val="single" w:sz="4" w:space="0" w:color="auto"/>
              <w:right w:val="single" w:sz="4" w:space="0" w:color="auto"/>
            </w:tcBorders>
            <w:vAlign w:val="center"/>
            <w:hideMark/>
          </w:tcPr>
          <w:p>
            <w:pPr>
              <w:jc w:val="center"/>
              <w:rPr>
                <w:rFonts w:ascii="Times New Roman"/>
                <w:b/>
                <w:noProof/>
                <w:spacing w:val="-1"/>
                <w:sz w:val="16"/>
                <w:szCs w:val="16"/>
              </w:rPr>
            </w:pPr>
            <w:r>
              <w:rPr>
                <w:rFonts w:ascii="Times New Roman Bold" w:hAnsi="Times New Roman Bold" w:cs="Times New Roman"/>
                <w:b/>
                <w:smallCaps/>
                <w:noProof/>
                <w:sz w:val="36"/>
                <w:szCs w:val="36"/>
              </w:rPr>
              <w:t>Conditions of Employment of Other Servants</w:t>
            </w:r>
          </w:p>
        </w:tc>
      </w:tr>
      <w:tr>
        <w:tc>
          <w:tcPr>
            <w:tcW w:w="766"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pPr>
              <w:pStyle w:val="TableParagraph"/>
              <w:spacing w:before="49"/>
              <w:ind w:left="114"/>
              <w:jc w:val="center"/>
              <w:rPr>
                <w:rFonts w:ascii="Times New Roman"/>
                <w:b/>
                <w:noProof/>
                <w:spacing w:val="-1"/>
                <w:sz w:val="16"/>
                <w:szCs w:val="16"/>
                <w:lang w:val="en-GB"/>
              </w:rPr>
            </w:pPr>
          </w:p>
        </w:tc>
        <w:tc>
          <w:tcPr>
            <w:tcW w:w="1214" w:type="pct"/>
            <w:gridSpan w:val="2"/>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noProof/>
                <w:spacing w:val="-1"/>
                <w:sz w:val="16"/>
                <w:szCs w:val="16"/>
              </w:rPr>
            </w:pPr>
            <w:r>
              <w:rPr>
                <w:rFonts w:ascii="Times New Roman" w:hAnsi="Times New Roman" w:cs="Times New Roman"/>
                <w:b/>
                <w:noProof/>
                <w:spacing w:val="-1"/>
                <w:sz w:val="28"/>
                <w:szCs w:val="28"/>
              </w:rPr>
              <w:t>Commission</w:t>
            </w:r>
          </w:p>
        </w:tc>
        <w:tc>
          <w:tcPr>
            <w:tcW w:w="3020" w:type="pct"/>
            <w:gridSpan w:val="8"/>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pPr>
              <w:pStyle w:val="TableParagraph"/>
              <w:spacing w:before="49"/>
              <w:ind w:left="114"/>
              <w:jc w:val="center"/>
              <w:rPr>
                <w:rFonts w:ascii="Times New Roman" w:hAnsi="Times New Roman" w:cs="Times New Roman"/>
                <w:b/>
                <w:noProof/>
                <w:spacing w:val="-1"/>
                <w:sz w:val="16"/>
                <w:szCs w:val="16"/>
              </w:rPr>
            </w:pPr>
            <w:r>
              <w:rPr>
                <w:rFonts w:ascii="Times New Roman" w:hAnsi="Times New Roman" w:cs="Times New Roman"/>
                <w:b/>
                <w:noProof/>
                <w:spacing w:val="-1"/>
                <w:sz w:val="28"/>
                <w:szCs w:val="28"/>
              </w:rPr>
              <w:t xml:space="preserve">Agencies </w:t>
            </w:r>
            <w:r>
              <w:rPr>
                <w:rFonts w:ascii="Times New Roman" w:hAnsi="Times New Roman" w:cs="Times New Roman"/>
                <w:b/>
                <w:noProof/>
                <w:spacing w:val="-1"/>
                <w:sz w:val="28"/>
                <w:szCs w:val="28"/>
              </w:rPr>
              <w:br/>
            </w:r>
            <w:r>
              <w:rPr>
                <w:rFonts w:ascii="Times New Roman" w:hAnsi="Times New Roman" w:cs="Times New Roman"/>
                <w:noProof/>
                <w:spacing w:val="-1"/>
                <w:sz w:val="16"/>
                <w:szCs w:val="16"/>
              </w:rPr>
              <w:t>Number of implementing rules on 31 December 2019</w:t>
            </w:r>
          </w:p>
        </w:tc>
      </w:tr>
      <w:t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pPr>
              <w:rPr>
                <w:rFonts w:ascii="Times New Roman" w:hAnsi="Times New Roman" w:cs="Times New Roman"/>
                <w:noProof/>
                <w:spacing w:val="-1"/>
                <w:sz w:val="16"/>
                <w:szCs w:val="16"/>
                <w:lang w:val="en-US"/>
              </w:rPr>
            </w:pPr>
          </w:p>
        </w:tc>
        <w:tc>
          <w:tcPr>
            <w:tcW w:w="834" w:type="pct"/>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pPr>
              <w:pStyle w:val="TableParagraph"/>
              <w:jc w:val="center"/>
              <w:rPr>
                <w:rFonts w:ascii="Times New Roman"/>
                <w:b/>
                <w:noProof/>
                <w:spacing w:val="-1"/>
                <w:sz w:val="20"/>
                <w:szCs w:val="20"/>
              </w:rPr>
            </w:pPr>
            <w:r>
              <w:rPr>
                <w:rFonts w:ascii="Times New Roman"/>
                <w:b/>
                <w:noProof/>
                <w:spacing w:val="-1"/>
                <w:sz w:val="20"/>
                <w:szCs w:val="20"/>
              </w:rPr>
              <w:t>Adopted before 2014 reform</w:t>
            </w:r>
            <w:r>
              <w:rPr>
                <w:rStyle w:val="FootnoteReference"/>
                <w:noProof/>
                <w:spacing w:val="-1"/>
                <w:sz w:val="16"/>
                <w:szCs w:val="16"/>
              </w:rPr>
              <w:footnoteReference w:id="4"/>
            </w:r>
          </w:p>
        </w:tc>
        <w:tc>
          <w:tcPr>
            <w:tcW w:w="1529" w:type="pct"/>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20"/>
                <w:szCs w:val="20"/>
              </w:rPr>
              <w:t>Adopted after 2014 reform</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 xml:space="preserve">No rule / opt-out  </w:t>
            </w:r>
            <w:r>
              <w:rPr>
                <w:rFonts w:ascii="Times New Roman"/>
                <w:noProof/>
                <w:spacing w:val="-1"/>
                <w:sz w:val="16"/>
                <w:szCs w:val="16"/>
              </w:rPr>
              <w:t>(including ongoing requests)</w:t>
            </w:r>
          </w:p>
        </w:tc>
        <w:tc>
          <w:tcPr>
            <w:tcW w:w="239" w:type="pct"/>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Total</w:t>
            </w:r>
          </w:p>
        </w:tc>
      </w:tr>
      <w:tr>
        <w:tc>
          <w:tcPr>
            <w:tcW w:w="31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pacing w:val="-1"/>
                <w:sz w:val="16"/>
                <w:szCs w:val="16"/>
              </w:rPr>
              <w:t>Article</w:t>
            </w:r>
          </w:p>
        </w:tc>
        <w:tc>
          <w:tcPr>
            <w:tcW w:w="456"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Subject Matter</w:t>
            </w:r>
          </w:p>
        </w:tc>
        <w:tc>
          <w:tcPr>
            <w:tcW w:w="61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rPr>
                <w:rFonts w:ascii="Times New Roman"/>
                <w:noProof/>
                <w:spacing w:val="-1"/>
                <w:sz w:val="16"/>
                <w:szCs w:val="16"/>
              </w:rPr>
            </w:pPr>
            <w:r>
              <w:rPr>
                <w:rFonts w:ascii="Times New Roman"/>
                <w:b/>
                <w:noProof/>
                <w:spacing w:val="-1"/>
                <w:sz w:val="16"/>
                <w:szCs w:val="16"/>
              </w:rPr>
              <w:t>Relevant COM implementing rule</w:t>
            </w:r>
          </w:p>
        </w:tc>
        <w:tc>
          <w:tcPr>
            <w:tcW w:w="602"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rPr>
                <w:rFonts w:ascii="Times New Roman"/>
                <w:noProof/>
                <w:spacing w:val="-1"/>
                <w:sz w:val="16"/>
                <w:szCs w:val="16"/>
              </w:rPr>
            </w:pPr>
            <w:r>
              <w:rPr>
                <w:rFonts w:ascii="Times New Roman"/>
                <w:b/>
                <w:noProof/>
                <w:spacing w:val="-1"/>
                <w:sz w:val="16"/>
                <w:szCs w:val="16"/>
              </w:rPr>
              <w:t>Ex-ante agreement</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Analogous to COM rule</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 xml:space="preserve">Own rules </w:t>
            </w:r>
            <w:r>
              <w:rPr>
                <w:rFonts w:ascii="Times New Roman"/>
                <w:noProof/>
                <w:spacing w:val="-1"/>
                <w:sz w:val="16"/>
                <w:szCs w:val="16"/>
              </w:rPr>
              <w:t>(including ongoing requests)</w:t>
            </w:r>
          </w:p>
        </w:tc>
        <w:tc>
          <w:tcPr>
            <w:tcW w:w="834" w:type="pct"/>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b/>
                <w:noProof/>
                <w:spacing w:val="-1"/>
                <w:sz w:val="16"/>
                <w:szCs w:val="16"/>
              </w:rPr>
              <w:t>Analogy - Art. 110</w:t>
            </w:r>
            <w:r>
              <w:rPr>
                <w:rStyle w:val="FootnoteReference"/>
                <w:rFonts w:ascii="Times New Roman"/>
                <w:b/>
                <w:noProof/>
                <w:spacing w:val="-1"/>
                <w:sz w:val="16"/>
                <w:szCs w:val="16"/>
              </w:rPr>
              <w:footnoteReference w:id="5"/>
            </w:r>
          </w:p>
        </w:tc>
        <w:tc>
          <w:tcPr>
            <w:tcW w:w="324"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pacing w:val="-1"/>
                <w:sz w:val="16"/>
                <w:szCs w:val="16"/>
              </w:rPr>
              <w:t>Rule based on ex-ante agreement</w:t>
            </w:r>
          </w:p>
        </w:tc>
        <w:tc>
          <w:tcPr>
            <w:tcW w:w="371" w:type="pct"/>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jc w:val="center"/>
              <w:rPr>
                <w:rFonts w:ascii="Times New Roman"/>
                <w:b/>
                <w:noProof/>
                <w:spacing w:val="-1"/>
                <w:sz w:val="16"/>
                <w:szCs w:val="16"/>
              </w:rPr>
            </w:pPr>
            <w:r>
              <w:rPr>
                <w:rFonts w:ascii="Times New Roman"/>
                <w:b/>
                <w:noProof/>
                <w:spacing w:val="-1"/>
                <w:sz w:val="16"/>
                <w:szCs w:val="16"/>
              </w:rPr>
              <w:t xml:space="preserve">Own rules different from COM </w:t>
            </w:r>
            <w:r>
              <w:rPr>
                <w:rFonts w:ascii="Times New Roman"/>
                <w:noProof/>
                <w:spacing w:val="-1"/>
                <w:sz w:val="16"/>
                <w:szCs w:val="16"/>
              </w:rPr>
              <w:t>(including ongoing requests)</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Application by analogy</w:t>
            </w:r>
          </w:p>
        </w:tc>
        <w:tc>
          <w:tcPr>
            <w:tcW w:w="417" w:type="pc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9 month period not expired on 31/12/2019</w:t>
            </w: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r>
      <w:tr>
        <w:trPr>
          <w:trHeight w:val="886"/>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jc w:val="center"/>
              <w:rPr>
                <w:rFonts w:ascii="Times New Roman"/>
                <w:b/>
                <w:noProof/>
                <w:spacing w:val="-1"/>
                <w:sz w:val="16"/>
                <w:szCs w:val="16"/>
              </w:rPr>
            </w:pPr>
            <w:r>
              <w:rPr>
                <w:rFonts w:ascii="Times New Roman"/>
                <w:b/>
                <w:noProof/>
                <w:spacing w:val="-1"/>
                <w:sz w:val="16"/>
                <w:szCs w:val="16"/>
              </w:rPr>
              <w:t>12(5)</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Engagement of temporary agents</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C(2013)9049 on policies for engagement and use of temporary agents</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lang w:val="es-ES_tradnl"/>
              </w:rPr>
            </w:pPr>
            <w:r>
              <w:rPr>
                <w:rFonts w:ascii="Times New Roman"/>
                <w:noProof/>
                <w:spacing w:val="-1"/>
                <w:sz w:val="16"/>
                <w:szCs w:val="16"/>
                <w:lang w:val="es-ES_tradnl"/>
              </w:rPr>
              <w:t>11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43</w:t>
            </w: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17 + 91</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Maternity leave and maternity pay</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C(2013)9020  on maternity leave and maternity pay</w:t>
            </w:r>
          </w:p>
        </w:tc>
        <w:tc>
          <w:tcPr>
            <w:tcW w:w="60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54</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lastRenderedPageBreak/>
              <w:t>54</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Reclassification TA 2f</w:t>
            </w:r>
          </w:p>
        </w:tc>
        <w:tc>
          <w:tcPr>
            <w:tcW w:w="61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C(2015)4996 and C(2015)9560 on implementing rules giving effect to Art 54 CEOS</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56</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Engagement TA 2f</w:t>
            </w:r>
          </w:p>
        </w:tc>
        <w:tc>
          <w:tcPr>
            <w:tcW w:w="612" w:type="pct"/>
            <w:tcBorders>
              <w:top w:val="single" w:sz="4" w:space="0" w:color="auto"/>
              <w:left w:val="single" w:sz="4" w:space="0" w:color="auto"/>
              <w:bottom w:val="single" w:sz="4" w:space="0" w:color="auto"/>
              <w:right w:val="single" w:sz="4" w:space="0" w:color="auto"/>
            </w:tcBorders>
            <w:vAlign w:val="center"/>
          </w:tcPr>
          <w:p>
            <w:pPr>
              <w:pStyle w:val="TableParagraph"/>
              <w:rPr>
                <w:rFonts w:ascii="Times New Roman"/>
                <w:noProof/>
                <w:spacing w:val="-1"/>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C(2015)1457 and C(2015)1509 on implementing rules giving effect to Art 56 CEOS</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52</w:t>
            </w:r>
          </w:p>
        </w:tc>
        <w:tc>
          <w:tcPr>
            <w:tcW w:w="37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2</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140"/>
        </w:trPr>
        <w:tc>
          <w:tcPr>
            <w:tcW w:w="311"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79(2) - 90</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Engagement of CA</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C(2017)6760 on conditions of employement of contract staff</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C(2019)3016  on conditions of employement of contract staff</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10</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44</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290"/>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tcPr>
          <w:p>
            <w:pPr>
              <w:pStyle w:val="TableParagraph"/>
              <w:spacing w:before="49"/>
              <w:rPr>
                <w:rFonts w:ascii="Times New Roman"/>
                <w:noProof/>
                <w:spacing w:val="-1"/>
                <w:sz w:val="16"/>
                <w:szCs w:val="16"/>
              </w:rPr>
            </w:pPr>
            <w:r>
              <w:rPr>
                <w:rFonts w:ascii="Times New Roman"/>
                <w:noProof/>
                <w:spacing w:val="-1"/>
                <w:sz w:val="16"/>
                <w:szCs w:val="16"/>
              </w:rPr>
              <w:t>C(2013)9028 on the maximum duration for the recourse to non-permanent staff in the Commission services</w:t>
            </w:r>
          </w:p>
          <w:p>
            <w:pPr>
              <w:pStyle w:val="TableParagraph"/>
              <w:spacing w:before="49"/>
              <w:ind w:left="114"/>
              <w:jc w:val="center"/>
              <w:rPr>
                <w:rFonts w:ascii="Times New Roman"/>
                <w:noProof/>
                <w:spacing w:val="-1"/>
                <w:sz w:val="16"/>
                <w:szCs w:val="16"/>
              </w:rPr>
            </w:pP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C(2016)2421 regarding the non-application of the COM Decision on the maximum duration for the recourse to non-permanent staff</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6</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48</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pPr>
              <w:rPr>
                <w:rFonts w:ascii="Times New Roman"/>
                <w:b/>
                <w:noProof/>
                <w:spacing w:val="-1"/>
                <w:sz w:val="16"/>
                <w:szCs w:val="16"/>
                <w:lang w:val="en-US"/>
              </w:rPr>
            </w:pP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C(2019) 2548</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C(2019)6929  regarding the non-application of the COM Decision on the maximum duration for the recourse to non-permanent staff</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r>
              <w:rPr>
                <w:rFonts w:ascii="Times New Roman"/>
                <w:noProof/>
                <w:spacing w:val="-1"/>
                <w:sz w:val="16"/>
                <w:szCs w:val="16"/>
              </w:rPr>
              <w:t>18</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36</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87</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Appraisal CA</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rPr>
                <w:rFonts w:ascii="Times New Roman"/>
                <w:noProof/>
                <w:spacing w:val="-1"/>
                <w:sz w:val="16"/>
                <w:szCs w:val="16"/>
              </w:rPr>
            </w:pPr>
            <w:r>
              <w:rPr>
                <w:rFonts w:ascii="Times New Roman"/>
                <w:noProof/>
                <w:spacing w:val="-1"/>
                <w:sz w:val="16"/>
                <w:szCs w:val="16"/>
              </w:rPr>
              <w:t>C(2014)2226 GIPs for implementing Art 87(1) of the CEOS</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rPr>
                <w:rFonts w:ascii="Times New Roman"/>
                <w:noProof/>
                <w:spacing w:val="-1"/>
                <w:sz w:val="16"/>
                <w:szCs w:val="16"/>
              </w:rPr>
            </w:pPr>
            <w:r>
              <w:rPr>
                <w:rFonts w:ascii="Times New Roman"/>
                <w:noProof/>
                <w:spacing w:val="-1"/>
                <w:sz w:val="16"/>
                <w:szCs w:val="16"/>
              </w:rPr>
              <w:t>C(2015)1456 for implementing Art 87(1) CEOS and Art 44(1) SR</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 xml:space="preserve">4 </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50</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r>
        <w:trPr>
          <w:trHeight w:val="1140"/>
        </w:trPr>
        <w:tc>
          <w:tcPr>
            <w:tcW w:w="311"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87(3)</w:t>
            </w:r>
          </w:p>
        </w:tc>
        <w:tc>
          <w:tcPr>
            <w:tcW w:w="456"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Reclassification of CA</w:t>
            </w:r>
          </w:p>
        </w:tc>
        <w:tc>
          <w:tcPr>
            <w:tcW w:w="612" w:type="pct"/>
            <w:tcBorders>
              <w:top w:val="single" w:sz="4" w:space="0" w:color="auto"/>
              <w:left w:val="single" w:sz="4" w:space="0" w:color="auto"/>
              <w:bottom w:val="single" w:sz="4" w:space="0" w:color="auto"/>
              <w:right w:val="single" w:sz="4" w:space="0" w:color="auto"/>
            </w:tcBorders>
            <w:shd w:val="clear" w:color="auto" w:fill="92D050"/>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C(2013)2529 on GIPs for implementing Art. 87(3) CEOS</w:t>
            </w:r>
          </w:p>
        </w:tc>
        <w:tc>
          <w:tcPr>
            <w:tcW w:w="602"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rPr>
                <w:rFonts w:ascii="Times New Roman"/>
                <w:noProof/>
                <w:spacing w:val="-1"/>
                <w:sz w:val="16"/>
                <w:szCs w:val="16"/>
              </w:rPr>
            </w:pPr>
            <w:r>
              <w:rPr>
                <w:rFonts w:ascii="Times New Roman"/>
                <w:noProof/>
                <w:spacing w:val="-1"/>
                <w:sz w:val="16"/>
                <w:szCs w:val="16"/>
              </w:rPr>
              <w:t>C(2015)9561 and C(2015)4997 on provisions for implementing Art 87(3) CEOS</w:t>
            </w: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tcPr>
          <w:p>
            <w:pPr>
              <w:pStyle w:val="TableParagraph"/>
              <w:spacing w:before="49"/>
              <w:ind w:left="114"/>
              <w:rPr>
                <w:rFonts w:ascii="Times New Roman"/>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1</w:t>
            </w:r>
          </w:p>
        </w:tc>
        <w:tc>
          <w:tcPr>
            <w:tcW w:w="417"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p>
        </w:tc>
        <w:tc>
          <w:tcPr>
            <w:tcW w:w="324"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noProof/>
                <w:spacing w:val="-1"/>
                <w:sz w:val="16"/>
                <w:szCs w:val="16"/>
              </w:rPr>
            </w:pPr>
            <w:r>
              <w:rPr>
                <w:rFonts w:ascii="Times New Roman"/>
                <w:noProof/>
                <w:spacing w:val="-1"/>
                <w:sz w:val="16"/>
                <w:szCs w:val="16"/>
              </w:rPr>
              <w:t>53</w:t>
            </w:r>
          </w:p>
        </w:tc>
        <w:tc>
          <w:tcPr>
            <w:tcW w:w="371"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417" w:type="pct"/>
            <w:tcBorders>
              <w:top w:val="single" w:sz="4" w:space="0" w:color="auto"/>
              <w:left w:val="single" w:sz="4" w:space="0" w:color="auto"/>
              <w:bottom w:val="single" w:sz="4" w:space="0" w:color="auto"/>
              <w:right w:val="single" w:sz="4" w:space="0" w:color="auto"/>
            </w:tcBorders>
            <w:vAlign w:val="center"/>
          </w:tcPr>
          <w:p>
            <w:pPr>
              <w:pStyle w:val="TableParagraph"/>
              <w:spacing w:before="49"/>
              <w:ind w:left="114"/>
              <w:jc w:val="center"/>
              <w:rPr>
                <w:rFonts w:ascii="Times New Roman"/>
                <w:b/>
                <w:noProof/>
                <w:spacing w:val="-1"/>
                <w:sz w:val="16"/>
                <w:szCs w:val="16"/>
              </w:rPr>
            </w:pPr>
          </w:p>
        </w:tc>
        <w:tc>
          <w:tcPr>
            <w:tcW w:w="239" w:type="pct"/>
            <w:tcBorders>
              <w:top w:val="single" w:sz="4" w:space="0" w:color="auto"/>
              <w:left w:val="single" w:sz="4" w:space="0" w:color="auto"/>
              <w:bottom w:val="single" w:sz="4" w:space="0" w:color="auto"/>
              <w:right w:val="single" w:sz="4" w:space="0" w:color="auto"/>
            </w:tcBorders>
            <w:vAlign w:val="center"/>
            <w:hideMark/>
          </w:tcPr>
          <w:p>
            <w:pPr>
              <w:pStyle w:val="TableParagraph"/>
              <w:spacing w:before="49"/>
              <w:ind w:left="114"/>
              <w:jc w:val="center"/>
              <w:rPr>
                <w:rFonts w:ascii="Times New Roman"/>
                <w:b/>
                <w:noProof/>
                <w:spacing w:val="-1"/>
                <w:sz w:val="16"/>
                <w:szCs w:val="16"/>
              </w:rPr>
            </w:pPr>
            <w:r>
              <w:rPr>
                <w:rFonts w:ascii="Times New Roman"/>
                <w:b/>
                <w:noProof/>
                <w:spacing w:val="-1"/>
                <w:sz w:val="16"/>
                <w:szCs w:val="16"/>
              </w:rPr>
              <w:t>54</w:t>
            </w:r>
          </w:p>
        </w:tc>
      </w:tr>
    </w:tbl>
    <w:p>
      <w:pPr>
        <w:shd w:val="clear" w:color="auto" w:fill="D6E3BC" w:themeFill="accent3" w:themeFillTint="66"/>
        <w:rPr>
          <w:noProof/>
          <w:vanish/>
        </w:rPr>
      </w:pPr>
    </w:p>
    <w:p>
      <w:pPr>
        <w:rPr>
          <w:noProof/>
          <w:vanish/>
        </w:rPr>
      </w:pPr>
    </w:p>
    <w:p>
      <w:pPr>
        <w:rPr>
          <w:rFonts w:ascii="Times New Roman" w:hAnsi="Times New Roman" w:cs="Times New Roman"/>
          <w:b/>
          <w:i/>
          <w:noProof/>
          <w:lang w:val="en-US"/>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76200</wp:posOffset>
                </wp:positionH>
                <wp:positionV relativeFrom="paragraph">
                  <wp:posOffset>274320</wp:posOffset>
                </wp:positionV>
                <wp:extent cx="1581150" cy="527050"/>
                <wp:effectExtent l="0" t="0" r="19050" b="25400"/>
                <wp:wrapNone/>
                <wp:docPr id="5" name="Rectangle 5"/>
                <wp:cNvGraphicFramePr/>
                <a:graphic xmlns:a="http://schemas.openxmlformats.org/drawingml/2006/main">
                  <a:graphicData uri="http://schemas.microsoft.com/office/word/2010/wordprocessingShape">
                    <wps:wsp>
                      <wps:cNvSpPr/>
                      <wps:spPr>
                        <a:xfrm>
                          <a:off x="0" y="0"/>
                          <a:ext cx="1581150" cy="52705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pPr>
                              <w:rPr>
                                <w:color w:val="000000" w:themeColor="text1"/>
                                <w:lang w:val="en-US"/>
                              </w:rPr>
                            </w:pPr>
                            <w:r>
                              <w:rPr>
                                <w:rFonts w:ascii="Times New Roman" w:eastAsia="Calibri" w:hAnsi="Calibri" w:cs="Times New Roman"/>
                                <w:b/>
                                <w:noProof/>
                                <w:color w:val="000000" w:themeColor="text1"/>
                                <w:spacing w:val="-2"/>
                                <w:sz w:val="16"/>
                                <w:lang w:val="en-US"/>
                              </w:rPr>
                              <w:t xml:space="preserve">Commission implementing rules adopted </w:t>
                            </w:r>
                            <w:r>
                              <w:rPr>
                                <w:rFonts w:ascii="Times New Roman" w:eastAsia="Calibri" w:hAnsi="Calibri" w:cs="Times New Roman"/>
                                <w:b/>
                                <w:noProof/>
                                <w:color w:val="000000" w:themeColor="text1"/>
                                <w:spacing w:val="-2"/>
                                <w:sz w:val="16"/>
                                <w:u w:val="single"/>
                                <w:lang w:val="en-US"/>
                              </w:rPr>
                              <w:t>after the reform of 2014</w:t>
                            </w:r>
                            <w:r>
                              <w:rPr>
                                <w:rFonts w:ascii="Times New Roman" w:eastAsia="Calibri" w:hAnsi="Calibri" w:cs="Times New Roman"/>
                                <w:b/>
                                <w:noProof/>
                                <w:color w:val="000000" w:themeColor="text1"/>
                                <w:spacing w:val="-2"/>
                                <w:sz w:val="16"/>
                                <w:lang w:val="en-US"/>
                              </w:rPr>
                              <w:t xml:space="preserve"> and notified to agencies</w:t>
                            </w:r>
                          </w:p>
                          <w:p>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6pt;margin-top:21.6pt;width:124.5pt;height: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" fillcolor="#92d050" strokecolor="#243f60 [1604]" strokeweight="2pt">
                <v:textbox>
                  <w:txbxContent>
                    <w:p>
                      <w:pPr>
                        <w:rPr>
                          <w:color w:val="000000" w:themeColor="text1"/>
                          <w:lang w:val="en-US"/>
                        </w:rPr>
                      </w:pPr>
                      <w:r>
                        <w:rPr>
                          <w:rFonts w:ascii="Times New Roman" w:eastAsia="Calibri" w:hAnsi="Calibri" w:cs="Times New Roman"/>
                          <w:b/>
                          <w:noProof/>
                          <w:color w:val="000000" w:themeColor="text1"/>
                          <w:spacing w:val="-2"/>
                          <w:sz w:val="16"/>
                          <w:lang w:val="en-US"/>
                        </w:rPr>
                        <w:t xml:space="preserve">Commission implementing rules adopted </w:t>
                      </w:r>
                      <w:r>
                        <w:rPr>
                          <w:rFonts w:ascii="Times New Roman" w:eastAsia="Calibri" w:hAnsi="Calibri" w:cs="Times New Roman"/>
                          <w:b/>
                          <w:noProof/>
                          <w:color w:val="000000" w:themeColor="text1"/>
                          <w:spacing w:val="-2"/>
                          <w:sz w:val="16"/>
                          <w:u w:val="single"/>
                          <w:lang w:val="en-US"/>
                        </w:rPr>
                        <w:t>after the reform of 2014</w:t>
                      </w:r>
                      <w:r>
                        <w:rPr>
                          <w:rFonts w:ascii="Times New Roman" w:eastAsia="Calibri" w:hAnsi="Calibri" w:cs="Times New Roman"/>
                          <w:b/>
                          <w:noProof/>
                          <w:color w:val="000000" w:themeColor="text1"/>
                          <w:spacing w:val="-2"/>
                          <w:sz w:val="16"/>
                          <w:lang w:val="en-US"/>
                        </w:rPr>
                        <w:t xml:space="preserve"> and notified to agencies</w:t>
                      </w:r>
                    </w:p>
                    <w:p>
                      <w:pPr>
                        <w:jc w:val="center"/>
                        <w:rPr>
                          <w:lang w:val="en-US"/>
                        </w:rPr>
                      </w:pPr>
                    </w:p>
                  </w:txbxContent>
                </v:textbox>
              </v:rect>
            </w:pict>
          </mc:Fallback>
        </mc:AlternateContent>
      </w:r>
      <w:r>
        <w:rPr>
          <w:rFonts w:ascii="Times New Roman" w:hAnsi="Times New Roman" w:cs="Times New Roman"/>
          <w:b/>
          <w:i/>
          <w:noProof/>
          <w:lang w:val="en-US"/>
        </w:rPr>
        <w:t>Legend:</w:t>
      </w:r>
    </w:p>
    <w:p>
      <w:pPr>
        <w:rPr>
          <w:rFonts w:ascii="Times New Roman" w:hAnsi="Times New Roman" w:cs="Times New Roman"/>
          <w:noProof/>
          <w:lang w:val="en-US"/>
        </w:rPr>
      </w:pPr>
    </w:p>
    <w:p>
      <w:pPr>
        <w:pageBreakBefore/>
        <w:jc w:val="center"/>
        <w:rPr>
          <w:rFonts w:ascii="Times New Roman Bold" w:eastAsia="Calibri" w:hAnsi="Times New Roman Bold" w:cs="Times New Roman"/>
          <w:b/>
          <w:smallCaps/>
          <w:noProof/>
          <w:sz w:val="24"/>
          <w:szCs w:val="24"/>
          <w:u w:val="single"/>
          <w:lang w:val="en-US"/>
        </w:rPr>
      </w:pPr>
      <w:r>
        <w:rPr>
          <w:rFonts w:ascii="Times New Roman Bold" w:eastAsia="Calibri" w:hAnsi="Times New Roman Bold" w:cs="Times New Roman"/>
          <w:b/>
          <w:smallCaps/>
          <w:noProof/>
          <w:sz w:val="24"/>
          <w:szCs w:val="24"/>
          <w:u w:val="single"/>
          <w:lang w:val="en-US"/>
        </w:rPr>
        <w:lastRenderedPageBreak/>
        <w:t>List of agencies, joint undertakings and EU bodies</w:t>
      </w:r>
    </w:p>
    <w:p>
      <w:pPr>
        <w:rPr>
          <w:rFonts w:ascii="Times New Roman Bold" w:eastAsia="Calibri" w:hAnsi="Times New Roman Bold" w:cs="Times New Roman"/>
          <w:b/>
          <w:smallCaps/>
          <w:noProof/>
          <w:sz w:val="24"/>
          <w:szCs w:val="24"/>
          <w:u w:val="single"/>
          <w:lang w:val="en-US"/>
        </w:rPr>
      </w:pPr>
    </w:p>
    <w:p>
      <w:pPr>
        <w:rPr>
          <w:rFonts w:ascii="Times New Roman" w:eastAsia="Calibri" w:hAnsi="Times New Roman" w:cs="Times New Roman"/>
          <w:b/>
          <w:noProof/>
          <w:sz w:val="24"/>
          <w:szCs w:val="24"/>
          <w:lang w:val="en-US"/>
        </w:rPr>
      </w:pPr>
      <w:r>
        <w:rPr>
          <w:rFonts w:ascii="Times New Roman" w:eastAsia="Calibri" w:hAnsi="Times New Roman" w:cs="Times New Roman"/>
          <w:b/>
          <w:noProof/>
          <w:sz w:val="24"/>
          <w:szCs w:val="24"/>
          <w:lang w:val="en-US"/>
        </w:rPr>
        <w:t>Executive Agencies</w:t>
      </w:r>
      <w:r>
        <w:rPr>
          <w:rStyle w:val="FootnoteReference"/>
          <w:rFonts w:ascii="Times New Roman" w:eastAsia="Calibri" w:hAnsi="Times New Roman" w:cs="Times New Roman"/>
          <w:b/>
          <w:noProof/>
          <w:sz w:val="24"/>
          <w:szCs w:val="24"/>
          <w:lang w:val="en-US"/>
        </w:rPr>
        <w:footnoteReference w:id="6"/>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Education and Culture Executive Agency (EACEA)</w:t>
      </w:r>
      <w:r>
        <w:rPr>
          <w:rStyle w:val="FootnoteReference"/>
          <w:rFonts w:ascii="Times New Roman" w:eastAsia="Calibri" w:hAnsi="Times New Roman" w:cs="Times New Roman"/>
          <w:noProof/>
          <w:sz w:val="24"/>
          <w:szCs w:val="24"/>
        </w:rPr>
        <w:footnoteReference w:id="7"/>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Innovation Council and SMEs Executive Agency (EISMEA)</w:t>
      </w:r>
      <w:r>
        <w:rPr>
          <w:rStyle w:val="FootnoteReference"/>
          <w:rFonts w:ascii="Times New Roman" w:eastAsia="Calibri" w:hAnsi="Times New Roman" w:cs="Times New Roman"/>
          <w:noProof/>
          <w:sz w:val="24"/>
          <w:szCs w:val="24"/>
        </w:rPr>
        <w:footnoteReference w:id="8"/>
      </w:r>
      <w:r>
        <w:rPr>
          <w:rFonts w:ascii="Times New Roman" w:eastAsia="Calibri" w:hAnsi="Times New Roman" w:cs="Times New Roman"/>
          <w:noProof/>
          <w:sz w:val="24"/>
          <w:szCs w:val="24"/>
        </w:rPr>
        <w:t xml:space="preserve"> </w:t>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Research Council Executive Agency (ERCEA) European Climate</w:t>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Infrastructure and Environment Executive Agency (CINEA)</w:t>
      </w:r>
      <w:r>
        <w:rPr>
          <w:rStyle w:val="FootnoteReference"/>
          <w:rFonts w:ascii="Times New Roman" w:eastAsia="Calibri" w:hAnsi="Times New Roman" w:cs="Times New Roman"/>
          <w:noProof/>
          <w:sz w:val="24"/>
          <w:szCs w:val="24"/>
        </w:rPr>
        <w:footnoteReference w:id="9"/>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Research Executive Agency (REA)</w:t>
      </w:r>
      <w:r>
        <w:rPr>
          <w:rStyle w:val="FootnoteReference"/>
          <w:rFonts w:ascii="Times New Roman" w:eastAsia="Calibri" w:hAnsi="Times New Roman" w:cs="Times New Roman"/>
          <w:noProof/>
          <w:sz w:val="24"/>
          <w:szCs w:val="24"/>
        </w:rPr>
        <w:footnoteReference w:id="10"/>
      </w:r>
    </w:p>
    <w:p>
      <w:pPr>
        <w:numPr>
          <w:ilvl w:val="0"/>
          <w:numId w:val="5"/>
        </w:numPr>
        <w:tabs>
          <w:tab w:val="left" w:pos="84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Health and Digital Executive Agency (HaDEA)</w:t>
      </w:r>
    </w:p>
    <w:p>
      <w:pPr>
        <w:rPr>
          <w:rFonts w:ascii="Times New Roman" w:eastAsia="Calibri" w:hAnsi="Times New Roman" w:cs="Times New Roman"/>
          <w:b/>
          <w:noProof/>
          <w:sz w:val="24"/>
          <w:szCs w:val="24"/>
          <w:lang w:val="en-US"/>
        </w:rPr>
      </w:pPr>
      <w:r>
        <w:rPr>
          <w:rFonts w:ascii="Times New Roman" w:eastAsia="Calibri" w:hAnsi="Times New Roman" w:cs="Times New Roman"/>
          <w:b/>
          <w:noProof/>
          <w:sz w:val="24"/>
          <w:szCs w:val="24"/>
          <w:lang w:val="en-US"/>
        </w:rPr>
        <w:t>Decentralised Agencies and EU Bodies</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Union Agency for the Cooperation of Energy Regulators (ACER)</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 xml:space="preserve">The Agency for Support for BEREC (BEREC Office) </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Translation Centre for the Bodies of the European Union (CDT)</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Centre for the Development of Vocational Training (CEDEFOP)</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Union Agency for Law Enforcement Training (CEPOL)</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Community Plant Variety Office (CPVO)</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Aviation Safety Agency (EASA)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lastRenderedPageBreak/>
        <w:t>European Union Agency for Asylum (EUAA)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Banking Authority (EBA)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Centre for Disease Prevention and Control (ECDC)</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Chemicals Agency (ECHA)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Environment Agency (EEA)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 xml:space="preserve">European Fisheries Control Agency (EFCA) </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Food Safety Authority (EFSA)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Institute for Gender Equality (EIGE)</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 xml:space="preserve">European Insurance and Occupational Pensions Authority (EIOPA) </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Institute of Innovation and Technology (EIT)</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Labour Authority (ELA)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Medicines Agency (EMA)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Maritime Safety Agency (EMSA)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Monitoring Centre for Drugs and Drug Addiction (EMCDDA)</w:t>
      </w:r>
      <w:r>
        <w:rPr>
          <w:rStyle w:val="FootnoteReference"/>
          <w:rFonts w:ascii="Times New Roman" w:eastAsia="Times New Roman" w:hAnsi="Times New Roman" w:cs="Times New Roman"/>
          <w:iCs/>
          <w:noProof/>
          <w:sz w:val="24"/>
          <w:szCs w:val="24"/>
          <w:lang w:eastAsia="en-GB"/>
        </w:rPr>
        <w:footnoteReference w:id="11"/>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Union Agency for Cybersecurity (ENISA)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Public Prosecutor’s Office (EPPO)</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Union Agency for Railways (ERA)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Securities and Markets Authority (ESMA)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Training Foundation (ETF)</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 xml:space="preserve">European Union Intellectual Property Office (EUIPO) </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Agency for the operational management of the large-scale IT systems in the area of freedom, security and justice (eu-LISA)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Agency for Safety and Health at Work (EU-OSHA)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Foundation for the Improvement of Living and Working Conditions (EUROFOUND)</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Union's Judicial Cooperation Unit (EUROJUST)</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Union Agency for Law Enforcement Cooperation (EUROPOL)</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Union Agency for Fundamental Rights (FRA)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European Border and Coast Guard Agency (FRONTEX)</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lastRenderedPageBreak/>
        <w:t>EU Agency for the Space Programme (EUSPA)</w:t>
      </w:r>
    </w:p>
    <w:p>
      <w:pPr>
        <w:numPr>
          <w:ilvl w:val="0"/>
          <w:numId w:val="6"/>
        </w:numPr>
        <w:spacing w:before="100" w:beforeAutospacing="1" w:after="100" w:afterAutospacing="1"/>
        <w:jc w:val="both"/>
        <w:rPr>
          <w:rFonts w:ascii="Times New Roman" w:eastAsia="Times New Roman" w:hAnsi="Times New Roman" w:cs="Times New Roman"/>
          <w:iCs/>
          <w:noProof/>
          <w:sz w:val="24"/>
          <w:szCs w:val="24"/>
          <w:lang w:eastAsia="en-GB"/>
        </w:rPr>
      </w:pPr>
      <w:r>
        <w:rPr>
          <w:rFonts w:ascii="Times New Roman" w:eastAsia="Times New Roman" w:hAnsi="Times New Roman" w:cs="Times New Roman"/>
          <w:iCs/>
          <w:noProof/>
          <w:sz w:val="24"/>
          <w:szCs w:val="24"/>
          <w:lang w:eastAsia="en-GB"/>
        </w:rPr>
        <w:t>Single Resolution Board (SRB)</w:t>
      </w:r>
    </w:p>
    <w:p>
      <w:pPr>
        <w:spacing w:before="100" w:beforeAutospacing="1" w:after="100" w:afterAutospacing="1"/>
        <w:rPr>
          <w:rFonts w:ascii="Times New Roman" w:eastAsia="Calibri" w:hAnsi="Times New Roman" w:cs="Times New Roman"/>
          <w:b/>
          <w:noProof/>
          <w:sz w:val="24"/>
          <w:szCs w:val="24"/>
          <w:lang w:val="en-US"/>
        </w:rPr>
      </w:pPr>
      <w:r>
        <w:rPr>
          <w:rFonts w:ascii="Times New Roman" w:eastAsia="Calibri" w:hAnsi="Times New Roman" w:cs="Times New Roman"/>
          <w:b/>
          <w:noProof/>
          <w:sz w:val="24"/>
          <w:szCs w:val="24"/>
          <w:lang w:val="en-US"/>
        </w:rPr>
        <w:t>Joint Undertakings</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Circular Bio-based Europe Joint Undertaking (CBE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Clean Aviation Joint Undertaking (CA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Chips Joint Undertaking (Chips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Clean Hydrogen Joint Undertaking (CH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Cybersecurity Competence Centre (ECCC)</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European High Performance Computing Joint Undertaking (EuroHPC) </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European Joint Undertaking for ITER and the Development of Fusion Energy (F4E)</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Europe’s Rail Joint Undertaking (EU-Rail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Global Health EDCTP3 Joint Undertaking (GH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Innovative Health Initiative Joint Undertaking (IHI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SESAR Joint Undertaking (SESAR JU)</w:t>
      </w:r>
    </w:p>
    <w:p>
      <w:pPr>
        <w:numPr>
          <w:ilvl w:val="0"/>
          <w:numId w:val="7"/>
        </w:numPr>
        <w:tabs>
          <w:tab w:val="left" w:pos="960"/>
        </w:tabs>
        <w:spacing w:before="100" w:beforeAutospacing="1" w:after="100" w:afterAutospacing="1"/>
        <w:rPr>
          <w:rFonts w:ascii="Times New Roman" w:eastAsia="Calibri" w:hAnsi="Times New Roman" w:cs="Times New Roman"/>
          <w:noProof/>
          <w:sz w:val="24"/>
          <w:szCs w:val="24"/>
        </w:rPr>
      </w:pPr>
      <w:r>
        <w:rPr>
          <w:rFonts w:ascii="Times New Roman" w:eastAsia="Calibri" w:hAnsi="Times New Roman" w:cs="Times New Roman"/>
          <w:noProof/>
          <w:sz w:val="24"/>
          <w:szCs w:val="24"/>
        </w:rPr>
        <w:t>Smart Networks and Services Joint Undertaking (SNS JU)</w:t>
      </w:r>
    </w:p>
    <w:sectPr>
      <w:headerReference w:type="even" r:id="rId15"/>
      <w:headerReference w:type="default" r:id="rId16"/>
      <w:footerReference w:type="even" r:id="rId17"/>
      <w:footerReference w:type="default" r:id="rId18"/>
      <w:headerReference w:type="first" r:id="rId19"/>
      <w:footerReference w:type="first" r:id="rId20"/>
      <w:pgSz w:w="16840" w:h="11900" w:orient="landscape" w:code="9"/>
      <w:pgMar w:top="560" w:right="280" w:bottom="220" w:left="1280" w:header="1082"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6"/>
          <w:szCs w:val="16"/>
        </w:rPr>
        <w:t>A complete list of the executive agencies, joint undertakings, decentralised agencies and Union bodies has been provided at the end of this Annex.</w:t>
      </w:r>
    </w:p>
  </w:footnote>
  <w:footnote w:id="2">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6"/>
          <w:szCs w:val="16"/>
        </w:rPr>
        <w:t>Agencies' rules implementing the Staff Regulations and adopted before the 2014 reform are mentioned if a Commission Decision on the subject matter exists.</w:t>
      </w:r>
    </w:p>
  </w:footnote>
  <w:footnote w:id="3">
    <w:p>
      <w:pPr>
        <w:pStyle w:val="FootnoteText"/>
        <w:contextualSpacing/>
        <w:jc w:val="both"/>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6"/>
          <w:szCs w:val="16"/>
        </w:rPr>
        <w:t xml:space="preserve">A Commission implementing rule applies by analogy to the agencies after the expiry of nine months from its entry into force at the Commission or after nine months of the date on which the Commission informed the agencies of the adoption of the respective implementing rule, whichever is later. </w:t>
      </w:r>
    </w:p>
  </w:footnote>
  <w:footnote w:id="4">
    <w:p>
      <w:pPr>
        <w:pStyle w:val="FootnoteText"/>
        <w:contextualSpacing/>
        <w:rPr>
          <w:rFonts w:ascii="Times New Roman" w:hAnsi="Times New Roman" w:cs="Times New Roman"/>
          <w:sz w:val="16"/>
          <w:szCs w:val="16"/>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6"/>
          <w:szCs w:val="16"/>
        </w:rPr>
        <w:t>Agencies' rules implementing the Staff Regulations and adopted before the 2014 reform are mentioned if a Commission Decision on the subject matter exists.</w:t>
      </w:r>
    </w:p>
  </w:footnote>
  <w:footnote w:id="5">
    <w:p>
      <w:pPr>
        <w:pStyle w:val="FootnoteText"/>
        <w:contextualSpacing/>
        <w:rPr>
          <w:rFonts w:ascii="Times New Roman" w:hAnsi="Times New Roman" w:cs="Times New Roman"/>
          <w:sz w:val="16"/>
          <w:szCs w:val="16"/>
          <w:lang w:val="en-I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sz w:val="16"/>
          <w:szCs w:val="16"/>
          <w:lang w:val="en-IE"/>
        </w:rPr>
        <w:t xml:space="preserve">Note that these figures include also rules adopted by analogy based on Commission implementing rules that were, even though adopted prior to 2014 reform, notified by the Commission to the agencies. </w:t>
      </w:r>
    </w:p>
  </w:footnote>
  <w:footnote w:id="6">
    <w:p>
      <w:pPr>
        <w:tabs>
          <w:tab w:val="left" w:pos="840"/>
        </w:tabs>
        <w:spacing w:after="0"/>
        <w:contextualSpacing/>
        <w:rPr>
          <w:rFonts w:ascii="Times New Roman" w:eastAsia="Calibri" w:hAnsi="Times New Roman" w:cs="Times New Roman"/>
          <w:noProof/>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ab/>
      </w:r>
      <w:r>
        <w:rPr>
          <w:rFonts w:ascii="Times New Roman" w:eastAsia="Calibri" w:hAnsi="Times New Roman" w:cs="Times New Roman"/>
          <w:noProof/>
          <w:sz w:val="20"/>
          <w:szCs w:val="20"/>
        </w:rPr>
        <w:t xml:space="preserve">Pursuant to Commission Implementing Decision (EU) 2021/173 of 12 February 2021 Consumers, Health, Agriculture and Food Executive Agency (CHAFEA) ceased to exist as of 1 April 2021, L 50/9, 15.2.2021. </w:t>
      </w:r>
    </w:p>
  </w:footnote>
  <w:footnote w:id="7">
    <w:p>
      <w:pPr>
        <w:pStyle w:val="FootnoteText"/>
        <w:ind w:left="840" w:hanging="840"/>
        <w:contextualSpacing/>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eastAsia="Calibri" w:hAnsi="Times New Roman" w:cs="Times New Roman"/>
          <w:noProof/>
        </w:rPr>
        <w:t>The European Education and Culture Executive Agency succeeds and replaces the Education, Audio-visual and Culture Executive Agency, see Commission Implementing Decision (EU) 2021/173, idem.</w:t>
      </w:r>
    </w:p>
  </w:footnote>
  <w:footnote w:id="8">
    <w:p>
      <w:pPr>
        <w:tabs>
          <w:tab w:val="left" w:pos="840"/>
        </w:tabs>
        <w:spacing w:after="100" w:afterAutospacing="1"/>
        <w:contextualSpacing/>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eastAsia="Calibri" w:hAnsi="Times New Roman" w:cs="Times New Roman"/>
          <w:noProof/>
          <w:sz w:val="20"/>
          <w:szCs w:val="20"/>
        </w:rPr>
        <w:t>The European Innovation Council and SMEs Executive Agency succeeds and replaces the Executive Agency for Small and Medium Enterprises, see Commission Implementing Decision (EU) 2021/173, idem.</w:t>
      </w:r>
    </w:p>
  </w:footnote>
  <w:footnote w:id="9">
    <w:p>
      <w:pPr>
        <w:tabs>
          <w:tab w:val="left" w:pos="840"/>
        </w:tabs>
        <w:spacing w:before="100" w:beforeAutospacing="1" w:after="100" w:afterAutospacing="1"/>
        <w:contextualSpacing/>
        <w:rPr>
          <w:rFonts w:ascii="Times New Roman" w:hAnsi="Times New Roman" w:cs="Times New Roman"/>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ab/>
      </w:r>
      <w:r>
        <w:rPr>
          <w:rFonts w:ascii="Times New Roman" w:eastAsia="Calibri" w:hAnsi="Times New Roman" w:cs="Times New Roman"/>
          <w:noProof/>
          <w:sz w:val="20"/>
          <w:szCs w:val="20"/>
        </w:rPr>
        <w:t>The European Climate, Infrastructure and Environment Executive Agency succeeds and replaces the Innovation and Networks Executive Agency, see Commission Implementing Decision (EU) 2021/173, idem.</w:t>
      </w:r>
    </w:p>
  </w:footnote>
  <w:footnote w:id="10">
    <w:p>
      <w:pPr>
        <w:tabs>
          <w:tab w:val="left" w:pos="840"/>
        </w:tabs>
        <w:spacing w:before="100" w:beforeAutospacing="1" w:after="100" w:afterAutospacing="1"/>
        <w:contextualSpacing/>
        <w:rPr>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ab/>
        <w:t>T</w:t>
      </w:r>
      <w:r>
        <w:rPr>
          <w:rFonts w:ascii="Times New Roman" w:eastAsia="Calibri" w:hAnsi="Times New Roman" w:cs="Times New Roman"/>
          <w:noProof/>
          <w:sz w:val="20"/>
          <w:szCs w:val="20"/>
        </w:rPr>
        <w:t>he European Research Executive Agency succeeds and replaces the Research Executive Agency, see Commission Implementing Decision (EU) 2021/173, idem.</w:t>
      </w:r>
    </w:p>
  </w:footnote>
  <w:footnote w:id="11">
    <w:p>
      <w:pPr>
        <w:pStyle w:val="FootnoteText"/>
        <w:contextualSpacing/>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t xml:space="preserve">The European Union Drugs Agency replaces and succeeds the European Monitoring Centre for Drugs and Drug Additiction pursuant to Regulation (EU) 2023/1322 of the European Parliament and of the Council of 27 June 2023 on the European Union Durgs Agency (EUDA) and repealing Regulation (EC) No 1920/2006 with the effect from 2 July 2024, OJ. 30.6.2023, L 166/12.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954243"/>
      <w:docPartObj>
        <w:docPartGallery w:val="Page Numbers (Top of Page)"/>
        <w:docPartUnique/>
      </w:docPartObj>
    </w:sdtPr>
    <w:sdtEndPr>
      <w:rPr>
        <w:noProof/>
      </w:rPr>
    </w:sdtEndPr>
    <w:sdtContent>
      <w:p>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pPr>
      <w:spacing w:line="14" w:lineRule="auto"/>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6EB"/>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 w15:restartNumberingAfterBreak="0">
    <w:nsid w:val="19837E31"/>
    <w:multiLevelType w:val="hybridMultilevel"/>
    <w:tmpl w:val="DF08BC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EC07085"/>
    <w:multiLevelType w:val="hybridMultilevel"/>
    <w:tmpl w:val="CF3E3BEE"/>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D0569E"/>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4" w15:restartNumberingAfterBreak="0">
    <w:nsid w:val="611D6D7F"/>
    <w:multiLevelType w:val="hybridMultilevel"/>
    <w:tmpl w:val="E842B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802C46"/>
    <w:multiLevelType w:val="hybridMultilevel"/>
    <w:tmpl w:val="13226402"/>
    <w:lvl w:ilvl="0" w:tplc="1809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6" w15:restartNumberingAfterBreak="0">
    <w:nsid w:val="759C2B42"/>
    <w:multiLevelType w:val="hybridMultilevel"/>
    <w:tmpl w:val="59CC632A"/>
    <w:lvl w:ilvl="0" w:tplc="1D189D9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to the "/>
    <w:docVar w:name="LW_ANNEX_NBR_FIRST" w:val="4"/>
    <w:docVar w:name="LW_ANNEX_NBR_LAST" w:val="4"/>
    <w:docVar w:name="LW_ANNEX_UNIQUE" w:val="0"/>
    <w:docVar w:name="LW_CORRIGENDUM" w:val="&lt;UNUSED&gt;"/>
    <w:docVar w:name="LW_COVERPAGE_EXISTS" w:val="True"/>
    <w:docVar w:name="LW_COVERPAGE_GUID" w:val="E99A121E-EE30-4699-B6DC-CA1299FFF521"/>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lt;FMT:Font=Calibri&gt;on the rules adopted by the appointing authority of each institution to give effect to the Staff Regulations&lt;/FMT&gt;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REPORT FROM THE COMMISSION TO THE EUROPEAN PARLIAMENT AND THE COUNCIL_x000b_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B56465F-5F06-471E-8C4F-2D6D24124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uiPriority w:val="99"/>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numbering" w:customStyle="1" w:styleId="NoList1">
    <w:name w:val="No List1"/>
    <w:next w:val="NoList"/>
    <w:uiPriority w:val="99"/>
    <w:semiHidden/>
    <w:unhideWhenUsed/>
  </w:style>
  <w:style w:type="paragraph" w:styleId="BodyText">
    <w:name w:val="Body Text"/>
    <w:basedOn w:val="Normal"/>
    <w:link w:val="BodyTextChar"/>
    <w:uiPriority w:val="1"/>
    <w:qFormat/>
    <w:pPr>
      <w:widowControl w:val="0"/>
      <w:spacing w:before="83" w:after="0" w:line="240" w:lineRule="auto"/>
      <w:ind w:left="920"/>
    </w:pPr>
    <w:rPr>
      <w:rFonts w:ascii="Times New Roman" w:eastAsia="Times New Roman" w:hAnsi="Times New Roman"/>
      <w:i/>
      <w:sz w:val="15"/>
      <w:szCs w:val="15"/>
      <w:lang w:val="en-US"/>
    </w:rPr>
  </w:style>
  <w:style w:type="character" w:customStyle="1" w:styleId="BodyTextChar">
    <w:name w:val="Body Text Char"/>
    <w:basedOn w:val="DefaultParagraphFont"/>
    <w:link w:val="BodyText"/>
    <w:uiPriority w:val="1"/>
    <w:rPr>
      <w:rFonts w:ascii="Times New Roman" w:eastAsia="Times New Roman" w:hAnsi="Times New Roman"/>
      <w:i/>
      <w:sz w:val="15"/>
      <w:szCs w:val="15"/>
      <w:lang w:val="en-US"/>
    </w:rPr>
  </w:style>
  <w:style w:type="paragraph" w:styleId="ListParagraph">
    <w:name w:val="List Paragraph"/>
    <w:basedOn w:val="Normal"/>
    <w:uiPriority w:val="34"/>
    <w:qFormat/>
    <w:pPr>
      <w:widowControl w:val="0"/>
      <w:spacing w:after="0" w:line="240" w:lineRule="auto"/>
    </w:pPr>
    <w:rPr>
      <w:lang w:val="en-US"/>
    </w:rPr>
  </w:style>
  <w:style w:type="paragraph" w:customStyle="1" w:styleId="TableParagraph">
    <w:name w:val="Table Paragraph"/>
    <w:basedOn w:val="Normal"/>
    <w:uiPriority w:val="1"/>
    <w:qFormat/>
    <w:pPr>
      <w:widowControl w:val="0"/>
      <w:spacing w:after="0" w:line="240" w:lineRule="auto"/>
    </w:pPr>
    <w:rPr>
      <w:lang w:val="en-US"/>
    </w:rPr>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numbering" w:customStyle="1" w:styleId="NoList6">
    <w:name w:val="No List6"/>
    <w:next w:val="NoList"/>
    <w:uiPriority w:val="99"/>
    <w:semiHidden/>
    <w:unhideWhenUsed/>
  </w:style>
  <w:style w:type="paragraph" w:customStyle="1" w:styleId="Titreobjet">
    <w:name w:val="Titre objet"/>
    <w:basedOn w:val="Normal"/>
    <w:next w:val="Normal"/>
    <w:pPr>
      <w:spacing w:before="360" w:after="360" w:line="240" w:lineRule="auto"/>
      <w:jc w:val="center"/>
    </w:pPr>
    <w:rPr>
      <w:rFonts w:ascii="Times New Roman" w:eastAsia="Times New Roman" w:hAnsi="Times New Roman" w:cs="Times New Roman"/>
      <w:b/>
      <w:bCs/>
      <w:sz w:val="24"/>
      <w:szCs w:val="24"/>
      <w:lang w:eastAsia="en-GB"/>
    </w:rPr>
  </w:style>
  <w:style w:type="paragraph" w:customStyle="1" w:styleId="Typedudocument">
    <w:name w:val="Type du document"/>
    <w:basedOn w:val="Normal"/>
    <w:next w:val="Normal"/>
    <w:pPr>
      <w:spacing w:before="360" w:after="0" w:line="240" w:lineRule="auto"/>
      <w:jc w:val="center"/>
    </w:pPr>
    <w:rPr>
      <w:rFonts w:ascii="Times New Roman" w:eastAsia="Times New Roman" w:hAnsi="Times New Roman" w:cs="Times New Roman"/>
      <w:b/>
      <w:bCs/>
      <w:sz w:val="24"/>
      <w:szCs w:val="24"/>
      <w:lang w:eastAsia="en-GB"/>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30" w:after="150" w:line="240" w:lineRule="auto"/>
    </w:pPr>
    <w:rPr>
      <w:rFonts w:ascii="Arial" w:eastAsia="Times New Roman" w:hAnsi="Arial" w:cs="Arial"/>
      <w:sz w:val="24"/>
      <w:szCs w:val="24"/>
      <w:lang w:eastAsia="en-GB"/>
    </w:rPr>
  </w:style>
  <w:style w:type="paragraph" w:styleId="Date">
    <w:name w:val="Date"/>
    <w:basedOn w:val="Normal"/>
    <w:next w:val="Normal"/>
    <w:link w:val="DateChar"/>
    <w:uiPriority w:val="99"/>
    <w:semiHidden/>
    <w:unhideWhenUsed/>
    <w:pPr>
      <w:spacing w:after="0" w:line="240" w:lineRule="auto"/>
      <w:ind w:left="5103" w:right="-567"/>
    </w:pPr>
    <w:rPr>
      <w:rFonts w:ascii="Times New Roman" w:eastAsia="Times New Roman" w:hAnsi="Times New Roman" w:cs="Times New Roman"/>
      <w:sz w:val="24"/>
      <w:szCs w:val="20"/>
      <w:lang w:val="fr-FR" w:eastAsia="en-GB"/>
    </w:rPr>
  </w:style>
  <w:style w:type="character" w:customStyle="1" w:styleId="DateChar">
    <w:name w:val="Date Char"/>
    <w:basedOn w:val="DefaultParagraphFont"/>
    <w:link w:val="Date"/>
    <w:uiPriority w:val="99"/>
    <w:semiHidden/>
    <w:rPr>
      <w:rFonts w:ascii="Times New Roman" w:eastAsia="Times New Roman" w:hAnsi="Times New Roman" w:cs="Times New Roman"/>
      <w:sz w:val="24"/>
      <w:szCs w:val="20"/>
      <w:lang w:val="fr-FR" w:eastAsia="en-GB"/>
    </w:rPr>
  </w:style>
  <w:style w:type="paragraph" w:customStyle="1" w:styleId="bodytext1">
    <w:name w:val="bodytext1"/>
    <w:basedOn w:val="Normal"/>
    <w:uiPriority w:val="99"/>
    <w:pPr>
      <w:spacing w:after="0" w:line="360" w:lineRule="auto"/>
    </w:pPr>
    <w:rPr>
      <w:rFonts w:ascii="Times New Roman" w:eastAsia="Times New Roman" w:hAnsi="Times New Roman" w:cs="Times New Roman"/>
      <w:color w:val="666666"/>
      <w:sz w:val="18"/>
      <w:szCs w:val="18"/>
      <w:lang w:eastAsia="en-GB"/>
    </w:rPr>
  </w:style>
  <w:style w:type="table" w:styleId="TableGrid">
    <w:name w:val="Table Grid"/>
    <w:basedOn w:val="TableNormal"/>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28038">
      <w:bodyDiv w:val="1"/>
      <w:marLeft w:val="0"/>
      <w:marRight w:val="0"/>
      <w:marTop w:val="0"/>
      <w:marBottom w:val="0"/>
      <w:divBdr>
        <w:top w:val="none" w:sz="0" w:space="0" w:color="auto"/>
        <w:left w:val="none" w:sz="0" w:space="0" w:color="auto"/>
        <w:bottom w:val="none" w:sz="0" w:space="0" w:color="auto"/>
        <w:right w:val="none" w:sz="0" w:space="0" w:color="auto"/>
      </w:divBdr>
    </w:div>
    <w:div w:id="258609955">
      <w:bodyDiv w:val="1"/>
      <w:marLeft w:val="0"/>
      <w:marRight w:val="0"/>
      <w:marTop w:val="0"/>
      <w:marBottom w:val="0"/>
      <w:divBdr>
        <w:top w:val="none" w:sz="0" w:space="0" w:color="auto"/>
        <w:left w:val="none" w:sz="0" w:space="0" w:color="auto"/>
        <w:bottom w:val="none" w:sz="0" w:space="0" w:color="auto"/>
        <w:right w:val="none" w:sz="0" w:space="0" w:color="auto"/>
      </w:divBdr>
    </w:div>
    <w:div w:id="722097731">
      <w:bodyDiv w:val="1"/>
      <w:marLeft w:val="0"/>
      <w:marRight w:val="0"/>
      <w:marTop w:val="0"/>
      <w:marBottom w:val="0"/>
      <w:divBdr>
        <w:top w:val="none" w:sz="0" w:space="0" w:color="auto"/>
        <w:left w:val="none" w:sz="0" w:space="0" w:color="auto"/>
        <w:bottom w:val="none" w:sz="0" w:space="0" w:color="auto"/>
        <w:right w:val="none" w:sz="0" w:space="0" w:color="auto"/>
      </w:divBdr>
    </w:div>
    <w:div w:id="772553434">
      <w:bodyDiv w:val="1"/>
      <w:marLeft w:val="0"/>
      <w:marRight w:val="0"/>
      <w:marTop w:val="0"/>
      <w:marBottom w:val="0"/>
      <w:divBdr>
        <w:top w:val="none" w:sz="0" w:space="0" w:color="auto"/>
        <w:left w:val="none" w:sz="0" w:space="0" w:color="auto"/>
        <w:bottom w:val="none" w:sz="0" w:space="0" w:color="auto"/>
        <w:right w:val="none" w:sz="0" w:space="0" w:color="auto"/>
      </w:divBdr>
    </w:div>
    <w:div w:id="1479112716">
      <w:bodyDiv w:val="1"/>
      <w:marLeft w:val="0"/>
      <w:marRight w:val="0"/>
      <w:marTop w:val="0"/>
      <w:marBottom w:val="0"/>
      <w:divBdr>
        <w:top w:val="none" w:sz="0" w:space="0" w:color="auto"/>
        <w:left w:val="none" w:sz="0" w:space="0" w:color="auto"/>
        <w:bottom w:val="none" w:sz="0" w:space="0" w:color="auto"/>
        <w:right w:val="none" w:sz="0" w:space="0" w:color="auto"/>
      </w:divBdr>
    </w:div>
    <w:div w:id="1686051468">
      <w:bodyDiv w:val="1"/>
      <w:marLeft w:val="0"/>
      <w:marRight w:val="0"/>
      <w:marTop w:val="0"/>
      <w:marBottom w:val="0"/>
      <w:divBdr>
        <w:top w:val="none" w:sz="0" w:space="0" w:color="auto"/>
        <w:left w:val="none" w:sz="0" w:space="0" w:color="auto"/>
        <w:bottom w:val="none" w:sz="0" w:space="0" w:color="auto"/>
        <w:right w:val="none" w:sz="0" w:space="0" w:color="auto"/>
      </w:divBdr>
    </w:div>
    <w:div w:id="1773626104">
      <w:bodyDiv w:val="1"/>
      <w:marLeft w:val="0"/>
      <w:marRight w:val="0"/>
      <w:marTop w:val="0"/>
      <w:marBottom w:val="0"/>
      <w:divBdr>
        <w:top w:val="none" w:sz="0" w:space="0" w:color="auto"/>
        <w:left w:val="none" w:sz="0" w:space="0" w:color="auto"/>
        <w:bottom w:val="none" w:sz="0" w:space="0" w:color="auto"/>
        <w:right w:val="none" w:sz="0" w:space="0" w:color="auto"/>
      </w:divBdr>
    </w:div>
    <w:div w:id="1785536586">
      <w:bodyDiv w:val="1"/>
      <w:marLeft w:val="0"/>
      <w:marRight w:val="0"/>
      <w:marTop w:val="0"/>
      <w:marBottom w:val="0"/>
      <w:divBdr>
        <w:top w:val="none" w:sz="0" w:space="0" w:color="auto"/>
        <w:left w:val="none" w:sz="0" w:space="0" w:color="auto"/>
        <w:bottom w:val="none" w:sz="0" w:space="0" w:color="auto"/>
        <w:right w:val="none" w:sz="0" w:space="0" w:color="auto"/>
      </w:divBdr>
    </w:div>
    <w:div w:id="178927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3B24C-39D2-41A7-B78E-D53E0BDDA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2020-10-02T11:54:00Z</cp:lastPrinted>
  <dcterms:created xsi:type="dcterms:W3CDTF">2026-08-20T09:57:00Z</dcterms:created>
  <dcterms:modified xsi:type="dcterms:W3CDTF">2026-09-10T12:56:00Z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4</vt:lpwstr>
  </property>
  <property fmtid="{D5CDD505-2E9C-101B-9397-08002B2CF9AE}" pid="3" name="Last annex">
    <vt:lpwstr>4</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Last edited using">
    <vt:lpwstr>LW 9.2, Build 20250828</vt:lpwstr>
  </property>
  <property fmtid="{D5CDD505-2E9C-101B-9397-08002B2CF9AE}" pid="9" name="Unique annex">
    <vt:lpwstr>0</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2024-05-10T10:28:53Z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34c6bfdf-6134-4393-b1a1-fab6e4b0994a</vt:lpwstr>
  </property>
  <property fmtid="{D5CDD505-2E9C-101B-9397-08002B2CF9AE}" pid="17" name="MSIP_Label_6bd9ddd1-4d20-43f6-abfa-fc3c07406f94_ContentBits">
    <vt:lpwstr>0</vt:lpwstr>
  </property>
</Properties>
</file>