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AF20224-43AD-4A3C-8C3E-E2FCAE7EF6D7" style="width:455.25pt;height:37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spacing w:before="100" w:beforeAutospacing="1" w:after="100" w:afterAutospacing="1" w:line="240" w:lineRule="auto"/>
        <w:rPr>
          <w:rFonts w:ascii="Times New Roman Bold" w:hAnsi="Times New Roman Bold" w:cs="Times New Roman"/>
          <w:b/>
          <w:smallCaps/>
          <w:noProof/>
          <w:sz w:val="36"/>
          <w:szCs w:val="36"/>
        </w:rPr>
      </w:pPr>
    </w:p>
    <w:tbl>
      <w:tblPr>
        <w:tblStyle w:val="TableGrid"/>
        <w:tblW w:w="4900" w:type="pct"/>
        <w:tblInd w:w="0" w:type="dxa"/>
        <w:tblLook w:val="04A0" w:firstRow="1" w:lastRow="0" w:firstColumn="1" w:lastColumn="0" w:noHBand="0" w:noVBand="1"/>
      </w:tblPr>
      <w:tblGrid>
        <w:gridCol w:w="916"/>
        <w:gridCol w:w="1692"/>
        <w:gridCol w:w="1831"/>
        <w:gridCol w:w="1801"/>
        <w:gridCol w:w="1239"/>
        <w:gridCol w:w="1239"/>
        <w:gridCol w:w="1239"/>
        <w:gridCol w:w="1239"/>
        <w:gridCol w:w="957"/>
        <w:gridCol w:w="1099"/>
        <w:gridCol w:w="1239"/>
        <w:gridCol w:w="695"/>
      </w:tblGrid>
      <w:tr>
        <w:tc>
          <w:tcPr>
            <w:tcW w:w="5000" w:type="pct"/>
            <w:gridSpan w:val="12"/>
            <w:tcBorders>
              <w:top w:val="single" w:sz="4" w:space="0" w:color="auto"/>
              <w:left w:val="single" w:sz="4" w:space="0" w:color="auto"/>
              <w:bottom w:val="single" w:sz="4" w:space="0" w:color="auto"/>
              <w:right w:val="single" w:sz="4" w:space="0" w:color="auto"/>
            </w:tcBorders>
            <w:vAlign w:val="bottom"/>
          </w:tcPr>
          <w:p>
            <w:pPr>
              <w:pStyle w:val="TableParagraph"/>
              <w:spacing w:before="49"/>
              <w:ind w:left="114"/>
              <w:jc w:val="center"/>
              <w:rPr>
                <w:rFonts w:ascii="Times New Roman Bold" w:hAnsi="Times New Roman Bold" w:cs="Times New Roman"/>
                <w:b/>
                <w:smallCaps/>
                <w:noProof/>
                <w:sz w:val="36"/>
                <w:szCs w:val="36"/>
              </w:rPr>
            </w:pPr>
            <w:r>
              <w:rPr>
                <w:rFonts w:ascii="Times New Roman Bold" w:hAnsi="Times New Roman Bold"/>
                <w:b/>
                <w:smallCaps/>
                <w:noProof/>
                <w:sz w:val="36"/>
              </w:rPr>
              <w:t>Statut des fonctionnaires</w:t>
            </w:r>
          </w:p>
          <w:p>
            <w:pPr>
              <w:pStyle w:val="TableParagraph"/>
              <w:spacing w:before="49"/>
              <w:ind w:left="114"/>
              <w:jc w:val="center"/>
              <w:rPr>
                <w:rFonts w:ascii="Times New Roman" w:hAnsi="Times New Roman" w:cs="Times New Roman"/>
                <w:b/>
                <w:noProof/>
                <w:spacing w:val="-1"/>
                <w:sz w:val="28"/>
                <w:szCs w:val="28"/>
              </w:rPr>
            </w:pPr>
          </w:p>
        </w:tc>
      </w:tr>
      <w:tr>
        <w:tc>
          <w:tcPr>
            <w:tcW w:w="858" w:type="pct"/>
            <w:gridSpan w:val="2"/>
            <w:vMerge w:val="restart"/>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pPr>
              <w:pStyle w:val="TableParagraph"/>
              <w:spacing w:before="49"/>
              <w:ind w:left="114"/>
              <w:jc w:val="center"/>
              <w:rPr>
                <w:rFonts w:ascii="Times New Roman"/>
                <w:b/>
                <w:noProof/>
                <w:spacing w:val="-1"/>
                <w:sz w:val="16"/>
                <w:szCs w:val="16"/>
              </w:rPr>
            </w:pPr>
          </w:p>
        </w:tc>
        <w:tc>
          <w:tcPr>
            <w:tcW w:w="1196" w:type="pct"/>
            <w:gridSpan w:val="2"/>
            <w:vMerge w:val="restart"/>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pPr>
              <w:pStyle w:val="TableParagraph"/>
              <w:spacing w:before="49"/>
              <w:ind w:left="114"/>
              <w:jc w:val="center"/>
              <w:rPr>
                <w:rFonts w:ascii="Times New Roman" w:hAnsi="Times New Roman" w:cs="Times New Roman"/>
                <w:noProof/>
                <w:spacing w:val="-1"/>
                <w:sz w:val="16"/>
                <w:szCs w:val="16"/>
              </w:rPr>
            </w:pPr>
            <w:r>
              <w:rPr>
                <w:rFonts w:ascii="Times New Roman" w:hAnsi="Times New Roman"/>
                <w:b/>
                <w:noProof/>
                <w:sz w:val="28"/>
              </w:rPr>
              <w:t>Commission</w:t>
            </w:r>
          </w:p>
        </w:tc>
        <w:tc>
          <w:tcPr>
            <w:tcW w:w="2946" w:type="pct"/>
            <w:gridSpan w:val="8"/>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pPr>
              <w:pStyle w:val="TableParagraph"/>
              <w:spacing w:before="49"/>
              <w:ind w:left="114"/>
              <w:jc w:val="center"/>
              <w:rPr>
                <w:rFonts w:ascii="Times New Roman" w:hAnsi="Times New Roman" w:cs="Times New Roman"/>
                <w:b/>
                <w:noProof/>
                <w:spacing w:val="-1"/>
                <w:sz w:val="16"/>
                <w:szCs w:val="16"/>
              </w:rPr>
            </w:pPr>
            <w:r>
              <w:rPr>
                <w:rFonts w:ascii="Times New Roman" w:hAnsi="Times New Roman"/>
                <w:b/>
                <w:noProof/>
                <w:sz w:val="28"/>
              </w:rPr>
              <w:t>Agences</w:t>
            </w:r>
            <w:r>
              <w:rPr>
                <w:rStyle w:val="FootnoteReference"/>
                <w:rFonts w:ascii="Times New Roman" w:hAnsi="Times New Roman" w:cs="Times New Roman"/>
                <w:b/>
                <w:noProof/>
                <w:spacing w:val="-1"/>
                <w:sz w:val="28"/>
                <w:szCs w:val="28"/>
              </w:rPr>
              <w:footnoteReference w:id="1"/>
            </w:r>
            <w:r>
              <w:rPr>
                <w:rFonts w:ascii="Times New Roman" w:hAnsi="Times New Roman"/>
                <w:b/>
                <w:noProof/>
                <w:sz w:val="28"/>
              </w:rPr>
              <w:t xml:space="preserve"> </w:t>
            </w:r>
            <w:r>
              <w:rPr>
                <w:rFonts w:ascii="Times New Roman" w:hAnsi="Times New Roman"/>
                <w:b/>
                <w:noProof/>
                <w:sz w:val="28"/>
              </w:rPr>
              <w:br/>
            </w:r>
            <w:r>
              <w:rPr>
                <w:rFonts w:ascii="Times New Roman" w:hAnsi="Times New Roman"/>
                <w:noProof/>
                <w:sz w:val="16"/>
              </w:rPr>
              <w:t>Nombre de règles d’exécution au 31 décembre 2023</w:t>
            </w:r>
          </w:p>
        </w:tc>
      </w:tr>
      <w:t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pPr>
              <w:rPr>
                <w:rFonts w:ascii="Times New Roman" w:hAnsi="Times New Roman" w:cs="Times New Roman"/>
                <w:noProof/>
                <w:spacing w:val="-1"/>
                <w:sz w:val="16"/>
                <w:szCs w:val="16"/>
                <w:lang w:val="en-US"/>
              </w:rPr>
            </w:pPr>
          </w:p>
        </w:tc>
        <w:tc>
          <w:tcPr>
            <w:tcW w:w="816" w:type="pct"/>
            <w:gridSpan w:val="2"/>
            <w:tcBorders>
              <w:top w:val="single" w:sz="4" w:space="0" w:color="auto"/>
              <w:left w:val="single" w:sz="4" w:space="0" w:color="auto"/>
              <w:bottom w:val="single" w:sz="4" w:space="0" w:color="auto"/>
              <w:right w:val="single" w:sz="4" w:space="0" w:color="auto"/>
            </w:tcBorders>
            <w:shd w:val="clear" w:color="auto" w:fill="EEECE1" w:themeFill="background2"/>
            <w:hideMark/>
          </w:tcPr>
          <w:p>
            <w:pPr>
              <w:pStyle w:val="TableParagraph"/>
              <w:jc w:val="center"/>
              <w:rPr>
                <w:rFonts w:ascii="Times New Roman"/>
                <w:b/>
                <w:noProof/>
                <w:spacing w:val="-1"/>
                <w:sz w:val="20"/>
                <w:szCs w:val="20"/>
              </w:rPr>
            </w:pPr>
            <w:r>
              <w:rPr>
                <w:rFonts w:ascii="Times New Roman"/>
                <w:b/>
                <w:noProof/>
                <w:sz w:val="20"/>
              </w:rPr>
              <w:t>Adopt</w:t>
            </w:r>
            <w:r>
              <w:rPr>
                <w:rFonts w:ascii="Times New Roman"/>
                <w:b/>
                <w:noProof/>
                <w:sz w:val="20"/>
              </w:rPr>
              <w:t>é</w:t>
            </w:r>
            <w:r>
              <w:rPr>
                <w:rFonts w:ascii="Times New Roman"/>
                <w:b/>
                <w:noProof/>
                <w:sz w:val="20"/>
              </w:rPr>
              <w:t>es avant la r</w:t>
            </w:r>
            <w:r>
              <w:rPr>
                <w:rFonts w:ascii="Times New Roman"/>
                <w:b/>
                <w:noProof/>
                <w:sz w:val="20"/>
              </w:rPr>
              <w:t>é</w:t>
            </w:r>
            <w:r>
              <w:rPr>
                <w:rFonts w:ascii="Times New Roman"/>
                <w:b/>
                <w:noProof/>
                <w:sz w:val="20"/>
              </w:rPr>
              <w:t>forme de 2014</w:t>
            </w:r>
            <w:r>
              <w:rPr>
                <w:rStyle w:val="FootnoteReference"/>
                <w:noProof/>
                <w:spacing w:val="-1"/>
                <w:sz w:val="16"/>
                <w:szCs w:val="16"/>
              </w:rPr>
              <w:footnoteReference w:id="2"/>
            </w:r>
          </w:p>
        </w:tc>
        <w:tc>
          <w:tcPr>
            <w:tcW w:w="1492" w:type="pct"/>
            <w:gridSpan w:val="4"/>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pPr>
              <w:pStyle w:val="TableParagraph"/>
              <w:spacing w:before="49"/>
              <w:ind w:left="114"/>
              <w:jc w:val="center"/>
              <w:rPr>
                <w:rFonts w:ascii="Times New Roman"/>
                <w:noProof/>
                <w:spacing w:val="-1"/>
                <w:sz w:val="16"/>
                <w:szCs w:val="16"/>
              </w:rPr>
            </w:pPr>
            <w:r>
              <w:rPr>
                <w:rFonts w:ascii="Times New Roman"/>
                <w:b/>
                <w:noProof/>
                <w:sz w:val="20"/>
              </w:rPr>
              <w:t>Adopt</w:t>
            </w:r>
            <w:r>
              <w:rPr>
                <w:rFonts w:ascii="Times New Roman"/>
                <w:b/>
                <w:noProof/>
                <w:sz w:val="20"/>
              </w:rPr>
              <w:t>é</w:t>
            </w:r>
            <w:r>
              <w:rPr>
                <w:rFonts w:ascii="Times New Roman"/>
                <w:b/>
                <w:noProof/>
                <w:sz w:val="20"/>
              </w:rPr>
              <w:t>es apr</w:t>
            </w:r>
            <w:r>
              <w:rPr>
                <w:rFonts w:ascii="Times New Roman"/>
                <w:b/>
                <w:noProof/>
                <w:sz w:val="20"/>
              </w:rPr>
              <w:t>è</w:t>
            </w:r>
            <w:r>
              <w:rPr>
                <w:rFonts w:ascii="Times New Roman"/>
                <w:b/>
                <w:noProof/>
                <w:sz w:val="20"/>
              </w:rPr>
              <w:t>s la r</w:t>
            </w:r>
            <w:r>
              <w:rPr>
                <w:rFonts w:ascii="Times New Roman"/>
                <w:b/>
                <w:noProof/>
                <w:sz w:val="20"/>
              </w:rPr>
              <w:t>é</w:t>
            </w:r>
            <w:r>
              <w:rPr>
                <w:rFonts w:ascii="Times New Roman"/>
                <w:b/>
                <w:noProof/>
                <w:sz w:val="20"/>
              </w:rPr>
              <w:t>forme de 2014</w:t>
            </w:r>
          </w:p>
        </w:tc>
        <w:tc>
          <w:tcPr>
            <w:tcW w:w="408" w:type="pct"/>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pPr>
              <w:pStyle w:val="TableParagraph"/>
              <w:spacing w:before="49"/>
              <w:ind w:left="114"/>
              <w:jc w:val="center"/>
              <w:rPr>
                <w:rFonts w:ascii="Times New Roman"/>
                <w:noProof/>
                <w:spacing w:val="-1"/>
                <w:sz w:val="16"/>
                <w:szCs w:val="16"/>
              </w:rPr>
            </w:pPr>
            <w:r>
              <w:rPr>
                <w:rFonts w:ascii="Times New Roman"/>
                <w:b/>
                <w:noProof/>
                <w:sz w:val="16"/>
              </w:rPr>
              <w:t>Aucune r</w:t>
            </w:r>
            <w:r>
              <w:rPr>
                <w:rFonts w:ascii="Times New Roman"/>
                <w:b/>
                <w:noProof/>
                <w:sz w:val="16"/>
              </w:rPr>
              <w:t>è</w:t>
            </w:r>
            <w:r>
              <w:rPr>
                <w:rFonts w:ascii="Times New Roman"/>
                <w:b/>
                <w:noProof/>
                <w:sz w:val="16"/>
              </w:rPr>
              <w:t>gle / opt-out</w:t>
            </w:r>
            <w:r>
              <w:rPr>
                <w:rFonts w:ascii="Times New Roman"/>
                <w:noProof/>
                <w:sz w:val="16"/>
              </w:rPr>
              <w:t xml:space="preserve"> (y compris les demandes en cours)</w:t>
            </w:r>
          </w:p>
        </w:tc>
        <w:tc>
          <w:tcPr>
            <w:tcW w:w="230" w:type="pct"/>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Total</w:t>
            </w:r>
          </w:p>
        </w:tc>
      </w:tr>
      <w:tr>
        <w:tc>
          <w:tcPr>
            <w:tcW w:w="302"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jc w:val="center"/>
              <w:rPr>
                <w:rFonts w:ascii="Times New Roman"/>
                <w:b/>
                <w:noProof/>
                <w:spacing w:val="-1"/>
                <w:sz w:val="16"/>
                <w:szCs w:val="16"/>
              </w:rPr>
            </w:pPr>
            <w:r>
              <w:rPr>
                <w:rFonts w:ascii="Times New Roman"/>
                <w:b/>
                <w:noProof/>
                <w:sz w:val="16"/>
              </w:rPr>
              <w:t>Article</w:t>
            </w:r>
          </w:p>
        </w:tc>
        <w:tc>
          <w:tcPr>
            <w:tcW w:w="557"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Sujet</w:t>
            </w:r>
          </w:p>
        </w:tc>
        <w:tc>
          <w:tcPr>
            <w:tcW w:w="603"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b/>
                <w:noProof/>
                <w:sz w:val="16"/>
              </w:rPr>
              <w:t>R</w:t>
            </w:r>
            <w:r>
              <w:rPr>
                <w:rFonts w:ascii="Times New Roman"/>
                <w:b/>
                <w:noProof/>
                <w:sz w:val="16"/>
              </w:rPr>
              <w:t>è</w:t>
            </w:r>
            <w:r>
              <w:rPr>
                <w:rFonts w:ascii="Times New Roman"/>
                <w:b/>
                <w:noProof/>
                <w:sz w:val="16"/>
              </w:rPr>
              <w:t>gle d</w:t>
            </w:r>
            <w:r>
              <w:rPr>
                <w:rFonts w:ascii="Times New Roman"/>
                <w:b/>
                <w:noProof/>
                <w:sz w:val="16"/>
              </w:rPr>
              <w:t>’</w:t>
            </w:r>
            <w:r>
              <w:rPr>
                <w:rFonts w:ascii="Times New Roman"/>
                <w:b/>
                <w:noProof/>
                <w:sz w:val="16"/>
              </w:rPr>
              <w:t>ex</w:t>
            </w:r>
            <w:r>
              <w:rPr>
                <w:rFonts w:ascii="Times New Roman"/>
                <w:b/>
                <w:noProof/>
                <w:sz w:val="16"/>
              </w:rPr>
              <w:t>é</w:t>
            </w:r>
            <w:r>
              <w:rPr>
                <w:rFonts w:ascii="Times New Roman"/>
                <w:b/>
                <w:noProof/>
                <w:sz w:val="16"/>
              </w:rPr>
              <w:t>cution de la COM pertinente</w:t>
            </w:r>
          </w:p>
        </w:tc>
        <w:tc>
          <w:tcPr>
            <w:tcW w:w="593"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b/>
                <w:noProof/>
                <w:sz w:val="16"/>
              </w:rPr>
              <w:t>Accord ex ante</w:t>
            </w:r>
          </w:p>
        </w:tc>
        <w:tc>
          <w:tcPr>
            <w:tcW w:w="408"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b/>
                <w:noProof/>
                <w:sz w:val="16"/>
              </w:rPr>
              <w:t xml:space="preserve">Analogue </w:t>
            </w:r>
            <w:r>
              <w:rPr>
                <w:rFonts w:ascii="Times New Roman"/>
                <w:b/>
                <w:noProof/>
                <w:sz w:val="16"/>
              </w:rPr>
              <w:t>à</w:t>
            </w:r>
            <w:r>
              <w:rPr>
                <w:rFonts w:ascii="Times New Roman"/>
                <w:b/>
                <w:noProof/>
                <w:sz w:val="16"/>
              </w:rPr>
              <w:t xml:space="preserve"> une r</w:t>
            </w:r>
            <w:r>
              <w:rPr>
                <w:rFonts w:ascii="Times New Roman"/>
                <w:b/>
                <w:noProof/>
                <w:sz w:val="16"/>
              </w:rPr>
              <w:t>è</w:t>
            </w:r>
            <w:r>
              <w:rPr>
                <w:rFonts w:ascii="Times New Roman"/>
                <w:b/>
                <w:noProof/>
                <w:sz w:val="16"/>
              </w:rPr>
              <w:t>gle de la COM</w:t>
            </w:r>
          </w:p>
        </w:tc>
        <w:tc>
          <w:tcPr>
            <w:tcW w:w="408"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b/>
                <w:noProof/>
                <w:sz w:val="16"/>
              </w:rPr>
              <w:t>R</w:t>
            </w:r>
            <w:r>
              <w:rPr>
                <w:rFonts w:ascii="Times New Roman"/>
                <w:b/>
                <w:noProof/>
                <w:sz w:val="16"/>
              </w:rPr>
              <w:t>è</w:t>
            </w:r>
            <w:r>
              <w:rPr>
                <w:rFonts w:ascii="Times New Roman"/>
                <w:b/>
                <w:noProof/>
                <w:sz w:val="16"/>
              </w:rPr>
              <w:t xml:space="preserve">gles propres </w:t>
            </w:r>
          </w:p>
        </w:tc>
        <w:tc>
          <w:tcPr>
            <w:tcW w:w="816" w:type="pct"/>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b/>
                <w:noProof/>
                <w:sz w:val="16"/>
              </w:rPr>
              <w:t xml:space="preserve">Analogie </w:t>
            </w:r>
            <w:r>
              <w:rPr>
                <w:rFonts w:ascii="Times New Roman"/>
                <w:b/>
                <w:noProof/>
                <w:sz w:val="16"/>
              </w:rPr>
              <w:t>–</w:t>
            </w:r>
            <w:r>
              <w:rPr>
                <w:rFonts w:ascii="Times New Roman"/>
                <w:b/>
                <w:noProof/>
                <w:sz w:val="16"/>
              </w:rPr>
              <w:t xml:space="preserve"> Art. 110</w:t>
            </w:r>
          </w:p>
        </w:tc>
        <w:tc>
          <w:tcPr>
            <w:tcW w:w="315"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jc w:val="center"/>
              <w:rPr>
                <w:rFonts w:ascii="Times New Roman"/>
                <w:b/>
                <w:noProof/>
                <w:spacing w:val="-1"/>
                <w:sz w:val="16"/>
                <w:szCs w:val="16"/>
              </w:rPr>
            </w:pPr>
            <w:r>
              <w:rPr>
                <w:rFonts w:ascii="Times New Roman"/>
                <w:b/>
                <w:noProof/>
                <w:sz w:val="16"/>
              </w:rPr>
              <w:t>R</w:t>
            </w:r>
            <w:r>
              <w:rPr>
                <w:rFonts w:ascii="Times New Roman"/>
                <w:b/>
                <w:noProof/>
                <w:sz w:val="16"/>
              </w:rPr>
              <w:t>è</w:t>
            </w:r>
            <w:r>
              <w:rPr>
                <w:rFonts w:ascii="Times New Roman"/>
                <w:b/>
                <w:noProof/>
                <w:sz w:val="16"/>
              </w:rPr>
              <w:t>gle fond</w:t>
            </w:r>
            <w:r>
              <w:rPr>
                <w:rFonts w:ascii="Times New Roman"/>
                <w:b/>
                <w:noProof/>
                <w:sz w:val="16"/>
              </w:rPr>
              <w:t>é</w:t>
            </w:r>
            <w:r>
              <w:rPr>
                <w:rFonts w:ascii="Times New Roman"/>
                <w:b/>
                <w:noProof/>
                <w:sz w:val="16"/>
              </w:rPr>
              <w:t>e sur un accord ex ante</w:t>
            </w:r>
          </w:p>
        </w:tc>
        <w:tc>
          <w:tcPr>
            <w:tcW w:w="362"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jc w:val="center"/>
              <w:rPr>
                <w:rFonts w:ascii="Times New Roman"/>
                <w:b/>
                <w:noProof/>
                <w:spacing w:val="-1"/>
                <w:sz w:val="16"/>
                <w:szCs w:val="16"/>
              </w:rPr>
            </w:pPr>
            <w:r>
              <w:rPr>
                <w:rFonts w:ascii="Times New Roman"/>
                <w:b/>
                <w:noProof/>
                <w:sz w:val="16"/>
              </w:rPr>
              <w:t>R</w:t>
            </w:r>
            <w:r>
              <w:rPr>
                <w:rFonts w:ascii="Times New Roman"/>
                <w:b/>
                <w:noProof/>
                <w:sz w:val="16"/>
              </w:rPr>
              <w:t>è</w:t>
            </w:r>
            <w:r>
              <w:rPr>
                <w:rFonts w:ascii="Times New Roman"/>
                <w:b/>
                <w:noProof/>
                <w:sz w:val="16"/>
              </w:rPr>
              <w:t>gles propres diff</w:t>
            </w:r>
            <w:r>
              <w:rPr>
                <w:rFonts w:ascii="Times New Roman"/>
                <w:b/>
                <w:noProof/>
                <w:sz w:val="16"/>
              </w:rPr>
              <w:t>é</w:t>
            </w:r>
            <w:r>
              <w:rPr>
                <w:rFonts w:ascii="Times New Roman"/>
                <w:b/>
                <w:noProof/>
                <w:sz w:val="16"/>
              </w:rPr>
              <w:t>rentes de celles de la COM</w:t>
            </w:r>
            <w:r>
              <w:rPr>
                <w:rFonts w:ascii="Times New Roman"/>
                <w:noProof/>
                <w:sz w:val="16"/>
              </w:rPr>
              <w:t xml:space="preserve"> (y compris les demandes en cours)</w:t>
            </w: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40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noProof/>
                <w:sz w:val="16"/>
              </w:rPr>
              <w:t>Application par analogie</w:t>
            </w:r>
          </w:p>
        </w:tc>
        <w:tc>
          <w:tcPr>
            <w:tcW w:w="40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noProof/>
                <w:sz w:val="16"/>
              </w:rPr>
              <w:t>P</w:t>
            </w:r>
            <w:r>
              <w:rPr>
                <w:rFonts w:ascii="Times New Roman"/>
                <w:noProof/>
                <w:sz w:val="16"/>
              </w:rPr>
              <w:t>é</w:t>
            </w:r>
            <w:r>
              <w:rPr>
                <w:rFonts w:ascii="Times New Roman"/>
                <w:noProof/>
                <w:sz w:val="16"/>
              </w:rPr>
              <w:t>riode de 9 mois</w:t>
            </w:r>
            <w:r>
              <w:rPr>
                <w:rStyle w:val="FootnoteReference"/>
                <w:rFonts w:ascii="Times New Roman"/>
                <w:noProof/>
                <w:spacing w:val="-1"/>
                <w:sz w:val="16"/>
                <w:szCs w:val="16"/>
              </w:rPr>
              <w:footnoteReference w:id="3"/>
            </w:r>
            <w:r>
              <w:rPr>
                <w:rFonts w:ascii="Times New Roman"/>
                <w:noProof/>
                <w:sz w:val="16"/>
              </w:rPr>
              <w:t xml:space="preserve"> non arriv</w:t>
            </w:r>
            <w:r>
              <w:rPr>
                <w:rFonts w:ascii="Times New Roman"/>
                <w:noProof/>
                <w:sz w:val="16"/>
              </w:rPr>
              <w:t>é</w:t>
            </w:r>
            <w:r>
              <w:rPr>
                <w:rFonts w:ascii="Times New Roman"/>
                <w:noProof/>
                <w:sz w:val="16"/>
              </w:rPr>
              <w:t xml:space="preserve">e </w:t>
            </w:r>
            <w:r>
              <w:rPr>
                <w:rFonts w:ascii="Times New Roman"/>
                <w:noProof/>
                <w:sz w:val="16"/>
              </w:rPr>
              <w:t>à</w:t>
            </w:r>
            <w:r>
              <w:rPr>
                <w:rFonts w:ascii="Times New Roman"/>
                <w:noProof/>
                <w:sz w:val="16"/>
              </w:rPr>
              <w:t xml:space="preserve"> expiration le 31.12.2023</w:t>
            </w: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r>
      <w:tr>
        <w:trPr>
          <w:trHeight w:val="886"/>
        </w:trPr>
        <w:tc>
          <w:tcPr>
            <w:tcW w:w="302"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t xml:space="preserve">1er </w:t>
            </w:r>
            <w:r>
              <w:rPr>
                <w:rFonts w:ascii="Times New Roman"/>
                <w:b/>
                <w:i/>
                <w:iCs/>
                <w:noProof/>
                <w:sz w:val="16"/>
              </w:rPr>
              <w:t>sexies</w:t>
            </w:r>
            <w:r>
              <w:rPr>
                <w:rFonts w:ascii="Times New Roman"/>
                <w:b/>
                <w:noProof/>
                <w:sz w:val="16"/>
              </w:rPr>
              <w:t>, par. 1</w:t>
            </w:r>
          </w:p>
        </w:tc>
        <w:tc>
          <w:tcPr>
            <w:tcW w:w="55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 xml:space="preserve">Mesures </w:t>
            </w:r>
            <w:r>
              <w:rPr>
                <w:rFonts w:ascii="Times New Roman"/>
                <w:b/>
                <w:noProof/>
                <w:sz w:val="16"/>
              </w:rPr>
              <w:t>à</w:t>
            </w:r>
            <w:r>
              <w:rPr>
                <w:rFonts w:ascii="Times New Roman"/>
                <w:b/>
                <w:noProof/>
                <w:sz w:val="16"/>
              </w:rPr>
              <w:t xml:space="preserve"> caract</w:t>
            </w:r>
            <w:r>
              <w:rPr>
                <w:rFonts w:ascii="Times New Roman"/>
                <w:b/>
                <w:noProof/>
                <w:sz w:val="16"/>
              </w:rPr>
              <w:t>è</w:t>
            </w:r>
            <w:r>
              <w:rPr>
                <w:rFonts w:ascii="Times New Roman"/>
                <w:b/>
                <w:noProof/>
                <w:sz w:val="16"/>
              </w:rPr>
              <w:t>re social</w:t>
            </w:r>
          </w:p>
        </w:tc>
        <w:tc>
          <w:tcPr>
            <w:tcW w:w="603"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 xml:space="preserve">C(2013) 4876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cision relative aux orientations concernant l</w:t>
            </w:r>
            <w:r>
              <w:rPr>
                <w:rFonts w:ascii="Times New Roman"/>
                <w:noProof/>
                <w:sz w:val="16"/>
              </w:rPr>
              <w:t>’</w:t>
            </w:r>
            <w:r>
              <w:rPr>
                <w:rFonts w:ascii="Times New Roman"/>
                <w:noProof/>
                <w:sz w:val="16"/>
              </w:rPr>
              <w:t xml:space="preserve">aide </w:t>
            </w:r>
            <w:r>
              <w:rPr>
                <w:rFonts w:ascii="Times New Roman"/>
                <w:noProof/>
                <w:sz w:val="16"/>
              </w:rPr>
              <w:t>à</w:t>
            </w:r>
            <w:r>
              <w:rPr>
                <w:rFonts w:ascii="Times New Roman"/>
                <w:noProof/>
                <w:sz w:val="16"/>
              </w:rPr>
              <w:t xml:space="preserve"> la d</w:t>
            </w:r>
            <w:r>
              <w:rPr>
                <w:rFonts w:ascii="Times New Roman"/>
                <w:noProof/>
                <w:sz w:val="16"/>
              </w:rPr>
              <w:t>é</w:t>
            </w:r>
            <w:r>
              <w:rPr>
                <w:rFonts w:ascii="Times New Roman"/>
                <w:noProof/>
                <w:sz w:val="16"/>
              </w:rPr>
              <w:t>pendance et la surveillance d</w:t>
            </w:r>
            <w:r>
              <w:rPr>
                <w:rFonts w:ascii="Times New Roman"/>
                <w:noProof/>
                <w:sz w:val="16"/>
              </w:rPr>
              <w:t>’</w:t>
            </w:r>
            <w:r>
              <w:rPr>
                <w:rFonts w:ascii="Times New Roman"/>
                <w:noProof/>
                <w:sz w:val="16"/>
              </w:rPr>
              <w:t>enfant malade</w:t>
            </w:r>
          </w:p>
        </w:tc>
        <w:tc>
          <w:tcPr>
            <w:tcW w:w="593"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 xml:space="preserve">2 </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 xml:space="preserve">2 </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11</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6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7</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32</w:t>
            </w:r>
          </w:p>
        </w:tc>
        <w:tc>
          <w:tcPr>
            <w:tcW w:w="23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516"/>
        </w:trPr>
        <w:tc>
          <w:tcPr>
            <w:tcW w:w="302"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Emplois types et intitul</w:t>
            </w:r>
            <w:r>
              <w:rPr>
                <w:rFonts w:ascii="Times New Roman"/>
                <w:b/>
                <w:noProof/>
                <w:sz w:val="16"/>
              </w:rPr>
              <w:t>é</w:t>
            </w:r>
            <w:r>
              <w:rPr>
                <w:rFonts w:ascii="Times New Roman"/>
                <w:b/>
                <w:noProof/>
                <w:sz w:val="16"/>
              </w:rPr>
              <w:t>s d</w:t>
            </w:r>
            <w:r>
              <w:rPr>
                <w:rFonts w:ascii="Times New Roman"/>
                <w:b/>
                <w:noProof/>
                <w:sz w:val="16"/>
              </w:rPr>
              <w:t>’</w:t>
            </w:r>
            <w:r>
              <w:rPr>
                <w:rFonts w:ascii="Times New Roman"/>
                <w:b/>
                <w:noProof/>
                <w:sz w:val="16"/>
              </w:rPr>
              <w:t>emploi</w:t>
            </w:r>
          </w:p>
        </w:tc>
        <w:tc>
          <w:tcPr>
            <w:tcW w:w="60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spacing w:before="49"/>
              <w:rPr>
                <w:rFonts w:ascii="Times New Roman"/>
                <w:noProof/>
                <w:spacing w:val="-1"/>
                <w:sz w:val="16"/>
                <w:szCs w:val="16"/>
              </w:rPr>
            </w:pPr>
            <w:r>
              <w:rPr>
                <w:rFonts w:ascii="Times New Roman"/>
                <w:noProof/>
                <w:sz w:val="16"/>
              </w:rPr>
              <w:t xml:space="preserve">C(2013) 8979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cision relative aux emplois types et aux intitul</w:t>
            </w:r>
            <w:r>
              <w:rPr>
                <w:rFonts w:ascii="Times New Roman"/>
                <w:noProof/>
                <w:sz w:val="16"/>
              </w:rPr>
              <w:t>é</w:t>
            </w:r>
            <w:r>
              <w:rPr>
                <w:rFonts w:ascii="Times New Roman"/>
                <w:noProof/>
                <w:sz w:val="16"/>
              </w:rPr>
              <w:t>s d</w:t>
            </w:r>
            <w:r>
              <w:rPr>
                <w:rFonts w:ascii="Times New Roman"/>
                <w:noProof/>
                <w:sz w:val="16"/>
              </w:rPr>
              <w:t>’</w:t>
            </w:r>
            <w:r>
              <w:rPr>
                <w:rFonts w:ascii="Times New Roman"/>
                <w:noProof/>
                <w:sz w:val="16"/>
              </w:rPr>
              <w:t>emploi</w:t>
            </w:r>
          </w:p>
        </w:tc>
        <w:tc>
          <w:tcPr>
            <w:tcW w:w="593"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 xml:space="preserve">C(2018) 8800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cision relative aux emplois types et aux intitul</w:t>
            </w:r>
            <w:r>
              <w:rPr>
                <w:rFonts w:ascii="Times New Roman"/>
                <w:noProof/>
                <w:sz w:val="16"/>
              </w:rPr>
              <w:t>é</w:t>
            </w:r>
            <w:r>
              <w:rPr>
                <w:rFonts w:ascii="Times New Roman"/>
                <w:noProof/>
                <w:sz w:val="16"/>
              </w:rPr>
              <w:t>s d</w:t>
            </w:r>
            <w:r>
              <w:rPr>
                <w:rFonts w:ascii="Times New Roman"/>
                <w:noProof/>
                <w:sz w:val="16"/>
              </w:rPr>
              <w:t>’</w:t>
            </w:r>
            <w:r>
              <w:rPr>
                <w:rFonts w:ascii="Times New Roman"/>
                <w:noProof/>
                <w:sz w:val="16"/>
              </w:rPr>
              <w:t>emploi</w:t>
            </w:r>
          </w:p>
        </w:tc>
        <w:tc>
          <w:tcPr>
            <w:tcW w:w="408" w:type="pct"/>
            <w:tcBorders>
              <w:top w:val="single" w:sz="4" w:space="0" w:color="auto"/>
              <w:left w:val="single" w:sz="4" w:space="0" w:color="auto"/>
              <w:bottom w:val="single" w:sz="4" w:space="0" w:color="auto"/>
              <w:right w:val="single" w:sz="4" w:space="0" w:color="auto"/>
            </w:tcBorders>
            <w:vAlign w:val="center"/>
          </w:tcPr>
          <w:p>
            <w:pPr>
              <w:jc w:val="center"/>
              <w:rPr>
                <w:rFonts w:ascii="Times New Roman"/>
                <w:noProof/>
                <w:spacing w:val="-1"/>
                <w:sz w:val="16"/>
                <w:szCs w:val="16"/>
                <w:lang w:val="en-US"/>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28</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26</w:t>
            </w: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835"/>
        </w:trPr>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60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spacing w:before="49"/>
              <w:rPr>
                <w:rFonts w:ascii="Times New Roman"/>
                <w:noProof/>
                <w:spacing w:val="-1"/>
                <w:sz w:val="16"/>
                <w:szCs w:val="16"/>
              </w:rPr>
            </w:pPr>
            <w:r>
              <w:rPr>
                <w:rFonts w:ascii="Times New Roman"/>
                <w:noProof/>
                <w:sz w:val="16"/>
              </w:rPr>
              <w:t xml:space="preserve">C(2016) 3214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 xml:space="preserve">cision relative </w:t>
            </w:r>
            <w:r>
              <w:rPr>
                <w:rFonts w:ascii="Times New Roman"/>
                <w:noProof/>
                <w:sz w:val="16"/>
              </w:rPr>
              <w:t>à</w:t>
            </w:r>
            <w:r>
              <w:rPr>
                <w:rFonts w:ascii="Times New Roman"/>
                <w:noProof/>
                <w:sz w:val="16"/>
              </w:rPr>
              <w:t xml:space="preserve"> la fonction de conseiller</w:t>
            </w:r>
          </w:p>
        </w:tc>
        <w:tc>
          <w:tcPr>
            <w:tcW w:w="593"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 xml:space="preserve">C(2018) 2209 et C(2018) 4012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 xml:space="preserve">cisions relatives </w:t>
            </w:r>
            <w:r>
              <w:rPr>
                <w:rFonts w:ascii="Times New Roman"/>
                <w:noProof/>
                <w:sz w:val="16"/>
              </w:rPr>
              <w:t>à</w:t>
            </w:r>
            <w:r>
              <w:rPr>
                <w:rFonts w:ascii="Times New Roman"/>
                <w:noProof/>
                <w:sz w:val="16"/>
              </w:rPr>
              <w:t xml:space="preserve"> la fonction de conseiller</w:t>
            </w:r>
          </w:p>
        </w:tc>
        <w:tc>
          <w:tcPr>
            <w:tcW w:w="408" w:type="pct"/>
            <w:tcBorders>
              <w:top w:val="single" w:sz="4" w:space="0" w:color="auto"/>
              <w:left w:val="single" w:sz="4" w:space="0" w:color="auto"/>
              <w:bottom w:val="single" w:sz="4" w:space="0" w:color="auto"/>
              <w:right w:val="single" w:sz="4" w:space="0" w:color="auto"/>
            </w:tcBorders>
            <w:vAlign w:val="center"/>
          </w:tcPr>
          <w:p>
            <w:pPr>
              <w:jc w:val="center"/>
              <w:rPr>
                <w:rFonts w:ascii="Times New Roman"/>
                <w:noProof/>
                <w:spacing w:val="-1"/>
                <w:sz w:val="16"/>
                <w:szCs w:val="16"/>
                <w:lang w:val="en-US"/>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43</w:t>
            </w: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6</w:t>
            </w:r>
          </w:p>
        </w:tc>
        <w:tc>
          <w:tcPr>
            <w:tcW w:w="23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1130"/>
        </w:trPr>
        <w:tc>
          <w:tcPr>
            <w:tcW w:w="302"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t>7</w:t>
            </w:r>
          </w:p>
        </w:tc>
        <w:tc>
          <w:tcPr>
            <w:tcW w:w="55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Mutation</w:t>
            </w:r>
          </w:p>
        </w:tc>
        <w:tc>
          <w:tcPr>
            <w:tcW w:w="603"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 xml:space="preserve">C(2009) 7839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cision relative aux modalit</w:t>
            </w:r>
            <w:r>
              <w:rPr>
                <w:rFonts w:ascii="Times New Roman"/>
                <w:noProof/>
                <w:sz w:val="16"/>
              </w:rPr>
              <w:t>é</w:t>
            </w:r>
            <w:r>
              <w:rPr>
                <w:rFonts w:ascii="Times New Roman"/>
                <w:noProof/>
                <w:sz w:val="16"/>
              </w:rPr>
              <w:t xml:space="preserve">s de mise en </w:t>
            </w:r>
            <w:r>
              <w:rPr>
                <w:rFonts w:ascii="Times New Roman"/>
                <w:noProof/>
                <w:sz w:val="16"/>
              </w:rPr>
              <w:t>œ</w:t>
            </w:r>
            <w:r>
              <w:rPr>
                <w:rFonts w:ascii="Times New Roman"/>
                <w:noProof/>
                <w:sz w:val="16"/>
              </w:rPr>
              <w:t>uvre de l</w:t>
            </w:r>
            <w:r>
              <w:rPr>
                <w:rFonts w:ascii="Times New Roman"/>
                <w:noProof/>
                <w:sz w:val="16"/>
              </w:rPr>
              <w:t>’</w:t>
            </w:r>
            <w:r>
              <w:rPr>
                <w:rFonts w:ascii="Times New Roman"/>
                <w:noProof/>
                <w:sz w:val="16"/>
              </w:rPr>
              <w:t>occupation par int</w:t>
            </w:r>
            <w:r>
              <w:rPr>
                <w:rFonts w:ascii="Times New Roman"/>
                <w:noProof/>
                <w:sz w:val="16"/>
              </w:rPr>
              <w:t>é</w:t>
            </w:r>
            <w:r>
              <w:rPr>
                <w:rFonts w:ascii="Times New Roman"/>
                <w:noProof/>
                <w:sz w:val="16"/>
              </w:rPr>
              <w:t>rim de postes d</w:t>
            </w:r>
            <w:r>
              <w:rPr>
                <w:rFonts w:ascii="Times New Roman"/>
                <w:noProof/>
                <w:sz w:val="16"/>
              </w:rPr>
              <w:t>’</w:t>
            </w:r>
            <w:r>
              <w:rPr>
                <w:rFonts w:ascii="Times New Roman"/>
                <w:noProof/>
                <w:sz w:val="16"/>
              </w:rPr>
              <w:t>encadrement</w:t>
            </w:r>
          </w:p>
        </w:tc>
        <w:tc>
          <w:tcPr>
            <w:tcW w:w="593"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 xml:space="preserve">C(2017) 7332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 xml:space="preserve">cision relative </w:t>
            </w:r>
            <w:r>
              <w:rPr>
                <w:rFonts w:ascii="Times New Roman"/>
                <w:noProof/>
                <w:sz w:val="16"/>
              </w:rPr>
              <w:t>à</w:t>
            </w:r>
            <w:r>
              <w:rPr>
                <w:rFonts w:ascii="Times New Roman"/>
                <w:noProof/>
                <w:sz w:val="16"/>
              </w:rPr>
              <w:t xml:space="preserve"> l</w:t>
            </w:r>
            <w:r>
              <w:rPr>
                <w:rFonts w:ascii="Times New Roman"/>
                <w:noProof/>
                <w:sz w:val="16"/>
              </w:rPr>
              <w:t>’</w:t>
            </w:r>
            <w:r>
              <w:rPr>
                <w:rFonts w:ascii="Times New Roman"/>
                <w:noProof/>
                <w:sz w:val="16"/>
              </w:rPr>
              <w:t>occupation par interim de postes d</w:t>
            </w:r>
            <w:r>
              <w:rPr>
                <w:rFonts w:ascii="Times New Roman"/>
                <w:noProof/>
                <w:sz w:val="16"/>
              </w:rPr>
              <w:t>’</w:t>
            </w:r>
            <w:r>
              <w:rPr>
                <w:rFonts w:ascii="Times New Roman"/>
                <w:noProof/>
                <w:sz w:val="16"/>
              </w:rPr>
              <w:t>encadrement (tous)</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w:t>
            </w: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4</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45</w:t>
            </w:r>
          </w:p>
        </w:tc>
        <w:tc>
          <w:tcPr>
            <w:tcW w:w="36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3</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 xml:space="preserve">1 </w:t>
            </w:r>
          </w:p>
        </w:tc>
        <w:tc>
          <w:tcPr>
            <w:tcW w:w="23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1445"/>
        </w:trPr>
        <w:tc>
          <w:tcPr>
            <w:tcW w:w="302"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lastRenderedPageBreak/>
              <w:t>9, par. 1</w:t>
            </w:r>
          </w:p>
        </w:tc>
        <w:tc>
          <w:tcPr>
            <w:tcW w:w="55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Comit</w:t>
            </w:r>
            <w:r>
              <w:rPr>
                <w:rFonts w:ascii="Times New Roman"/>
                <w:b/>
                <w:noProof/>
                <w:sz w:val="16"/>
              </w:rPr>
              <w:t>é</w:t>
            </w:r>
            <w:r>
              <w:rPr>
                <w:rFonts w:ascii="Times New Roman"/>
                <w:b/>
                <w:noProof/>
                <w:sz w:val="16"/>
              </w:rPr>
              <w:t xml:space="preserve"> du personnel</w:t>
            </w:r>
          </w:p>
        </w:tc>
        <w:tc>
          <w:tcPr>
            <w:tcW w:w="603"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R</w:t>
            </w:r>
            <w:r>
              <w:rPr>
                <w:rFonts w:ascii="Times New Roman"/>
                <w:noProof/>
                <w:sz w:val="16"/>
              </w:rPr>
              <w:t>è</w:t>
            </w:r>
            <w:r>
              <w:rPr>
                <w:rFonts w:ascii="Times New Roman"/>
                <w:noProof/>
                <w:sz w:val="16"/>
              </w:rPr>
              <w:t>gles portant composition et fonctionnement du comit</w:t>
            </w:r>
            <w:r>
              <w:rPr>
                <w:rFonts w:ascii="Times New Roman"/>
                <w:noProof/>
                <w:sz w:val="16"/>
              </w:rPr>
              <w:t>é</w:t>
            </w:r>
            <w:r>
              <w:rPr>
                <w:rFonts w:ascii="Times New Roman"/>
                <w:noProof/>
                <w:sz w:val="16"/>
              </w:rPr>
              <w:t xml:space="preserve"> du personnel du 22.10.1997</w:t>
            </w:r>
          </w:p>
        </w:tc>
        <w:tc>
          <w:tcPr>
            <w:tcW w:w="593"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D</w:t>
            </w:r>
            <w:r>
              <w:rPr>
                <w:rFonts w:ascii="Times New Roman"/>
                <w:noProof/>
                <w:sz w:val="16"/>
              </w:rPr>
              <w:t>é</w:t>
            </w:r>
            <w:r>
              <w:rPr>
                <w:rFonts w:ascii="Times New Roman"/>
                <w:noProof/>
                <w:sz w:val="16"/>
              </w:rPr>
              <w:t>cision C(2016) 3323 concernant les r</w:t>
            </w:r>
            <w:r>
              <w:rPr>
                <w:rFonts w:ascii="Times New Roman"/>
                <w:noProof/>
                <w:sz w:val="16"/>
              </w:rPr>
              <w:t>è</w:t>
            </w:r>
            <w:r>
              <w:rPr>
                <w:rFonts w:ascii="Times New Roman"/>
                <w:noProof/>
                <w:sz w:val="16"/>
              </w:rPr>
              <w:t>gles d</w:t>
            </w:r>
            <w:r>
              <w:rPr>
                <w:rFonts w:ascii="Times New Roman"/>
                <w:noProof/>
                <w:sz w:val="16"/>
              </w:rPr>
              <w:t>’</w:t>
            </w:r>
            <w:r>
              <w:rPr>
                <w:rFonts w:ascii="Times New Roman"/>
                <w:noProof/>
                <w:sz w:val="16"/>
              </w:rPr>
              <w:t>ex</w:t>
            </w:r>
            <w:r>
              <w:rPr>
                <w:rFonts w:ascii="Times New Roman"/>
                <w:noProof/>
                <w:sz w:val="16"/>
              </w:rPr>
              <w:t>é</w:t>
            </w:r>
            <w:r>
              <w:rPr>
                <w:rFonts w:ascii="Times New Roman"/>
                <w:noProof/>
                <w:sz w:val="16"/>
              </w:rPr>
              <w:t xml:space="preserve">cution relatives </w:t>
            </w:r>
            <w:r>
              <w:rPr>
                <w:rFonts w:ascii="Times New Roman"/>
                <w:noProof/>
                <w:sz w:val="16"/>
              </w:rPr>
              <w:t>à</w:t>
            </w:r>
            <w:r>
              <w:rPr>
                <w:rFonts w:ascii="Times New Roman"/>
                <w:noProof/>
                <w:sz w:val="16"/>
              </w:rPr>
              <w:t xml:space="preserve"> la constitution d</w:t>
            </w:r>
            <w:r>
              <w:rPr>
                <w:rFonts w:ascii="Times New Roman"/>
                <w:noProof/>
                <w:sz w:val="16"/>
              </w:rPr>
              <w:t>’</w:t>
            </w:r>
            <w:r>
              <w:rPr>
                <w:rFonts w:ascii="Times New Roman"/>
                <w:noProof/>
                <w:sz w:val="16"/>
              </w:rPr>
              <w:t>un comit</w:t>
            </w:r>
            <w:r>
              <w:rPr>
                <w:rFonts w:ascii="Times New Roman"/>
                <w:noProof/>
                <w:sz w:val="16"/>
              </w:rPr>
              <w:t>é</w:t>
            </w:r>
            <w:r>
              <w:rPr>
                <w:rFonts w:ascii="Times New Roman"/>
                <w:noProof/>
                <w:sz w:val="16"/>
              </w:rPr>
              <w:t xml:space="preserve"> du personnel et d</w:t>
            </w:r>
            <w:r>
              <w:rPr>
                <w:rFonts w:ascii="Times New Roman"/>
                <w:noProof/>
                <w:sz w:val="16"/>
              </w:rPr>
              <w:t>é</w:t>
            </w:r>
            <w:r>
              <w:rPr>
                <w:rFonts w:ascii="Times New Roman"/>
                <w:noProof/>
                <w:sz w:val="16"/>
              </w:rPr>
              <w:t xml:space="preserve">cision C(2019) 4542 relative </w:t>
            </w:r>
            <w:r>
              <w:rPr>
                <w:rFonts w:ascii="Times New Roman"/>
                <w:noProof/>
                <w:sz w:val="16"/>
              </w:rPr>
              <w:t>à</w:t>
            </w:r>
            <w:r>
              <w:rPr>
                <w:rFonts w:ascii="Times New Roman"/>
                <w:noProof/>
                <w:sz w:val="16"/>
              </w:rPr>
              <w:t xml:space="preserve"> l</w:t>
            </w:r>
            <w:r>
              <w:rPr>
                <w:rFonts w:ascii="Times New Roman"/>
                <w:noProof/>
                <w:sz w:val="16"/>
              </w:rPr>
              <w:t>’</w:t>
            </w:r>
            <w:r>
              <w:rPr>
                <w:rFonts w:ascii="Times New Roman"/>
                <w:noProof/>
                <w:sz w:val="16"/>
              </w:rPr>
              <w:t>institution d</w:t>
            </w:r>
            <w:r>
              <w:rPr>
                <w:rFonts w:ascii="Times New Roman"/>
                <w:noProof/>
                <w:sz w:val="16"/>
              </w:rPr>
              <w:t>’</w:t>
            </w:r>
            <w:r>
              <w:rPr>
                <w:rFonts w:ascii="Times New Roman"/>
                <w:noProof/>
                <w:sz w:val="16"/>
              </w:rPr>
              <w:t>un comit</w:t>
            </w:r>
            <w:r>
              <w:rPr>
                <w:rFonts w:ascii="Times New Roman"/>
                <w:noProof/>
                <w:sz w:val="16"/>
              </w:rPr>
              <w:t>é</w:t>
            </w:r>
            <w:r>
              <w:rPr>
                <w:rFonts w:ascii="Times New Roman"/>
                <w:noProof/>
                <w:sz w:val="16"/>
              </w:rPr>
              <w:t xml:space="preserve"> commun du personnel</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11</w:t>
            </w: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2</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39</w:t>
            </w:r>
          </w:p>
        </w:tc>
        <w:tc>
          <w:tcPr>
            <w:tcW w:w="36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2</w:t>
            </w: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c>
          <w:tcPr>
            <w:tcW w:w="302"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t>9, par. 1, point a)</w:t>
            </w:r>
          </w:p>
        </w:tc>
        <w:tc>
          <w:tcPr>
            <w:tcW w:w="55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Comit</w:t>
            </w:r>
            <w:r>
              <w:rPr>
                <w:rFonts w:ascii="Times New Roman"/>
                <w:b/>
                <w:noProof/>
                <w:sz w:val="16"/>
              </w:rPr>
              <w:t>é</w:t>
            </w:r>
            <w:r>
              <w:rPr>
                <w:rFonts w:ascii="Times New Roman"/>
                <w:b/>
                <w:noProof/>
                <w:sz w:val="16"/>
              </w:rPr>
              <w:t xml:space="preserve"> paritaire pour la pr</w:t>
            </w:r>
            <w:r>
              <w:rPr>
                <w:rFonts w:ascii="Times New Roman"/>
                <w:b/>
                <w:noProof/>
                <w:sz w:val="16"/>
              </w:rPr>
              <w:t>é</w:t>
            </w:r>
            <w:r>
              <w:rPr>
                <w:rFonts w:ascii="Times New Roman"/>
                <w:b/>
                <w:noProof/>
                <w:sz w:val="16"/>
              </w:rPr>
              <w:t>vention et la protection au travail</w:t>
            </w:r>
          </w:p>
        </w:tc>
        <w:tc>
          <w:tcPr>
            <w:tcW w:w="603"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rPr>
                <w:rFonts w:ascii="Times New Roman"/>
                <w:noProof/>
                <w:spacing w:val="-1"/>
                <w:sz w:val="16"/>
                <w:szCs w:val="16"/>
              </w:rPr>
            </w:pPr>
          </w:p>
        </w:tc>
        <w:tc>
          <w:tcPr>
            <w:tcW w:w="593"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 xml:space="preserve">C(2019) 5362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 xml:space="preserve">cision relative </w:t>
            </w:r>
            <w:r>
              <w:rPr>
                <w:rFonts w:ascii="Times New Roman"/>
                <w:noProof/>
                <w:sz w:val="16"/>
              </w:rPr>
              <w:t>à</w:t>
            </w:r>
            <w:r>
              <w:rPr>
                <w:rFonts w:ascii="Times New Roman"/>
                <w:noProof/>
                <w:sz w:val="16"/>
              </w:rPr>
              <w:t xml:space="preserve"> l</w:t>
            </w:r>
            <w:r>
              <w:rPr>
                <w:rFonts w:ascii="Times New Roman"/>
                <w:noProof/>
                <w:sz w:val="16"/>
              </w:rPr>
              <w:t>’</w:t>
            </w:r>
            <w:r>
              <w:rPr>
                <w:rFonts w:ascii="Times New Roman"/>
                <w:noProof/>
                <w:sz w:val="16"/>
              </w:rPr>
              <w:t>institution d</w:t>
            </w:r>
            <w:r>
              <w:rPr>
                <w:rFonts w:ascii="Times New Roman"/>
                <w:noProof/>
                <w:sz w:val="16"/>
              </w:rPr>
              <w:t>’</w:t>
            </w:r>
            <w:r>
              <w:rPr>
                <w:rFonts w:ascii="Times New Roman"/>
                <w:noProof/>
                <w:sz w:val="16"/>
              </w:rPr>
              <w:t>un comit</w:t>
            </w:r>
            <w:r>
              <w:rPr>
                <w:rFonts w:ascii="Times New Roman"/>
                <w:noProof/>
                <w:sz w:val="16"/>
              </w:rPr>
              <w:t>é</w:t>
            </w:r>
            <w:r>
              <w:rPr>
                <w:rFonts w:ascii="Times New Roman"/>
                <w:noProof/>
                <w:sz w:val="16"/>
              </w:rPr>
              <w:t xml:space="preserve"> paritaire pour la pr</w:t>
            </w:r>
            <w:r>
              <w:rPr>
                <w:rFonts w:ascii="Times New Roman"/>
                <w:noProof/>
                <w:sz w:val="16"/>
              </w:rPr>
              <w:t>é</w:t>
            </w:r>
            <w:r>
              <w:rPr>
                <w:rFonts w:ascii="Times New Roman"/>
                <w:noProof/>
                <w:sz w:val="16"/>
              </w:rPr>
              <w:t>vention et la protection au travail</w:t>
            </w:r>
          </w:p>
        </w:tc>
        <w:tc>
          <w:tcPr>
            <w:tcW w:w="408" w:type="pct"/>
            <w:tcBorders>
              <w:top w:val="single" w:sz="4" w:space="0" w:color="auto"/>
              <w:left w:val="single" w:sz="4" w:space="0" w:color="auto"/>
              <w:bottom w:val="single" w:sz="4" w:space="0" w:color="auto"/>
              <w:right w:val="single" w:sz="4" w:space="0" w:color="auto"/>
            </w:tcBorders>
            <w:vAlign w:val="center"/>
          </w:tcPr>
          <w:p>
            <w:pPr>
              <w:jc w:val="center"/>
              <w:rPr>
                <w:rFonts w:ascii="Times New Roman"/>
                <w:noProof/>
                <w:spacing w:val="-1"/>
                <w:sz w:val="16"/>
                <w:szCs w:val="16"/>
                <w:lang w:val="en-US"/>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6</w:t>
            </w: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6</w:t>
            </w:r>
          </w:p>
        </w:tc>
      </w:tr>
      <w:tr>
        <w:trPr>
          <w:trHeight w:val="1469"/>
        </w:trPr>
        <w:tc>
          <w:tcPr>
            <w:tcW w:w="302"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t>12</w:t>
            </w:r>
            <w:r>
              <w:rPr>
                <w:rFonts w:ascii="Times New Roman"/>
                <w:b/>
                <w:i/>
                <w:iCs/>
                <w:noProof/>
                <w:sz w:val="16"/>
              </w:rPr>
              <w:t xml:space="preserve"> bis</w:t>
            </w:r>
          </w:p>
        </w:tc>
        <w:tc>
          <w:tcPr>
            <w:tcW w:w="55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Lutte contre le harc</w:t>
            </w:r>
            <w:r>
              <w:rPr>
                <w:rFonts w:ascii="Times New Roman"/>
                <w:b/>
                <w:noProof/>
                <w:sz w:val="16"/>
              </w:rPr>
              <w:t>è</w:t>
            </w:r>
            <w:r>
              <w:rPr>
                <w:rFonts w:ascii="Times New Roman"/>
                <w:b/>
                <w:noProof/>
                <w:sz w:val="16"/>
              </w:rPr>
              <w:t>lement</w:t>
            </w:r>
          </w:p>
        </w:tc>
        <w:tc>
          <w:tcPr>
            <w:tcW w:w="603"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 xml:space="preserve">C(2006) 1624/3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 xml:space="preserve">cision relative </w:t>
            </w:r>
            <w:r>
              <w:rPr>
                <w:rFonts w:ascii="Times New Roman"/>
                <w:noProof/>
                <w:sz w:val="16"/>
              </w:rPr>
              <w:t>à</w:t>
            </w:r>
            <w:r>
              <w:rPr>
                <w:rFonts w:ascii="Times New Roman"/>
                <w:noProof/>
                <w:sz w:val="16"/>
              </w:rPr>
              <w:t xml:space="preserve"> la protection de la dignit</w:t>
            </w:r>
            <w:r>
              <w:rPr>
                <w:rFonts w:ascii="Times New Roman"/>
                <w:noProof/>
                <w:sz w:val="16"/>
              </w:rPr>
              <w:t>é</w:t>
            </w:r>
            <w:r>
              <w:rPr>
                <w:rFonts w:ascii="Times New Roman"/>
                <w:noProof/>
                <w:sz w:val="16"/>
              </w:rPr>
              <w:t xml:space="preserve"> de la personne et </w:t>
            </w:r>
            <w:r>
              <w:rPr>
                <w:rFonts w:ascii="Times New Roman"/>
                <w:noProof/>
                <w:sz w:val="16"/>
              </w:rPr>
              <w:t>à</w:t>
            </w:r>
            <w:r>
              <w:rPr>
                <w:rFonts w:ascii="Times New Roman"/>
                <w:noProof/>
                <w:sz w:val="16"/>
              </w:rPr>
              <w:t xml:space="preserve"> la lutte contre le harc</w:t>
            </w:r>
            <w:r>
              <w:rPr>
                <w:rFonts w:ascii="Times New Roman"/>
                <w:noProof/>
                <w:sz w:val="16"/>
              </w:rPr>
              <w:t>è</w:t>
            </w:r>
            <w:r>
              <w:rPr>
                <w:rFonts w:ascii="Times New Roman"/>
                <w:noProof/>
                <w:sz w:val="16"/>
              </w:rPr>
              <w:t>lement moral et le harc</w:t>
            </w:r>
            <w:r>
              <w:rPr>
                <w:rFonts w:ascii="Times New Roman"/>
                <w:noProof/>
                <w:sz w:val="16"/>
              </w:rPr>
              <w:t>è</w:t>
            </w:r>
            <w:r>
              <w:rPr>
                <w:rFonts w:ascii="Times New Roman"/>
                <w:noProof/>
                <w:sz w:val="16"/>
              </w:rPr>
              <w:t xml:space="preserve">lement sexuel </w:t>
            </w:r>
            <w:r>
              <w:rPr>
                <w:rFonts w:ascii="Times New Roman"/>
                <w:noProof/>
                <w:sz w:val="16"/>
              </w:rPr>
              <w:t>à</w:t>
            </w:r>
            <w:r>
              <w:rPr>
                <w:rFonts w:ascii="Times New Roman"/>
                <w:noProof/>
                <w:sz w:val="16"/>
              </w:rPr>
              <w:t xml:space="preserve"> la Commission europ</w:t>
            </w:r>
            <w:r>
              <w:rPr>
                <w:rFonts w:ascii="Times New Roman"/>
                <w:noProof/>
                <w:sz w:val="16"/>
              </w:rPr>
              <w:t>é</w:t>
            </w:r>
            <w:r>
              <w:rPr>
                <w:rFonts w:ascii="Times New Roman"/>
                <w:noProof/>
                <w:sz w:val="16"/>
              </w:rPr>
              <w:t>enne</w:t>
            </w:r>
          </w:p>
        </w:tc>
        <w:tc>
          <w:tcPr>
            <w:tcW w:w="593"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 xml:space="preserve">C(2016) 6595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 xml:space="preserve">cision relative </w:t>
            </w:r>
            <w:r>
              <w:rPr>
                <w:rFonts w:ascii="Times New Roman"/>
                <w:noProof/>
                <w:sz w:val="16"/>
              </w:rPr>
              <w:t>à</w:t>
            </w:r>
            <w:r>
              <w:rPr>
                <w:rFonts w:ascii="Times New Roman"/>
                <w:noProof/>
                <w:sz w:val="16"/>
              </w:rPr>
              <w:t xml:space="preserve"> la politique de protection de la dignit</w:t>
            </w:r>
            <w:r>
              <w:rPr>
                <w:rFonts w:ascii="Times New Roman"/>
                <w:noProof/>
                <w:sz w:val="16"/>
              </w:rPr>
              <w:t>é</w:t>
            </w:r>
            <w:r>
              <w:rPr>
                <w:rFonts w:ascii="Times New Roman"/>
                <w:noProof/>
                <w:sz w:val="16"/>
              </w:rPr>
              <w:t xml:space="preserve"> de la personne et de lutte contre le harc</w:t>
            </w:r>
            <w:r>
              <w:rPr>
                <w:rFonts w:ascii="Times New Roman"/>
                <w:noProof/>
                <w:sz w:val="16"/>
              </w:rPr>
              <w:t>è</w:t>
            </w:r>
            <w:r>
              <w:rPr>
                <w:rFonts w:ascii="Times New Roman"/>
                <w:noProof/>
                <w:sz w:val="16"/>
              </w:rPr>
              <w:t>lement moral et le harc</w:t>
            </w:r>
            <w:r>
              <w:rPr>
                <w:rFonts w:ascii="Times New Roman"/>
                <w:noProof/>
                <w:sz w:val="16"/>
              </w:rPr>
              <w:t>è</w:t>
            </w:r>
            <w:r>
              <w:rPr>
                <w:rFonts w:ascii="Times New Roman"/>
                <w:noProof/>
                <w:sz w:val="16"/>
              </w:rPr>
              <w:t>lement sexuel</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11</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42</w:t>
            </w: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562"/>
        </w:trPr>
        <w:tc>
          <w:tcPr>
            <w:tcW w:w="302"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t xml:space="preserve">12 </w:t>
            </w:r>
            <w:r>
              <w:rPr>
                <w:rFonts w:ascii="Times New Roman"/>
                <w:b/>
                <w:i/>
                <w:iCs/>
                <w:noProof/>
                <w:sz w:val="16"/>
              </w:rPr>
              <w:t>ter</w:t>
            </w:r>
            <w:r>
              <w:rPr>
                <w:rFonts w:ascii="Times New Roman"/>
                <w:b/>
                <w:noProof/>
                <w:sz w:val="16"/>
              </w:rPr>
              <w:t>, 16 et 17</w:t>
            </w:r>
          </w:p>
        </w:tc>
        <w:tc>
          <w:tcPr>
            <w:tcW w:w="55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Activit</w:t>
            </w:r>
            <w:r>
              <w:rPr>
                <w:rFonts w:ascii="Times New Roman"/>
                <w:b/>
                <w:noProof/>
                <w:sz w:val="16"/>
              </w:rPr>
              <w:t>é</w:t>
            </w:r>
            <w:r>
              <w:rPr>
                <w:rFonts w:ascii="Times New Roman"/>
                <w:b/>
                <w:noProof/>
                <w:sz w:val="16"/>
              </w:rPr>
              <w:t>s ext</w:t>
            </w:r>
            <w:r>
              <w:rPr>
                <w:rFonts w:ascii="Times New Roman"/>
                <w:b/>
                <w:noProof/>
                <w:sz w:val="16"/>
              </w:rPr>
              <w:t>é</w:t>
            </w:r>
            <w:r>
              <w:rPr>
                <w:rFonts w:ascii="Times New Roman"/>
                <w:b/>
                <w:noProof/>
                <w:sz w:val="16"/>
              </w:rPr>
              <w:t>rieures</w:t>
            </w:r>
          </w:p>
        </w:tc>
        <w:tc>
          <w:tcPr>
            <w:tcW w:w="60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hAnsi="Times New Roman"/>
                <w:strike/>
                <w:noProof/>
                <w:spacing w:val="-1"/>
                <w:sz w:val="16"/>
                <w:szCs w:val="16"/>
              </w:rPr>
            </w:pPr>
            <w:r>
              <w:rPr>
                <w:rFonts w:ascii="Times New Roman"/>
                <w:noProof/>
                <w:sz w:val="16"/>
              </w:rPr>
              <w:t xml:space="preserve">C(2018) 4048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cision relative aux activit</w:t>
            </w:r>
            <w:r>
              <w:rPr>
                <w:rFonts w:ascii="Times New Roman"/>
                <w:noProof/>
                <w:sz w:val="16"/>
              </w:rPr>
              <w:t>é</w:t>
            </w:r>
            <w:r>
              <w:rPr>
                <w:rFonts w:ascii="Times New Roman"/>
                <w:noProof/>
                <w:sz w:val="16"/>
              </w:rPr>
              <w:t>s ext</w:t>
            </w:r>
            <w:r>
              <w:rPr>
                <w:rFonts w:ascii="Times New Roman"/>
                <w:noProof/>
                <w:sz w:val="16"/>
              </w:rPr>
              <w:t>é</w:t>
            </w:r>
            <w:r>
              <w:rPr>
                <w:rFonts w:ascii="Times New Roman"/>
                <w:noProof/>
                <w:sz w:val="16"/>
              </w:rPr>
              <w:t>rieures et aux mandats</w:t>
            </w:r>
          </w:p>
        </w:tc>
        <w:tc>
          <w:tcPr>
            <w:tcW w:w="593"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54</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1258"/>
        </w:trPr>
        <w:tc>
          <w:tcPr>
            <w:tcW w:w="302"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t xml:space="preserve">22 </w:t>
            </w:r>
            <w:r>
              <w:rPr>
                <w:rFonts w:ascii="Times New Roman"/>
                <w:b/>
                <w:i/>
                <w:iCs/>
                <w:noProof/>
                <w:sz w:val="16"/>
              </w:rPr>
              <w:t>bis</w:t>
            </w:r>
            <w:r>
              <w:rPr>
                <w:rFonts w:ascii="Times New Roman"/>
                <w:b/>
                <w:noProof/>
                <w:sz w:val="16"/>
              </w:rPr>
              <w:t xml:space="preserve"> et 22 </w:t>
            </w:r>
            <w:r>
              <w:rPr>
                <w:rFonts w:ascii="Times New Roman"/>
                <w:b/>
                <w:i/>
                <w:iCs/>
                <w:noProof/>
                <w:sz w:val="16"/>
              </w:rPr>
              <w:t>ter</w:t>
            </w:r>
          </w:p>
        </w:tc>
        <w:tc>
          <w:tcPr>
            <w:tcW w:w="55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D</w:t>
            </w:r>
            <w:r>
              <w:rPr>
                <w:rFonts w:ascii="Times New Roman"/>
                <w:b/>
                <w:noProof/>
                <w:sz w:val="16"/>
              </w:rPr>
              <w:t>é</w:t>
            </w:r>
            <w:r>
              <w:rPr>
                <w:rFonts w:ascii="Times New Roman"/>
                <w:b/>
                <w:noProof/>
                <w:sz w:val="16"/>
              </w:rPr>
              <w:t>nonciation des dysfonctionnements</w:t>
            </w:r>
          </w:p>
        </w:tc>
        <w:tc>
          <w:tcPr>
            <w:tcW w:w="603"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 xml:space="preserve">SEC(2012) 679 </w:t>
            </w:r>
            <w:r>
              <w:rPr>
                <w:rFonts w:ascii="Times New Roman"/>
                <w:noProof/>
                <w:sz w:val="16"/>
              </w:rPr>
              <w:t>–</w:t>
            </w:r>
            <w:r>
              <w:rPr>
                <w:rFonts w:ascii="Times New Roman"/>
                <w:noProof/>
                <w:sz w:val="16"/>
              </w:rPr>
              <w:t xml:space="preserve"> Lignes directrices relatives </w:t>
            </w:r>
            <w:r>
              <w:rPr>
                <w:rFonts w:ascii="Times New Roman"/>
                <w:noProof/>
                <w:sz w:val="16"/>
              </w:rPr>
              <w:t>à</w:t>
            </w:r>
            <w:r>
              <w:rPr>
                <w:rFonts w:ascii="Times New Roman"/>
                <w:noProof/>
                <w:sz w:val="16"/>
              </w:rPr>
              <w:t xml:space="preserve"> la transmission d</w:t>
            </w:r>
            <w:r>
              <w:rPr>
                <w:rFonts w:ascii="Times New Roman"/>
                <w:noProof/>
                <w:sz w:val="16"/>
              </w:rPr>
              <w:t>’</w:t>
            </w:r>
            <w:r>
              <w:rPr>
                <w:rFonts w:ascii="Times New Roman"/>
                <w:noProof/>
                <w:sz w:val="16"/>
              </w:rPr>
              <w:t>informations en cas de dysfonctionnements graves (</w:t>
            </w:r>
            <w:r>
              <w:rPr>
                <w:rFonts w:ascii="Times New Roman"/>
                <w:noProof/>
                <w:sz w:val="16"/>
              </w:rPr>
              <w:t>«</w:t>
            </w:r>
            <w:r>
              <w:rPr>
                <w:rFonts w:ascii="Times New Roman"/>
                <w:noProof/>
                <w:sz w:val="16"/>
              </w:rPr>
              <w:t>whistleblowing</w:t>
            </w:r>
            <w:r>
              <w:rPr>
                <w:rFonts w:ascii="Times New Roman"/>
                <w:noProof/>
                <w:sz w:val="16"/>
              </w:rPr>
              <w:t>»</w:t>
            </w:r>
            <w:r>
              <w:rPr>
                <w:rFonts w:ascii="Times New Roman"/>
                <w:noProof/>
                <w:sz w:val="16"/>
              </w:rPr>
              <w:t>)</w:t>
            </w:r>
          </w:p>
        </w:tc>
        <w:tc>
          <w:tcPr>
            <w:tcW w:w="593"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 xml:space="preserve">C(2018) 1362 </w:t>
            </w:r>
            <w:r>
              <w:rPr>
                <w:rFonts w:ascii="Times New Roman"/>
                <w:noProof/>
                <w:sz w:val="16"/>
              </w:rPr>
              <w:t>–</w:t>
            </w:r>
            <w:r>
              <w:rPr>
                <w:rFonts w:ascii="Times New Roman"/>
                <w:noProof/>
                <w:sz w:val="16"/>
              </w:rPr>
              <w:t xml:space="preserve"> Lignes directrices relatives </w:t>
            </w:r>
            <w:r>
              <w:rPr>
                <w:rFonts w:ascii="Times New Roman"/>
                <w:noProof/>
                <w:sz w:val="16"/>
              </w:rPr>
              <w:t>à</w:t>
            </w:r>
            <w:r>
              <w:rPr>
                <w:rFonts w:ascii="Times New Roman"/>
                <w:noProof/>
                <w:sz w:val="16"/>
              </w:rPr>
              <w:t xml:space="preserve"> la d</w:t>
            </w:r>
            <w:r>
              <w:rPr>
                <w:rFonts w:ascii="Times New Roman"/>
                <w:noProof/>
                <w:sz w:val="16"/>
              </w:rPr>
              <w:t>é</w:t>
            </w:r>
            <w:r>
              <w:rPr>
                <w:rFonts w:ascii="Times New Roman"/>
                <w:noProof/>
                <w:sz w:val="16"/>
              </w:rPr>
              <w:t>nonciation des dysfonctionnements</w:t>
            </w:r>
          </w:p>
        </w:tc>
        <w:tc>
          <w:tcPr>
            <w:tcW w:w="408"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1</w:t>
            </w: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45</w:t>
            </w: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8</w:t>
            </w:r>
          </w:p>
        </w:tc>
        <w:tc>
          <w:tcPr>
            <w:tcW w:w="23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695"/>
        </w:trPr>
        <w:tc>
          <w:tcPr>
            <w:tcW w:w="302"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t xml:space="preserve">24 </w:t>
            </w:r>
            <w:r>
              <w:rPr>
                <w:rFonts w:ascii="Times New Roman"/>
                <w:b/>
                <w:i/>
                <w:iCs/>
                <w:noProof/>
                <w:sz w:val="16"/>
              </w:rPr>
              <w:t>bis</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Formation</w:t>
            </w:r>
          </w:p>
        </w:tc>
        <w:tc>
          <w:tcPr>
            <w:tcW w:w="60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C(2016) 3829 </w:t>
            </w:r>
            <w:r>
              <w:rPr>
                <w:rFonts w:ascii="Times New Roman"/>
                <w:noProof/>
                <w:sz w:val="16"/>
              </w:rPr>
              <w:t>–</w:t>
            </w:r>
            <w:r>
              <w:rPr>
                <w:rFonts w:ascii="Times New Roman"/>
                <w:noProof/>
                <w:sz w:val="16"/>
              </w:rPr>
              <w:t xml:space="preserve"> Strat</w:t>
            </w:r>
            <w:r>
              <w:rPr>
                <w:rFonts w:ascii="Times New Roman"/>
                <w:noProof/>
                <w:sz w:val="16"/>
              </w:rPr>
              <w:t>é</w:t>
            </w:r>
            <w:r>
              <w:rPr>
                <w:rFonts w:ascii="Times New Roman"/>
                <w:noProof/>
                <w:sz w:val="16"/>
              </w:rPr>
              <w:t>gie de formation et de d</w:t>
            </w:r>
            <w:r>
              <w:rPr>
                <w:rFonts w:ascii="Times New Roman"/>
                <w:noProof/>
                <w:sz w:val="16"/>
              </w:rPr>
              <w:t>é</w:t>
            </w:r>
            <w:r>
              <w:rPr>
                <w:rFonts w:ascii="Times New Roman"/>
                <w:noProof/>
                <w:sz w:val="16"/>
              </w:rPr>
              <w:t>veloppement</w:t>
            </w:r>
          </w:p>
        </w:tc>
        <w:tc>
          <w:tcPr>
            <w:tcW w:w="593"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 xml:space="preserve">C(2017) 6772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 xml:space="preserve">cision relative </w:t>
            </w:r>
            <w:r>
              <w:rPr>
                <w:rFonts w:ascii="Times New Roman"/>
                <w:noProof/>
                <w:sz w:val="16"/>
              </w:rPr>
              <w:t>à</w:t>
            </w:r>
            <w:r>
              <w:rPr>
                <w:rFonts w:ascii="Times New Roman"/>
                <w:noProof/>
                <w:sz w:val="16"/>
              </w:rPr>
              <w:t xml:space="preserve"> la formation et au d</w:t>
            </w:r>
            <w:r>
              <w:rPr>
                <w:rFonts w:ascii="Times New Roman"/>
                <w:noProof/>
                <w:sz w:val="16"/>
              </w:rPr>
              <w:t>é</w:t>
            </w:r>
            <w:r>
              <w:rPr>
                <w:rFonts w:ascii="Times New Roman"/>
                <w:noProof/>
                <w:sz w:val="16"/>
              </w:rPr>
              <w:t>veloppement</w:t>
            </w:r>
          </w:p>
        </w:tc>
        <w:tc>
          <w:tcPr>
            <w:tcW w:w="408"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16</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15"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38</w:t>
            </w: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669"/>
        </w:trPr>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60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C(2016) 3855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cision relative aux formations sur la propre initiative du membre du personnel</w:t>
            </w: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408"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16</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819"/>
        </w:trPr>
        <w:tc>
          <w:tcPr>
            <w:tcW w:w="302"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t xml:space="preserve">27 </w:t>
            </w:r>
            <w:r>
              <w:rPr>
                <w:rFonts w:ascii="Times New Roman"/>
                <w:b/>
                <w:noProof/>
                <w:sz w:val="16"/>
              </w:rPr>
              <w:t>à</w:t>
            </w:r>
            <w:r>
              <w:rPr>
                <w:rFonts w:ascii="Times New Roman"/>
                <w:b/>
                <w:noProof/>
                <w:sz w:val="16"/>
              </w:rPr>
              <w:t xml:space="preserve"> 34</w:t>
            </w:r>
          </w:p>
        </w:tc>
        <w:tc>
          <w:tcPr>
            <w:tcW w:w="55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Recrutement</w:t>
            </w:r>
          </w:p>
        </w:tc>
        <w:tc>
          <w:tcPr>
            <w:tcW w:w="60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C(2013) 8970 </w:t>
            </w:r>
            <w:r>
              <w:rPr>
                <w:rFonts w:ascii="Times New Roman"/>
                <w:noProof/>
                <w:sz w:val="16"/>
              </w:rPr>
              <w:t>–</w:t>
            </w:r>
            <w:r>
              <w:rPr>
                <w:rFonts w:ascii="Times New Roman"/>
                <w:noProof/>
                <w:sz w:val="16"/>
              </w:rPr>
              <w:t xml:space="preserve"> DGE relatives aux crit</w:t>
            </w:r>
            <w:r>
              <w:rPr>
                <w:rFonts w:ascii="Times New Roman"/>
                <w:noProof/>
                <w:sz w:val="16"/>
              </w:rPr>
              <w:t>è</w:t>
            </w:r>
            <w:r>
              <w:rPr>
                <w:rFonts w:ascii="Times New Roman"/>
                <w:noProof/>
                <w:sz w:val="16"/>
              </w:rPr>
              <w:t xml:space="preserve">res applicables au classement en </w:t>
            </w:r>
            <w:r>
              <w:rPr>
                <w:rFonts w:ascii="Times New Roman"/>
                <w:noProof/>
                <w:sz w:val="16"/>
              </w:rPr>
              <w:t>é</w:t>
            </w:r>
            <w:r>
              <w:rPr>
                <w:rFonts w:ascii="Times New Roman"/>
                <w:noProof/>
                <w:sz w:val="16"/>
              </w:rPr>
              <w:t xml:space="preserve">chelon lors de la nomination ou </w:t>
            </w:r>
            <w:r>
              <w:rPr>
                <w:rFonts w:ascii="Times New Roman"/>
                <w:noProof/>
                <w:sz w:val="16"/>
              </w:rPr>
              <w:lastRenderedPageBreak/>
              <w:t>de l</w:t>
            </w:r>
            <w:r>
              <w:rPr>
                <w:rFonts w:ascii="Times New Roman"/>
                <w:noProof/>
                <w:sz w:val="16"/>
              </w:rPr>
              <w:t>’</w:t>
            </w:r>
            <w:r>
              <w:rPr>
                <w:rFonts w:ascii="Times New Roman"/>
                <w:noProof/>
                <w:sz w:val="16"/>
              </w:rPr>
              <w:t>engagement</w:t>
            </w:r>
          </w:p>
        </w:tc>
        <w:tc>
          <w:tcPr>
            <w:tcW w:w="593"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54</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736"/>
        </w:trPr>
        <w:tc>
          <w:tcPr>
            <w:tcW w:w="302"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t>29</w:t>
            </w:r>
          </w:p>
        </w:tc>
        <w:tc>
          <w:tcPr>
            <w:tcW w:w="55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Encadrement interm</w:t>
            </w:r>
            <w:r>
              <w:rPr>
                <w:rFonts w:ascii="Times New Roman"/>
                <w:b/>
                <w:noProof/>
                <w:sz w:val="16"/>
              </w:rPr>
              <w:t>é</w:t>
            </w:r>
            <w:r>
              <w:rPr>
                <w:rFonts w:ascii="Times New Roman"/>
                <w:b/>
                <w:noProof/>
                <w:sz w:val="16"/>
              </w:rPr>
              <w:t>diaire</w:t>
            </w:r>
          </w:p>
        </w:tc>
        <w:tc>
          <w:tcPr>
            <w:tcW w:w="60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C(2016) 3288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cision concernant le personnel d</w:t>
            </w:r>
            <w:r>
              <w:rPr>
                <w:rFonts w:ascii="Times New Roman"/>
                <w:noProof/>
                <w:sz w:val="16"/>
              </w:rPr>
              <w:t>’</w:t>
            </w:r>
            <w:r>
              <w:rPr>
                <w:rFonts w:ascii="Times New Roman"/>
                <w:noProof/>
                <w:sz w:val="16"/>
              </w:rPr>
              <w:t>encadrement interm</w:t>
            </w:r>
            <w:r>
              <w:rPr>
                <w:rFonts w:ascii="Times New Roman"/>
                <w:noProof/>
                <w:sz w:val="16"/>
              </w:rPr>
              <w:t>é</w:t>
            </w:r>
            <w:r>
              <w:rPr>
                <w:rFonts w:ascii="Times New Roman"/>
                <w:noProof/>
                <w:sz w:val="16"/>
              </w:rPr>
              <w:t>diaire</w:t>
            </w:r>
          </w:p>
        </w:tc>
        <w:tc>
          <w:tcPr>
            <w:tcW w:w="593"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 xml:space="preserve">C(2018) 2542 et C(2018) 4360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cisions concernant le personnel d</w:t>
            </w:r>
            <w:r>
              <w:rPr>
                <w:rFonts w:ascii="Times New Roman"/>
                <w:noProof/>
                <w:sz w:val="16"/>
              </w:rPr>
              <w:t>’</w:t>
            </w:r>
            <w:r>
              <w:rPr>
                <w:rFonts w:ascii="Times New Roman"/>
                <w:noProof/>
                <w:sz w:val="16"/>
              </w:rPr>
              <w:t>encadrement interm</w:t>
            </w:r>
            <w:r>
              <w:rPr>
                <w:rFonts w:ascii="Times New Roman"/>
                <w:noProof/>
                <w:sz w:val="16"/>
              </w:rPr>
              <w:t>é</w:t>
            </w:r>
            <w:r>
              <w:rPr>
                <w:rFonts w:ascii="Times New Roman"/>
                <w:noProof/>
                <w:sz w:val="16"/>
              </w:rPr>
              <w:t>diaire</w:t>
            </w:r>
          </w:p>
        </w:tc>
        <w:tc>
          <w:tcPr>
            <w:tcW w:w="408"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 xml:space="preserve">8 </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45</w:t>
            </w:r>
          </w:p>
        </w:tc>
        <w:tc>
          <w:tcPr>
            <w:tcW w:w="36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w:t>
            </w: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1417"/>
        </w:trPr>
        <w:tc>
          <w:tcPr>
            <w:tcW w:w="302"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t>40</w:t>
            </w:r>
          </w:p>
        </w:tc>
        <w:tc>
          <w:tcPr>
            <w:tcW w:w="55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Cong</w:t>
            </w:r>
            <w:r>
              <w:rPr>
                <w:rFonts w:ascii="Times New Roman"/>
                <w:b/>
                <w:noProof/>
                <w:sz w:val="16"/>
              </w:rPr>
              <w:t>é</w:t>
            </w:r>
            <w:r>
              <w:rPr>
                <w:rFonts w:ascii="Times New Roman"/>
                <w:b/>
                <w:noProof/>
                <w:sz w:val="16"/>
              </w:rPr>
              <w:t>s de convenance personnelle</w:t>
            </w:r>
          </w:p>
        </w:tc>
        <w:tc>
          <w:tcPr>
            <w:tcW w:w="60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C(2013) 9054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cision relative aux mesures concernant le cong</w:t>
            </w:r>
            <w:r>
              <w:rPr>
                <w:rFonts w:ascii="Times New Roman"/>
                <w:noProof/>
                <w:sz w:val="16"/>
              </w:rPr>
              <w:t>é</w:t>
            </w:r>
            <w:r>
              <w:rPr>
                <w:rFonts w:ascii="Times New Roman"/>
                <w:noProof/>
                <w:sz w:val="16"/>
              </w:rPr>
              <w:t xml:space="preserve"> de convenance personnelle des fonctionnaires et le cong</w:t>
            </w:r>
            <w:r>
              <w:rPr>
                <w:rFonts w:ascii="Times New Roman"/>
                <w:noProof/>
                <w:sz w:val="16"/>
              </w:rPr>
              <w:t>é</w:t>
            </w:r>
            <w:r>
              <w:rPr>
                <w:rFonts w:ascii="Times New Roman"/>
                <w:noProof/>
                <w:sz w:val="16"/>
              </w:rPr>
              <w:t xml:space="preserve"> sans r</w:t>
            </w:r>
            <w:r>
              <w:rPr>
                <w:rFonts w:ascii="Times New Roman"/>
                <w:noProof/>
                <w:sz w:val="16"/>
              </w:rPr>
              <w:t>é</w:t>
            </w:r>
            <w:r>
              <w:rPr>
                <w:rFonts w:ascii="Times New Roman"/>
                <w:noProof/>
                <w:sz w:val="16"/>
              </w:rPr>
              <w:t>mun</w:t>
            </w:r>
            <w:r>
              <w:rPr>
                <w:rFonts w:ascii="Times New Roman"/>
                <w:noProof/>
                <w:sz w:val="16"/>
              </w:rPr>
              <w:t>é</w:t>
            </w:r>
            <w:r>
              <w:rPr>
                <w:rFonts w:ascii="Times New Roman"/>
                <w:noProof/>
                <w:sz w:val="16"/>
              </w:rPr>
              <w:t>ration des agents temporaires et agents contractuels de l</w:t>
            </w:r>
            <w:r>
              <w:rPr>
                <w:rFonts w:ascii="Times New Roman"/>
                <w:noProof/>
                <w:sz w:val="16"/>
              </w:rPr>
              <w:t>’</w:t>
            </w:r>
            <w:r>
              <w:rPr>
                <w:rFonts w:ascii="Times New Roman"/>
                <w:noProof/>
                <w:sz w:val="16"/>
              </w:rPr>
              <w:t>Union europ</w:t>
            </w:r>
            <w:r>
              <w:rPr>
                <w:rFonts w:ascii="Times New Roman"/>
                <w:noProof/>
                <w:sz w:val="16"/>
              </w:rPr>
              <w:t>é</w:t>
            </w:r>
            <w:r>
              <w:rPr>
                <w:rFonts w:ascii="Times New Roman"/>
                <w:noProof/>
                <w:sz w:val="16"/>
              </w:rPr>
              <w:t>enne</w:t>
            </w:r>
          </w:p>
        </w:tc>
        <w:tc>
          <w:tcPr>
            <w:tcW w:w="593"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 xml:space="preserve">C(2015) 5320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cision relative aux mesures concernant le cong</w:t>
            </w:r>
            <w:r>
              <w:rPr>
                <w:rFonts w:ascii="Times New Roman"/>
                <w:noProof/>
                <w:sz w:val="16"/>
              </w:rPr>
              <w:t>é</w:t>
            </w:r>
            <w:r>
              <w:rPr>
                <w:rFonts w:ascii="Times New Roman"/>
                <w:noProof/>
                <w:sz w:val="16"/>
              </w:rPr>
              <w:t xml:space="preserve"> de convenance personnelle des fonctionnaires et le cong</w:t>
            </w:r>
            <w:r>
              <w:rPr>
                <w:rFonts w:ascii="Times New Roman"/>
                <w:noProof/>
                <w:sz w:val="16"/>
              </w:rPr>
              <w:t>é</w:t>
            </w:r>
            <w:r>
              <w:rPr>
                <w:rFonts w:ascii="Times New Roman"/>
                <w:noProof/>
                <w:sz w:val="16"/>
              </w:rPr>
              <w:t xml:space="preserve"> sans r</w:t>
            </w:r>
            <w:r>
              <w:rPr>
                <w:rFonts w:ascii="Times New Roman"/>
                <w:noProof/>
                <w:sz w:val="16"/>
              </w:rPr>
              <w:t>é</w:t>
            </w:r>
            <w:r>
              <w:rPr>
                <w:rFonts w:ascii="Times New Roman"/>
                <w:noProof/>
                <w:sz w:val="16"/>
              </w:rPr>
              <w:t>mun</w:t>
            </w:r>
            <w:r>
              <w:rPr>
                <w:rFonts w:ascii="Times New Roman"/>
                <w:noProof/>
                <w:sz w:val="16"/>
              </w:rPr>
              <w:t>é</w:t>
            </w:r>
            <w:r>
              <w:rPr>
                <w:rFonts w:ascii="Times New Roman"/>
                <w:noProof/>
                <w:sz w:val="16"/>
              </w:rPr>
              <w:t>ration des agents temporaires et agents contractuels de l</w:t>
            </w:r>
            <w:r>
              <w:rPr>
                <w:rFonts w:ascii="Times New Roman"/>
                <w:noProof/>
                <w:sz w:val="16"/>
              </w:rPr>
              <w:t>’</w:t>
            </w:r>
            <w:r>
              <w:rPr>
                <w:rFonts w:ascii="Times New Roman"/>
                <w:noProof/>
                <w:sz w:val="16"/>
              </w:rPr>
              <w:t>Union europ</w:t>
            </w:r>
            <w:r>
              <w:rPr>
                <w:rFonts w:ascii="Times New Roman"/>
                <w:noProof/>
                <w:sz w:val="16"/>
              </w:rPr>
              <w:t>é</w:t>
            </w:r>
            <w:r>
              <w:rPr>
                <w:rFonts w:ascii="Times New Roman"/>
                <w:noProof/>
                <w:sz w:val="16"/>
              </w:rPr>
              <w:t>enne</w:t>
            </w:r>
          </w:p>
        </w:tc>
        <w:tc>
          <w:tcPr>
            <w:tcW w:w="408"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3</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51</w:t>
            </w: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559"/>
        </w:trPr>
        <w:tc>
          <w:tcPr>
            <w:tcW w:w="302"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t>43</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Rapport annuel</w:t>
            </w:r>
          </w:p>
        </w:tc>
        <w:tc>
          <w:tcPr>
            <w:tcW w:w="60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C(2013) 8985 </w:t>
            </w:r>
            <w:r>
              <w:rPr>
                <w:rFonts w:ascii="Times New Roman"/>
                <w:noProof/>
                <w:sz w:val="16"/>
              </w:rPr>
              <w:t>–</w:t>
            </w:r>
            <w:r>
              <w:rPr>
                <w:rFonts w:ascii="Times New Roman"/>
                <w:noProof/>
                <w:sz w:val="16"/>
              </w:rPr>
              <w:t xml:space="preserve"> DGE relatives </w:t>
            </w:r>
            <w:r>
              <w:rPr>
                <w:rFonts w:ascii="Times New Roman"/>
                <w:noProof/>
                <w:sz w:val="16"/>
              </w:rPr>
              <w:t>à</w:t>
            </w:r>
            <w:r>
              <w:rPr>
                <w:rFonts w:ascii="Times New Roman"/>
                <w:noProof/>
                <w:sz w:val="16"/>
              </w:rPr>
              <w:t xml:space="preserve"> l</w:t>
            </w:r>
            <w:r>
              <w:rPr>
                <w:rFonts w:ascii="Times New Roman"/>
                <w:noProof/>
                <w:sz w:val="16"/>
              </w:rPr>
              <w:t>’</w:t>
            </w:r>
            <w:r>
              <w:rPr>
                <w:rFonts w:ascii="Times New Roman"/>
                <w:noProof/>
                <w:sz w:val="16"/>
              </w:rPr>
              <w:t xml:space="preserve">article 43 et </w:t>
            </w:r>
            <w:r>
              <w:rPr>
                <w:rFonts w:ascii="Times New Roman"/>
                <w:noProof/>
                <w:sz w:val="16"/>
              </w:rPr>
              <w:t>à</w:t>
            </w:r>
            <w:r>
              <w:rPr>
                <w:rFonts w:ascii="Times New Roman"/>
                <w:noProof/>
                <w:sz w:val="16"/>
              </w:rPr>
              <w:t xml:space="preserve"> l</w:t>
            </w:r>
            <w:r>
              <w:rPr>
                <w:rFonts w:ascii="Times New Roman"/>
                <w:noProof/>
                <w:sz w:val="16"/>
              </w:rPr>
              <w:t>’</w:t>
            </w:r>
            <w:r>
              <w:rPr>
                <w:rFonts w:ascii="Times New Roman"/>
                <w:noProof/>
                <w:sz w:val="16"/>
              </w:rPr>
              <w:t>article 44, premier alin</w:t>
            </w:r>
            <w:r>
              <w:rPr>
                <w:rFonts w:ascii="Times New Roman"/>
                <w:noProof/>
                <w:sz w:val="16"/>
              </w:rPr>
              <w:t>é</w:t>
            </w:r>
            <w:r>
              <w:rPr>
                <w:rFonts w:ascii="Times New Roman"/>
                <w:noProof/>
                <w:sz w:val="16"/>
              </w:rPr>
              <w:t>a, du statut</w:t>
            </w:r>
          </w:p>
        </w:tc>
        <w:tc>
          <w:tcPr>
            <w:tcW w:w="593"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 xml:space="preserve">C(2015) 1513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 xml:space="preserve">cision relative </w:t>
            </w:r>
            <w:r>
              <w:rPr>
                <w:rFonts w:ascii="Times New Roman"/>
                <w:noProof/>
                <w:sz w:val="16"/>
              </w:rPr>
              <w:t>à</w:t>
            </w:r>
            <w:r>
              <w:rPr>
                <w:rFonts w:ascii="Times New Roman"/>
                <w:noProof/>
                <w:sz w:val="16"/>
              </w:rPr>
              <w:t xml:space="preserve"> l</w:t>
            </w:r>
            <w:r>
              <w:rPr>
                <w:rFonts w:ascii="Times New Roman"/>
                <w:noProof/>
                <w:sz w:val="16"/>
              </w:rPr>
              <w:t>’</w:t>
            </w:r>
            <w:r>
              <w:rPr>
                <w:rFonts w:ascii="Times New Roman"/>
                <w:noProof/>
                <w:sz w:val="16"/>
              </w:rPr>
              <w:t xml:space="preserve">article 43 et </w:t>
            </w:r>
            <w:r>
              <w:rPr>
                <w:rFonts w:ascii="Times New Roman"/>
                <w:noProof/>
                <w:sz w:val="16"/>
              </w:rPr>
              <w:t>à</w:t>
            </w:r>
            <w:r>
              <w:rPr>
                <w:rFonts w:ascii="Times New Roman"/>
                <w:noProof/>
                <w:sz w:val="16"/>
              </w:rPr>
              <w:t xml:space="preserve"> l</w:t>
            </w:r>
            <w:r>
              <w:rPr>
                <w:rFonts w:ascii="Times New Roman"/>
                <w:noProof/>
                <w:sz w:val="16"/>
              </w:rPr>
              <w:t>’</w:t>
            </w:r>
            <w:r>
              <w:rPr>
                <w:rFonts w:ascii="Times New Roman"/>
                <w:noProof/>
                <w:sz w:val="16"/>
              </w:rPr>
              <w:t>article 44, premier alin</w:t>
            </w:r>
            <w:r>
              <w:rPr>
                <w:rFonts w:ascii="Times New Roman"/>
                <w:noProof/>
                <w:sz w:val="16"/>
              </w:rPr>
              <w:t>é</w:t>
            </w:r>
            <w:r>
              <w:rPr>
                <w:rFonts w:ascii="Times New Roman"/>
                <w:noProof/>
                <w:sz w:val="16"/>
              </w:rPr>
              <w:t>a, du statut</w:t>
            </w:r>
          </w:p>
        </w:tc>
        <w:tc>
          <w:tcPr>
            <w:tcW w:w="408"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6</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48</w:t>
            </w: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60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C(2016) 7270 </w:t>
            </w:r>
            <w:r>
              <w:rPr>
                <w:rFonts w:ascii="Times New Roman"/>
                <w:noProof/>
                <w:sz w:val="16"/>
              </w:rPr>
              <w:t>–</w:t>
            </w:r>
            <w:r>
              <w:rPr>
                <w:rFonts w:ascii="Times New Roman"/>
                <w:noProof/>
                <w:sz w:val="16"/>
              </w:rPr>
              <w:t xml:space="preserve"> Modification des </w:t>
            </w:r>
            <w:r>
              <w:rPr>
                <w:rFonts w:ascii="Times New Roman"/>
                <w:noProof/>
                <w:sz w:val="16"/>
              </w:rPr>
              <w:t>é</w:t>
            </w:r>
            <w:r>
              <w:rPr>
                <w:rFonts w:ascii="Times New Roman"/>
                <w:noProof/>
                <w:sz w:val="16"/>
              </w:rPr>
              <w:t>valuations</w:t>
            </w:r>
          </w:p>
        </w:tc>
        <w:tc>
          <w:tcPr>
            <w:tcW w:w="593"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lang w:val="es-ES_tradnl"/>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54</w:t>
            </w: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w:t>
            </w:r>
          </w:p>
        </w:tc>
        <w:tc>
          <w:tcPr>
            <w:tcW w:w="23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c>
          <w:tcPr>
            <w:tcW w:w="302"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t>45</w:t>
            </w:r>
          </w:p>
        </w:tc>
        <w:tc>
          <w:tcPr>
            <w:tcW w:w="55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Promotions</w:t>
            </w:r>
          </w:p>
        </w:tc>
        <w:tc>
          <w:tcPr>
            <w:tcW w:w="60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noProof/>
              </w:rPr>
            </w:pPr>
            <w:r>
              <w:rPr>
                <w:rFonts w:ascii="Times New Roman"/>
                <w:noProof/>
                <w:sz w:val="16"/>
              </w:rPr>
              <w:t xml:space="preserve">C(2013) 8968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 xml:space="preserve">cision relative </w:t>
            </w:r>
            <w:r>
              <w:rPr>
                <w:rFonts w:ascii="Times New Roman"/>
                <w:noProof/>
                <w:sz w:val="16"/>
              </w:rPr>
              <w:t>à</w:t>
            </w:r>
            <w:r>
              <w:rPr>
                <w:rFonts w:ascii="Times New Roman"/>
                <w:noProof/>
                <w:sz w:val="16"/>
              </w:rPr>
              <w:t xml:space="preserve"> la mise en </w:t>
            </w:r>
            <w:r>
              <w:rPr>
                <w:rFonts w:ascii="Times New Roman"/>
                <w:noProof/>
                <w:sz w:val="16"/>
              </w:rPr>
              <w:t>œ</w:t>
            </w:r>
            <w:r>
              <w:rPr>
                <w:rFonts w:ascii="Times New Roman"/>
                <w:noProof/>
                <w:sz w:val="16"/>
              </w:rPr>
              <w:t>uvre de l</w:t>
            </w:r>
            <w:r>
              <w:rPr>
                <w:rFonts w:ascii="Times New Roman"/>
                <w:noProof/>
                <w:sz w:val="16"/>
              </w:rPr>
              <w:t>’</w:t>
            </w:r>
            <w:r>
              <w:rPr>
                <w:rFonts w:ascii="Times New Roman"/>
                <w:noProof/>
                <w:sz w:val="16"/>
              </w:rPr>
              <w:t xml:space="preserve">article 45 du statut </w:t>
            </w:r>
          </w:p>
        </w:tc>
        <w:tc>
          <w:tcPr>
            <w:tcW w:w="593"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 xml:space="preserve">C(2015) 9563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 xml:space="preserve">cision relative </w:t>
            </w:r>
            <w:r>
              <w:rPr>
                <w:rFonts w:ascii="Times New Roman"/>
                <w:noProof/>
                <w:sz w:val="16"/>
              </w:rPr>
              <w:t>à</w:t>
            </w:r>
            <w:r>
              <w:rPr>
                <w:rFonts w:ascii="Times New Roman"/>
                <w:noProof/>
                <w:sz w:val="16"/>
              </w:rPr>
              <w:t xml:space="preserve"> la mise en </w:t>
            </w:r>
            <w:r>
              <w:rPr>
                <w:rFonts w:ascii="Times New Roman"/>
                <w:noProof/>
                <w:sz w:val="16"/>
              </w:rPr>
              <w:t>œ</w:t>
            </w:r>
            <w:r>
              <w:rPr>
                <w:rFonts w:ascii="Times New Roman"/>
                <w:noProof/>
                <w:sz w:val="16"/>
              </w:rPr>
              <w:t>uvre de l</w:t>
            </w:r>
            <w:r>
              <w:rPr>
                <w:rFonts w:ascii="Times New Roman"/>
                <w:noProof/>
                <w:sz w:val="16"/>
              </w:rPr>
              <w:t>’</w:t>
            </w:r>
            <w:r>
              <w:rPr>
                <w:rFonts w:ascii="Times New Roman"/>
                <w:noProof/>
                <w:sz w:val="16"/>
              </w:rPr>
              <w:t>article 45 du statut</w:t>
            </w: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30</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20</w:t>
            </w: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 xml:space="preserve">4 </w:t>
            </w:r>
          </w:p>
        </w:tc>
        <w:tc>
          <w:tcPr>
            <w:tcW w:w="230"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761"/>
        </w:trPr>
        <w:tc>
          <w:tcPr>
            <w:tcW w:w="302"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z w:val="16"/>
              </w:rPr>
              <w:t>51</w:t>
            </w:r>
          </w:p>
        </w:tc>
        <w:tc>
          <w:tcPr>
            <w:tcW w:w="55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Proc</w:t>
            </w:r>
            <w:r>
              <w:rPr>
                <w:rFonts w:ascii="Times New Roman"/>
                <w:b/>
                <w:noProof/>
                <w:sz w:val="16"/>
              </w:rPr>
              <w:t>é</w:t>
            </w:r>
            <w:r>
              <w:rPr>
                <w:rFonts w:ascii="Times New Roman"/>
                <w:b/>
                <w:noProof/>
                <w:sz w:val="16"/>
              </w:rPr>
              <w:t>dures de traitement de l</w:t>
            </w:r>
            <w:r>
              <w:rPr>
                <w:rFonts w:ascii="Times New Roman"/>
                <w:b/>
                <w:noProof/>
                <w:sz w:val="16"/>
              </w:rPr>
              <w:t>’</w:t>
            </w:r>
            <w:r>
              <w:rPr>
                <w:rFonts w:ascii="Times New Roman"/>
                <w:b/>
                <w:noProof/>
                <w:sz w:val="16"/>
              </w:rPr>
              <w:t>insuffisance professionnelle</w:t>
            </w:r>
          </w:p>
        </w:tc>
        <w:tc>
          <w:tcPr>
            <w:tcW w:w="60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C(2019) 6855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 xml:space="preserve">cision relative </w:t>
            </w:r>
            <w:r>
              <w:rPr>
                <w:rFonts w:ascii="Times New Roman"/>
                <w:noProof/>
                <w:sz w:val="16"/>
              </w:rPr>
              <w:t>à</w:t>
            </w:r>
            <w:r>
              <w:rPr>
                <w:rFonts w:ascii="Times New Roman"/>
                <w:noProof/>
                <w:sz w:val="16"/>
              </w:rPr>
              <w:t xml:space="preserve"> l</w:t>
            </w:r>
            <w:r>
              <w:rPr>
                <w:rFonts w:ascii="Times New Roman"/>
                <w:noProof/>
                <w:sz w:val="16"/>
              </w:rPr>
              <w:t>’</w:t>
            </w:r>
            <w:r>
              <w:rPr>
                <w:rFonts w:ascii="Times New Roman"/>
                <w:noProof/>
                <w:sz w:val="16"/>
              </w:rPr>
              <w:t>insuffisance professionnelle des fonctionnaires</w:t>
            </w:r>
          </w:p>
        </w:tc>
        <w:tc>
          <w:tcPr>
            <w:tcW w:w="593"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51</w:t>
            </w:r>
          </w:p>
        </w:tc>
        <w:tc>
          <w:tcPr>
            <w:tcW w:w="31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3</w:t>
            </w:r>
          </w:p>
        </w:tc>
        <w:tc>
          <w:tcPr>
            <w:tcW w:w="230" w:type="pct"/>
            <w:tcBorders>
              <w:top w:val="single" w:sz="4" w:space="0" w:color="auto"/>
              <w:left w:val="single" w:sz="4" w:space="0" w:color="auto"/>
              <w:bottom w:val="single" w:sz="4" w:space="0" w:color="auto"/>
              <w:right w:val="single" w:sz="4" w:space="0" w:color="auto"/>
            </w:tcBorders>
            <w:vAlign w:val="center"/>
            <w:hideMark/>
          </w:tcPr>
          <w:p>
            <w:pPr>
              <w:jc w:val="center"/>
              <w:rPr>
                <w:rFonts w:ascii="Times New Roman"/>
                <w:b/>
                <w:noProof/>
                <w:spacing w:val="-1"/>
                <w:sz w:val="16"/>
                <w:szCs w:val="16"/>
              </w:rPr>
            </w:pPr>
            <w:r>
              <w:rPr>
                <w:rFonts w:ascii="Times New Roman"/>
                <w:b/>
                <w:noProof/>
                <w:sz w:val="16"/>
              </w:rPr>
              <w:t>54</w:t>
            </w:r>
          </w:p>
        </w:tc>
      </w:tr>
      <w:tr>
        <w:trPr>
          <w:trHeight w:val="546"/>
        </w:trPr>
        <w:tc>
          <w:tcPr>
            <w:tcW w:w="302" w:type="pct"/>
            <w:tcBorders>
              <w:top w:val="single" w:sz="4" w:space="0" w:color="auto"/>
              <w:left w:val="single" w:sz="4" w:space="0" w:color="auto"/>
              <w:bottom w:val="single" w:sz="4" w:space="0" w:color="auto"/>
              <w:right w:val="single" w:sz="4" w:space="0" w:color="auto"/>
            </w:tcBorders>
            <w:vAlign w:val="center"/>
          </w:tcPr>
          <w:p>
            <w:pPr>
              <w:pStyle w:val="TableParagraph"/>
              <w:spacing w:before="49"/>
              <w:jc w:val="center"/>
              <w:rPr>
                <w:rFonts w:ascii="Times New Roman"/>
                <w:b/>
                <w:noProof/>
                <w:spacing w:val="-1"/>
                <w:sz w:val="16"/>
                <w:szCs w:val="16"/>
              </w:rPr>
            </w:pPr>
            <w:r>
              <w:rPr>
                <w:rFonts w:ascii="Times New Roman"/>
                <w:b/>
                <w:noProof/>
                <w:sz w:val="16"/>
              </w:rPr>
              <w:t>55</w:t>
            </w:r>
          </w:p>
        </w:tc>
        <w:tc>
          <w:tcPr>
            <w:tcW w:w="55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r>
              <w:rPr>
                <w:rFonts w:ascii="Times New Roman"/>
                <w:b/>
                <w:noProof/>
                <w:sz w:val="16"/>
              </w:rPr>
              <w:t xml:space="preserve">Temps de travail et travail hybride </w:t>
            </w:r>
          </w:p>
        </w:tc>
        <w:tc>
          <w:tcPr>
            <w:tcW w:w="603" w:type="pct"/>
            <w:tcBorders>
              <w:top w:val="single" w:sz="4" w:space="0" w:color="auto"/>
              <w:left w:val="single" w:sz="4" w:space="0" w:color="auto"/>
              <w:bottom w:val="single" w:sz="4" w:space="0" w:color="auto"/>
              <w:right w:val="single" w:sz="4" w:space="0" w:color="auto"/>
            </w:tcBorders>
            <w:shd w:val="clear" w:color="auto" w:fill="92D050"/>
            <w:vAlign w:val="center"/>
          </w:tcPr>
          <w:p>
            <w:pPr>
              <w:pStyle w:val="TableParagraph"/>
              <w:rPr>
                <w:rFonts w:ascii="Times New Roman"/>
                <w:noProof/>
                <w:spacing w:val="-1"/>
                <w:sz w:val="16"/>
                <w:szCs w:val="16"/>
              </w:rPr>
            </w:pPr>
            <w:r>
              <w:rPr>
                <w:rFonts w:ascii="Times New Roman"/>
                <w:noProof/>
                <w:sz w:val="16"/>
              </w:rPr>
              <w:t>C(2022) 1788</w:t>
            </w:r>
          </w:p>
        </w:tc>
        <w:tc>
          <w:tcPr>
            <w:tcW w:w="593"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r>
              <w:rPr>
                <w:rFonts w:ascii="Times New Roman"/>
                <w:noProof/>
                <w:sz w:val="16"/>
              </w:rPr>
              <w:t>C(2023) 5076</w:t>
            </w: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45</w:t>
            </w: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6</w:t>
            </w: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3</w:t>
            </w: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0" w:type="pct"/>
            <w:tcBorders>
              <w:top w:val="single" w:sz="4" w:space="0" w:color="auto"/>
              <w:left w:val="single" w:sz="4" w:space="0" w:color="auto"/>
              <w:bottom w:val="single" w:sz="4" w:space="0" w:color="auto"/>
              <w:right w:val="single" w:sz="4" w:space="0" w:color="auto"/>
            </w:tcBorders>
            <w:vAlign w:val="center"/>
          </w:tcPr>
          <w:p>
            <w:pPr>
              <w:jc w:val="center"/>
              <w:rPr>
                <w:rFonts w:ascii="Times New Roman"/>
                <w:b/>
                <w:noProof/>
                <w:spacing w:val="-1"/>
                <w:sz w:val="16"/>
                <w:szCs w:val="16"/>
              </w:rPr>
            </w:pPr>
            <w:r>
              <w:rPr>
                <w:rFonts w:ascii="Times New Roman"/>
                <w:b/>
                <w:noProof/>
                <w:sz w:val="16"/>
              </w:rPr>
              <w:t>54</w:t>
            </w:r>
          </w:p>
        </w:tc>
      </w:tr>
      <w:tr>
        <w:trPr>
          <w:trHeight w:val="553"/>
        </w:trPr>
        <w:tc>
          <w:tcPr>
            <w:tcW w:w="30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 xml:space="preserve">55 </w:t>
            </w:r>
            <w:r>
              <w:rPr>
                <w:rFonts w:ascii="Times New Roman"/>
                <w:b/>
                <w:i/>
                <w:iCs/>
                <w:noProof/>
                <w:sz w:val="16"/>
              </w:rPr>
              <w:t>bis</w:t>
            </w:r>
          </w:p>
        </w:tc>
        <w:tc>
          <w:tcPr>
            <w:tcW w:w="55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Temps partiel</w:t>
            </w:r>
          </w:p>
        </w:tc>
        <w:tc>
          <w:tcPr>
            <w:tcW w:w="60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C(2015) 9720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 xml:space="preserve">cision relative </w:t>
            </w:r>
            <w:r>
              <w:rPr>
                <w:rFonts w:ascii="Times New Roman"/>
                <w:noProof/>
                <w:sz w:val="16"/>
              </w:rPr>
              <w:t>à</w:t>
            </w:r>
            <w:r>
              <w:rPr>
                <w:rFonts w:ascii="Times New Roman"/>
                <w:noProof/>
                <w:sz w:val="16"/>
              </w:rPr>
              <w:t xml:space="preserve"> l</w:t>
            </w:r>
            <w:r>
              <w:rPr>
                <w:rFonts w:ascii="Times New Roman"/>
                <w:noProof/>
                <w:sz w:val="16"/>
              </w:rPr>
              <w:t>’</w:t>
            </w:r>
            <w:r>
              <w:rPr>
                <w:rFonts w:ascii="Times New Roman"/>
                <w:noProof/>
                <w:sz w:val="16"/>
              </w:rPr>
              <w:t xml:space="preserve">art. 55 bis du statut et </w:t>
            </w:r>
            <w:r>
              <w:rPr>
                <w:rFonts w:ascii="Times New Roman"/>
                <w:noProof/>
                <w:sz w:val="16"/>
              </w:rPr>
              <w:t>à</w:t>
            </w:r>
            <w:r>
              <w:rPr>
                <w:rFonts w:ascii="Times New Roman"/>
                <w:noProof/>
                <w:sz w:val="16"/>
              </w:rPr>
              <w:t xml:space="preserve"> l</w:t>
            </w:r>
            <w:r>
              <w:rPr>
                <w:rFonts w:ascii="Times New Roman"/>
                <w:noProof/>
                <w:sz w:val="16"/>
              </w:rPr>
              <w:t>’</w:t>
            </w:r>
            <w:r>
              <w:rPr>
                <w:rFonts w:ascii="Times New Roman"/>
                <w:noProof/>
                <w:sz w:val="16"/>
              </w:rPr>
              <w:t>annexe IV bis</w:t>
            </w:r>
          </w:p>
        </w:tc>
        <w:tc>
          <w:tcPr>
            <w:tcW w:w="593"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54</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0"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z w:val="16"/>
              </w:rPr>
              <w:t>54</w:t>
            </w:r>
          </w:p>
        </w:tc>
      </w:tr>
      <w:tr>
        <w:trPr>
          <w:trHeight w:val="569"/>
        </w:trPr>
        <w:tc>
          <w:tcPr>
            <w:tcW w:w="30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 xml:space="preserve">55 </w:t>
            </w:r>
            <w:r>
              <w:rPr>
                <w:rFonts w:ascii="Times New Roman"/>
                <w:b/>
                <w:i/>
                <w:iCs/>
                <w:noProof/>
                <w:sz w:val="16"/>
              </w:rPr>
              <w:t>ter</w:t>
            </w:r>
          </w:p>
        </w:tc>
        <w:tc>
          <w:tcPr>
            <w:tcW w:w="55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Emploi partag</w:t>
            </w:r>
            <w:r>
              <w:rPr>
                <w:rFonts w:ascii="Times New Roman"/>
                <w:b/>
                <w:noProof/>
                <w:sz w:val="16"/>
              </w:rPr>
              <w:t>é</w:t>
            </w:r>
          </w:p>
        </w:tc>
        <w:tc>
          <w:tcPr>
            <w:tcW w:w="603"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 xml:space="preserve">C(2004) 1314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 xml:space="preserve">cision relative </w:t>
            </w:r>
            <w:r>
              <w:rPr>
                <w:rFonts w:ascii="Times New Roman"/>
                <w:noProof/>
                <w:sz w:val="16"/>
              </w:rPr>
              <w:t>à</w:t>
            </w:r>
            <w:r>
              <w:rPr>
                <w:rFonts w:ascii="Times New Roman"/>
                <w:noProof/>
                <w:sz w:val="16"/>
              </w:rPr>
              <w:t xml:space="preserve"> l</w:t>
            </w:r>
            <w:r>
              <w:rPr>
                <w:rFonts w:ascii="Times New Roman"/>
                <w:noProof/>
                <w:sz w:val="16"/>
              </w:rPr>
              <w:t>’</w:t>
            </w:r>
            <w:r>
              <w:rPr>
                <w:rFonts w:ascii="Times New Roman"/>
                <w:noProof/>
                <w:sz w:val="16"/>
              </w:rPr>
              <w:t>emploi partag</w:t>
            </w:r>
            <w:r>
              <w:rPr>
                <w:rFonts w:ascii="Times New Roman"/>
                <w:noProof/>
                <w:sz w:val="16"/>
              </w:rPr>
              <w:t>é</w:t>
            </w:r>
          </w:p>
        </w:tc>
        <w:tc>
          <w:tcPr>
            <w:tcW w:w="593"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24</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10</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lang w:val="pl-PL"/>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8</w:t>
            </w:r>
          </w:p>
        </w:tc>
        <w:tc>
          <w:tcPr>
            <w:tcW w:w="230"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z w:val="16"/>
              </w:rPr>
              <w:t>54</w:t>
            </w:r>
          </w:p>
        </w:tc>
      </w:tr>
      <w:tr>
        <w:trPr>
          <w:trHeight w:val="569"/>
        </w:trPr>
        <w:tc>
          <w:tcPr>
            <w:tcW w:w="30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r>
              <w:rPr>
                <w:rFonts w:ascii="Times New Roman"/>
                <w:b/>
                <w:noProof/>
                <w:sz w:val="16"/>
              </w:rPr>
              <w:lastRenderedPageBreak/>
              <w:t>56</w:t>
            </w:r>
          </w:p>
        </w:tc>
        <w:tc>
          <w:tcPr>
            <w:tcW w:w="55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r>
              <w:rPr>
                <w:rFonts w:ascii="Times New Roman"/>
                <w:b/>
                <w:noProof/>
                <w:sz w:val="16"/>
              </w:rPr>
              <w:t>Prestations des chauffeurs de la Commission</w:t>
            </w:r>
          </w:p>
        </w:tc>
        <w:tc>
          <w:tcPr>
            <w:tcW w:w="603"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r>
              <w:rPr>
                <w:rFonts w:ascii="Times New Roman"/>
                <w:noProof/>
                <w:sz w:val="16"/>
              </w:rPr>
              <w:t>C(2004) 1318 et C(2019) 7822</w:t>
            </w:r>
          </w:p>
        </w:tc>
        <w:tc>
          <w:tcPr>
            <w:tcW w:w="593"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52</w:t>
            </w: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lang w:val="pl-PL"/>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2</w:t>
            </w:r>
          </w:p>
        </w:tc>
        <w:tc>
          <w:tcPr>
            <w:tcW w:w="230" w:type="pct"/>
            <w:tcBorders>
              <w:top w:val="single" w:sz="4" w:space="0" w:color="auto"/>
              <w:left w:val="single" w:sz="4" w:space="0" w:color="auto"/>
              <w:bottom w:val="single" w:sz="4" w:space="0" w:color="auto"/>
              <w:right w:val="single" w:sz="4" w:space="0" w:color="auto"/>
            </w:tcBorders>
            <w:vAlign w:val="center"/>
          </w:tcPr>
          <w:p>
            <w:pPr>
              <w:jc w:val="center"/>
              <w:rPr>
                <w:rFonts w:ascii="Times New Roman"/>
                <w:b/>
                <w:noProof/>
                <w:spacing w:val="-1"/>
                <w:sz w:val="16"/>
                <w:szCs w:val="16"/>
              </w:rPr>
            </w:pPr>
            <w:r>
              <w:rPr>
                <w:rFonts w:ascii="Times New Roman"/>
                <w:b/>
                <w:noProof/>
                <w:sz w:val="16"/>
              </w:rPr>
              <w:t>54</w:t>
            </w:r>
          </w:p>
        </w:tc>
      </w:tr>
      <w:tr>
        <w:tc>
          <w:tcPr>
            <w:tcW w:w="30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jc w:val="center"/>
              <w:rPr>
                <w:rFonts w:ascii="Times New Roman"/>
                <w:b/>
                <w:noProof/>
                <w:spacing w:val="-1"/>
                <w:sz w:val="16"/>
                <w:szCs w:val="16"/>
              </w:rPr>
            </w:pPr>
            <w:r>
              <w:rPr>
                <w:rFonts w:ascii="Times New Roman"/>
                <w:b/>
                <w:noProof/>
                <w:sz w:val="16"/>
              </w:rPr>
              <w:t>57</w:t>
            </w:r>
          </w:p>
        </w:tc>
        <w:tc>
          <w:tcPr>
            <w:tcW w:w="55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Cong</w:t>
            </w:r>
            <w:r>
              <w:rPr>
                <w:rFonts w:ascii="Times New Roman"/>
                <w:b/>
                <w:noProof/>
                <w:sz w:val="16"/>
              </w:rPr>
              <w:t>é</w:t>
            </w:r>
            <w:r>
              <w:rPr>
                <w:rFonts w:ascii="Times New Roman"/>
                <w:b/>
                <w:noProof/>
                <w:sz w:val="16"/>
              </w:rPr>
              <w:t>s annuels et cong</w:t>
            </w:r>
            <w:r>
              <w:rPr>
                <w:rFonts w:ascii="Times New Roman"/>
                <w:b/>
                <w:noProof/>
                <w:sz w:val="16"/>
              </w:rPr>
              <w:t>é</w:t>
            </w:r>
            <w:r>
              <w:rPr>
                <w:rFonts w:ascii="Times New Roman"/>
                <w:b/>
                <w:noProof/>
                <w:sz w:val="16"/>
              </w:rPr>
              <w:t>s sp</w:t>
            </w:r>
            <w:r>
              <w:rPr>
                <w:rFonts w:ascii="Times New Roman"/>
                <w:b/>
                <w:noProof/>
                <w:sz w:val="16"/>
              </w:rPr>
              <w:t>é</w:t>
            </w:r>
            <w:r>
              <w:rPr>
                <w:rFonts w:ascii="Times New Roman"/>
                <w:b/>
                <w:noProof/>
                <w:sz w:val="16"/>
              </w:rPr>
              <w:t>ciaux</w:t>
            </w:r>
          </w:p>
        </w:tc>
        <w:tc>
          <w:tcPr>
            <w:tcW w:w="60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C(2013) 9051 sur les cong</w:t>
            </w:r>
            <w:r>
              <w:rPr>
                <w:rFonts w:ascii="Times New Roman"/>
                <w:noProof/>
                <w:sz w:val="16"/>
              </w:rPr>
              <w:t>é</w:t>
            </w:r>
            <w:r>
              <w:rPr>
                <w:rFonts w:ascii="Times New Roman"/>
                <w:noProof/>
                <w:sz w:val="16"/>
              </w:rPr>
              <w:t>s et C(2020) 1559</w:t>
            </w:r>
          </w:p>
        </w:tc>
        <w:tc>
          <w:tcPr>
            <w:tcW w:w="593"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54</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0"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z w:val="16"/>
              </w:rPr>
              <w:t>54</w:t>
            </w:r>
          </w:p>
        </w:tc>
      </w:tr>
      <w:tr>
        <w:trPr>
          <w:trHeight w:val="501"/>
        </w:trPr>
        <w:tc>
          <w:tcPr>
            <w:tcW w:w="30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 xml:space="preserve">59 </w:t>
            </w:r>
            <w:r>
              <w:rPr>
                <w:rFonts w:ascii="Times New Roman"/>
                <w:b/>
                <w:noProof/>
                <w:sz w:val="16"/>
              </w:rPr>
              <w:t>à</w:t>
            </w:r>
            <w:r>
              <w:rPr>
                <w:rFonts w:ascii="Times New Roman"/>
                <w:b/>
                <w:noProof/>
                <w:sz w:val="16"/>
              </w:rPr>
              <w:t xml:space="preserve"> 60</w:t>
            </w:r>
          </w:p>
        </w:tc>
        <w:tc>
          <w:tcPr>
            <w:tcW w:w="55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Cong</w:t>
            </w:r>
            <w:r>
              <w:rPr>
                <w:rFonts w:ascii="Times New Roman"/>
                <w:b/>
                <w:noProof/>
                <w:sz w:val="16"/>
              </w:rPr>
              <w:t>é</w:t>
            </w:r>
            <w:r>
              <w:rPr>
                <w:rFonts w:ascii="Times New Roman"/>
                <w:b/>
                <w:noProof/>
                <w:sz w:val="16"/>
              </w:rPr>
              <w:t xml:space="preserve"> de maladie</w:t>
            </w:r>
          </w:p>
        </w:tc>
        <w:tc>
          <w:tcPr>
            <w:tcW w:w="603"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 xml:space="preserve">C(2004) 1597/11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cision relative au cong</w:t>
            </w:r>
            <w:r>
              <w:rPr>
                <w:rFonts w:ascii="Times New Roman"/>
                <w:noProof/>
                <w:sz w:val="16"/>
              </w:rPr>
              <w:t>é</w:t>
            </w:r>
            <w:r>
              <w:rPr>
                <w:rFonts w:ascii="Times New Roman"/>
                <w:noProof/>
                <w:sz w:val="16"/>
              </w:rPr>
              <w:t xml:space="preserve"> de maladie </w:t>
            </w:r>
          </w:p>
        </w:tc>
        <w:tc>
          <w:tcPr>
            <w:tcW w:w="593"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29</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10</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13</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6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 xml:space="preserve">2 </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230"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z w:val="16"/>
              </w:rPr>
              <w:t>54</w:t>
            </w:r>
          </w:p>
        </w:tc>
      </w:tr>
      <w:tr>
        <w:trPr>
          <w:trHeight w:val="565"/>
        </w:trPr>
        <w:tc>
          <w:tcPr>
            <w:tcW w:w="30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 xml:space="preserve">67 </w:t>
            </w:r>
            <w:r>
              <w:rPr>
                <w:rFonts w:ascii="Times New Roman"/>
                <w:b/>
                <w:noProof/>
                <w:sz w:val="16"/>
              </w:rPr>
              <w:t>à</w:t>
            </w:r>
            <w:r>
              <w:rPr>
                <w:rFonts w:ascii="Times New Roman"/>
                <w:b/>
                <w:noProof/>
                <w:sz w:val="16"/>
              </w:rPr>
              <w:t xml:space="preserve"> 68</w:t>
            </w:r>
          </w:p>
        </w:tc>
        <w:tc>
          <w:tcPr>
            <w:tcW w:w="55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Allocation scolaire</w:t>
            </w:r>
          </w:p>
        </w:tc>
        <w:tc>
          <w:tcPr>
            <w:tcW w:w="60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C(2013) 8971 </w:t>
            </w:r>
            <w:r>
              <w:rPr>
                <w:rFonts w:ascii="Times New Roman"/>
                <w:noProof/>
                <w:sz w:val="16"/>
              </w:rPr>
              <w:t>–</w:t>
            </w:r>
            <w:r>
              <w:rPr>
                <w:rFonts w:ascii="Times New Roman"/>
                <w:noProof/>
                <w:sz w:val="16"/>
              </w:rPr>
              <w:t xml:space="preserve"> DGE de l</w:t>
            </w:r>
            <w:r>
              <w:rPr>
                <w:rFonts w:ascii="Times New Roman"/>
                <w:noProof/>
                <w:sz w:val="16"/>
              </w:rPr>
              <w:t>’</w:t>
            </w:r>
            <w:r>
              <w:rPr>
                <w:rFonts w:ascii="Times New Roman"/>
                <w:noProof/>
                <w:sz w:val="16"/>
              </w:rPr>
              <w:t>art. 3 de l</w:t>
            </w:r>
            <w:r>
              <w:rPr>
                <w:rFonts w:ascii="Times New Roman"/>
                <w:noProof/>
                <w:sz w:val="16"/>
              </w:rPr>
              <w:t>’</w:t>
            </w:r>
            <w:r>
              <w:rPr>
                <w:rFonts w:ascii="Times New Roman"/>
                <w:noProof/>
                <w:sz w:val="16"/>
              </w:rPr>
              <w:t>annexe VII</w:t>
            </w:r>
          </w:p>
        </w:tc>
        <w:tc>
          <w:tcPr>
            <w:tcW w:w="593"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54</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0"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z w:val="16"/>
              </w:rPr>
              <w:t>54</w:t>
            </w:r>
          </w:p>
        </w:tc>
      </w:tr>
      <w:tr>
        <w:trPr>
          <w:trHeight w:val="546"/>
        </w:trPr>
        <w:tc>
          <w:tcPr>
            <w:tcW w:w="30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71</w:t>
            </w:r>
          </w:p>
        </w:tc>
        <w:tc>
          <w:tcPr>
            <w:tcW w:w="55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Frais de voyage</w:t>
            </w:r>
          </w:p>
        </w:tc>
        <w:tc>
          <w:tcPr>
            <w:tcW w:w="60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C(2013) 8987 </w:t>
            </w:r>
            <w:r>
              <w:rPr>
                <w:rFonts w:ascii="Times New Roman"/>
                <w:noProof/>
                <w:sz w:val="16"/>
              </w:rPr>
              <w:t>–</w:t>
            </w:r>
            <w:r>
              <w:rPr>
                <w:rFonts w:ascii="Times New Roman"/>
                <w:noProof/>
                <w:sz w:val="16"/>
              </w:rPr>
              <w:t xml:space="preserve"> DGE de l</w:t>
            </w:r>
            <w:r>
              <w:rPr>
                <w:rFonts w:ascii="Times New Roman"/>
                <w:noProof/>
                <w:sz w:val="16"/>
              </w:rPr>
              <w:t>’</w:t>
            </w:r>
            <w:r>
              <w:rPr>
                <w:rFonts w:ascii="Times New Roman"/>
                <w:noProof/>
                <w:sz w:val="16"/>
              </w:rPr>
              <w:t>art. 8 de l</w:t>
            </w:r>
            <w:r>
              <w:rPr>
                <w:rFonts w:ascii="Times New Roman"/>
                <w:noProof/>
                <w:sz w:val="16"/>
              </w:rPr>
              <w:t>’</w:t>
            </w:r>
            <w:r>
              <w:rPr>
                <w:rFonts w:ascii="Times New Roman"/>
                <w:noProof/>
                <w:sz w:val="16"/>
              </w:rPr>
              <w:t>annexe VII</w:t>
            </w:r>
          </w:p>
        </w:tc>
        <w:tc>
          <w:tcPr>
            <w:tcW w:w="593"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54</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0"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z w:val="16"/>
              </w:rPr>
              <w:t>54</w:t>
            </w:r>
          </w:p>
        </w:tc>
      </w:tr>
      <w:tr>
        <w:trPr>
          <w:trHeight w:val="567"/>
        </w:trPr>
        <w:tc>
          <w:tcPr>
            <w:tcW w:w="30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71</w:t>
            </w:r>
          </w:p>
        </w:tc>
        <w:tc>
          <w:tcPr>
            <w:tcW w:w="55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Lieu d</w:t>
            </w:r>
            <w:r>
              <w:rPr>
                <w:rFonts w:ascii="Times New Roman"/>
                <w:b/>
                <w:noProof/>
                <w:sz w:val="16"/>
              </w:rPr>
              <w:t>’</w:t>
            </w:r>
            <w:r>
              <w:rPr>
                <w:rFonts w:ascii="Times New Roman"/>
                <w:b/>
                <w:noProof/>
                <w:sz w:val="16"/>
              </w:rPr>
              <w:t>origine</w:t>
            </w:r>
          </w:p>
        </w:tc>
        <w:tc>
          <w:tcPr>
            <w:tcW w:w="60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C(2013) 8982 </w:t>
            </w:r>
            <w:r>
              <w:rPr>
                <w:rFonts w:ascii="Times New Roman"/>
                <w:noProof/>
                <w:sz w:val="16"/>
              </w:rPr>
              <w:t>–</w:t>
            </w:r>
            <w:r>
              <w:rPr>
                <w:rFonts w:ascii="Times New Roman"/>
                <w:noProof/>
                <w:sz w:val="16"/>
              </w:rPr>
              <w:t xml:space="preserve"> DGE de l</w:t>
            </w:r>
            <w:r>
              <w:rPr>
                <w:rFonts w:ascii="Times New Roman"/>
                <w:noProof/>
                <w:sz w:val="16"/>
              </w:rPr>
              <w:t>’</w:t>
            </w:r>
            <w:r>
              <w:rPr>
                <w:rFonts w:ascii="Times New Roman"/>
                <w:noProof/>
                <w:sz w:val="16"/>
              </w:rPr>
              <w:t>art. 7, paragraphe 4, de l</w:t>
            </w:r>
            <w:r>
              <w:rPr>
                <w:rFonts w:ascii="Times New Roman"/>
                <w:noProof/>
                <w:sz w:val="16"/>
              </w:rPr>
              <w:t>’</w:t>
            </w:r>
            <w:r>
              <w:rPr>
                <w:rFonts w:ascii="Times New Roman"/>
                <w:noProof/>
                <w:sz w:val="16"/>
              </w:rPr>
              <w:t>annexe VII</w:t>
            </w:r>
          </w:p>
        </w:tc>
        <w:tc>
          <w:tcPr>
            <w:tcW w:w="593"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54</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0"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z w:val="16"/>
              </w:rPr>
              <w:t>54</w:t>
            </w:r>
          </w:p>
        </w:tc>
      </w:tr>
      <w:tr>
        <w:trPr>
          <w:trHeight w:val="547"/>
        </w:trPr>
        <w:tc>
          <w:tcPr>
            <w:tcW w:w="30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71</w:t>
            </w:r>
          </w:p>
        </w:tc>
        <w:tc>
          <w:tcPr>
            <w:tcW w:w="55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Frais de d</w:t>
            </w:r>
            <w:r>
              <w:rPr>
                <w:rFonts w:ascii="Times New Roman"/>
                <w:b/>
                <w:noProof/>
                <w:sz w:val="16"/>
              </w:rPr>
              <w:t>é</w:t>
            </w:r>
            <w:r>
              <w:rPr>
                <w:rFonts w:ascii="Times New Roman"/>
                <w:b/>
                <w:noProof/>
                <w:sz w:val="16"/>
              </w:rPr>
              <w:t>m</w:t>
            </w:r>
            <w:r>
              <w:rPr>
                <w:rFonts w:ascii="Times New Roman"/>
                <w:b/>
                <w:noProof/>
                <w:sz w:val="16"/>
              </w:rPr>
              <w:t>é</w:t>
            </w:r>
            <w:r>
              <w:rPr>
                <w:rFonts w:ascii="Times New Roman"/>
                <w:b/>
                <w:noProof/>
                <w:sz w:val="16"/>
              </w:rPr>
              <w:t>nagement</w:t>
            </w:r>
          </w:p>
        </w:tc>
        <w:tc>
          <w:tcPr>
            <w:tcW w:w="60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C(2013) 9040 </w:t>
            </w:r>
            <w:r>
              <w:rPr>
                <w:rFonts w:ascii="Times New Roman"/>
                <w:noProof/>
                <w:sz w:val="16"/>
              </w:rPr>
              <w:t>–</w:t>
            </w:r>
            <w:r>
              <w:rPr>
                <w:rFonts w:ascii="Times New Roman"/>
                <w:noProof/>
                <w:sz w:val="16"/>
              </w:rPr>
              <w:t xml:space="preserve"> DGE relatives aux frais de d</w:t>
            </w:r>
            <w:r>
              <w:rPr>
                <w:rFonts w:ascii="Times New Roman"/>
                <w:noProof/>
                <w:sz w:val="16"/>
              </w:rPr>
              <w:t>é</w:t>
            </w:r>
            <w:r>
              <w:rPr>
                <w:rFonts w:ascii="Times New Roman"/>
                <w:noProof/>
                <w:sz w:val="16"/>
              </w:rPr>
              <w:t>m</w:t>
            </w:r>
            <w:r>
              <w:rPr>
                <w:rFonts w:ascii="Times New Roman"/>
                <w:noProof/>
                <w:sz w:val="16"/>
              </w:rPr>
              <w:t>é</w:t>
            </w:r>
            <w:r>
              <w:rPr>
                <w:rFonts w:ascii="Times New Roman"/>
                <w:noProof/>
                <w:sz w:val="16"/>
              </w:rPr>
              <w:t>nagement</w:t>
            </w:r>
          </w:p>
        </w:tc>
        <w:tc>
          <w:tcPr>
            <w:tcW w:w="593"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54</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0"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z w:val="16"/>
              </w:rPr>
              <w:t>54</w:t>
            </w:r>
          </w:p>
        </w:tc>
      </w:tr>
      <w:tr>
        <w:trPr>
          <w:trHeight w:val="554"/>
        </w:trPr>
        <w:tc>
          <w:tcPr>
            <w:tcW w:w="30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71</w:t>
            </w:r>
          </w:p>
        </w:tc>
        <w:tc>
          <w:tcPr>
            <w:tcW w:w="55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Mission et d</w:t>
            </w:r>
            <w:r>
              <w:rPr>
                <w:rFonts w:ascii="Times New Roman"/>
                <w:b/>
                <w:noProof/>
                <w:sz w:val="16"/>
              </w:rPr>
              <w:t>é</w:t>
            </w:r>
            <w:r>
              <w:rPr>
                <w:rFonts w:ascii="Times New Roman"/>
                <w:b/>
                <w:noProof/>
                <w:sz w:val="16"/>
              </w:rPr>
              <w:t>placement</w:t>
            </w:r>
          </w:p>
        </w:tc>
        <w:tc>
          <w:tcPr>
            <w:tcW w:w="60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C(2017) 5323 </w:t>
            </w:r>
            <w:r>
              <w:rPr>
                <w:rFonts w:ascii="Times New Roman"/>
                <w:noProof/>
                <w:sz w:val="16"/>
              </w:rPr>
              <w:t>–</w:t>
            </w:r>
            <w:r>
              <w:rPr>
                <w:rFonts w:ascii="Times New Roman"/>
                <w:noProof/>
                <w:sz w:val="16"/>
              </w:rPr>
              <w:t xml:space="preserve"> Guide des missions</w:t>
            </w:r>
          </w:p>
        </w:tc>
        <w:tc>
          <w:tcPr>
            <w:tcW w:w="593"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54</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0"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z w:val="16"/>
              </w:rPr>
              <w:t>54</w:t>
            </w:r>
          </w:p>
        </w:tc>
      </w:tr>
      <w:tr>
        <w:trPr>
          <w:trHeight w:val="704"/>
        </w:trPr>
        <w:tc>
          <w:tcPr>
            <w:tcW w:w="30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77</w:t>
            </w:r>
          </w:p>
        </w:tc>
        <w:tc>
          <w:tcPr>
            <w:tcW w:w="55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 xml:space="preserve">Transfert des droits </w:t>
            </w:r>
            <w:r>
              <w:rPr>
                <w:rFonts w:ascii="Times New Roman"/>
                <w:b/>
                <w:noProof/>
                <w:sz w:val="16"/>
              </w:rPr>
              <w:t>à</w:t>
            </w:r>
            <w:r>
              <w:rPr>
                <w:rFonts w:ascii="Times New Roman"/>
                <w:b/>
                <w:noProof/>
                <w:sz w:val="16"/>
              </w:rPr>
              <w:t xml:space="preserve"> pension</w:t>
            </w:r>
          </w:p>
        </w:tc>
        <w:tc>
          <w:tcPr>
            <w:tcW w:w="603"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 xml:space="preserve">C(2011) 1278 </w:t>
            </w:r>
            <w:r>
              <w:rPr>
                <w:rFonts w:ascii="Times New Roman"/>
                <w:noProof/>
                <w:sz w:val="16"/>
              </w:rPr>
              <w:t>–</w:t>
            </w:r>
            <w:r>
              <w:rPr>
                <w:rFonts w:ascii="Times New Roman"/>
                <w:noProof/>
                <w:sz w:val="16"/>
              </w:rPr>
              <w:t xml:space="preserve"> DGE des articles 11 et 12 de l</w:t>
            </w:r>
            <w:r>
              <w:rPr>
                <w:rFonts w:ascii="Times New Roman"/>
                <w:noProof/>
                <w:sz w:val="16"/>
              </w:rPr>
              <w:t>’</w:t>
            </w:r>
            <w:r>
              <w:rPr>
                <w:rFonts w:ascii="Times New Roman"/>
                <w:noProof/>
                <w:sz w:val="16"/>
              </w:rPr>
              <w:t>annexe VIII et C(2020) 4818</w:t>
            </w:r>
          </w:p>
        </w:tc>
        <w:tc>
          <w:tcPr>
            <w:tcW w:w="593"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54</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230"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z w:val="16"/>
              </w:rPr>
              <w:t>54</w:t>
            </w:r>
          </w:p>
        </w:tc>
      </w:tr>
      <w:tr>
        <w:trPr>
          <w:trHeight w:val="1140"/>
        </w:trPr>
        <w:tc>
          <w:tcPr>
            <w:tcW w:w="30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86</w:t>
            </w:r>
          </w:p>
        </w:tc>
        <w:tc>
          <w:tcPr>
            <w:tcW w:w="55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Proc</w:t>
            </w:r>
            <w:r>
              <w:rPr>
                <w:rFonts w:ascii="Times New Roman"/>
                <w:b/>
                <w:noProof/>
                <w:sz w:val="16"/>
              </w:rPr>
              <w:t>é</w:t>
            </w:r>
            <w:r>
              <w:rPr>
                <w:rFonts w:ascii="Times New Roman"/>
                <w:b/>
                <w:noProof/>
                <w:sz w:val="16"/>
              </w:rPr>
              <w:t>dures disciplinaires et enqu</w:t>
            </w:r>
            <w:r>
              <w:rPr>
                <w:rFonts w:ascii="Times New Roman"/>
                <w:b/>
                <w:noProof/>
                <w:sz w:val="16"/>
              </w:rPr>
              <w:t>ê</w:t>
            </w:r>
            <w:r>
              <w:rPr>
                <w:rFonts w:ascii="Times New Roman"/>
                <w:b/>
                <w:noProof/>
                <w:sz w:val="16"/>
              </w:rPr>
              <w:t>tes administratives</w:t>
            </w:r>
          </w:p>
        </w:tc>
        <w:tc>
          <w:tcPr>
            <w:tcW w:w="603"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C(2019) 4231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cision relative aux enqu</w:t>
            </w:r>
            <w:r>
              <w:rPr>
                <w:rFonts w:ascii="Times New Roman"/>
                <w:noProof/>
                <w:sz w:val="16"/>
              </w:rPr>
              <w:t>ê</w:t>
            </w:r>
            <w:r>
              <w:rPr>
                <w:rFonts w:ascii="Times New Roman"/>
                <w:noProof/>
                <w:sz w:val="16"/>
              </w:rPr>
              <w:t>tes administratives et aux proc</w:t>
            </w:r>
            <w:r>
              <w:rPr>
                <w:rFonts w:ascii="Times New Roman"/>
                <w:noProof/>
                <w:sz w:val="16"/>
              </w:rPr>
              <w:t>é</w:t>
            </w:r>
            <w:r>
              <w:rPr>
                <w:rFonts w:ascii="Times New Roman"/>
                <w:noProof/>
                <w:sz w:val="16"/>
              </w:rPr>
              <w:t>dures disciplinaires</w:t>
            </w:r>
            <w:r>
              <w:rPr>
                <w:rFonts w:ascii="Times New Roman"/>
                <w:noProof/>
                <w:sz w:val="16"/>
                <w:shd w:val="clear" w:color="auto" w:fill="92D050"/>
              </w:rPr>
              <w:t xml:space="preserve"> </w:t>
            </w:r>
          </w:p>
        </w:tc>
        <w:tc>
          <w:tcPr>
            <w:tcW w:w="593"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r>
              <w:rPr>
                <w:rFonts w:ascii="Times New Roman"/>
                <w:noProof/>
                <w:sz w:val="16"/>
              </w:rPr>
              <w:t xml:space="preserve">C(2022) 497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cision relative aux enqu</w:t>
            </w:r>
            <w:r>
              <w:rPr>
                <w:rFonts w:ascii="Times New Roman"/>
                <w:noProof/>
                <w:sz w:val="16"/>
              </w:rPr>
              <w:t>ê</w:t>
            </w:r>
            <w:r>
              <w:rPr>
                <w:rFonts w:ascii="Times New Roman"/>
                <w:noProof/>
                <w:sz w:val="16"/>
              </w:rPr>
              <w:t>tes administratives et aux proc</w:t>
            </w:r>
            <w:r>
              <w:rPr>
                <w:rFonts w:ascii="Times New Roman"/>
                <w:noProof/>
                <w:sz w:val="16"/>
              </w:rPr>
              <w:t>é</w:t>
            </w:r>
            <w:r>
              <w:rPr>
                <w:rFonts w:ascii="Times New Roman"/>
                <w:noProof/>
                <w:sz w:val="16"/>
              </w:rPr>
              <w:t>dures disciplinaires</w:t>
            </w: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30</w:t>
            </w: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24</w:t>
            </w:r>
          </w:p>
        </w:tc>
        <w:tc>
          <w:tcPr>
            <w:tcW w:w="36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08"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230"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z w:val="16"/>
              </w:rPr>
              <w:t>54</w:t>
            </w:r>
          </w:p>
        </w:tc>
      </w:tr>
    </w:tbl>
    <w:p>
      <w:pPr>
        <w:rPr>
          <w:noProof/>
        </w:rPr>
      </w:pPr>
      <w:r>
        <w:rPr>
          <w:noProof/>
        </w:rPr>
        <w:br w:type="page"/>
      </w:r>
    </w:p>
    <w:tbl>
      <w:tblPr>
        <w:tblStyle w:val="TableGrid"/>
        <w:tblW w:w="4900" w:type="pct"/>
        <w:tblInd w:w="0" w:type="dxa"/>
        <w:tblLook w:val="04A0" w:firstRow="1" w:lastRow="0" w:firstColumn="1" w:lastColumn="0" w:noHBand="0" w:noVBand="1"/>
      </w:tblPr>
      <w:tblGrid>
        <w:gridCol w:w="944"/>
        <w:gridCol w:w="1384"/>
        <w:gridCol w:w="1858"/>
        <w:gridCol w:w="1828"/>
        <w:gridCol w:w="1267"/>
        <w:gridCol w:w="1267"/>
        <w:gridCol w:w="1267"/>
        <w:gridCol w:w="1267"/>
        <w:gridCol w:w="984"/>
        <w:gridCol w:w="1127"/>
        <w:gridCol w:w="1267"/>
        <w:gridCol w:w="726"/>
      </w:tblGrid>
      <w:tr>
        <w:trPr>
          <w:trHeight w:val="1044"/>
        </w:trPr>
        <w:tc>
          <w:tcPr>
            <w:tcW w:w="5000" w:type="pct"/>
            <w:gridSpan w:val="12"/>
            <w:tcBorders>
              <w:top w:val="single" w:sz="4" w:space="0" w:color="auto"/>
              <w:left w:val="single" w:sz="4" w:space="0" w:color="auto"/>
              <w:bottom w:val="single" w:sz="4" w:space="0" w:color="auto"/>
              <w:right w:val="single" w:sz="4" w:space="0" w:color="auto"/>
            </w:tcBorders>
            <w:vAlign w:val="center"/>
            <w:hideMark/>
          </w:tcPr>
          <w:p>
            <w:pPr>
              <w:jc w:val="center"/>
              <w:rPr>
                <w:rFonts w:ascii="Times New Roman"/>
                <w:b/>
                <w:noProof/>
                <w:spacing w:val="-1"/>
                <w:sz w:val="16"/>
                <w:szCs w:val="16"/>
              </w:rPr>
            </w:pPr>
            <w:r>
              <w:rPr>
                <w:rFonts w:ascii="Times New Roman Bold" w:hAnsi="Times New Roman Bold"/>
                <w:b/>
                <w:smallCaps/>
                <w:noProof/>
                <w:sz w:val="36"/>
              </w:rPr>
              <w:lastRenderedPageBreak/>
              <w:t>Régime applicable aux autres agents</w:t>
            </w:r>
          </w:p>
        </w:tc>
      </w:tr>
      <w:tr>
        <w:tc>
          <w:tcPr>
            <w:tcW w:w="766" w:type="pct"/>
            <w:gridSpan w:val="2"/>
            <w:vMerge w:val="restart"/>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pPr>
              <w:pStyle w:val="TableParagraph"/>
              <w:spacing w:before="49"/>
              <w:ind w:left="114"/>
              <w:jc w:val="center"/>
              <w:rPr>
                <w:rFonts w:ascii="Times New Roman"/>
                <w:b/>
                <w:noProof/>
                <w:spacing w:val="-1"/>
                <w:sz w:val="16"/>
                <w:szCs w:val="16"/>
                <w:lang w:val="en-GB"/>
              </w:rPr>
            </w:pPr>
          </w:p>
        </w:tc>
        <w:tc>
          <w:tcPr>
            <w:tcW w:w="1214" w:type="pct"/>
            <w:gridSpan w:val="2"/>
            <w:vMerge w:val="restart"/>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pPr>
              <w:pStyle w:val="TableParagraph"/>
              <w:spacing w:before="49"/>
              <w:ind w:left="114"/>
              <w:jc w:val="center"/>
              <w:rPr>
                <w:rFonts w:ascii="Times New Roman" w:hAnsi="Times New Roman" w:cs="Times New Roman"/>
                <w:noProof/>
                <w:spacing w:val="-1"/>
                <w:sz w:val="16"/>
                <w:szCs w:val="16"/>
              </w:rPr>
            </w:pPr>
            <w:r>
              <w:rPr>
                <w:rFonts w:ascii="Times New Roman" w:hAnsi="Times New Roman"/>
                <w:b/>
                <w:noProof/>
                <w:sz w:val="28"/>
              </w:rPr>
              <w:t>Commission</w:t>
            </w:r>
          </w:p>
        </w:tc>
        <w:tc>
          <w:tcPr>
            <w:tcW w:w="3020" w:type="pct"/>
            <w:gridSpan w:val="8"/>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pPr>
              <w:pStyle w:val="TableParagraph"/>
              <w:spacing w:before="49"/>
              <w:ind w:left="114"/>
              <w:jc w:val="center"/>
              <w:rPr>
                <w:rFonts w:ascii="Times New Roman" w:hAnsi="Times New Roman" w:cs="Times New Roman"/>
                <w:b/>
                <w:noProof/>
                <w:spacing w:val="-1"/>
                <w:sz w:val="16"/>
                <w:szCs w:val="16"/>
              </w:rPr>
            </w:pPr>
            <w:r>
              <w:rPr>
                <w:rFonts w:ascii="Times New Roman" w:hAnsi="Times New Roman"/>
                <w:b/>
                <w:noProof/>
                <w:sz w:val="28"/>
              </w:rPr>
              <w:t xml:space="preserve">Agences </w:t>
            </w:r>
            <w:r>
              <w:rPr>
                <w:rFonts w:ascii="Times New Roman" w:hAnsi="Times New Roman"/>
                <w:b/>
                <w:noProof/>
                <w:sz w:val="28"/>
              </w:rPr>
              <w:br/>
            </w:r>
            <w:r>
              <w:rPr>
                <w:rFonts w:ascii="Times New Roman" w:hAnsi="Times New Roman"/>
                <w:noProof/>
                <w:sz w:val="16"/>
              </w:rPr>
              <w:t>Nombre de règles d’exécution au 31 décembre 2019</w:t>
            </w:r>
          </w:p>
        </w:tc>
      </w:tr>
      <w:t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pPr>
              <w:rPr>
                <w:rFonts w:ascii="Times New Roman" w:hAnsi="Times New Roman" w:cs="Times New Roman"/>
                <w:noProof/>
                <w:spacing w:val="-1"/>
                <w:sz w:val="16"/>
                <w:szCs w:val="16"/>
                <w:lang w:val="en-US"/>
              </w:rPr>
            </w:pPr>
          </w:p>
        </w:tc>
        <w:tc>
          <w:tcPr>
            <w:tcW w:w="834" w:type="pct"/>
            <w:gridSpan w:val="2"/>
            <w:tcBorders>
              <w:top w:val="single" w:sz="4" w:space="0" w:color="auto"/>
              <w:left w:val="single" w:sz="4" w:space="0" w:color="auto"/>
              <w:bottom w:val="single" w:sz="4" w:space="0" w:color="auto"/>
              <w:right w:val="single" w:sz="4" w:space="0" w:color="auto"/>
            </w:tcBorders>
            <w:shd w:val="clear" w:color="auto" w:fill="EEECE1" w:themeFill="background2"/>
            <w:hideMark/>
          </w:tcPr>
          <w:p>
            <w:pPr>
              <w:pStyle w:val="TableParagraph"/>
              <w:jc w:val="center"/>
              <w:rPr>
                <w:rFonts w:ascii="Times New Roman"/>
                <w:b/>
                <w:noProof/>
                <w:spacing w:val="-1"/>
                <w:sz w:val="20"/>
                <w:szCs w:val="20"/>
              </w:rPr>
            </w:pPr>
            <w:r>
              <w:rPr>
                <w:rFonts w:ascii="Times New Roman"/>
                <w:b/>
                <w:noProof/>
                <w:sz w:val="20"/>
              </w:rPr>
              <w:t>Adopt</w:t>
            </w:r>
            <w:r>
              <w:rPr>
                <w:rFonts w:ascii="Times New Roman"/>
                <w:b/>
                <w:noProof/>
                <w:sz w:val="20"/>
              </w:rPr>
              <w:t>é</w:t>
            </w:r>
            <w:r>
              <w:rPr>
                <w:rFonts w:ascii="Times New Roman"/>
                <w:b/>
                <w:noProof/>
                <w:sz w:val="20"/>
              </w:rPr>
              <w:t>es avant la r</w:t>
            </w:r>
            <w:r>
              <w:rPr>
                <w:rFonts w:ascii="Times New Roman"/>
                <w:b/>
                <w:noProof/>
                <w:sz w:val="20"/>
              </w:rPr>
              <w:t>é</w:t>
            </w:r>
            <w:r>
              <w:rPr>
                <w:rFonts w:ascii="Times New Roman"/>
                <w:b/>
                <w:noProof/>
                <w:sz w:val="20"/>
              </w:rPr>
              <w:t>forme de 2014</w:t>
            </w:r>
            <w:r>
              <w:rPr>
                <w:rStyle w:val="FootnoteReference"/>
                <w:noProof/>
                <w:spacing w:val="-1"/>
                <w:sz w:val="16"/>
                <w:szCs w:val="16"/>
              </w:rPr>
              <w:footnoteReference w:id="4"/>
            </w:r>
          </w:p>
        </w:tc>
        <w:tc>
          <w:tcPr>
            <w:tcW w:w="1529" w:type="pct"/>
            <w:gridSpan w:val="4"/>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pPr>
              <w:pStyle w:val="TableParagraph"/>
              <w:spacing w:before="49"/>
              <w:ind w:left="114"/>
              <w:jc w:val="center"/>
              <w:rPr>
                <w:rFonts w:ascii="Times New Roman"/>
                <w:noProof/>
                <w:spacing w:val="-1"/>
                <w:sz w:val="16"/>
                <w:szCs w:val="16"/>
              </w:rPr>
            </w:pPr>
            <w:r>
              <w:rPr>
                <w:rFonts w:ascii="Times New Roman"/>
                <w:b/>
                <w:noProof/>
                <w:sz w:val="20"/>
              </w:rPr>
              <w:t>Adopt</w:t>
            </w:r>
            <w:r>
              <w:rPr>
                <w:rFonts w:ascii="Times New Roman"/>
                <w:b/>
                <w:noProof/>
                <w:sz w:val="20"/>
              </w:rPr>
              <w:t>é</w:t>
            </w:r>
            <w:r>
              <w:rPr>
                <w:rFonts w:ascii="Times New Roman"/>
                <w:b/>
                <w:noProof/>
                <w:sz w:val="20"/>
              </w:rPr>
              <w:t>es apr</w:t>
            </w:r>
            <w:r>
              <w:rPr>
                <w:rFonts w:ascii="Times New Roman"/>
                <w:b/>
                <w:noProof/>
                <w:sz w:val="20"/>
              </w:rPr>
              <w:t>è</w:t>
            </w:r>
            <w:r>
              <w:rPr>
                <w:rFonts w:ascii="Times New Roman"/>
                <w:b/>
                <w:noProof/>
                <w:sz w:val="20"/>
              </w:rPr>
              <w:t>s la r</w:t>
            </w:r>
            <w:r>
              <w:rPr>
                <w:rFonts w:ascii="Times New Roman"/>
                <w:b/>
                <w:noProof/>
                <w:sz w:val="20"/>
              </w:rPr>
              <w:t>é</w:t>
            </w:r>
            <w:r>
              <w:rPr>
                <w:rFonts w:ascii="Times New Roman"/>
                <w:b/>
                <w:noProof/>
                <w:sz w:val="20"/>
              </w:rPr>
              <w:t>forme de 2014</w:t>
            </w:r>
          </w:p>
        </w:tc>
        <w:tc>
          <w:tcPr>
            <w:tcW w:w="417" w:type="pct"/>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pPr>
              <w:pStyle w:val="TableParagraph"/>
              <w:spacing w:before="49"/>
              <w:ind w:left="114"/>
              <w:jc w:val="center"/>
              <w:rPr>
                <w:rFonts w:ascii="Times New Roman"/>
                <w:noProof/>
                <w:spacing w:val="-1"/>
                <w:sz w:val="16"/>
                <w:szCs w:val="16"/>
              </w:rPr>
            </w:pPr>
            <w:r>
              <w:rPr>
                <w:rFonts w:ascii="Times New Roman"/>
                <w:b/>
                <w:noProof/>
                <w:sz w:val="16"/>
              </w:rPr>
              <w:t>Aucune r</w:t>
            </w:r>
            <w:r>
              <w:rPr>
                <w:rFonts w:ascii="Times New Roman"/>
                <w:b/>
                <w:noProof/>
                <w:sz w:val="16"/>
              </w:rPr>
              <w:t>è</w:t>
            </w:r>
            <w:r>
              <w:rPr>
                <w:rFonts w:ascii="Times New Roman"/>
                <w:b/>
                <w:noProof/>
                <w:sz w:val="16"/>
              </w:rPr>
              <w:t>gle / opt-out</w:t>
            </w:r>
            <w:r>
              <w:rPr>
                <w:rFonts w:ascii="Times New Roman"/>
                <w:noProof/>
                <w:sz w:val="16"/>
              </w:rPr>
              <w:t xml:space="preserve"> (y compris les demandes en cours)</w:t>
            </w:r>
          </w:p>
        </w:tc>
        <w:tc>
          <w:tcPr>
            <w:tcW w:w="239" w:type="pct"/>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Total</w:t>
            </w:r>
          </w:p>
        </w:tc>
      </w:tr>
      <w:tr>
        <w:tc>
          <w:tcPr>
            <w:tcW w:w="311"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jc w:val="center"/>
              <w:rPr>
                <w:rFonts w:ascii="Times New Roman"/>
                <w:b/>
                <w:noProof/>
                <w:spacing w:val="-1"/>
                <w:sz w:val="16"/>
                <w:szCs w:val="16"/>
              </w:rPr>
            </w:pPr>
            <w:r>
              <w:rPr>
                <w:rFonts w:ascii="Times New Roman"/>
                <w:b/>
                <w:noProof/>
                <w:sz w:val="16"/>
              </w:rPr>
              <w:t>Article</w:t>
            </w:r>
          </w:p>
        </w:tc>
        <w:tc>
          <w:tcPr>
            <w:tcW w:w="456"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Sujet</w:t>
            </w:r>
          </w:p>
        </w:tc>
        <w:tc>
          <w:tcPr>
            <w:tcW w:w="612"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rPr>
                <w:rFonts w:ascii="Times New Roman"/>
                <w:noProof/>
                <w:spacing w:val="-1"/>
                <w:sz w:val="16"/>
                <w:szCs w:val="16"/>
              </w:rPr>
            </w:pPr>
            <w:r>
              <w:rPr>
                <w:rFonts w:ascii="Times New Roman"/>
                <w:b/>
                <w:noProof/>
                <w:sz w:val="16"/>
              </w:rPr>
              <w:t>R</w:t>
            </w:r>
            <w:r>
              <w:rPr>
                <w:rFonts w:ascii="Times New Roman"/>
                <w:b/>
                <w:noProof/>
                <w:sz w:val="16"/>
              </w:rPr>
              <w:t>è</w:t>
            </w:r>
            <w:r>
              <w:rPr>
                <w:rFonts w:ascii="Times New Roman"/>
                <w:b/>
                <w:noProof/>
                <w:sz w:val="16"/>
              </w:rPr>
              <w:t>gle d</w:t>
            </w:r>
            <w:r>
              <w:rPr>
                <w:rFonts w:ascii="Times New Roman"/>
                <w:b/>
                <w:noProof/>
                <w:sz w:val="16"/>
              </w:rPr>
              <w:t>’</w:t>
            </w:r>
            <w:r>
              <w:rPr>
                <w:rFonts w:ascii="Times New Roman"/>
                <w:b/>
                <w:noProof/>
                <w:sz w:val="16"/>
              </w:rPr>
              <w:t>ex</w:t>
            </w:r>
            <w:r>
              <w:rPr>
                <w:rFonts w:ascii="Times New Roman"/>
                <w:b/>
                <w:noProof/>
                <w:sz w:val="16"/>
              </w:rPr>
              <w:t>é</w:t>
            </w:r>
            <w:r>
              <w:rPr>
                <w:rFonts w:ascii="Times New Roman"/>
                <w:b/>
                <w:noProof/>
                <w:sz w:val="16"/>
              </w:rPr>
              <w:t>cution de la COM pertinente</w:t>
            </w:r>
          </w:p>
        </w:tc>
        <w:tc>
          <w:tcPr>
            <w:tcW w:w="602"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rPr>
                <w:rFonts w:ascii="Times New Roman"/>
                <w:noProof/>
                <w:spacing w:val="-1"/>
                <w:sz w:val="16"/>
                <w:szCs w:val="16"/>
              </w:rPr>
            </w:pPr>
            <w:r>
              <w:rPr>
                <w:rFonts w:ascii="Times New Roman"/>
                <w:b/>
                <w:noProof/>
                <w:sz w:val="16"/>
              </w:rPr>
              <w:t>Accord ex ante</w:t>
            </w:r>
          </w:p>
        </w:tc>
        <w:tc>
          <w:tcPr>
            <w:tcW w:w="417"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b/>
                <w:noProof/>
                <w:sz w:val="16"/>
              </w:rPr>
              <w:t xml:space="preserve">Analogue </w:t>
            </w:r>
            <w:r>
              <w:rPr>
                <w:rFonts w:ascii="Times New Roman"/>
                <w:b/>
                <w:noProof/>
                <w:sz w:val="16"/>
              </w:rPr>
              <w:t>à</w:t>
            </w:r>
            <w:r>
              <w:rPr>
                <w:rFonts w:ascii="Times New Roman"/>
                <w:b/>
                <w:noProof/>
                <w:sz w:val="16"/>
              </w:rPr>
              <w:t xml:space="preserve"> une r</w:t>
            </w:r>
            <w:r>
              <w:rPr>
                <w:rFonts w:ascii="Times New Roman"/>
                <w:b/>
                <w:noProof/>
                <w:sz w:val="16"/>
              </w:rPr>
              <w:t>è</w:t>
            </w:r>
            <w:r>
              <w:rPr>
                <w:rFonts w:ascii="Times New Roman"/>
                <w:b/>
                <w:noProof/>
                <w:sz w:val="16"/>
              </w:rPr>
              <w:t>gle de la COM</w:t>
            </w:r>
          </w:p>
        </w:tc>
        <w:tc>
          <w:tcPr>
            <w:tcW w:w="417"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b/>
                <w:noProof/>
                <w:sz w:val="16"/>
              </w:rPr>
              <w:t>R</w:t>
            </w:r>
            <w:r>
              <w:rPr>
                <w:rFonts w:ascii="Times New Roman"/>
                <w:b/>
                <w:noProof/>
                <w:sz w:val="16"/>
              </w:rPr>
              <w:t>è</w:t>
            </w:r>
            <w:r>
              <w:rPr>
                <w:rFonts w:ascii="Times New Roman"/>
                <w:b/>
                <w:noProof/>
                <w:sz w:val="16"/>
              </w:rPr>
              <w:t>gles propres</w:t>
            </w:r>
            <w:r>
              <w:rPr>
                <w:rFonts w:ascii="Times New Roman"/>
                <w:noProof/>
                <w:sz w:val="16"/>
              </w:rPr>
              <w:t xml:space="preserve"> (y compris les demandes en cours)</w:t>
            </w:r>
          </w:p>
        </w:tc>
        <w:tc>
          <w:tcPr>
            <w:tcW w:w="834" w:type="pct"/>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b/>
                <w:noProof/>
                <w:sz w:val="16"/>
              </w:rPr>
              <w:t xml:space="preserve">Analogie </w:t>
            </w:r>
            <w:r>
              <w:rPr>
                <w:rFonts w:ascii="Times New Roman"/>
                <w:b/>
                <w:noProof/>
                <w:sz w:val="16"/>
              </w:rPr>
              <w:t>–</w:t>
            </w:r>
            <w:r>
              <w:rPr>
                <w:rFonts w:ascii="Times New Roman"/>
                <w:b/>
                <w:noProof/>
                <w:sz w:val="16"/>
              </w:rPr>
              <w:t xml:space="preserve"> Art. 110</w:t>
            </w:r>
            <w:r>
              <w:rPr>
                <w:rStyle w:val="FootnoteReference"/>
                <w:rFonts w:ascii="Times New Roman"/>
                <w:b/>
                <w:noProof/>
                <w:spacing w:val="-1"/>
                <w:sz w:val="16"/>
                <w:szCs w:val="16"/>
              </w:rPr>
              <w:footnoteReference w:id="5"/>
            </w:r>
          </w:p>
        </w:tc>
        <w:tc>
          <w:tcPr>
            <w:tcW w:w="324"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jc w:val="center"/>
              <w:rPr>
                <w:rFonts w:ascii="Times New Roman"/>
                <w:b/>
                <w:noProof/>
                <w:spacing w:val="-1"/>
                <w:sz w:val="16"/>
                <w:szCs w:val="16"/>
              </w:rPr>
            </w:pPr>
            <w:r>
              <w:rPr>
                <w:rFonts w:ascii="Times New Roman"/>
                <w:b/>
                <w:noProof/>
                <w:sz w:val="16"/>
              </w:rPr>
              <w:t>R</w:t>
            </w:r>
            <w:r>
              <w:rPr>
                <w:rFonts w:ascii="Times New Roman"/>
                <w:b/>
                <w:noProof/>
                <w:sz w:val="16"/>
              </w:rPr>
              <w:t>è</w:t>
            </w:r>
            <w:r>
              <w:rPr>
                <w:rFonts w:ascii="Times New Roman"/>
                <w:b/>
                <w:noProof/>
                <w:sz w:val="16"/>
              </w:rPr>
              <w:t>gle fond</w:t>
            </w:r>
            <w:r>
              <w:rPr>
                <w:rFonts w:ascii="Times New Roman"/>
                <w:b/>
                <w:noProof/>
                <w:sz w:val="16"/>
              </w:rPr>
              <w:t>é</w:t>
            </w:r>
            <w:r>
              <w:rPr>
                <w:rFonts w:ascii="Times New Roman"/>
                <w:b/>
                <w:noProof/>
                <w:sz w:val="16"/>
              </w:rPr>
              <w:t>e sur un accord ex ante</w:t>
            </w:r>
          </w:p>
        </w:tc>
        <w:tc>
          <w:tcPr>
            <w:tcW w:w="371"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jc w:val="center"/>
              <w:rPr>
                <w:rFonts w:ascii="Times New Roman"/>
                <w:b/>
                <w:noProof/>
                <w:spacing w:val="-1"/>
                <w:sz w:val="16"/>
                <w:szCs w:val="16"/>
              </w:rPr>
            </w:pPr>
            <w:r>
              <w:rPr>
                <w:rFonts w:ascii="Times New Roman"/>
                <w:b/>
                <w:noProof/>
                <w:sz w:val="16"/>
              </w:rPr>
              <w:t>R</w:t>
            </w:r>
            <w:r>
              <w:rPr>
                <w:rFonts w:ascii="Times New Roman"/>
                <w:b/>
                <w:noProof/>
                <w:sz w:val="16"/>
              </w:rPr>
              <w:t>è</w:t>
            </w:r>
            <w:r>
              <w:rPr>
                <w:rFonts w:ascii="Times New Roman"/>
                <w:b/>
                <w:noProof/>
                <w:sz w:val="16"/>
              </w:rPr>
              <w:t>gles propres diff</w:t>
            </w:r>
            <w:r>
              <w:rPr>
                <w:rFonts w:ascii="Times New Roman"/>
                <w:b/>
                <w:noProof/>
                <w:sz w:val="16"/>
              </w:rPr>
              <w:t>é</w:t>
            </w:r>
            <w:r>
              <w:rPr>
                <w:rFonts w:ascii="Times New Roman"/>
                <w:b/>
                <w:noProof/>
                <w:sz w:val="16"/>
              </w:rPr>
              <w:t>rentes de celles de la COM</w:t>
            </w:r>
            <w:r>
              <w:rPr>
                <w:rFonts w:ascii="Times New Roman"/>
                <w:noProof/>
                <w:sz w:val="16"/>
              </w:rPr>
              <w:t xml:space="preserve"> (y compris les demandes en cours)</w:t>
            </w: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noProof/>
                <w:sz w:val="16"/>
              </w:rPr>
              <w:t>Application par analogie</w:t>
            </w:r>
          </w:p>
        </w:tc>
        <w:tc>
          <w:tcPr>
            <w:tcW w:w="41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noProof/>
                <w:sz w:val="16"/>
              </w:rPr>
              <w:t>P</w:t>
            </w:r>
            <w:r>
              <w:rPr>
                <w:rFonts w:ascii="Times New Roman"/>
                <w:noProof/>
                <w:sz w:val="16"/>
              </w:rPr>
              <w:t>é</w:t>
            </w:r>
            <w:r>
              <w:rPr>
                <w:rFonts w:ascii="Times New Roman"/>
                <w:noProof/>
                <w:sz w:val="16"/>
              </w:rPr>
              <w:t>riode de 9 mois non arriv</w:t>
            </w:r>
            <w:r>
              <w:rPr>
                <w:rFonts w:ascii="Times New Roman"/>
                <w:noProof/>
                <w:sz w:val="16"/>
              </w:rPr>
              <w:t>é</w:t>
            </w:r>
            <w:r>
              <w:rPr>
                <w:rFonts w:ascii="Times New Roman"/>
                <w:noProof/>
                <w:sz w:val="16"/>
              </w:rPr>
              <w:t xml:space="preserve">e </w:t>
            </w:r>
            <w:r>
              <w:rPr>
                <w:rFonts w:ascii="Times New Roman"/>
                <w:noProof/>
                <w:sz w:val="16"/>
              </w:rPr>
              <w:t>à</w:t>
            </w:r>
            <w:r>
              <w:rPr>
                <w:rFonts w:ascii="Times New Roman"/>
                <w:noProof/>
                <w:sz w:val="16"/>
              </w:rPr>
              <w:t xml:space="preserve"> expiration le 31.12.2019</w:t>
            </w: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r>
      <w:tr>
        <w:trPr>
          <w:trHeight w:val="886"/>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jc w:val="center"/>
              <w:rPr>
                <w:rFonts w:ascii="Times New Roman"/>
                <w:b/>
                <w:noProof/>
                <w:spacing w:val="-1"/>
                <w:sz w:val="16"/>
                <w:szCs w:val="16"/>
              </w:rPr>
            </w:pPr>
            <w:r>
              <w:rPr>
                <w:rFonts w:ascii="Times New Roman"/>
                <w:b/>
                <w:noProof/>
                <w:sz w:val="16"/>
              </w:rPr>
              <w:t>12, par. 5</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Engagement d</w:t>
            </w:r>
            <w:r>
              <w:rPr>
                <w:rFonts w:ascii="Times New Roman"/>
                <w:b/>
                <w:noProof/>
                <w:sz w:val="16"/>
              </w:rPr>
              <w:t>’</w:t>
            </w:r>
            <w:r>
              <w:rPr>
                <w:rFonts w:ascii="Times New Roman"/>
                <w:b/>
                <w:noProof/>
                <w:sz w:val="16"/>
              </w:rPr>
              <w:t>agents temporaires</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C(2013) 9049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 xml:space="preserve">cision relative </w:t>
            </w:r>
            <w:r>
              <w:rPr>
                <w:rFonts w:ascii="Times New Roman"/>
                <w:noProof/>
                <w:sz w:val="16"/>
              </w:rPr>
              <w:t>à</w:t>
            </w:r>
            <w:r>
              <w:rPr>
                <w:rFonts w:ascii="Times New Roman"/>
                <w:noProof/>
                <w:sz w:val="16"/>
              </w:rPr>
              <w:t xml:space="preserve"> la politique d</w:t>
            </w:r>
            <w:r>
              <w:rPr>
                <w:rFonts w:ascii="Times New Roman"/>
                <w:noProof/>
                <w:sz w:val="16"/>
              </w:rPr>
              <w:t>’</w:t>
            </w:r>
            <w:r>
              <w:rPr>
                <w:rFonts w:ascii="Times New Roman"/>
                <w:noProof/>
                <w:sz w:val="16"/>
              </w:rPr>
              <w:t>engagement et d</w:t>
            </w:r>
            <w:r>
              <w:rPr>
                <w:rFonts w:ascii="Times New Roman"/>
                <w:noProof/>
                <w:sz w:val="16"/>
              </w:rPr>
              <w:t>’</w:t>
            </w:r>
            <w:r>
              <w:rPr>
                <w:rFonts w:ascii="Times New Roman"/>
                <w:noProof/>
                <w:sz w:val="16"/>
              </w:rPr>
              <w:t>emploi des agents temporaires</w:t>
            </w:r>
          </w:p>
        </w:tc>
        <w:tc>
          <w:tcPr>
            <w:tcW w:w="60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tcPr>
          <w:p>
            <w:pPr>
              <w:pStyle w:val="TableParagraph"/>
              <w:spacing w:before="49"/>
              <w:ind w:left="114"/>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11</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43</w:t>
            </w: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1140"/>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17 et 91</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Cong</w:t>
            </w:r>
            <w:r>
              <w:rPr>
                <w:rFonts w:ascii="Times New Roman"/>
                <w:b/>
                <w:noProof/>
                <w:sz w:val="16"/>
              </w:rPr>
              <w:t>é</w:t>
            </w:r>
            <w:r>
              <w:rPr>
                <w:rFonts w:ascii="Times New Roman"/>
                <w:b/>
                <w:noProof/>
                <w:sz w:val="16"/>
              </w:rPr>
              <w:t xml:space="preserve"> de maternit</w:t>
            </w:r>
            <w:r>
              <w:rPr>
                <w:rFonts w:ascii="Times New Roman"/>
                <w:b/>
                <w:noProof/>
                <w:sz w:val="16"/>
              </w:rPr>
              <w:t>é</w:t>
            </w:r>
            <w:r>
              <w:rPr>
                <w:rFonts w:ascii="Times New Roman"/>
                <w:b/>
                <w:noProof/>
                <w:sz w:val="16"/>
              </w:rPr>
              <w:t xml:space="preserve"> et son paiement</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C(2013) 9020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cision relative au cong</w:t>
            </w:r>
            <w:r>
              <w:rPr>
                <w:rFonts w:ascii="Times New Roman"/>
                <w:noProof/>
                <w:sz w:val="16"/>
              </w:rPr>
              <w:t>é</w:t>
            </w:r>
            <w:r>
              <w:rPr>
                <w:rFonts w:ascii="Times New Roman"/>
                <w:noProof/>
                <w:sz w:val="16"/>
              </w:rPr>
              <w:t xml:space="preserve"> de maternit</w:t>
            </w:r>
            <w:r>
              <w:rPr>
                <w:rFonts w:ascii="Times New Roman"/>
                <w:noProof/>
                <w:sz w:val="16"/>
              </w:rPr>
              <w:t>é</w:t>
            </w:r>
            <w:r>
              <w:rPr>
                <w:rFonts w:ascii="Times New Roman"/>
                <w:noProof/>
                <w:sz w:val="16"/>
              </w:rPr>
              <w:t xml:space="preserve"> et </w:t>
            </w:r>
            <w:r>
              <w:rPr>
                <w:rFonts w:ascii="Times New Roman"/>
                <w:noProof/>
                <w:sz w:val="16"/>
              </w:rPr>
              <w:t>à</w:t>
            </w:r>
            <w:r>
              <w:rPr>
                <w:rFonts w:ascii="Times New Roman"/>
                <w:noProof/>
                <w:sz w:val="16"/>
              </w:rPr>
              <w:t xml:space="preserve"> son paiement</w:t>
            </w:r>
          </w:p>
        </w:tc>
        <w:tc>
          <w:tcPr>
            <w:tcW w:w="60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tcPr>
          <w:p>
            <w:pPr>
              <w:pStyle w:val="TableParagraph"/>
              <w:spacing w:before="49"/>
              <w:ind w:left="114"/>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1140"/>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Reclassement des agents temporaires vis</w:t>
            </w:r>
            <w:r>
              <w:rPr>
                <w:rFonts w:ascii="Times New Roman"/>
                <w:b/>
                <w:noProof/>
                <w:sz w:val="16"/>
              </w:rPr>
              <w:t>é</w:t>
            </w:r>
            <w:r>
              <w:rPr>
                <w:rFonts w:ascii="Times New Roman"/>
                <w:b/>
                <w:noProof/>
                <w:sz w:val="16"/>
              </w:rPr>
              <w:t xml:space="preserve">s </w:t>
            </w:r>
            <w:r>
              <w:rPr>
                <w:rFonts w:ascii="Times New Roman"/>
                <w:b/>
                <w:noProof/>
                <w:sz w:val="16"/>
              </w:rPr>
              <w:t>à</w:t>
            </w:r>
            <w:r>
              <w:rPr>
                <w:rFonts w:ascii="Times New Roman"/>
                <w:b/>
                <w:noProof/>
                <w:sz w:val="16"/>
              </w:rPr>
              <w:t xml:space="preserve"> l</w:t>
            </w:r>
            <w:r>
              <w:rPr>
                <w:rFonts w:ascii="Times New Roman"/>
                <w:b/>
                <w:noProof/>
                <w:sz w:val="16"/>
              </w:rPr>
              <w:t>’</w:t>
            </w:r>
            <w:r>
              <w:rPr>
                <w:rFonts w:ascii="Times New Roman"/>
                <w:b/>
                <w:noProof/>
                <w:sz w:val="16"/>
              </w:rPr>
              <w:t>article 2, point f)</w:t>
            </w:r>
          </w:p>
        </w:tc>
        <w:tc>
          <w:tcPr>
            <w:tcW w:w="61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602"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 xml:space="preserve">C(2015) 4996 et C(2015) 9560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cisions relatives aux r</w:t>
            </w:r>
            <w:r>
              <w:rPr>
                <w:rFonts w:ascii="Times New Roman"/>
                <w:noProof/>
                <w:sz w:val="16"/>
              </w:rPr>
              <w:t>è</w:t>
            </w:r>
            <w:r>
              <w:rPr>
                <w:rFonts w:ascii="Times New Roman"/>
                <w:noProof/>
                <w:sz w:val="16"/>
              </w:rPr>
              <w:t>gles d</w:t>
            </w:r>
            <w:r>
              <w:rPr>
                <w:rFonts w:ascii="Times New Roman"/>
                <w:noProof/>
                <w:sz w:val="16"/>
              </w:rPr>
              <w:t>’</w:t>
            </w:r>
            <w:r>
              <w:rPr>
                <w:rFonts w:ascii="Times New Roman"/>
                <w:noProof/>
                <w:sz w:val="16"/>
              </w:rPr>
              <w:t>ex</w:t>
            </w:r>
            <w:r>
              <w:rPr>
                <w:rFonts w:ascii="Times New Roman"/>
                <w:noProof/>
                <w:sz w:val="16"/>
              </w:rPr>
              <w:t>é</w:t>
            </w:r>
            <w:r>
              <w:rPr>
                <w:rFonts w:ascii="Times New Roman"/>
                <w:noProof/>
                <w:sz w:val="16"/>
              </w:rPr>
              <w:t xml:space="preserve">cution donnant effet </w:t>
            </w:r>
            <w:r>
              <w:rPr>
                <w:rFonts w:ascii="Times New Roman"/>
                <w:noProof/>
                <w:sz w:val="16"/>
              </w:rPr>
              <w:t>à</w:t>
            </w:r>
            <w:r>
              <w:rPr>
                <w:rFonts w:ascii="Times New Roman"/>
                <w:noProof/>
                <w:sz w:val="16"/>
              </w:rPr>
              <w:t xml:space="preserve"> l</w:t>
            </w:r>
            <w:r>
              <w:rPr>
                <w:rFonts w:ascii="Times New Roman"/>
                <w:noProof/>
                <w:sz w:val="16"/>
              </w:rPr>
              <w:t>’</w:t>
            </w:r>
            <w:r>
              <w:rPr>
                <w:rFonts w:ascii="Times New Roman"/>
                <w:noProof/>
                <w:sz w:val="16"/>
              </w:rPr>
              <w:t>art. 54 du RAA</w:t>
            </w:r>
          </w:p>
        </w:tc>
        <w:tc>
          <w:tcPr>
            <w:tcW w:w="417" w:type="pct"/>
            <w:tcBorders>
              <w:top w:val="single" w:sz="4" w:space="0" w:color="auto"/>
              <w:left w:val="single" w:sz="4" w:space="0" w:color="auto"/>
              <w:bottom w:val="single" w:sz="4" w:space="0" w:color="auto"/>
              <w:right w:val="single" w:sz="4" w:space="0" w:color="auto"/>
            </w:tcBorders>
          </w:tcPr>
          <w:p>
            <w:pPr>
              <w:pStyle w:val="TableParagraph"/>
              <w:spacing w:before="49"/>
              <w:ind w:left="114"/>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53</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1</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1140"/>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56</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Recrutement des agents temporaires vis</w:t>
            </w:r>
            <w:r>
              <w:rPr>
                <w:rFonts w:ascii="Times New Roman"/>
                <w:b/>
                <w:noProof/>
                <w:sz w:val="16"/>
              </w:rPr>
              <w:t>é</w:t>
            </w:r>
            <w:r>
              <w:rPr>
                <w:rFonts w:ascii="Times New Roman"/>
                <w:b/>
                <w:noProof/>
                <w:sz w:val="16"/>
              </w:rPr>
              <w:t xml:space="preserve">s </w:t>
            </w:r>
            <w:r>
              <w:rPr>
                <w:rFonts w:ascii="Times New Roman"/>
                <w:b/>
                <w:noProof/>
                <w:sz w:val="16"/>
              </w:rPr>
              <w:t>à</w:t>
            </w:r>
            <w:r>
              <w:rPr>
                <w:rFonts w:ascii="Times New Roman"/>
                <w:b/>
                <w:noProof/>
                <w:sz w:val="16"/>
              </w:rPr>
              <w:t xml:space="preserve"> l</w:t>
            </w:r>
            <w:r>
              <w:rPr>
                <w:rFonts w:ascii="Times New Roman"/>
                <w:b/>
                <w:noProof/>
                <w:sz w:val="16"/>
              </w:rPr>
              <w:t>’</w:t>
            </w:r>
            <w:r>
              <w:rPr>
                <w:rFonts w:ascii="Times New Roman"/>
                <w:b/>
                <w:noProof/>
                <w:sz w:val="16"/>
              </w:rPr>
              <w:t>article 2, point f)</w:t>
            </w:r>
          </w:p>
        </w:tc>
        <w:tc>
          <w:tcPr>
            <w:tcW w:w="61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602"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 xml:space="preserve">C(2015) 1457 et C(2015) 1509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cisions relatives aux r</w:t>
            </w:r>
            <w:r>
              <w:rPr>
                <w:rFonts w:ascii="Times New Roman"/>
                <w:noProof/>
                <w:sz w:val="16"/>
              </w:rPr>
              <w:t>è</w:t>
            </w:r>
            <w:r>
              <w:rPr>
                <w:rFonts w:ascii="Times New Roman"/>
                <w:noProof/>
                <w:sz w:val="16"/>
              </w:rPr>
              <w:t>gles d</w:t>
            </w:r>
            <w:r>
              <w:rPr>
                <w:rFonts w:ascii="Times New Roman"/>
                <w:noProof/>
                <w:sz w:val="16"/>
              </w:rPr>
              <w:t>’</w:t>
            </w:r>
            <w:r>
              <w:rPr>
                <w:rFonts w:ascii="Times New Roman"/>
                <w:noProof/>
                <w:sz w:val="16"/>
              </w:rPr>
              <w:t>ex</w:t>
            </w:r>
            <w:r>
              <w:rPr>
                <w:rFonts w:ascii="Times New Roman"/>
                <w:noProof/>
                <w:sz w:val="16"/>
              </w:rPr>
              <w:t>é</w:t>
            </w:r>
            <w:r>
              <w:rPr>
                <w:rFonts w:ascii="Times New Roman"/>
                <w:noProof/>
                <w:sz w:val="16"/>
              </w:rPr>
              <w:t xml:space="preserve">cution donnant effet </w:t>
            </w:r>
            <w:r>
              <w:rPr>
                <w:rFonts w:ascii="Times New Roman"/>
                <w:noProof/>
                <w:sz w:val="16"/>
              </w:rPr>
              <w:t>à</w:t>
            </w:r>
            <w:r>
              <w:rPr>
                <w:rFonts w:ascii="Times New Roman"/>
                <w:noProof/>
                <w:sz w:val="16"/>
              </w:rPr>
              <w:t xml:space="preserve"> l</w:t>
            </w:r>
            <w:r>
              <w:rPr>
                <w:rFonts w:ascii="Times New Roman"/>
                <w:noProof/>
                <w:sz w:val="16"/>
              </w:rPr>
              <w:t>’</w:t>
            </w:r>
            <w:r>
              <w:rPr>
                <w:rFonts w:ascii="Times New Roman"/>
                <w:noProof/>
                <w:sz w:val="16"/>
              </w:rPr>
              <w:t>art. 56 du RAA</w:t>
            </w:r>
          </w:p>
        </w:tc>
        <w:tc>
          <w:tcPr>
            <w:tcW w:w="417" w:type="pct"/>
            <w:tcBorders>
              <w:top w:val="single" w:sz="4" w:space="0" w:color="auto"/>
              <w:left w:val="single" w:sz="4" w:space="0" w:color="auto"/>
              <w:bottom w:val="single" w:sz="4" w:space="0" w:color="auto"/>
              <w:right w:val="single" w:sz="4" w:space="0" w:color="auto"/>
            </w:tcBorders>
          </w:tcPr>
          <w:p>
            <w:pPr>
              <w:pStyle w:val="TableParagraph"/>
              <w:spacing w:before="49"/>
              <w:ind w:left="114"/>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52</w:t>
            </w:r>
          </w:p>
        </w:tc>
        <w:tc>
          <w:tcPr>
            <w:tcW w:w="37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2</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1140"/>
        </w:trPr>
        <w:tc>
          <w:tcPr>
            <w:tcW w:w="311"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lastRenderedPageBreak/>
              <w:t>79, par.</w:t>
            </w:r>
            <w:r>
              <w:rPr>
                <w:rFonts w:ascii="Times New Roman"/>
                <w:b/>
                <w:noProof/>
                <w:sz w:val="16"/>
              </w:rPr>
              <w:t> </w:t>
            </w:r>
            <w:r>
              <w:rPr>
                <w:rFonts w:ascii="Times New Roman"/>
                <w:b/>
                <w:noProof/>
                <w:sz w:val="16"/>
              </w:rPr>
              <w:t xml:space="preserve">2, </w:t>
            </w:r>
            <w:r>
              <w:rPr>
                <w:rFonts w:ascii="Times New Roman"/>
                <w:b/>
                <w:noProof/>
                <w:sz w:val="16"/>
              </w:rPr>
              <w:t>à </w:t>
            </w:r>
            <w:r>
              <w:rPr>
                <w:rFonts w:ascii="Times New Roman"/>
                <w:b/>
                <w:noProof/>
                <w:sz w:val="16"/>
              </w:rPr>
              <w:t>90</w:t>
            </w:r>
          </w:p>
        </w:tc>
        <w:tc>
          <w:tcPr>
            <w:tcW w:w="456"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Recrutement des agents contractuels</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C(2017) 6760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cision relative aux conditions d</w:t>
            </w:r>
            <w:r>
              <w:rPr>
                <w:rFonts w:ascii="Times New Roman"/>
                <w:noProof/>
                <w:sz w:val="16"/>
              </w:rPr>
              <w:t>’</w:t>
            </w:r>
            <w:r>
              <w:rPr>
                <w:rFonts w:ascii="Times New Roman"/>
                <w:noProof/>
                <w:sz w:val="16"/>
              </w:rPr>
              <w:t>emploi des agents contractuels</w:t>
            </w:r>
          </w:p>
        </w:tc>
        <w:tc>
          <w:tcPr>
            <w:tcW w:w="602"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 xml:space="preserve">C(2019) 3016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cision relative aux conditions d</w:t>
            </w:r>
            <w:r>
              <w:rPr>
                <w:rFonts w:ascii="Times New Roman"/>
                <w:noProof/>
                <w:sz w:val="16"/>
              </w:rPr>
              <w:t>’</w:t>
            </w:r>
            <w:r>
              <w:rPr>
                <w:rFonts w:ascii="Times New Roman"/>
                <w:noProof/>
                <w:sz w:val="16"/>
              </w:rPr>
              <w:t>emploi des agents contractuels</w:t>
            </w:r>
          </w:p>
        </w:tc>
        <w:tc>
          <w:tcPr>
            <w:tcW w:w="417" w:type="pct"/>
            <w:tcBorders>
              <w:top w:val="single" w:sz="4" w:space="0" w:color="auto"/>
              <w:left w:val="single" w:sz="4" w:space="0" w:color="auto"/>
              <w:bottom w:val="single" w:sz="4" w:space="0" w:color="auto"/>
              <w:right w:val="single" w:sz="4" w:space="0" w:color="auto"/>
            </w:tcBorders>
          </w:tcPr>
          <w:p>
            <w:pPr>
              <w:pStyle w:val="TableParagraph"/>
              <w:spacing w:before="49"/>
              <w:ind w:left="114"/>
              <w:rPr>
                <w:rFonts w:ascii="Times New Roman"/>
                <w:b/>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10</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44</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1290"/>
        </w:trPr>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tcPr>
          <w:p>
            <w:pPr>
              <w:pStyle w:val="TableParagraph"/>
              <w:spacing w:before="49"/>
              <w:rPr>
                <w:rFonts w:ascii="Times New Roman"/>
                <w:noProof/>
                <w:spacing w:val="-1"/>
                <w:sz w:val="16"/>
                <w:szCs w:val="16"/>
              </w:rPr>
            </w:pPr>
            <w:r>
              <w:rPr>
                <w:rFonts w:ascii="Times New Roman"/>
                <w:noProof/>
                <w:sz w:val="16"/>
              </w:rPr>
              <w:t xml:space="preserve">C(2013) 9028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 xml:space="preserve">cision relative </w:t>
            </w:r>
            <w:r>
              <w:rPr>
                <w:rFonts w:ascii="Times New Roman"/>
                <w:noProof/>
                <w:sz w:val="16"/>
              </w:rPr>
              <w:t>à</w:t>
            </w:r>
            <w:r>
              <w:rPr>
                <w:rFonts w:ascii="Times New Roman"/>
                <w:noProof/>
                <w:sz w:val="16"/>
              </w:rPr>
              <w:t xml:space="preserve"> la dur</w:t>
            </w:r>
            <w:r>
              <w:rPr>
                <w:rFonts w:ascii="Times New Roman"/>
                <w:noProof/>
                <w:sz w:val="16"/>
              </w:rPr>
              <w:t>é</w:t>
            </w:r>
            <w:r>
              <w:rPr>
                <w:rFonts w:ascii="Times New Roman"/>
                <w:noProof/>
                <w:sz w:val="16"/>
              </w:rPr>
              <w:t>e maximale du recours au personnel non permanent dans les services de la Commission</w:t>
            </w:r>
          </w:p>
          <w:p>
            <w:pPr>
              <w:pStyle w:val="TableParagraph"/>
              <w:spacing w:before="49"/>
              <w:ind w:left="114"/>
              <w:jc w:val="center"/>
              <w:rPr>
                <w:rFonts w:ascii="Times New Roman"/>
                <w:noProof/>
                <w:spacing w:val="-1"/>
                <w:sz w:val="16"/>
                <w:szCs w:val="16"/>
              </w:rPr>
            </w:pPr>
          </w:p>
        </w:tc>
        <w:tc>
          <w:tcPr>
            <w:tcW w:w="60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 xml:space="preserve">C(2016) 2421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 xml:space="preserve">cision relative </w:t>
            </w:r>
            <w:r>
              <w:rPr>
                <w:rFonts w:ascii="Times New Roman"/>
                <w:noProof/>
                <w:sz w:val="16"/>
              </w:rPr>
              <w:t>à</w:t>
            </w:r>
            <w:r>
              <w:rPr>
                <w:rFonts w:ascii="Times New Roman"/>
                <w:noProof/>
                <w:sz w:val="16"/>
              </w:rPr>
              <w:t xml:space="preserve"> la non-application de la d</w:t>
            </w:r>
            <w:r>
              <w:rPr>
                <w:rFonts w:ascii="Times New Roman"/>
                <w:noProof/>
                <w:sz w:val="16"/>
              </w:rPr>
              <w:t>é</w:t>
            </w:r>
            <w:r>
              <w:rPr>
                <w:rFonts w:ascii="Times New Roman"/>
                <w:noProof/>
                <w:sz w:val="16"/>
              </w:rPr>
              <w:t xml:space="preserve">cision de la Commission relative </w:t>
            </w:r>
            <w:r>
              <w:rPr>
                <w:rFonts w:ascii="Times New Roman"/>
                <w:noProof/>
                <w:sz w:val="16"/>
              </w:rPr>
              <w:t>à</w:t>
            </w:r>
            <w:r>
              <w:rPr>
                <w:rFonts w:ascii="Times New Roman"/>
                <w:noProof/>
                <w:sz w:val="16"/>
              </w:rPr>
              <w:t xml:space="preserve"> la dur</w:t>
            </w:r>
            <w:r>
              <w:rPr>
                <w:rFonts w:ascii="Times New Roman"/>
                <w:noProof/>
                <w:sz w:val="16"/>
              </w:rPr>
              <w:t>é</w:t>
            </w:r>
            <w:r>
              <w:rPr>
                <w:rFonts w:ascii="Times New Roman"/>
                <w:noProof/>
                <w:sz w:val="16"/>
              </w:rPr>
              <w:t>e maximale du recours au personnel non permanent</w:t>
            </w:r>
          </w:p>
        </w:tc>
        <w:tc>
          <w:tcPr>
            <w:tcW w:w="417" w:type="pct"/>
            <w:tcBorders>
              <w:top w:val="single" w:sz="4" w:space="0" w:color="auto"/>
              <w:left w:val="single" w:sz="4" w:space="0" w:color="auto"/>
              <w:bottom w:val="single" w:sz="4" w:space="0" w:color="auto"/>
              <w:right w:val="single" w:sz="4" w:space="0" w:color="auto"/>
            </w:tcBorders>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6</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48</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1266"/>
        </w:trPr>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spacing w:before="49"/>
              <w:rPr>
                <w:rFonts w:ascii="Times New Roman"/>
                <w:noProof/>
                <w:spacing w:val="-1"/>
                <w:sz w:val="16"/>
                <w:szCs w:val="16"/>
              </w:rPr>
            </w:pPr>
            <w:r>
              <w:rPr>
                <w:rFonts w:ascii="Times New Roman"/>
                <w:noProof/>
                <w:sz w:val="16"/>
              </w:rPr>
              <w:t>C(2019) 2548</w:t>
            </w:r>
          </w:p>
        </w:tc>
        <w:tc>
          <w:tcPr>
            <w:tcW w:w="60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 xml:space="preserve">C(2019) 6929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 xml:space="preserve">cision relative </w:t>
            </w:r>
            <w:r>
              <w:rPr>
                <w:rFonts w:ascii="Times New Roman"/>
                <w:noProof/>
                <w:sz w:val="16"/>
              </w:rPr>
              <w:t>à</w:t>
            </w:r>
            <w:r>
              <w:rPr>
                <w:rFonts w:ascii="Times New Roman"/>
                <w:noProof/>
                <w:sz w:val="16"/>
              </w:rPr>
              <w:t xml:space="preserve"> la non-application de la d</w:t>
            </w:r>
            <w:r>
              <w:rPr>
                <w:rFonts w:ascii="Times New Roman"/>
                <w:noProof/>
                <w:sz w:val="16"/>
              </w:rPr>
              <w:t>é</w:t>
            </w:r>
            <w:r>
              <w:rPr>
                <w:rFonts w:ascii="Times New Roman"/>
                <w:noProof/>
                <w:sz w:val="16"/>
              </w:rPr>
              <w:t xml:space="preserve">cision de la Commission relative </w:t>
            </w:r>
            <w:r>
              <w:rPr>
                <w:rFonts w:ascii="Times New Roman"/>
                <w:noProof/>
                <w:sz w:val="16"/>
              </w:rPr>
              <w:t>à</w:t>
            </w:r>
            <w:r>
              <w:rPr>
                <w:rFonts w:ascii="Times New Roman"/>
                <w:noProof/>
                <w:sz w:val="16"/>
              </w:rPr>
              <w:t xml:space="preserve"> la dur</w:t>
            </w:r>
            <w:r>
              <w:rPr>
                <w:rFonts w:ascii="Times New Roman"/>
                <w:noProof/>
                <w:sz w:val="16"/>
              </w:rPr>
              <w:t>é</w:t>
            </w:r>
            <w:r>
              <w:rPr>
                <w:rFonts w:ascii="Times New Roman"/>
                <w:noProof/>
                <w:sz w:val="16"/>
              </w:rPr>
              <w:t>e maximale du recours au personnel non permanent</w:t>
            </w:r>
          </w:p>
        </w:tc>
        <w:tc>
          <w:tcPr>
            <w:tcW w:w="417" w:type="pct"/>
            <w:tcBorders>
              <w:top w:val="single" w:sz="4" w:space="0" w:color="auto"/>
              <w:left w:val="single" w:sz="4" w:space="0" w:color="auto"/>
              <w:bottom w:val="single" w:sz="4" w:space="0" w:color="auto"/>
              <w:right w:val="single" w:sz="4" w:space="0" w:color="auto"/>
            </w:tcBorders>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z w:val="16"/>
              </w:rPr>
              <w:t>18</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36</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1140"/>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87</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É</w:t>
            </w:r>
            <w:r>
              <w:rPr>
                <w:rFonts w:ascii="Times New Roman"/>
                <w:b/>
                <w:noProof/>
                <w:sz w:val="16"/>
              </w:rPr>
              <w:t>valuation des agents contractuels</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z w:val="16"/>
              </w:rPr>
              <w:t xml:space="preserve">C(2014) 2226 </w:t>
            </w:r>
            <w:r>
              <w:rPr>
                <w:rFonts w:ascii="Times New Roman"/>
                <w:noProof/>
                <w:sz w:val="16"/>
              </w:rPr>
              <w:t>–</w:t>
            </w:r>
            <w:r>
              <w:rPr>
                <w:rFonts w:ascii="Times New Roman"/>
                <w:noProof/>
                <w:sz w:val="16"/>
              </w:rPr>
              <w:t xml:space="preserve"> DGE de l</w:t>
            </w:r>
            <w:r>
              <w:rPr>
                <w:rFonts w:ascii="Times New Roman"/>
                <w:noProof/>
                <w:sz w:val="16"/>
              </w:rPr>
              <w:t>’</w:t>
            </w:r>
            <w:r>
              <w:rPr>
                <w:rFonts w:ascii="Times New Roman"/>
                <w:noProof/>
                <w:sz w:val="16"/>
              </w:rPr>
              <w:t>art. 87, paragraphe 1, du RAA</w:t>
            </w:r>
          </w:p>
        </w:tc>
        <w:tc>
          <w:tcPr>
            <w:tcW w:w="602"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z w:val="16"/>
              </w:rPr>
              <w:t xml:space="preserve">C(2015) 1456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 xml:space="preserve">cision relative </w:t>
            </w:r>
            <w:r>
              <w:rPr>
                <w:rFonts w:ascii="Times New Roman"/>
                <w:noProof/>
                <w:sz w:val="16"/>
              </w:rPr>
              <w:t>à</w:t>
            </w:r>
            <w:r>
              <w:rPr>
                <w:rFonts w:ascii="Times New Roman"/>
                <w:noProof/>
                <w:sz w:val="16"/>
              </w:rPr>
              <w:t xml:space="preserve"> la mise en </w:t>
            </w:r>
            <w:r>
              <w:rPr>
                <w:rFonts w:ascii="Times New Roman"/>
                <w:noProof/>
                <w:sz w:val="16"/>
              </w:rPr>
              <w:t>œ</w:t>
            </w:r>
            <w:r>
              <w:rPr>
                <w:rFonts w:ascii="Times New Roman"/>
                <w:noProof/>
                <w:sz w:val="16"/>
              </w:rPr>
              <w:t>uvre de l</w:t>
            </w:r>
            <w:r>
              <w:rPr>
                <w:rFonts w:ascii="Times New Roman"/>
                <w:noProof/>
                <w:sz w:val="16"/>
              </w:rPr>
              <w:t>’</w:t>
            </w:r>
            <w:r>
              <w:rPr>
                <w:rFonts w:ascii="Times New Roman"/>
                <w:noProof/>
                <w:sz w:val="16"/>
              </w:rPr>
              <w:t>art. 87, paragraphe 1, du RAA et de l</w:t>
            </w:r>
            <w:r>
              <w:rPr>
                <w:rFonts w:ascii="Times New Roman"/>
                <w:noProof/>
                <w:sz w:val="16"/>
              </w:rPr>
              <w:t>’</w:t>
            </w:r>
            <w:r>
              <w:rPr>
                <w:rFonts w:ascii="Times New Roman"/>
                <w:noProof/>
                <w:sz w:val="16"/>
              </w:rPr>
              <w:t>art. 44, premier alin</w:t>
            </w:r>
            <w:r>
              <w:rPr>
                <w:rFonts w:ascii="Times New Roman"/>
                <w:noProof/>
                <w:sz w:val="16"/>
              </w:rPr>
              <w:t>é</w:t>
            </w:r>
            <w:r>
              <w:rPr>
                <w:rFonts w:ascii="Times New Roman"/>
                <w:noProof/>
                <w:sz w:val="16"/>
              </w:rPr>
              <w:t>a, du statut</w:t>
            </w:r>
          </w:p>
        </w:tc>
        <w:tc>
          <w:tcPr>
            <w:tcW w:w="417" w:type="pct"/>
            <w:tcBorders>
              <w:top w:val="single" w:sz="4" w:space="0" w:color="auto"/>
              <w:left w:val="single" w:sz="4" w:space="0" w:color="auto"/>
              <w:bottom w:val="single" w:sz="4" w:space="0" w:color="auto"/>
              <w:right w:val="single" w:sz="4" w:space="0" w:color="auto"/>
            </w:tcBorders>
          </w:tcPr>
          <w:p>
            <w:pPr>
              <w:pStyle w:val="TableParagraph"/>
              <w:spacing w:before="49"/>
              <w:ind w:left="114"/>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 xml:space="preserve">4 </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50</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r>
        <w:trPr>
          <w:trHeight w:val="1140"/>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87, par. 3</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Reclassement des agents contractuels</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spacing w:before="49"/>
              <w:rPr>
                <w:rFonts w:ascii="Times New Roman"/>
                <w:noProof/>
                <w:spacing w:val="-1"/>
                <w:sz w:val="16"/>
                <w:szCs w:val="16"/>
              </w:rPr>
            </w:pPr>
            <w:r>
              <w:rPr>
                <w:rFonts w:ascii="Times New Roman"/>
                <w:noProof/>
                <w:sz w:val="16"/>
              </w:rPr>
              <w:t xml:space="preserve">C(2013) 2529 </w:t>
            </w:r>
            <w:r>
              <w:rPr>
                <w:rFonts w:ascii="Times New Roman"/>
                <w:noProof/>
                <w:sz w:val="16"/>
              </w:rPr>
              <w:t>–</w:t>
            </w:r>
            <w:r>
              <w:rPr>
                <w:rFonts w:ascii="Times New Roman"/>
                <w:noProof/>
                <w:sz w:val="16"/>
              </w:rPr>
              <w:t xml:space="preserve"> DGE de l</w:t>
            </w:r>
            <w:r>
              <w:rPr>
                <w:rFonts w:ascii="Times New Roman"/>
                <w:noProof/>
                <w:sz w:val="16"/>
              </w:rPr>
              <w:t>’</w:t>
            </w:r>
            <w:r>
              <w:rPr>
                <w:rFonts w:ascii="Times New Roman"/>
                <w:noProof/>
                <w:sz w:val="16"/>
              </w:rPr>
              <w:t>art. 87, paragraphe 3, du RAA</w:t>
            </w:r>
          </w:p>
        </w:tc>
        <w:tc>
          <w:tcPr>
            <w:tcW w:w="60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z w:val="16"/>
              </w:rPr>
              <w:t xml:space="preserve">C(2015) 9561 et C(2015) 4997 </w:t>
            </w:r>
            <w:r>
              <w:rPr>
                <w:rFonts w:ascii="Times New Roman"/>
                <w:noProof/>
                <w:sz w:val="16"/>
              </w:rPr>
              <w:t>–</w:t>
            </w:r>
            <w:r>
              <w:rPr>
                <w:rFonts w:ascii="Times New Roman"/>
                <w:noProof/>
                <w:sz w:val="16"/>
              </w:rPr>
              <w:t xml:space="preserve"> D</w:t>
            </w:r>
            <w:r>
              <w:rPr>
                <w:rFonts w:ascii="Times New Roman"/>
                <w:noProof/>
                <w:sz w:val="16"/>
              </w:rPr>
              <w:t>é</w:t>
            </w:r>
            <w:r>
              <w:rPr>
                <w:rFonts w:ascii="Times New Roman"/>
                <w:noProof/>
                <w:sz w:val="16"/>
              </w:rPr>
              <w:t>cisions relatives aux modalit</w:t>
            </w:r>
            <w:r>
              <w:rPr>
                <w:rFonts w:ascii="Times New Roman"/>
                <w:noProof/>
                <w:sz w:val="16"/>
              </w:rPr>
              <w:t>é</w:t>
            </w:r>
            <w:r>
              <w:rPr>
                <w:rFonts w:ascii="Times New Roman"/>
                <w:noProof/>
                <w:sz w:val="16"/>
              </w:rPr>
              <w:t>s d</w:t>
            </w:r>
            <w:r>
              <w:rPr>
                <w:rFonts w:ascii="Times New Roman"/>
                <w:noProof/>
                <w:sz w:val="16"/>
              </w:rPr>
              <w:t>’</w:t>
            </w:r>
            <w:r>
              <w:rPr>
                <w:rFonts w:ascii="Times New Roman"/>
                <w:noProof/>
                <w:sz w:val="16"/>
              </w:rPr>
              <w:t>application de l</w:t>
            </w:r>
            <w:r>
              <w:rPr>
                <w:rFonts w:ascii="Times New Roman"/>
                <w:noProof/>
                <w:sz w:val="16"/>
              </w:rPr>
              <w:t>’</w:t>
            </w:r>
            <w:r>
              <w:rPr>
                <w:rFonts w:ascii="Times New Roman"/>
                <w:noProof/>
                <w:sz w:val="16"/>
              </w:rPr>
              <w:t>art. 87, paragraphe 3, du RAA</w:t>
            </w:r>
          </w:p>
        </w:tc>
        <w:tc>
          <w:tcPr>
            <w:tcW w:w="417" w:type="pct"/>
            <w:tcBorders>
              <w:top w:val="single" w:sz="4" w:space="0" w:color="auto"/>
              <w:left w:val="single" w:sz="4" w:space="0" w:color="auto"/>
              <w:bottom w:val="single" w:sz="4" w:space="0" w:color="auto"/>
              <w:right w:val="single" w:sz="4" w:space="0" w:color="auto"/>
            </w:tcBorders>
          </w:tcPr>
          <w:p>
            <w:pPr>
              <w:pStyle w:val="TableParagraph"/>
              <w:spacing w:before="49"/>
              <w:ind w:left="114"/>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tcPr>
          <w:p>
            <w:pPr>
              <w:pStyle w:val="TableParagraph"/>
              <w:spacing w:before="49"/>
              <w:ind w:left="114"/>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1</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z w:val="16"/>
              </w:rPr>
              <w:t>53</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z w:val="16"/>
              </w:rPr>
              <w:t>54</w:t>
            </w:r>
          </w:p>
        </w:tc>
      </w:tr>
    </w:tbl>
    <w:p>
      <w:pPr>
        <w:shd w:val="clear" w:color="auto" w:fill="D6E3BC" w:themeFill="accent3" w:themeFillTint="66"/>
        <w:rPr>
          <w:noProof/>
          <w:vanish/>
        </w:rPr>
      </w:pPr>
    </w:p>
    <w:p>
      <w:pPr>
        <w:rPr>
          <w:noProof/>
          <w:vanish/>
        </w:rPr>
      </w:pPr>
    </w:p>
    <w:p>
      <w:pPr>
        <w:rPr>
          <w:rFonts w:ascii="Times New Roman" w:hAnsi="Times New Roman" w:cs="Times New Roman"/>
          <w:b/>
          <w:i/>
          <w:noProof/>
        </w:rPr>
      </w:pPr>
      <w:r>
        <w:rPr>
          <w:noProof/>
        </w:rPr>
        <mc:AlternateContent>
          <mc:Choice Requires="wps">
            <w:drawing>
              <wp:anchor distT="0" distB="0" distL="114300" distR="114300" simplePos="0" relativeHeight="251659264" behindDoc="0" locked="0" layoutInCell="1" allowOverlap="1">
                <wp:simplePos x="0" y="0"/>
                <wp:positionH relativeFrom="column">
                  <wp:posOffset>76200</wp:posOffset>
                </wp:positionH>
                <wp:positionV relativeFrom="paragraph">
                  <wp:posOffset>274320</wp:posOffset>
                </wp:positionV>
                <wp:extent cx="1581150" cy="527050"/>
                <wp:effectExtent l="0" t="0" r="19050" b="25400"/>
                <wp:wrapNone/>
                <wp:docPr id="5" name="Rectangle 5"/>
                <wp:cNvGraphicFramePr/>
                <a:graphic xmlns:a="http://schemas.openxmlformats.org/drawingml/2006/main">
                  <a:graphicData uri="http://schemas.microsoft.com/office/word/2010/wordprocessingShape">
                    <wps:wsp>
                      <wps:cNvSpPr/>
                      <wps:spPr>
                        <a:xfrm>
                          <a:off x="0" y="0"/>
                          <a:ext cx="1581150" cy="527050"/>
                        </a:xfrm>
                        <a:prstGeom prst="rect">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pPr>
                              <w:rPr>
                                <w:color w:val="000000" w:themeColor="text1"/>
                              </w:rPr>
                            </w:pPr>
                            <w:r>
                              <w:rPr>
                                <w:rFonts w:ascii="Times New Roman" w:hAnsi="Calibri"/>
                                <w:b/>
                                <w:color w:val="000000" w:themeColor="text1"/>
                                <w:sz w:val="16"/>
                              </w:rPr>
                              <w:t>R</w:t>
                            </w:r>
                            <w:r>
                              <w:rPr>
                                <w:rFonts w:ascii="Times New Roman" w:hAnsi="Calibri"/>
                                <w:b/>
                                <w:color w:val="000000" w:themeColor="text1"/>
                                <w:sz w:val="16"/>
                              </w:rPr>
                              <w:t>è</w:t>
                            </w:r>
                            <w:r>
                              <w:rPr>
                                <w:rFonts w:ascii="Times New Roman" w:hAnsi="Calibri"/>
                                <w:b/>
                                <w:color w:val="000000" w:themeColor="text1"/>
                                <w:sz w:val="16"/>
                              </w:rPr>
                              <w:t>gles d</w:t>
                            </w:r>
                            <w:r>
                              <w:rPr>
                                <w:rFonts w:ascii="Times New Roman" w:hAnsi="Calibri"/>
                                <w:b/>
                                <w:color w:val="000000" w:themeColor="text1"/>
                                <w:sz w:val="16"/>
                              </w:rPr>
                              <w:t>’</w:t>
                            </w:r>
                            <w:r>
                              <w:rPr>
                                <w:rFonts w:ascii="Times New Roman" w:hAnsi="Calibri"/>
                                <w:b/>
                                <w:color w:val="000000" w:themeColor="text1"/>
                                <w:sz w:val="16"/>
                              </w:rPr>
                              <w:t>ex</w:t>
                            </w:r>
                            <w:r>
                              <w:rPr>
                                <w:rFonts w:ascii="Times New Roman" w:hAnsi="Calibri"/>
                                <w:b/>
                                <w:color w:val="000000" w:themeColor="text1"/>
                                <w:sz w:val="16"/>
                              </w:rPr>
                              <w:t>é</w:t>
                            </w:r>
                            <w:r>
                              <w:rPr>
                                <w:rFonts w:ascii="Times New Roman" w:hAnsi="Calibri"/>
                                <w:b/>
                                <w:color w:val="000000" w:themeColor="text1"/>
                                <w:sz w:val="16"/>
                              </w:rPr>
                              <w:t>cution de la Commission adopt</w:t>
                            </w:r>
                            <w:r>
                              <w:rPr>
                                <w:rFonts w:ascii="Times New Roman" w:hAnsi="Calibri"/>
                                <w:b/>
                                <w:color w:val="000000" w:themeColor="text1"/>
                                <w:sz w:val="16"/>
                              </w:rPr>
                              <w:t>é</w:t>
                            </w:r>
                            <w:r>
                              <w:rPr>
                                <w:rFonts w:ascii="Times New Roman" w:hAnsi="Calibri"/>
                                <w:b/>
                                <w:color w:val="000000" w:themeColor="text1"/>
                                <w:sz w:val="16"/>
                              </w:rPr>
                              <w:t xml:space="preserve">es </w:t>
                            </w:r>
                            <w:r>
                              <w:rPr>
                                <w:rFonts w:ascii="Times New Roman" w:hAnsi="Calibri"/>
                                <w:b/>
                                <w:color w:val="000000" w:themeColor="text1"/>
                                <w:sz w:val="16"/>
                                <w:u w:val="single"/>
                              </w:rPr>
                              <w:t>apr</w:t>
                            </w:r>
                            <w:r>
                              <w:rPr>
                                <w:rFonts w:ascii="Times New Roman" w:hAnsi="Calibri"/>
                                <w:b/>
                                <w:color w:val="000000" w:themeColor="text1"/>
                                <w:sz w:val="16"/>
                                <w:u w:val="single"/>
                              </w:rPr>
                              <w:t>è</w:t>
                            </w:r>
                            <w:r>
                              <w:rPr>
                                <w:rFonts w:ascii="Times New Roman" w:hAnsi="Calibri"/>
                                <w:b/>
                                <w:color w:val="000000" w:themeColor="text1"/>
                                <w:sz w:val="16"/>
                                <w:u w:val="single"/>
                              </w:rPr>
                              <w:t>s la r</w:t>
                            </w:r>
                            <w:r>
                              <w:rPr>
                                <w:rFonts w:ascii="Times New Roman" w:hAnsi="Calibri"/>
                                <w:b/>
                                <w:color w:val="000000" w:themeColor="text1"/>
                                <w:sz w:val="16"/>
                                <w:u w:val="single"/>
                              </w:rPr>
                              <w:t>é</w:t>
                            </w:r>
                            <w:r>
                              <w:rPr>
                                <w:rFonts w:ascii="Times New Roman" w:hAnsi="Calibri"/>
                                <w:b/>
                                <w:color w:val="000000" w:themeColor="text1"/>
                                <w:sz w:val="16"/>
                                <w:u w:val="single"/>
                              </w:rPr>
                              <w:t>forme de</w:t>
                            </w:r>
                            <w:r>
                              <w:rPr>
                                <w:rFonts w:ascii="Times New Roman" w:hAnsi="Calibri"/>
                                <w:b/>
                                <w:color w:val="000000" w:themeColor="text1"/>
                                <w:sz w:val="16"/>
                                <w:u w:val="single"/>
                              </w:rPr>
                              <w:t> </w:t>
                            </w:r>
                            <w:r>
                              <w:rPr>
                                <w:rFonts w:ascii="Times New Roman" w:hAnsi="Calibri"/>
                                <w:b/>
                                <w:color w:val="000000" w:themeColor="text1"/>
                                <w:sz w:val="16"/>
                                <w:u w:val="single"/>
                              </w:rPr>
                              <w:t>2014</w:t>
                            </w:r>
                            <w:r>
                              <w:rPr>
                                <w:rFonts w:ascii="Times New Roman" w:hAnsi="Calibri"/>
                                <w:b/>
                                <w:color w:val="000000" w:themeColor="text1"/>
                                <w:sz w:val="16"/>
                              </w:rPr>
                              <w:t xml:space="preserve"> et notifi</w:t>
                            </w:r>
                            <w:r>
                              <w:rPr>
                                <w:rFonts w:ascii="Times New Roman" w:hAnsi="Calibri"/>
                                <w:b/>
                                <w:color w:val="000000" w:themeColor="text1"/>
                                <w:sz w:val="16"/>
                              </w:rPr>
                              <w:t>é</w:t>
                            </w:r>
                            <w:r>
                              <w:rPr>
                                <w:rFonts w:ascii="Times New Roman" w:hAnsi="Calibri"/>
                                <w:b/>
                                <w:color w:val="000000" w:themeColor="text1"/>
                                <w:sz w:val="16"/>
                              </w:rPr>
                              <w:t>es aux agences</w:t>
                            </w:r>
                          </w:p>
                          <w:p>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6pt;margin-top:21.6pt;width:124.5pt;height: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" fillcolor="#92d050" strokecolor="#243f60 [1604]" strokeweight="2pt">
                <v:textbox>
                  <w:txbxContent>
                    <w:p>
                      <w:pPr>
                        <w:rPr>
                          <w:color w:val="000000" w:themeColor="text1"/>
                        </w:rPr>
                      </w:pPr>
                      <w:r>
                        <w:rPr>
                          <w:rFonts w:ascii="Times New Roman" w:hAnsi="Calibri"/>
                          <w:b/>
                          <w:color w:val="000000" w:themeColor="text1"/>
                          <w:sz w:val="16"/>
                        </w:rPr>
                        <w:t>R</w:t>
                      </w:r>
                      <w:r>
                        <w:rPr>
                          <w:rFonts w:ascii="Times New Roman" w:hAnsi="Calibri"/>
                          <w:b/>
                          <w:color w:val="000000" w:themeColor="text1"/>
                          <w:sz w:val="16"/>
                        </w:rPr>
                        <w:t>è</w:t>
                      </w:r>
                      <w:r>
                        <w:rPr>
                          <w:rFonts w:ascii="Times New Roman" w:hAnsi="Calibri"/>
                          <w:b/>
                          <w:color w:val="000000" w:themeColor="text1"/>
                          <w:sz w:val="16"/>
                        </w:rPr>
                        <w:t>gles d</w:t>
                      </w:r>
                      <w:r>
                        <w:rPr>
                          <w:rFonts w:ascii="Times New Roman" w:hAnsi="Calibri"/>
                          <w:b/>
                          <w:color w:val="000000" w:themeColor="text1"/>
                          <w:sz w:val="16"/>
                        </w:rPr>
                        <w:t>’</w:t>
                      </w:r>
                      <w:r>
                        <w:rPr>
                          <w:rFonts w:ascii="Times New Roman" w:hAnsi="Calibri"/>
                          <w:b/>
                          <w:color w:val="000000" w:themeColor="text1"/>
                          <w:sz w:val="16"/>
                        </w:rPr>
                        <w:t>ex</w:t>
                      </w:r>
                      <w:r>
                        <w:rPr>
                          <w:rFonts w:ascii="Times New Roman" w:hAnsi="Calibri"/>
                          <w:b/>
                          <w:color w:val="000000" w:themeColor="text1"/>
                          <w:sz w:val="16"/>
                        </w:rPr>
                        <w:t>é</w:t>
                      </w:r>
                      <w:r>
                        <w:rPr>
                          <w:rFonts w:ascii="Times New Roman" w:hAnsi="Calibri"/>
                          <w:b/>
                          <w:color w:val="000000" w:themeColor="text1"/>
                          <w:sz w:val="16"/>
                        </w:rPr>
                        <w:t>cution de la Commission adopt</w:t>
                      </w:r>
                      <w:r>
                        <w:rPr>
                          <w:rFonts w:ascii="Times New Roman" w:hAnsi="Calibri"/>
                          <w:b/>
                          <w:color w:val="000000" w:themeColor="text1"/>
                          <w:sz w:val="16"/>
                        </w:rPr>
                        <w:t>é</w:t>
                      </w:r>
                      <w:r>
                        <w:rPr>
                          <w:rFonts w:ascii="Times New Roman" w:hAnsi="Calibri"/>
                          <w:b/>
                          <w:color w:val="000000" w:themeColor="text1"/>
                          <w:sz w:val="16"/>
                        </w:rPr>
                        <w:t xml:space="preserve">es </w:t>
                      </w:r>
                      <w:r>
                        <w:rPr>
                          <w:rFonts w:ascii="Times New Roman" w:hAnsi="Calibri"/>
                          <w:b/>
                          <w:color w:val="000000" w:themeColor="text1"/>
                          <w:sz w:val="16"/>
                          <w:u w:val="single"/>
                        </w:rPr>
                        <w:t>apr</w:t>
                      </w:r>
                      <w:r>
                        <w:rPr>
                          <w:rFonts w:ascii="Times New Roman" w:hAnsi="Calibri"/>
                          <w:b/>
                          <w:color w:val="000000" w:themeColor="text1"/>
                          <w:sz w:val="16"/>
                          <w:u w:val="single"/>
                        </w:rPr>
                        <w:t>è</w:t>
                      </w:r>
                      <w:r>
                        <w:rPr>
                          <w:rFonts w:ascii="Times New Roman" w:hAnsi="Calibri"/>
                          <w:b/>
                          <w:color w:val="000000" w:themeColor="text1"/>
                          <w:sz w:val="16"/>
                          <w:u w:val="single"/>
                        </w:rPr>
                        <w:t>s la r</w:t>
                      </w:r>
                      <w:r>
                        <w:rPr>
                          <w:rFonts w:ascii="Times New Roman" w:hAnsi="Calibri"/>
                          <w:b/>
                          <w:color w:val="000000" w:themeColor="text1"/>
                          <w:sz w:val="16"/>
                          <w:u w:val="single"/>
                        </w:rPr>
                        <w:t>é</w:t>
                      </w:r>
                      <w:r>
                        <w:rPr>
                          <w:rFonts w:ascii="Times New Roman" w:hAnsi="Calibri"/>
                          <w:b/>
                          <w:color w:val="000000" w:themeColor="text1"/>
                          <w:sz w:val="16"/>
                          <w:u w:val="single"/>
                        </w:rPr>
                        <w:t>forme de</w:t>
                      </w:r>
                      <w:r>
                        <w:rPr>
                          <w:rFonts w:ascii="Times New Roman" w:hAnsi="Calibri"/>
                          <w:b/>
                          <w:color w:val="000000" w:themeColor="text1"/>
                          <w:sz w:val="16"/>
                          <w:u w:val="single"/>
                        </w:rPr>
                        <w:t> </w:t>
                      </w:r>
                      <w:r>
                        <w:rPr>
                          <w:rFonts w:ascii="Times New Roman" w:hAnsi="Calibri"/>
                          <w:b/>
                          <w:color w:val="000000" w:themeColor="text1"/>
                          <w:sz w:val="16"/>
                          <w:u w:val="single"/>
                        </w:rPr>
                        <w:t>2014</w:t>
                      </w:r>
                      <w:r>
                        <w:rPr>
                          <w:rFonts w:ascii="Times New Roman" w:hAnsi="Calibri"/>
                          <w:b/>
                          <w:color w:val="000000" w:themeColor="text1"/>
                          <w:sz w:val="16"/>
                        </w:rPr>
                        <w:t xml:space="preserve"> et notifi</w:t>
                      </w:r>
                      <w:r>
                        <w:rPr>
                          <w:rFonts w:ascii="Times New Roman" w:hAnsi="Calibri"/>
                          <w:b/>
                          <w:color w:val="000000" w:themeColor="text1"/>
                          <w:sz w:val="16"/>
                        </w:rPr>
                        <w:t>é</w:t>
                      </w:r>
                      <w:r>
                        <w:rPr>
                          <w:rFonts w:ascii="Times New Roman" w:hAnsi="Calibri"/>
                          <w:b/>
                          <w:color w:val="000000" w:themeColor="text1"/>
                          <w:sz w:val="16"/>
                        </w:rPr>
                        <w:t>es aux agences</w:t>
                      </w:r>
                    </w:p>
                    <w:p>
                      <w:pPr>
                        <w:jc w:val="center"/>
                        <w:rPr>
                          <w:lang w:val="en-US"/>
                        </w:rPr>
                      </w:pPr>
                    </w:p>
                  </w:txbxContent>
                </v:textbox>
              </v:rect>
            </w:pict>
          </mc:Fallback>
        </mc:AlternateContent>
      </w:r>
      <w:r>
        <w:rPr>
          <w:rFonts w:ascii="Times New Roman" w:hAnsi="Times New Roman"/>
          <w:b/>
          <w:i/>
          <w:noProof/>
        </w:rPr>
        <w:t>Légende:</w:t>
      </w:r>
    </w:p>
    <w:p>
      <w:pPr>
        <w:rPr>
          <w:rFonts w:ascii="Times New Roman" w:hAnsi="Times New Roman" w:cs="Times New Roman"/>
          <w:noProof/>
          <w:lang w:val="en-US"/>
        </w:rPr>
      </w:pPr>
    </w:p>
    <w:p>
      <w:pPr>
        <w:pageBreakBefore/>
        <w:jc w:val="center"/>
        <w:rPr>
          <w:rFonts w:ascii="Times New Roman Bold" w:eastAsia="Calibri" w:hAnsi="Times New Roman Bold" w:cs="Times New Roman"/>
          <w:b/>
          <w:smallCaps/>
          <w:noProof/>
          <w:sz w:val="24"/>
          <w:szCs w:val="24"/>
          <w:u w:val="single"/>
        </w:rPr>
      </w:pPr>
      <w:r>
        <w:rPr>
          <w:rFonts w:ascii="Times New Roman Bold" w:hAnsi="Times New Roman Bold"/>
          <w:b/>
          <w:smallCaps/>
          <w:noProof/>
          <w:sz w:val="24"/>
          <w:u w:val="single"/>
        </w:rPr>
        <w:lastRenderedPageBreak/>
        <w:t>Listes des agences, entreprises communes et organes de l’Union</w:t>
      </w:r>
    </w:p>
    <w:p>
      <w:pPr>
        <w:rPr>
          <w:rFonts w:ascii="Times New Roman Bold" w:eastAsia="Calibri" w:hAnsi="Times New Roman Bold" w:cs="Times New Roman"/>
          <w:b/>
          <w:smallCaps/>
          <w:noProof/>
          <w:sz w:val="24"/>
          <w:szCs w:val="24"/>
          <w:u w:val="single"/>
          <w:lang w:val="en-US"/>
        </w:rPr>
      </w:pPr>
    </w:p>
    <w:p>
      <w:pPr>
        <w:rPr>
          <w:rFonts w:ascii="Times New Roman" w:eastAsia="Calibri" w:hAnsi="Times New Roman" w:cs="Times New Roman"/>
          <w:b/>
          <w:noProof/>
          <w:sz w:val="24"/>
          <w:szCs w:val="24"/>
        </w:rPr>
      </w:pPr>
      <w:r>
        <w:rPr>
          <w:rFonts w:ascii="Times New Roman" w:hAnsi="Times New Roman"/>
          <w:b/>
          <w:noProof/>
          <w:sz w:val="24"/>
        </w:rPr>
        <w:t>Agences exécutives</w:t>
      </w:r>
      <w:r>
        <w:rPr>
          <w:rStyle w:val="FootnoteReference"/>
          <w:rFonts w:ascii="Times New Roman" w:eastAsia="Calibri" w:hAnsi="Times New Roman" w:cs="Times New Roman"/>
          <w:b/>
          <w:noProof/>
          <w:sz w:val="24"/>
          <w:szCs w:val="24"/>
          <w:lang w:val="en-US"/>
        </w:rPr>
        <w:footnoteReference w:id="6"/>
      </w:r>
    </w:p>
    <w:p>
      <w:pPr>
        <w:numPr>
          <w:ilvl w:val="0"/>
          <w:numId w:val="5"/>
        </w:numPr>
        <w:tabs>
          <w:tab w:val="left" w:pos="84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Agence exécutive européenne pour l’éducation et la culture (EACEA)</w:t>
      </w:r>
      <w:r>
        <w:rPr>
          <w:rStyle w:val="FootnoteReference"/>
          <w:rFonts w:ascii="Times New Roman" w:eastAsia="Calibri" w:hAnsi="Times New Roman" w:cs="Times New Roman"/>
          <w:noProof/>
          <w:sz w:val="24"/>
          <w:szCs w:val="24"/>
        </w:rPr>
        <w:footnoteReference w:id="7"/>
      </w:r>
    </w:p>
    <w:p>
      <w:pPr>
        <w:numPr>
          <w:ilvl w:val="0"/>
          <w:numId w:val="5"/>
        </w:numPr>
        <w:tabs>
          <w:tab w:val="left" w:pos="84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Agence exécutive pour le Conseil européen de l’innovation et les PME (Eismea)</w:t>
      </w:r>
      <w:r>
        <w:rPr>
          <w:rStyle w:val="FootnoteReference"/>
          <w:rFonts w:ascii="Times New Roman" w:eastAsia="Calibri" w:hAnsi="Times New Roman" w:cs="Times New Roman"/>
          <w:noProof/>
          <w:sz w:val="24"/>
          <w:szCs w:val="24"/>
        </w:rPr>
        <w:footnoteReference w:id="8"/>
      </w:r>
      <w:r>
        <w:rPr>
          <w:rFonts w:ascii="Times New Roman" w:hAnsi="Times New Roman"/>
          <w:noProof/>
          <w:sz w:val="24"/>
        </w:rPr>
        <w:t xml:space="preserve"> </w:t>
      </w:r>
    </w:p>
    <w:p>
      <w:pPr>
        <w:numPr>
          <w:ilvl w:val="0"/>
          <w:numId w:val="5"/>
        </w:numPr>
        <w:tabs>
          <w:tab w:val="left" w:pos="84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Agence exécutive du Conseil européen de la recherche (ERCEA)</w:t>
      </w:r>
    </w:p>
    <w:p>
      <w:pPr>
        <w:numPr>
          <w:ilvl w:val="0"/>
          <w:numId w:val="5"/>
        </w:numPr>
        <w:tabs>
          <w:tab w:val="left" w:pos="84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Agence exécutive européenne pour le climat, les infrastructures et l’environnement (CINEA)</w:t>
      </w:r>
      <w:r>
        <w:rPr>
          <w:rStyle w:val="FootnoteReference"/>
          <w:rFonts w:ascii="Times New Roman" w:eastAsia="Calibri" w:hAnsi="Times New Roman" w:cs="Times New Roman"/>
          <w:noProof/>
          <w:sz w:val="24"/>
          <w:szCs w:val="24"/>
        </w:rPr>
        <w:footnoteReference w:id="9"/>
      </w:r>
    </w:p>
    <w:p>
      <w:pPr>
        <w:numPr>
          <w:ilvl w:val="0"/>
          <w:numId w:val="5"/>
        </w:numPr>
        <w:tabs>
          <w:tab w:val="left" w:pos="84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Agence exécutive européenne pour la recherche (REA)</w:t>
      </w:r>
      <w:r>
        <w:rPr>
          <w:rStyle w:val="FootnoteReference"/>
          <w:rFonts w:ascii="Times New Roman" w:eastAsia="Calibri" w:hAnsi="Times New Roman" w:cs="Times New Roman"/>
          <w:noProof/>
          <w:sz w:val="24"/>
          <w:szCs w:val="24"/>
        </w:rPr>
        <w:footnoteReference w:id="10"/>
      </w:r>
    </w:p>
    <w:p>
      <w:pPr>
        <w:numPr>
          <w:ilvl w:val="0"/>
          <w:numId w:val="5"/>
        </w:numPr>
        <w:tabs>
          <w:tab w:val="left" w:pos="84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Agence exécutive européenne pour la santé et le numérique (HaDEA)</w:t>
      </w:r>
    </w:p>
    <w:p>
      <w:pPr>
        <w:rPr>
          <w:rFonts w:ascii="Times New Roman" w:eastAsia="Calibri" w:hAnsi="Times New Roman" w:cs="Times New Roman"/>
          <w:b/>
          <w:noProof/>
          <w:sz w:val="24"/>
          <w:szCs w:val="24"/>
        </w:rPr>
      </w:pPr>
      <w:r>
        <w:rPr>
          <w:rFonts w:ascii="Times New Roman" w:hAnsi="Times New Roman"/>
          <w:b/>
          <w:noProof/>
          <w:sz w:val="24"/>
        </w:rPr>
        <w:t>Agences décentralisées et organes de l’Union</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Agence de l’Union européenne pour la coopération des régulateurs de l’énergie (ACER)</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 xml:space="preserve">Agence de soutien à l’ORECE (Office de l’ORECE) </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Centre de traduction des organes de l’Union européenne (CdT)</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Centre européen pour le développement de la formation professionnelle (Cedefop)</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Agence de l’Union européenne pour la formation des services répressifs (CEPOL)</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Office communautaire des variétés végétales (OCVV)</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lastRenderedPageBreak/>
        <w:t>Agence de l’Union européenne pour la sécurité aérienne (AESA)</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Agence de l’Union européenne pour l’asile (AUEA)</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Autorité bancaire européenne (ABE)</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Centre européen de prévention et de contrôle des maladies (ECDC)</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Agence européenne des produits chimiques (ECHA)</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Agence européenne pour l’environnement (AEE)</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 xml:space="preserve">Agence européenne de contrôle des pêches (AECP) </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Autorité européenne de sécurité des aliments (EFSA)</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Institut européen pour l’égalité entre les hommes et les femmes (EIGE)</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 xml:space="preserve">Autorité européenne des assurances et des pensions professionnelles (AEAPP) </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Institut européen d’innovation et de technologie (EIT)</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Autorité européenne du travail (AET)</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Agence européenne des médicaments (EMA)</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Agence européenne pour la sécurité maritime (AESM)</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Observatoire européen des drogues et des toxicomanies (OEDT)</w:t>
      </w:r>
      <w:r>
        <w:rPr>
          <w:rStyle w:val="FootnoteReference"/>
          <w:rFonts w:ascii="Times New Roman" w:eastAsia="Times New Roman" w:hAnsi="Times New Roman" w:cs="Times New Roman"/>
          <w:iCs/>
          <w:noProof/>
          <w:sz w:val="24"/>
          <w:szCs w:val="24"/>
          <w:lang w:eastAsia="en-GB"/>
        </w:rPr>
        <w:footnoteReference w:id="11"/>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Agence de l’Union européenne pour la cybersécurité (ENISA)</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Parquet européen</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Agence de l’Union européenne pour les chemins de fer (AFE)</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Autorité européenne des marchés financiers (AEMF)</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Fondation européenne pour la formation (ETF)</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 xml:space="preserve">Office de l’Union européenne pour la propriété intellectuelle (OUEPI) </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Agence européenne pour la gestion opérationnelle des systèmes d’information à grande échelle au sein de l’espace de liberté, de sécurité et de justice (eu-LISA)</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Agence européenne pour la sécurité et la santé au travail (EU-OSHA)</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Fondation européenne pour l’amélioration des conditions de vie et de travail (Eurofound)</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Unité de coopération judiciaire de l’Union européenne (Eurojust)</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Agence de l’Union européenne pour la coopération des services répressifs (Europol)</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lastRenderedPageBreak/>
        <w:t>Agence des droits fondamentaux de l’Union européenne (FRA)</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Agence européenne de garde-frontières et de garde-côtes (Frontex)</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Agence de l’Union européenne pour le programme spatial (EUSPA)</w:t>
      </w:r>
    </w:p>
    <w:p>
      <w:pPr>
        <w:numPr>
          <w:ilvl w:val="0"/>
          <w:numId w:val="6"/>
        </w:numPr>
        <w:spacing w:before="100" w:beforeAutospacing="1" w:after="100" w:afterAutospacing="1"/>
        <w:jc w:val="both"/>
        <w:rPr>
          <w:rFonts w:ascii="Times New Roman" w:eastAsia="Times New Roman" w:hAnsi="Times New Roman" w:cs="Times New Roman"/>
          <w:iCs/>
          <w:noProof/>
          <w:sz w:val="24"/>
          <w:szCs w:val="24"/>
        </w:rPr>
      </w:pPr>
      <w:r>
        <w:rPr>
          <w:rFonts w:ascii="Times New Roman" w:hAnsi="Times New Roman"/>
          <w:noProof/>
          <w:sz w:val="24"/>
        </w:rPr>
        <w:t>Conseil de résolution unique (CRU)</w:t>
      </w:r>
    </w:p>
    <w:p>
      <w:pPr>
        <w:spacing w:before="100" w:beforeAutospacing="1" w:after="100" w:afterAutospacing="1"/>
        <w:rPr>
          <w:rFonts w:ascii="Times New Roman" w:eastAsia="Calibri" w:hAnsi="Times New Roman" w:cs="Times New Roman"/>
          <w:b/>
          <w:noProof/>
          <w:sz w:val="24"/>
          <w:szCs w:val="24"/>
        </w:rPr>
      </w:pPr>
      <w:r>
        <w:rPr>
          <w:rFonts w:ascii="Times New Roman" w:hAnsi="Times New Roman"/>
          <w:b/>
          <w:noProof/>
          <w:sz w:val="24"/>
        </w:rPr>
        <w:t>Entreprises communes</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Entreprise commune «Une Europe fondée sur la bioéconomie circulaire»</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Entreprise commune «Aviation propre»</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Entreprise commune «Semi-conducteurs»</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Entreprise commune «Hydrogène propre»</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Centre de compétences européen en matière de cybersécurité</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 xml:space="preserve">Entreprise commune européenne pour le calcul à haute performance </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Entreprise commune européenne pour ITER et le développement de l’énergie de fusion</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Entreprise commune «Système ferroviaire européen»</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Entreprise commune «EDCTP3 pour la santé mondiale»</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Entreprise commune «Initiative en matière de santé innovante»</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Entreprise commune SESAR</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hAnsi="Times New Roman"/>
          <w:noProof/>
          <w:sz w:val="24"/>
        </w:rPr>
        <w:t>Entreprise commune «Réseaux et services intelligents»</w:t>
      </w:r>
    </w:p>
    <w:sectPr>
      <w:headerReference w:type="even" r:id="rId15"/>
      <w:headerReference w:type="default" r:id="rId16"/>
      <w:footerReference w:type="even" r:id="rId17"/>
      <w:footerReference w:type="default" r:id="rId18"/>
      <w:headerReference w:type="first" r:id="rId19"/>
      <w:footerReference w:type="first" r:id="rId20"/>
      <w:pgSz w:w="16840" w:h="11900" w:orient="landscape" w:code="9"/>
      <w:pgMar w:top="560" w:right="280" w:bottom="220" w:left="1280" w:header="1082"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contextualSpacing/>
        <w:rPr>
          <w:rFonts w:ascii="Times New Roman" w:hAnsi="Times New Roman" w:cs="Times New Roman"/>
          <w:sz w:val="16"/>
          <w:szCs w:val="16"/>
        </w:rPr>
      </w:pPr>
      <w:r>
        <w:rPr>
          <w:rStyle w:val="FootnoteReference"/>
          <w:rFonts w:ascii="Times New Roman" w:hAnsi="Times New Roman" w:cs="Times New Roman"/>
        </w:rPr>
        <w:footnoteRef/>
      </w:r>
      <w:r>
        <w:t xml:space="preserve"> </w:t>
      </w:r>
      <w:r>
        <w:rPr>
          <w:rFonts w:ascii="Times New Roman" w:hAnsi="Times New Roman"/>
          <w:sz w:val="16"/>
        </w:rPr>
        <w:t>Une liste complète des agences exécutives, entreprises communes, agences décentralisées et organes de l'Union figure à la fin de la présente annexe.</w:t>
      </w:r>
    </w:p>
  </w:footnote>
  <w:footnote w:id="2">
    <w:p>
      <w:pPr>
        <w:pStyle w:val="FootnoteText"/>
        <w:contextualSpacing/>
        <w:rPr>
          <w:rFonts w:ascii="Times New Roman" w:hAnsi="Times New Roman" w:cs="Times New Roman"/>
          <w:sz w:val="16"/>
          <w:szCs w:val="16"/>
        </w:rPr>
      </w:pPr>
      <w:r>
        <w:rPr>
          <w:rStyle w:val="FootnoteReference"/>
          <w:rFonts w:ascii="Times New Roman" w:hAnsi="Times New Roman" w:cs="Times New Roman"/>
        </w:rPr>
        <w:footnoteRef/>
      </w:r>
      <w:r>
        <w:t xml:space="preserve"> </w:t>
      </w:r>
      <w:r>
        <w:rPr>
          <w:rFonts w:ascii="Times New Roman" w:hAnsi="Times New Roman"/>
          <w:sz w:val="16"/>
        </w:rPr>
        <w:t>Les règles d'exécution du statut adoptées par les agences avant la réforme de 2014 sont mentionnées lorsqu'une décision de la Commission existe sur le sujet.</w:t>
      </w:r>
    </w:p>
  </w:footnote>
  <w:footnote w:id="3">
    <w:p>
      <w:pPr>
        <w:pStyle w:val="FootnoteText"/>
        <w:contextualSpacing/>
        <w:jc w:val="both"/>
        <w:rPr>
          <w:rFonts w:ascii="Times New Roman" w:hAnsi="Times New Roman" w:cs="Times New Roman"/>
          <w:sz w:val="16"/>
          <w:szCs w:val="16"/>
        </w:rPr>
      </w:pPr>
      <w:r>
        <w:rPr>
          <w:rStyle w:val="FootnoteReference"/>
          <w:rFonts w:ascii="Times New Roman" w:hAnsi="Times New Roman" w:cs="Times New Roman"/>
        </w:rPr>
        <w:footnoteRef/>
      </w:r>
      <w:r>
        <w:t xml:space="preserve"> </w:t>
      </w:r>
      <w:r>
        <w:rPr>
          <w:rFonts w:ascii="Times New Roman" w:hAnsi="Times New Roman"/>
          <w:sz w:val="16"/>
        </w:rPr>
        <w:t xml:space="preserve">Une règle d'exécution de la Commission s'applique par analogie dans les agences neuf mois après son entrée en vigueur au sein de la Commission ou neuf mois après la date à laquelle la Commission a informé les agences de l'adoption de la règle d'exécution concernée, si cette date est postérieure. </w:t>
      </w:r>
    </w:p>
  </w:footnote>
  <w:footnote w:id="4">
    <w:p>
      <w:pPr>
        <w:pStyle w:val="FootnoteText"/>
        <w:contextualSpacing/>
        <w:rPr>
          <w:rFonts w:ascii="Times New Roman" w:hAnsi="Times New Roman" w:cs="Times New Roman"/>
          <w:sz w:val="16"/>
          <w:szCs w:val="16"/>
        </w:rPr>
      </w:pPr>
      <w:r>
        <w:rPr>
          <w:rStyle w:val="FootnoteReference"/>
          <w:rFonts w:ascii="Times New Roman" w:hAnsi="Times New Roman" w:cs="Times New Roman"/>
        </w:rPr>
        <w:footnoteRef/>
      </w:r>
      <w:r>
        <w:t xml:space="preserve"> </w:t>
      </w:r>
      <w:r>
        <w:rPr>
          <w:rFonts w:ascii="Times New Roman" w:hAnsi="Times New Roman"/>
          <w:sz w:val="16"/>
        </w:rPr>
        <w:t>Les règles d'exécution du statut adoptées par les agences avant la réforme de 2014 sont mentionnées lorsqu'une décision de la Commission existe sur le sujet.</w:t>
      </w:r>
    </w:p>
  </w:footnote>
  <w:footnote w:id="5">
    <w:p>
      <w:pPr>
        <w:pStyle w:val="FootnoteText"/>
        <w:contextualSpacing/>
        <w:rPr>
          <w:rFonts w:ascii="Times New Roman" w:hAnsi="Times New Roman" w:cs="Times New Roman"/>
          <w:sz w:val="16"/>
          <w:szCs w:val="16"/>
        </w:rPr>
      </w:pPr>
      <w:r>
        <w:rPr>
          <w:rStyle w:val="FootnoteReference"/>
          <w:rFonts w:ascii="Times New Roman" w:hAnsi="Times New Roman" w:cs="Times New Roman"/>
        </w:rPr>
        <w:footnoteRef/>
      </w:r>
      <w:r>
        <w:rPr>
          <w:rStyle w:val="FootnoteReference"/>
        </w:rPr>
        <w:t xml:space="preserve"> </w:t>
      </w:r>
      <w:r>
        <w:rPr>
          <w:rFonts w:ascii="Times New Roman" w:hAnsi="Times New Roman"/>
          <w:sz w:val="16"/>
        </w:rPr>
        <w:t xml:space="preserve">Veuillez noter que ces chiffres comprennent également les règles adoptées par analogie sur la base des règles d'exécution de la Commission qui ont été notifiées par la Commission aux agences, même si elles avaient été adoptées avant la réforme de 2014. </w:t>
      </w:r>
    </w:p>
  </w:footnote>
  <w:footnote w:id="6">
    <w:p>
      <w:pPr>
        <w:tabs>
          <w:tab w:val="left" w:pos="840"/>
        </w:tabs>
        <w:spacing w:after="0"/>
        <w:contextualSpacing/>
        <w:rPr>
          <w:rFonts w:ascii="Times New Roman" w:eastAsia="Calibri" w:hAnsi="Times New Roman" w:cs="Times New Roman"/>
          <w:noProof/>
        </w:rPr>
      </w:pPr>
      <w:r>
        <w:rPr>
          <w:rStyle w:val="FootnoteReference"/>
          <w:rFonts w:ascii="Times New Roman" w:hAnsi="Times New Roman" w:cs="Times New Roman"/>
          <w:sz w:val="20"/>
          <w:szCs w:val="20"/>
        </w:rPr>
        <w:footnoteRef/>
      </w:r>
      <w:r>
        <w:rPr>
          <w:rFonts w:ascii="Times New Roman" w:hAnsi="Times New Roman"/>
          <w:sz w:val="20"/>
        </w:rPr>
        <w:t xml:space="preserve"> </w:t>
      </w:r>
      <w:r>
        <w:rPr>
          <w:rFonts w:ascii="Times New Roman" w:hAnsi="Times New Roman"/>
          <w:sz w:val="20"/>
        </w:rPr>
        <w:tab/>
        <w:t>En vertu de la décision d’exécution (UE) 2021/173 de la Commission du 12 février 2021, l’Agence exécutive pour les consommateurs, la santé, l’agriculture et l’alimentation (Chafea) a cessé d’exister le 1</w:t>
      </w:r>
      <w:r>
        <w:rPr>
          <w:rFonts w:ascii="Times New Roman" w:hAnsi="Times New Roman"/>
          <w:sz w:val="20"/>
          <w:vertAlign w:val="superscript"/>
        </w:rPr>
        <w:t>er</w:t>
      </w:r>
      <w:r>
        <w:rPr>
          <w:rFonts w:ascii="Times New Roman" w:hAnsi="Times New Roman"/>
          <w:sz w:val="20"/>
        </w:rPr>
        <w:t xml:space="preserve"> avril 2021, JO L 50/9 du 15.2.2021. </w:t>
      </w:r>
    </w:p>
  </w:footnote>
  <w:footnote w:id="7">
    <w:p>
      <w:pPr>
        <w:pStyle w:val="FootnoteText"/>
        <w:ind w:left="840" w:hanging="840"/>
        <w:contextualSpacing/>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L’Agence exécutive européenne pour l’éducation et la culture succède à l’Agence exécutive «Éducation, audiovisuel et culture», qu'elle remplace, voir décision d’exécution (UE) 2021/173 de la Commission, idem.</w:t>
      </w:r>
    </w:p>
  </w:footnote>
  <w:footnote w:id="8">
    <w:p>
      <w:pPr>
        <w:tabs>
          <w:tab w:val="left" w:pos="840"/>
        </w:tabs>
        <w:spacing w:after="100" w:afterAutospacing="1"/>
        <w:contextualSpacing/>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sz w:val="20"/>
        </w:rPr>
        <w:t xml:space="preserve"> </w:t>
      </w:r>
      <w:r>
        <w:rPr>
          <w:rFonts w:ascii="Times New Roman" w:hAnsi="Times New Roman"/>
          <w:sz w:val="20"/>
        </w:rPr>
        <w:tab/>
        <w:t>L’Agence exécutive pour le Conseil européen de l’innovation et les PME succède à l’Agence exécutive pour les petites et moyennes entreprises, qu'elle remplace, voir décision d’exécution (UE) 2021/173 de la Commission, idem.</w:t>
      </w:r>
    </w:p>
  </w:footnote>
  <w:footnote w:id="9">
    <w:p>
      <w:pPr>
        <w:tabs>
          <w:tab w:val="left" w:pos="840"/>
        </w:tabs>
        <w:spacing w:before="100" w:beforeAutospacing="1" w:after="100" w:afterAutospacing="1"/>
        <w:contextualSpacing/>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sz w:val="20"/>
        </w:rPr>
        <w:t xml:space="preserve"> </w:t>
      </w:r>
      <w:r>
        <w:rPr>
          <w:rFonts w:ascii="Times New Roman" w:hAnsi="Times New Roman"/>
          <w:sz w:val="20"/>
        </w:rPr>
        <w:tab/>
        <w:t>L’Agence exécutive européenne pour le climat, les infrastructures et l’environnement succède à l’Agence exécutive pour l’innovation et les réseaux, qu'elle remplace, voir décision d’exécution (UE) 2021/173 de la Commission, idem.</w:t>
      </w:r>
    </w:p>
  </w:footnote>
  <w:footnote w:id="10">
    <w:p>
      <w:pPr>
        <w:tabs>
          <w:tab w:val="left" w:pos="840"/>
        </w:tabs>
        <w:spacing w:before="100" w:beforeAutospacing="1" w:after="100" w:afterAutospacing="1"/>
        <w:contextualSpacing/>
      </w:pPr>
      <w:r>
        <w:rPr>
          <w:rStyle w:val="FootnoteReference"/>
          <w:rFonts w:ascii="Times New Roman" w:hAnsi="Times New Roman" w:cs="Times New Roman"/>
          <w:sz w:val="20"/>
          <w:szCs w:val="20"/>
        </w:rPr>
        <w:footnoteRef/>
      </w:r>
      <w:r>
        <w:rPr>
          <w:rFonts w:ascii="Times New Roman" w:hAnsi="Times New Roman"/>
          <w:sz w:val="20"/>
        </w:rPr>
        <w:t xml:space="preserve"> </w:t>
      </w:r>
      <w:r>
        <w:rPr>
          <w:rFonts w:ascii="Times New Roman" w:hAnsi="Times New Roman"/>
          <w:sz w:val="20"/>
        </w:rPr>
        <w:tab/>
        <w:t>L’Agence exécutive européenne pour la recherche succède à l’Agence exécutive pour la recherche, qu'elle remplace, voir décision d’exécution (UE) 2021/173 de la Commission, idem.</w:t>
      </w:r>
    </w:p>
  </w:footnote>
  <w:footnote w:id="11">
    <w:p>
      <w:pPr>
        <w:pStyle w:val="FootnoteText"/>
        <w:contextualSpacing/>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L'Agence de l’Union européenne sur les drogues remplace l'Observatoire européen des drogues et des toxicomanies conformément au règlement ((UE) 2023/1322 du Parlement européen et du Conseil du 27 juin 2023 relatif à l’Agence de l’Union européenne sur les drogues (EUDA), et abrogeant le règlement (CE) nº 1920/2006 avec effet au 2 juillet 2024, JO L166 du 30 juin 2023, p. 12.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3954243"/>
      <w:docPartObj>
        <w:docPartGallery w:val="Page Numbers (Top of Page)"/>
        <w:docPartUnique/>
      </w:docPartObj>
    </w:sdtPr>
    <w:sdtEndPr>
      <w:rPr>
        <w:noProof/>
      </w:rPr>
    </w:sdtEndPr>
    <w:sdtContent>
      <w:p>
        <w:pPr>
          <w:pStyle w:val="Header"/>
          <w:jc w:val="right"/>
        </w:pPr>
        <w:r>
          <w:fldChar w:fldCharType="begin"/>
        </w:r>
        <w:r>
          <w:instrText xml:space="preserve"> PAGE   \* MERGEFORMAT </w:instrText>
        </w:r>
        <w:r>
          <w:fldChar w:fldCharType="separate"/>
        </w:r>
        <w:r>
          <w:t>1</w:t>
        </w:r>
        <w:r>
          <w:fldChar w:fldCharType="end"/>
        </w:r>
      </w:p>
    </w:sdtContent>
  </w:sdt>
  <w:p>
    <w:pPr>
      <w:spacing w:line="14" w:lineRule="auto"/>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A06EB"/>
    <w:multiLevelType w:val="hybridMultilevel"/>
    <w:tmpl w:val="13226402"/>
    <w:lvl w:ilvl="0" w:tplc="1809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1" w15:restartNumberingAfterBreak="0">
    <w:nsid w:val="19837E31"/>
    <w:multiLevelType w:val="hybridMultilevel"/>
    <w:tmpl w:val="DF08BC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EC07085"/>
    <w:multiLevelType w:val="hybridMultilevel"/>
    <w:tmpl w:val="CF3E3BEE"/>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1D0569E"/>
    <w:multiLevelType w:val="hybridMultilevel"/>
    <w:tmpl w:val="13226402"/>
    <w:lvl w:ilvl="0" w:tplc="1809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4" w15:restartNumberingAfterBreak="0">
    <w:nsid w:val="611D6D7F"/>
    <w:multiLevelType w:val="hybridMultilevel"/>
    <w:tmpl w:val="E842B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802C46"/>
    <w:multiLevelType w:val="hybridMultilevel"/>
    <w:tmpl w:val="13226402"/>
    <w:lvl w:ilvl="0" w:tplc="1809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6" w15:restartNumberingAfterBreak="0">
    <w:nsid w:val="759C2B42"/>
    <w:multiLevelType w:val="hybridMultilevel"/>
    <w:tmpl w:val="59CC632A"/>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4"/>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ACCOMPAGNANT.CP" w:val="du"/>
    <w:docVar w:name="LW_ANNEX_NBR_FIRST" w:val="4"/>
    <w:docVar w:name="LW_ANNEX_NBR_LAST" w:val="4"/>
    <w:docVar w:name="LW_ANNEX_UNIQUE" w:val="0"/>
    <w:docVar w:name="LW_CORRIGENDUM" w:val="&lt;UNUSED&gt;"/>
    <w:docVar w:name="LW_COVERPAGE_EXISTS" w:val="True"/>
    <w:docVar w:name="LW_COVERPAGE_GUID" w:val="BAF20224-43AD-4A3C-8C3E-E2FCAE7EF6D7"/>
    <w:docVar w:name="LW_COVERPAGE_TYPE" w:val="1"/>
    <w:docVar w:name="LW_CROSSREFERENCE" w:val="&lt;UNUSED&gt;"/>
    <w:docVar w:name="LW_DocType" w:val="NORMAL"/>
    <w:docVar w:name="LW_EMISSION" w:val="17.9.2026"/>
    <w:docVar w:name="LW_EMISSION_ISODATE" w:val="2026-09-17"/>
    <w:docVar w:name="LW_EMISSION_LOCATION" w:val="BRX"/>
    <w:docVar w:name="LW_EMISSION_PREFIX" w:val="Bruxelles, le "/>
    <w:docVar w:name="LW_EMISSION_SUFFIX" w:val=" "/>
    <w:docVar w:name="LW_ID_DOCTYPE_NONLW" w:val="CP-039"/>
    <w:docVar w:name="LW_LANGUE" w:val="FR"/>
    <w:docVar w:name="LW_LEVEL_OF_SENSITIVITY" w:val="Standard treatment"/>
    <w:docVar w:name="LW_NOM.INST" w:val="COMMISSION EUROPÉENNE"/>
    <w:docVar w:name="LW_NOM.INST_JOINTDOC" w:val="&lt;EMPTY&gt;"/>
    <w:docVar w:name="LW_OBJETACTEPRINCIPAL.CP" w:val="&lt;FMT:Font=Calibri&gt;sur les règles d\u8217?exécution du statut des fonctionnaires adoptées par l\u8217?autorité investie du pouvoir de nomination de chaque institution&lt;/FMT&gt;_x000d__x000b_"/>
    <w:docVar w:name="LW_PART_NBR" w:val="1"/>
    <w:docVar w:name="LW_PART_NBR_TOTAL" w:val="1"/>
    <w:docVar w:name="LW_REF.INST.NEW" w:val="COM"/>
    <w:docVar w:name="LW_REF.INST.NEW_ADOPTED" w:val="final"/>
    <w:docVar w:name="LW_REF.INST.NEW_TEXT" w:val="(2026) 47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RAPPORT DE LA COMMISSION AU PARLEMENT EUROPÉEN ET A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B56465F-5F06-471E-8C4F-2D6D24124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uiPriority w:val="99"/>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numbering" w:customStyle="1" w:styleId="NoList1">
    <w:name w:val="No List1"/>
    <w:next w:val="NoList"/>
    <w:uiPriority w:val="99"/>
    <w:semiHidden/>
    <w:unhideWhenUsed/>
  </w:style>
  <w:style w:type="paragraph" w:styleId="BodyText">
    <w:name w:val="Body Text"/>
    <w:basedOn w:val="Normal"/>
    <w:link w:val="BodyTextChar"/>
    <w:uiPriority w:val="1"/>
    <w:qFormat/>
    <w:pPr>
      <w:widowControl w:val="0"/>
      <w:spacing w:before="83" w:after="0" w:line="240" w:lineRule="auto"/>
      <w:ind w:left="920"/>
    </w:pPr>
    <w:rPr>
      <w:rFonts w:ascii="Times New Roman" w:eastAsia="Times New Roman" w:hAnsi="Times New Roman"/>
      <w:i/>
      <w:sz w:val="15"/>
      <w:szCs w:val="15"/>
    </w:rPr>
  </w:style>
  <w:style w:type="character" w:customStyle="1" w:styleId="BodyTextChar">
    <w:name w:val="Body Text Char"/>
    <w:basedOn w:val="DefaultParagraphFont"/>
    <w:link w:val="BodyText"/>
    <w:uiPriority w:val="1"/>
    <w:rPr>
      <w:rFonts w:ascii="Times New Roman" w:eastAsia="Times New Roman" w:hAnsi="Times New Roman"/>
      <w:i/>
      <w:sz w:val="15"/>
      <w:szCs w:val="15"/>
      <w:lang w:val="fr-FR"/>
    </w:rPr>
  </w:style>
  <w:style w:type="paragraph" w:styleId="ListParagraph">
    <w:name w:val="List Paragraph"/>
    <w:basedOn w:val="Normal"/>
    <w:uiPriority w:val="34"/>
    <w:qFormat/>
    <w:pPr>
      <w:widowControl w:val="0"/>
      <w:spacing w:after="0" w:line="240" w:lineRule="auto"/>
    </w:pPr>
  </w:style>
  <w:style w:type="paragraph" w:customStyle="1" w:styleId="TableParagraph">
    <w:name w:val="Table Paragraph"/>
    <w:basedOn w:val="Normal"/>
    <w:uiPriority w:val="1"/>
    <w:qFormat/>
    <w:pPr>
      <w:widowControl w:val="0"/>
      <w:spacing w:after="0" w:line="240" w:lineRule="auto"/>
    </w:pPr>
  </w:style>
  <w:style w:type="numbering" w:customStyle="1" w:styleId="NoList2">
    <w:name w:val="No List2"/>
    <w:next w:val="NoList"/>
    <w:uiPriority w:val="99"/>
    <w:semiHidden/>
    <w:unhideWhenUsed/>
  </w:style>
  <w:style w:type="numbering" w:customStyle="1" w:styleId="NoList3">
    <w:name w:val="No List3"/>
    <w:next w:val="NoList"/>
    <w:uiPriority w:val="99"/>
    <w:semiHidden/>
    <w:unhideWhenUsed/>
  </w:style>
  <w:style w:type="numbering" w:customStyle="1" w:styleId="NoList4">
    <w:name w:val="No List4"/>
    <w:next w:val="NoList"/>
    <w:uiPriority w:val="99"/>
    <w:semiHidden/>
    <w:unhideWhenUsed/>
  </w:style>
  <w:style w:type="numbering" w:customStyle="1" w:styleId="NoList5">
    <w:name w:val="No List5"/>
    <w:next w:val="NoList"/>
    <w:uiPriority w:val="99"/>
    <w:semiHidden/>
    <w:unhideWhenUsed/>
  </w:style>
  <w:style w:type="numbering" w:customStyle="1" w:styleId="NoList6">
    <w:name w:val="No List6"/>
    <w:next w:val="NoList"/>
    <w:uiPriority w:val="99"/>
    <w:semiHidden/>
    <w:unhideWhenUsed/>
  </w:style>
  <w:style w:type="paragraph" w:customStyle="1" w:styleId="Titreobjet">
    <w:name w:val="Titre objet"/>
    <w:basedOn w:val="Normal"/>
    <w:next w:val="Normal"/>
    <w:pPr>
      <w:spacing w:before="360" w:after="360" w:line="240" w:lineRule="auto"/>
      <w:jc w:val="center"/>
    </w:pPr>
    <w:rPr>
      <w:rFonts w:ascii="Times New Roman" w:eastAsia="Times New Roman" w:hAnsi="Times New Roman" w:cs="Times New Roman"/>
      <w:b/>
      <w:bCs/>
      <w:sz w:val="24"/>
      <w:szCs w:val="24"/>
      <w:lang w:eastAsia="en-GB"/>
    </w:rPr>
  </w:style>
  <w:style w:type="paragraph" w:customStyle="1" w:styleId="Typedudocument">
    <w:name w:val="Type du document"/>
    <w:basedOn w:val="Normal"/>
    <w:next w:val="Normal"/>
    <w:pPr>
      <w:spacing w:before="360" w:after="0" w:line="240" w:lineRule="auto"/>
      <w:jc w:val="center"/>
    </w:pPr>
    <w:rPr>
      <w:rFonts w:ascii="Times New Roman" w:eastAsia="Times New Roman" w:hAnsi="Times New Roman" w:cs="Times New Roman"/>
      <w:b/>
      <w:bCs/>
      <w:sz w:val="24"/>
      <w:szCs w:val="24"/>
      <w:lang w:eastAsia="en-GB"/>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semiHidden/>
    <w:unhideWhenUsed/>
    <w:pPr>
      <w:spacing w:before="30" w:after="150" w:line="240" w:lineRule="auto"/>
    </w:pPr>
    <w:rPr>
      <w:rFonts w:ascii="Arial" w:eastAsia="Times New Roman" w:hAnsi="Arial" w:cs="Arial"/>
      <w:sz w:val="24"/>
      <w:szCs w:val="24"/>
      <w:lang w:eastAsia="en-GB"/>
    </w:rPr>
  </w:style>
  <w:style w:type="paragraph" w:styleId="Date">
    <w:name w:val="Date"/>
    <w:basedOn w:val="Normal"/>
    <w:next w:val="Normal"/>
    <w:link w:val="DateChar"/>
    <w:uiPriority w:val="99"/>
    <w:semiHidden/>
    <w:unhideWhenUsed/>
    <w:pPr>
      <w:spacing w:after="0" w:line="240" w:lineRule="auto"/>
      <w:ind w:left="5103" w:right="-567"/>
    </w:pPr>
    <w:rPr>
      <w:rFonts w:ascii="Times New Roman" w:eastAsia="Times New Roman" w:hAnsi="Times New Roman" w:cs="Times New Roman"/>
      <w:sz w:val="24"/>
      <w:szCs w:val="20"/>
      <w:lang w:eastAsia="en-GB"/>
    </w:rPr>
  </w:style>
  <w:style w:type="character" w:customStyle="1" w:styleId="DateChar">
    <w:name w:val="Date Char"/>
    <w:basedOn w:val="DefaultParagraphFont"/>
    <w:link w:val="Date"/>
    <w:uiPriority w:val="99"/>
    <w:semiHidden/>
    <w:rPr>
      <w:rFonts w:ascii="Times New Roman" w:eastAsia="Times New Roman" w:hAnsi="Times New Roman" w:cs="Times New Roman"/>
      <w:sz w:val="24"/>
      <w:szCs w:val="20"/>
      <w:lang w:val="fr-FR" w:eastAsia="en-GB"/>
    </w:rPr>
  </w:style>
  <w:style w:type="paragraph" w:customStyle="1" w:styleId="bodytext1">
    <w:name w:val="bodytext1"/>
    <w:basedOn w:val="Normal"/>
    <w:uiPriority w:val="99"/>
    <w:pPr>
      <w:spacing w:after="0" w:line="360" w:lineRule="auto"/>
    </w:pPr>
    <w:rPr>
      <w:rFonts w:ascii="Times New Roman" w:eastAsia="Times New Roman" w:hAnsi="Times New Roman" w:cs="Times New Roman"/>
      <w:color w:val="666666"/>
      <w:sz w:val="18"/>
      <w:szCs w:val="18"/>
      <w:lang w:eastAsia="en-GB"/>
    </w:rPr>
  </w:style>
  <w:style w:type="table" w:styleId="TableGrid">
    <w:name w:val="Table Grid"/>
    <w:basedOn w:val="TableNormal"/>
    <w:uiPriority w:val="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paragraph" w:styleId="Revision">
    <w:name w:val="Revision"/>
    <w:hidden/>
    <w:uiPriority w:val="99"/>
    <w:semiHidden/>
    <w:pPr>
      <w:spacing w:after="0" w:line="240" w:lineRule="auto"/>
    </w:p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28038">
      <w:bodyDiv w:val="1"/>
      <w:marLeft w:val="0"/>
      <w:marRight w:val="0"/>
      <w:marTop w:val="0"/>
      <w:marBottom w:val="0"/>
      <w:divBdr>
        <w:top w:val="none" w:sz="0" w:space="0" w:color="auto"/>
        <w:left w:val="none" w:sz="0" w:space="0" w:color="auto"/>
        <w:bottom w:val="none" w:sz="0" w:space="0" w:color="auto"/>
        <w:right w:val="none" w:sz="0" w:space="0" w:color="auto"/>
      </w:divBdr>
    </w:div>
    <w:div w:id="258609955">
      <w:bodyDiv w:val="1"/>
      <w:marLeft w:val="0"/>
      <w:marRight w:val="0"/>
      <w:marTop w:val="0"/>
      <w:marBottom w:val="0"/>
      <w:divBdr>
        <w:top w:val="none" w:sz="0" w:space="0" w:color="auto"/>
        <w:left w:val="none" w:sz="0" w:space="0" w:color="auto"/>
        <w:bottom w:val="none" w:sz="0" w:space="0" w:color="auto"/>
        <w:right w:val="none" w:sz="0" w:space="0" w:color="auto"/>
      </w:divBdr>
    </w:div>
    <w:div w:id="722097731">
      <w:bodyDiv w:val="1"/>
      <w:marLeft w:val="0"/>
      <w:marRight w:val="0"/>
      <w:marTop w:val="0"/>
      <w:marBottom w:val="0"/>
      <w:divBdr>
        <w:top w:val="none" w:sz="0" w:space="0" w:color="auto"/>
        <w:left w:val="none" w:sz="0" w:space="0" w:color="auto"/>
        <w:bottom w:val="none" w:sz="0" w:space="0" w:color="auto"/>
        <w:right w:val="none" w:sz="0" w:space="0" w:color="auto"/>
      </w:divBdr>
    </w:div>
    <w:div w:id="772553434">
      <w:bodyDiv w:val="1"/>
      <w:marLeft w:val="0"/>
      <w:marRight w:val="0"/>
      <w:marTop w:val="0"/>
      <w:marBottom w:val="0"/>
      <w:divBdr>
        <w:top w:val="none" w:sz="0" w:space="0" w:color="auto"/>
        <w:left w:val="none" w:sz="0" w:space="0" w:color="auto"/>
        <w:bottom w:val="none" w:sz="0" w:space="0" w:color="auto"/>
        <w:right w:val="none" w:sz="0" w:space="0" w:color="auto"/>
      </w:divBdr>
    </w:div>
    <w:div w:id="1479112716">
      <w:bodyDiv w:val="1"/>
      <w:marLeft w:val="0"/>
      <w:marRight w:val="0"/>
      <w:marTop w:val="0"/>
      <w:marBottom w:val="0"/>
      <w:divBdr>
        <w:top w:val="none" w:sz="0" w:space="0" w:color="auto"/>
        <w:left w:val="none" w:sz="0" w:space="0" w:color="auto"/>
        <w:bottom w:val="none" w:sz="0" w:space="0" w:color="auto"/>
        <w:right w:val="none" w:sz="0" w:space="0" w:color="auto"/>
      </w:divBdr>
    </w:div>
    <w:div w:id="1686051468">
      <w:bodyDiv w:val="1"/>
      <w:marLeft w:val="0"/>
      <w:marRight w:val="0"/>
      <w:marTop w:val="0"/>
      <w:marBottom w:val="0"/>
      <w:divBdr>
        <w:top w:val="none" w:sz="0" w:space="0" w:color="auto"/>
        <w:left w:val="none" w:sz="0" w:space="0" w:color="auto"/>
        <w:bottom w:val="none" w:sz="0" w:space="0" w:color="auto"/>
        <w:right w:val="none" w:sz="0" w:space="0" w:color="auto"/>
      </w:divBdr>
    </w:div>
    <w:div w:id="1773626104">
      <w:bodyDiv w:val="1"/>
      <w:marLeft w:val="0"/>
      <w:marRight w:val="0"/>
      <w:marTop w:val="0"/>
      <w:marBottom w:val="0"/>
      <w:divBdr>
        <w:top w:val="none" w:sz="0" w:space="0" w:color="auto"/>
        <w:left w:val="none" w:sz="0" w:space="0" w:color="auto"/>
        <w:bottom w:val="none" w:sz="0" w:space="0" w:color="auto"/>
        <w:right w:val="none" w:sz="0" w:space="0" w:color="auto"/>
      </w:divBdr>
    </w:div>
    <w:div w:id="1785536586">
      <w:bodyDiv w:val="1"/>
      <w:marLeft w:val="0"/>
      <w:marRight w:val="0"/>
      <w:marTop w:val="0"/>
      <w:marBottom w:val="0"/>
      <w:divBdr>
        <w:top w:val="none" w:sz="0" w:space="0" w:color="auto"/>
        <w:left w:val="none" w:sz="0" w:space="0" w:color="auto"/>
        <w:bottom w:val="none" w:sz="0" w:space="0" w:color="auto"/>
        <w:right w:val="none" w:sz="0" w:space="0" w:color="auto"/>
      </w:divBdr>
    </w:div>
    <w:div w:id="178927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03B24C-39D2-41A7-B78E-D53E0BDDA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1745</Words>
  <Characters>9953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8</cp:revision>
  <cp:lastPrinted>2020-10-02T11:54:00Z</cp:lastPrinted>
  <dcterms:created xsi:type="dcterms:W3CDTF">2026-08-20T09:57:00Z</dcterms:created>
  <dcterms:modified xsi:type="dcterms:W3CDTF">2026-09-10T12:56:00Z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rst annex">
    <vt:lpwstr>4</vt:lpwstr>
  </property>
  <property fmtid="{D5CDD505-2E9C-101B-9397-08002B2CF9AE}" pid="3" name="Last annex">
    <vt:lpwstr>4</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Level of sensitivity">
    <vt:lpwstr>Standard treatment</vt:lpwstr>
  </property>
  <property fmtid="{D5CDD505-2E9C-101B-9397-08002B2CF9AE}" pid="8" name="Last edited using">
    <vt:lpwstr>LW 9.2, Build 20250828</vt:lpwstr>
  </property>
  <property fmtid="{D5CDD505-2E9C-101B-9397-08002B2CF9AE}" pid="9" name="Unique annex">
    <vt:lpwstr>0</vt:lpwstr>
  </property>
  <property fmtid="{D5CDD505-2E9C-101B-9397-08002B2CF9AE}" pid="10" name="CPTemplateID">
    <vt:lpwstr>CP-039</vt:lpwstr>
  </property>
  <property fmtid="{D5CDD505-2E9C-101B-9397-08002B2CF9AE}" pid="11" name="MSIP_Label_6bd9ddd1-4d20-43f6-abfa-fc3c07406f94_Enabled">
    <vt:lpwstr>true</vt:lpwstr>
  </property>
  <property fmtid="{D5CDD505-2E9C-101B-9397-08002B2CF9AE}" pid="12" name="MSIP_Label_6bd9ddd1-4d20-43f6-abfa-fc3c07406f94_SetDate">
    <vt:lpwstr>2024-05-10T10:28:53Z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34c6bfdf-6134-4393-b1a1-fab6e4b0994a</vt:lpwstr>
  </property>
  <property fmtid="{D5CDD505-2E9C-101B-9397-08002B2CF9AE}" pid="17" name="MSIP_Label_6bd9ddd1-4d20-43f6-abfa-fc3c07406f94_ContentBits">
    <vt:lpwstr>0</vt:lpwstr>
  </property>
</Properties>
</file>