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1C376D-671B-48F9-81A5-D7CA3139A55A" style="width:455.25pt;height:400.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before="100" w:beforeAutospacing="1" w:after="100" w:afterAutospacing="1" w:line="240" w:lineRule="auto"/>
        <w:rPr>
          <w:rFonts w:ascii="Times New Roman Bold" w:hAnsi="Times New Roman Bold" w:cs="Times New Roman"/>
          <w:b/>
          <w:smallCaps/>
          <w:noProof/>
          <w:sz w:val="36"/>
          <w:szCs w:val="36"/>
        </w:rPr>
      </w:pPr>
    </w:p>
    <w:tbl>
      <w:tblPr>
        <w:tblStyle w:val="TableGrid"/>
        <w:tblW w:w="4900" w:type="pct"/>
        <w:tblInd w:w="0" w:type="dxa"/>
        <w:tblLook w:val="04A0" w:firstRow="1" w:lastRow="0" w:firstColumn="1" w:lastColumn="0" w:noHBand="0" w:noVBand="1"/>
      </w:tblPr>
      <w:tblGrid>
        <w:gridCol w:w="944"/>
        <w:gridCol w:w="1572"/>
        <w:gridCol w:w="1983"/>
        <w:gridCol w:w="1701"/>
        <w:gridCol w:w="1078"/>
        <w:gridCol w:w="1267"/>
        <w:gridCol w:w="1267"/>
        <w:gridCol w:w="1267"/>
        <w:gridCol w:w="984"/>
        <w:gridCol w:w="1127"/>
        <w:gridCol w:w="1267"/>
        <w:gridCol w:w="729"/>
      </w:tblGrid>
      <w:tr>
        <w:tc>
          <w:tcPr>
            <w:tcW w:w="5000" w:type="pct"/>
            <w:gridSpan w:val="12"/>
            <w:tcBorders>
              <w:top w:val="single" w:sz="4" w:space="0" w:color="auto"/>
              <w:left w:val="single" w:sz="4" w:space="0" w:color="auto"/>
              <w:bottom w:val="single" w:sz="4" w:space="0" w:color="auto"/>
              <w:right w:val="single" w:sz="4" w:space="0" w:color="auto"/>
            </w:tcBorders>
            <w:vAlign w:val="bottom"/>
          </w:tcPr>
          <w:p>
            <w:pPr>
              <w:pStyle w:val="TableParagraph"/>
              <w:spacing w:before="49"/>
              <w:ind w:left="114"/>
              <w:jc w:val="center"/>
              <w:rPr>
                <w:rFonts w:ascii="Times New Roman Bold" w:hAnsi="Times New Roman Bold" w:cs="Times New Roman"/>
                <w:b/>
                <w:smallCaps/>
                <w:noProof/>
                <w:sz w:val="36"/>
                <w:szCs w:val="36"/>
              </w:rPr>
            </w:pPr>
            <w:r>
              <w:rPr>
                <w:rFonts w:ascii="Times New Roman Bold" w:hAnsi="Times New Roman Bold"/>
                <w:b/>
                <w:smallCaps/>
                <w:noProof/>
                <w:sz w:val="36"/>
              </w:rPr>
              <w:t>Statutul funcționarilor</w:t>
            </w:r>
          </w:p>
          <w:p>
            <w:pPr>
              <w:pStyle w:val="TableParagraph"/>
              <w:spacing w:before="49"/>
              <w:ind w:left="114"/>
              <w:jc w:val="center"/>
              <w:rPr>
                <w:rFonts w:ascii="Times New Roman" w:hAnsi="Times New Roman" w:cs="Times New Roman"/>
                <w:b/>
                <w:noProof/>
                <w:spacing w:val="-1"/>
                <w:sz w:val="28"/>
                <w:szCs w:val="28"/>
              </w:rPr>
            </w:pPr>
          </w:p>
        </w:tc>
      </w:tr>
      <w:tr>
        <w:tc>
          <w:tcPr>
            <w:tcW w:w="829"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rPr>
            </w:pPr>
          </w:p>
        </w:tc>
        <w:tc>
          <w:tcPr>
            <w:tcW w:w="1213"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b/>
                <w:noProof/>
                <w:sz w:val="28"/>
              </w:rPr>
              <w:t>Comisia</w:t>
            </w:r>
          </w:p>
        </w:tc>
        <w:tc>
          <w:tcPr>
            <w:tcW w:w="2958"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b/>
                <w:noProof/>
                <w:sz w:val="28"/>
              </w:rPr>
              <w:t>Agențiile</w:t>
            </w:r>
            <w:r>
              <w:rPr>
                <w:rStyle w:val="FootnoteReference"/>
                <w:rFonts w:ascii="Times New Roman" w:hAnsi="Times New Roman" w:cs="Times New Roman"/>
                <w:b/>
                <w:noProof/>
                <w:spacing w:val="-1"/>
                <w:sz w:val="28"/>
                <w:szCs w:val="28"/>
              </w:rPr>
              <w:footnoteReference w:id="1"/>
            </w:r>
            <w:r>
              <w:rPr>
                <w:rFonts w:ascii="Times New Roman" w:hAnsi="Times New Roman"/>
                <w:b/>
                <w:noProof/>
                <w:sz w:val="28"/>
              </w:rPr>
              <w:t xml:space="preserve"> </w:t>
            </w:r>
            <w:r>
              <w:rPr>
                <w:noProof/>
              </w:rPr>
              <w:br/>
            </w:r>
            <w:r>
              <w:rPr>
                <w:rFonts w:ascii="Times New Roman" w:hAnsi="Times New Roman"/>
                <w:noProof/>
                <w:sz w:val="16"/>
              </w:rPr>
              <w:t>Numărul de norme de punere în aplicare la data de 31 decembrie 2023</w:t>
            </w:r>
          </w:p>
        </w:tc>
      </w:tr>
      <w:t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1213" w:type="pct"/>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fr-BE"/>
              </w:rPr>
            </w:pPr>
          </w:p>
        </w:tc>
        <w:tc>
          <w:tcPr>
            <w:tcW w:w="772"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z w:val="20"/>
              </w:rPr>
              <w:t xml:space="preserve">Adoptate </w:t>
            </w:r>
            <w:r>
              <w:rPr>
                <w:rFonts w:ascii="Times New Roman"/>
                <w:b/>
                <w:noProof/>
                <w:sz w:val="20"/>
              </w:rPr>
              <w:t>î</w:t>
            </w:r>
            <w:r>
              <w:rPr>
                <w:rFonts w:ascii="Times New Roman"/>
                <w:b/>
                <w:noProof/>
                <w:sz w:val="20"/>
              </w:rPr>
              <w:t>nainte de reforma din 2014</w:t>
            </w:r>
            <w:r>
              <w:rPr>
                <w:rStyle w:val="FootnoteReference"/>
                <w:noProof/>
                <w:spacing w:val="-1"/>
                <w:sz w:val="16"/>
                <w:szCs w:val="16"/>
              </w:rPr>
              <w:footnoteReference w:id="2"/>
            </w:r>
          </w:p>
        </w:tc>
        <w:tc>
          <w:tcPr>
            <w:tcW w:w="1529"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20"/>
              </w:rPr>
              <w:t>Adoptate dup</w:t>
            </w:r>
            <w:r>
              <w:rPr>
                <w:rFonts w:ascii="Times New Roman"/>
                <w:b/>
                <w:noProof/>
                <w:sz w:val="20"/>
              </w:rPr>
              <w:t>ă</w:t>
            </w:r>
            <w:r>
              <w:rPr>
                <w:rFonts w:ascii="Times New Roman"/>
                <w:b/>
                <w:noProof/>
                <w:sz w:val="20"/>
              </w:rPr>
              <w:t xml:space="preserve"> reforma din 2014</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Nicio norm</w:t>
            </w:r>
            <w:r>
              <w:rPr>
                <w:rFonts w:ascii="Times New Roman"/>
                <w:b/>
                <w:noProof/>
                <w:sz w:val="16"/>
              </w:rPr>
              <w:t>ă</w:t>
            </w:r>
            <w:r>
              <w:rPr>
                <w:rFonts w:ascii="Times New Roman"/>
                <w:b/>
                <w:noProof/>
                <w:sz w:val="16"/>
              </w:rPr>
              <w:t xml:space="preserve"> / opt-out</w:t>
            </w:r>
            <w:r>
              <w:rPr>
                <w:rFonts w:ascii="Times New Roman"/>
                <w:noProof/>
                <w:sz w:val="16"/>
              </w:rPr>
              <w:t xml:space="preserve"> (inclusiv cererile </w:t>
            </w:r>
            <w:r>
              <w:rPr>
                <w:rFonts w:ascii="Times New Roman"/>
                <w:noProof/>
                <w:sz w:val="16"/>
              </w:rPr>
              <w:t>î</w:t>
            </w:r>
            <w:r>
              <w:rPr>
                <w:rFonts w:ascii="Times New Roman"/>
                <w:noProof/>
                <w:sz w:val="16"/>
              </w:rPr>
              <w:t>n curs)</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Total</w:t>
            </w:r>
          </w:p>
        </w:tc>
      </w:tr>
      <w:tr>
        <w:tc>
          <w:tcPr>
            <w:tcW w:w="31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Articolul</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Subiectul</w:t>
            </w:r>
          </w:p>
        </w:tc>
        <w:tc>
          <w:tcPr>
            <w:tcW w:w="65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Norma de punere </w:t>
            </w:r>
            <w:r>
              <w:rPr>
                <w:rFonts w:ascii="Times New Roman"/>
                <w:b/>
                <w:noProof/>
                <w:sz w:val="16"/>
              </w:rPr>
              <w:t>î</w:t>
            </w:r>
            <w:r>
              <w:rPr>
                <w:rFonts w:ascii="Times New Roman"/>
                <w:b/>
                <w:noProof/>
                <w:sz w:val="16"/>
              </w:rPr>
              <w:t>n aplicare relevant</w:t>
            </w:r>
            <w:r>
              <w:rPr>
                <w:rFonts w:ascii="Times New Roman"/>
                <w:b/>
                <w:noProof/>
                <w:sz w:val="16"/>
              </w:rPr>
              <w:t>ă</w:t>
            </w:r>
            <w:r>
              <w:rPr>
                <w:rFonts w:ascii="Times New Roman"/>
                <w:b/>
                <w:noProof/>
                <w:sz w:val="16"/>
              </w:rPr>
              <w:t xml:space="preserve"> a Comisiei</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Acord </w:t>
            </w:r>
            <w:r>
              <w:rPr>
                <w:rFonts w:ascii="Times New Roman"/>
                <w:b/>
                <w:i/>
                <w:iCs/>
                <w:noProof/>
                <w:sz w:val="16"/>
              </w:rPr>
              <w:t>ex ante</w:t>
            </w:r>
          </w:p>
        </w:tc>
        <w:tc>
          <w:tcPr>
            <w:tcW w:w="355"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Analog</w:t>
            </w:r>
            <w:r>
              <w:rPr>
                <w:rFonts w:ascii="Times New Roman"/>
                <w:b/>
                <w:noProof/>
                <w:sz w:val="16"/>
              </w:rPr>
              <w:t>ă</w:t>
            </w:r>
            <w:r>
              <w:rPr>
                <w:rFonts w:ascii="Times New Roman"/>
                <w:b/>
                <w:noProof/>
                <w:sz w:val="16"/>
              </w:rPr>
              <w:t xml:space="preserve"> normei Comisiei</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Norme proprii </w:t>
            </w:r>
          </w:p>
        </w:tc>
        <w:tc>
          <w:tcPr>
            <w:tcW w:w="834"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Analogie </w:t>
            </w:r>
            <w:r>
              <w:rPr>
                <w:rFonts w:ascii="Times New Roman"/>
                <w:b/>
                <w:noProof/>
                <w:sz w:val="16"/>
              </w:rPr>
              <w:t>–</w:t>
            </w:r>
            <w:r>
              <w:rPr>
                <w:rFonts w:ascii="Times New Roman"/>
                <w:b/>
                <w:noProof/>
                <w:sz w:val="16"/>
              </w:rPr>
              <w:t xml:space="preserve"> articolul 110</w:t>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Norm</w:t>
            </w:r>
            <w:r>
              <w:rPr>
                <w:rFonts w:ascii="Times New Roman"/>
                <w:b/>
                <w:noProof/>
                <w:sz w:val="16"/>
              </w:rPr>
              <w:t>ă</w:t>
            </w:r>
            <w:r>
              <w:rPr>
                <w:rFonts w:ascii="Times New Roman"/>
                <w:b/>
                <w:noProof/>
                <w:sz w:val="16"/>
              </w:rPr>
              <w:t xml:space="preserve"> bazat</w:t>
            </w:r>
            <w:r>
              <w:rPr>
                <w:rFonts w:ascii="Times New Roman"/>
                <w:b/>
                <w:noProof/>
                <w:sz w:val="16"/>
              </w:rPr>
              <w:t>ă</w:t>
            </w:r>
            <w:r>
              <w:rPr>
                <w:rFonts w:ascii="Times New Roman"/>
                <w:b/>
                <w:noProof/>
                <w:sz w:val="16"/>
              </w:rPr>
              <w:t xml:space="preserve"> pe un acord </w:t>
            </w:r>
            <w:r>
              <w:rPr>
                <w:rFonts w:ascii="Times New Roman"/>
                <w:b/>
                <w:i/>
                <w:iCs/>
                <w:noProof/>
                <w:sz w:val="16"/>
              </w:rPr>
              <w:t>ex ante</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Norme proprii diferite de cele ale Comisiei</w:t>
            </w:r>
            <w:r>
              <w:rPr>
                <w:rFonts w:ascii="Times New Roman"/>
                <w:noProof/>
                <w:sz w:val="16"/>
              </w:rPr>
              <w:t xml:space="preserve"> (inclusiv cererile </w:t>
            </w:r>
            <w:r>
              <w:rPr>
                <w:rFonts w:ascii="Times New Roman"/>
                <w:noProof/>
                <w:sz w:val="16"/>
              </w:rPr>
              <w:t>î</w:t>
            </w:r>
            <w:r>
              <w:rPr>
                <w:rFonts w:ascii="Times New Roman"/>
                <w:noProof/>
                <w:sz w:val="16"/>
              </w:rPr>
              <w:t>n curs)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560"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Aplicare prin analogie</w:t>
            </w: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perioada de 9 luni</w:t>
            </w:r>
            <w:r>
              <w:rPr>
                <w:rStyle w:val="FootnoteReference"/>
                <w:rFonts w:ascii="Times New Roman"/>
                <w:noProof/>
                <w:spacing w:val="-1"/>
                <w:sz w:val="16"/>
                <w:szCs w:val="16"/>
              </w:rPr>
              <w:footnoteReference w:id="3"/>
            </w:r>
            <w:r>
              <w:rPr>
                <w:rFonts w:ascii="Times New Roman"/>
                <w:noProof/>
                <w:sz w:val="16"/>
              </w:rPr>
              <w:t xml:space="preserve"> </w:t>
            </w:r>
            <w:r>
              <w:rPr>
                <w:rFonts w:ascii="Times New Roman"/>
                <w:noProof/>
                <w:sz w:val="16"/>
              </w:rPr>
              <w:t>î</w:t>
            </w:r>
            <w:r>
              <w:rPr>
                <w:rFonts w:ascii="Times New Roman"/>
                <w:noProof/>
                <w:sz w:val="16"/>
              </w:rPr>
              <w:t>n curs la data de 31.12.2023</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r>
      <w:tr>
        <w:trPr>
          <w:trHeight w:val="88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1e alineatul (1)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M</w:t>
            </w:r>
            <w:r>
              <w:rPr>
                <w:rFonts w:ascii="Times New Roman"/>
                <w:b/>
                <w:noProof/>
                <w:sz w:val="16"/>
              </w:rPr>
              <w:t>ă</w:t>
            </w:r>
            <w:r>
              <w:rPr>
                <w:rFonts w:ascii="Times New Roman"/>
                <w:b/>
                <w:noProof/>
                <w:sz w:val="16"/>
              </w:rPr>
              <w:t>suri de natur</w:t>
            </w:r>
            <w:r>
              <w:rPr>
                <w:rFonts w:ascii="Times New Roman"/>
                <w:b/>
                <w:noProof/>
                <w:sz w:val="16"/>
              </w:rPr>
              <w:t>ă</w:t>
            </w:r>
            <w:r>
              <w:rPr>
                <w:rFonts w:ascii="Times New Roman"/>
                <w:b/>
                <w:noProof/>
                <w:sz w:val="16"/>
              </w:rPr>
              <w:t xml:space="preserve"> social</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C(2013) 4876 privind orient</w:t>
            </w:r>
            <w:r>
              <w:rPr>
                <w:rFonts w:ascii="Times New Roman"/>
                <w:noProof/>
                <w:sz w:val="16"/>
              </w:rPr>
              <w:t>ă</w:t>
            </w:r>
            <w:r>
              <w:rPr>
                <w:rFonts w:ascii="Times New Roman"/>
                <w:noProof/>
                <w:sz w:val="16"/>
              </w:rPr>
              <w:t>rile referitoare la asisten</w:t>
            </w:r>
            <w:r>
              <w:rPr>
                <w:rFonts w:ascii="Times New Roman"/>
                <w:noProof/>
                <w:sz w:val="16"/>
              </w:rPr>
              <w:t>ț</w:t>
            </w:r>
            <w:r>
              <w:rPr>
                <w:rFonts w:ascii="Times New Roman"/>
                <w:noProof/>
                <w:sz w:val="16"/>
              </w:rPr>
              <w:t xml:space="preserve">a pentru </w:t>
            </w:r>
            <w:r>
              <w:rPr>
                <w:rFonts w:ascii="Times New Roman"/>
                <w:noProof/>
                <w:sz w:val="16"/>
              </w:rPr>
              <w:t>î</w:t>
            </w:r>
            <w:r>
              <w:rPr>
                <w:rFonts w:ascii="Times New Roman"/>
                <w:noProof/>
                <w:sz w:val="16"/>
              </w:rPr>
              <w:t xml:space="preserve">ngrijirea la domiciliu sau </w:t>
            </w:r>
            <w:r>
              <w:rPr>
                <w:rFonts w:ascii="Times New Roman"/>
                <w:noProof/>
                <w:sz w:val="16"/>
              </w:rPr>
              <w:t>î</w:t>
            </w:r>
            <w:r>
              <w:rPr>
                <w:rFonts w:ascii="Times New Roman"/>
                <w:noProof/>
                <w:sz w:val="16"/>
              </w:rPr>
              <w:t>ngrijirea unui copil bolnav</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7</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32</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16"/>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w:t>
            </w:r>
          </w:p>
        </w:tc>
        <w:tc>
          <w:tcPr>
            <w:tcW w:w="518"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Tipurile de posturi </w:t>
            </w:r>
            <w:r>
              <w:rPr>
                <w:rFonts w:ascii="Times New Roman"/>
                <w:b/>
                <w:noProof/>
                <w:sz w:val="16"/>
              </w:rPr>
              <w:t>ș</w:t>
            </w:r>
            <w:r>
              <w:rPr>
                <w:rFonts w:ascii="Times New Roman"/>
                <w:b/>
                <w:noProof/>
                <w:sz w:val="16"/>
              </w:rPr>
              <w:t>i titlurile posturilor</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 xml:space="preserve">C(2013) 8979 privind tipurile de posturi </w:t>
            </w:r>
            <w:r>
              <w:rPr>
                <w:rFonts w:ascii="Times New Roman"/>
                <w:noProof/>
                <w:sz w:val="16"/>
              </w:rPr>
              <w:t>ș</w:t>
            </w:r>
            <w:r>
              <w:rPr>
                <w:rFonts w:ascii="Times New Roman"/>
                <w:noProof/>
                <w:sz w:val="16"/>
              </w:rPr>
              <w:t>i titlurile posturilor</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C(2018) 8800 privind tipurile de posturi </w:t>
            </w:r>
            <w:r>
              <w:rPr>
                <w:rFonts w:ascii="Times New Roman"/>
                <w:noProof/>
                <w:sz w:val="16"/>
              </w:rPr>
              <w:t>ș</w:t>
            </w:r>
            <w:r>
              <w:rPr>
                <w:rFonts w:ascii="Times New Roman"/>
                <w:noProof/>
                <w:sz w:val="16"/>
              </w:rPr>
              <w:t>i titlurile posturilor</w:t>
            </w:r>
          </w:p>
        </w:tc>
        <w:tc>
          <w:tcPr>
            <w:tcW w:w="355"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28</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835"/>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C(2016) 3214 privind func</w:t>
            </w:r>
            <w:r>
              <w:rPr>
                <w:rFonts w:ascii="Times New Roman"/>
                <w:noProof/>
                <w:sz w:val="16"/>
              </w:rPr>
              <w:t>ț</w:t>
            </w:r>
            <w:r>
              <w:rPr>
                <w:rFonts w:ascii="Times New Roman"/>
                <w:noProof/>
                <w:sz w:val="16"/>
              </w:rPr>
              <w:t>ia de consilier</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C(2018) 2209 </w:t>
            </w:r>
            <w:r>
              <w:rPr>
                <w:rFonts w:ascii="Times New Roman"/>
                <w:noProof/>
                <w:sz w:val="16"/>
              </w:rPr>
              <w:t>ș</w:t>
            </w:r>
            <w:r>
              <w:rPr>
                <w:rFonts w:ascii="Times New Roman"/>
                <w:noProof/>
                <w:sz w:val="16"/>
              </w:rPr>
              <w:t>i C(2018)</w:t>
            </w:r>
            <w:r>
              <w:rPr>
                <w:rFonts w:ascii="Times New Roman"/>
                <w:noProof/>
                <w:sz w:val="16"/>
              </w:rPr>
              <w:t> </w:t>
            </w:r>
            <w:r>
              <w:rPr>
                <w:rFonts w:ascii="Times New Roman"/>
                <w:noProof/>
                <w:sz w:val="16"/>
              </w:rPr>
              <w:t>4012 privind func</w:t>
            </w:r>
            <w:r>
              <w:rPr>
                <w:rFonts w:ascii="Times New Roman"/>
                <w:noProof/>
                <w:sz w:val="16"/>
              </w:rPr>
              <w:t>ț</w:t>
            </w:r>
            <w:r>
              <w:rPr>
                <w:rFonts w:ascii="Times New Roman"/>
                <w:noProof/>
                <w:sz w:val="16"/>
              </w:rPr>
              <w:t>iile de consilier</w:t>
            </w:r>
          </w:p>
        </w:tc>
        <w:tc>
          <w:tcPr>
            <w:tcW w:w="355"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6</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3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7</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Transferul</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C(2009) 7839 de stabilire a normelor de punere </w:t>
            </w:r>
            <w:r>
              <w:rPr>
                <w:rFonts w:ascii="Times New Roman"/>
                <w:noProof/>
                <w:sz w:val="16"/>
              </w:rPr>
              <w:t>î</w:t>
            </w:r>
            <w:r>
              <w:rPr>
                <w:rFonts w:ascii="Times New Roman"/>
                <w:noProof/>
                <w:sz w:val="16"/>
              </w:rPr>
              <w:t xml:space="preserve">n aplicare </w:t>
            </w:r>
            <w:r>
              <w:rPr>
                <w:rFonts w:ascii="Times New Roman"/>
                <w:noProof/>
                <w:sz w:val="16"/>
              </w:rPr>
              <w:t>î</w:t>
            </w:r>
            <w:r>
              <w:rPr>
                <w:rFonts w:ascii="Times New Roman"/>
                <w:noProof/>
                <w:sz w:val="16"/>
              </w:rPr>
              <w:t>n ceea ce prive</w:t>
            </w:r>
            <w:r>
              <w:rPr>
                <w:rFonts w:ascii="Times New Roman"/>
                <w:noProof/>
                <w:sz w:val="16"/>
              </w:rPr>
              <w:t>ș</w:t>
            </w:r>
            <w:r>
              <w:rPr>
                <w:rFonts w:ascii="Times New Roman"/>
                <w:noProof/>
                <w:sz w:val="16"/>
              </w:rPr>
              <w:t>te ocuparea temporar</w:t>
            </w:r>
            <w:r>
              <w:rPr>
                <w:rFonts w:ascii="Times New Roman"/>
                <w:noProof/>
                <w:sz w:val="16"/>
              </w:rPr>
              <w:t>ă</w:t>
            </w:r>
            <w:r>
              <w:rPr>
                <w:rFonts w:ascii="Times New Roman"/>
                <w:noProof/>
                <w:sz w:val="16"/>
              </w:rPr>
              <w:t xml:space="preserve"> a posturilor de conducere</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C(2017) 7332 privind ocuparea temporar</w:t>
            </w:r>
            <w:r>
              <w:rPr>
                <w:rFonts w:ascii="Times New Roman"/>
                <w:noProof/>
                <w:sz w:val="16"/>
              </w:rPr>
              <w:t>ă</w:t>
            </w:r>
            <w:r>
              <w:rPr>
                <w:rFonts w:ascii="Times New Roman"/>
                <w:noProof/>
                <w:sz w:val="16"/>
              </w:rPr>
              <w:t xml:space="preserve"> a posturilor de conducere (toate)</w:t>
            </w: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1 </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445"/>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lastRenderedPageBreak/>
              <w:t>9 alineatul (1)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Comitetul pentru personal</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Norme din 22.10.1997 de stabilire a componen</w:t>
            </w:r>
            <w:r>
              <w:rPr>
                <w:rFonts w:ascii="Times New Roman"/>
                <w:noProof/>
                <w:sz w:val="16"/>
              </w:rPr>
              <w:t>ț</w:t>
            </w:r>
            <w:r>
              <w:rPr>
                <w:rFonts w:ascii="Times New Roman"/>
                <w:noProof/>
                <w:sz w:val="16"/>
              </w:rPr>
              <w:t xml:space="preserve">ei </w:t>
            </w:r>
            <w:r>
              <w:rPr>
                <w:rFonts w:ascii="Times New Roman"/>
                <w:noProof/>
                <w:sz w:val="16"/>
              </w:rPr>
              <w:t>ș</w:t>
            </w:r>
            <w:r>
              <w:rPr>
                <w:rFonts w:ascii="Times New Roman"/>
                <w:noProof/>
                <w:sz w:val="16"/>
              </w:rPr>
              <w:t>i a func</w:t>
            </w:r>
            <w:r>
              <w:rPr>
                <w:rFonts w:ascii="Times New Roman"/>
                <w:noProof/>
                <w:sz w:val="16"/>
              </w:rPr>
              <w:t>ț</w:t>
            </w:r>
            <w:r>
              <w:rPr>
                <w:rFonts w:ascii="Times New Roman"/>
                <w:noProof/>
                <w:sz w:val="16"/>
              </w:rPr>
              <w:t>ion</w:t>
            </w:r>
            <w:r>
              <w:rPr>
                <w:rFonts w:ascii="Times New Roman"/>
                <w:noProof/>
                <w:sz w:val="16"/>
              </w:rPr>
              <w:t>ă</w:t>
            </w:r>
            <w:r>
              <w:rPr>
                <w:rFonts w:ascii="Times New Roman"/>
                <w:noProof/>
                <w:sz w:val="16"/>
              </w:rPr>
              <w:t>rii Comitetului pentru personal</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C(2016) 3323 privind normele de punere </w:t>
            </w:r>
            <w:r>
              <w:rPr>
                <w:rFonts w:ascii="Times New Roman"/>
                <w:noProof/>
                <w:sz w:val="16"/>
              </w:rPr>
              <w:t>î</w:t>
            </w:r>
            <w:r>
              <w:rPr>
                <w:rFonts w:ascii="Times New Roman"/>
                <w:noProof/>
                <w:sz w:val="16"/>
              </w:rPr>
              <w:t xml:space="preserve">n aplicare referitoare la instituirea unui comitet pentru personal </w:t>
            </w:r>
            <w:r>
              <w:rPr>
                <w:rFonts w:ascii="Times New Roman"/>
                <w:noProof/>
                <w:sz w:val="16"/>
              </w:rPr>
              <w:t>ș</w:t>
            </w:r>
            <w:r>
              <w:rPr>
                <w:rFonts w:ascii="Times New Roman"/>
                <w:noProof/>
                <w:sz w:val="16"/>
              </w:rPr>
              <w:t xml:space="preserve">i C(2019) 4542 privind </w:t>
            </w:r>
            <w:r>
              <w:rPr>
                <w:rFonts w:ascii="Times New Roman"/>
                <w:noProof/>
                <w:sz w:val="16"/>
              </w:rPr>
              <w:t>î</w:t>
            </w:r>
            <w:r>
              <w:rPr>
                <w:rFonts w:ascii="Times New Roman"/>
                <w:noProof/>
                <w:sz w:val="16"/>
              </w:rPr>
              <w:t>nfiin</w:t>
            </w:r>
            <w:r>
              <w:rPr>
                <w:rFonts w:ascii="Times New Roman"/>
                <w:noProof/>
                <w:sz w:val="16"/>
              </w:rPr>
              <w:t>ț</w:t>
            </w:r>
            <w:r>
              <w:rPr>
                <w:rFonts w:ascii="Times New Roman"/>
                <w:noProof/>
                <w:sz w:val="16"/>
              </w:rPr>
              <w:t>area unui comitet comun pentru personal</w:t>
            </w: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39</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9 alineatul (1) litera (a)</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Comitetul comun privind preven</w:t>
            </w:r>
            <w:r>
              <w:rPr>
                <w:rFonts w:ascii="Times New Roman"/>
                <w:b/>
                <w:noProof/>
                <w:sz w:val="16"/>
              </w:rPr>
              <w:t>ț</w:t>
            </w:r>
            <w:r>
              <w:rPr>
                <w:rFonts w:ascii="Times New Roman"/>
                <w:b/>
                <w:noProof/>
                <w:sz w:val="16"/>
              </w:rPr>
              <w:t xml:space="preserve">ia </w:t>
            </w:r>
            <w:r>
              <w:rPr>
                <w:rFonts w:ascii="Times New Roman"/>
                <w:b/>
                <w:noProof/>
                <w:sz w:val="16"/>
              </w:rPr>
              <w:t>ș</w:t>
            </w:r>
            <w:r>
              <w:rPr>
                <w:rFonts w:ascii="Times New Roman"/>
                <w:b/>
                <w:noProof/>
                <w:sz w:val="16"/>
              </w:rPr>
              <w:t>i protec</w:t>
            </w:r>
            <w:r>
              <w:rPr>
                <w:rFonts w:ascii="Times New Roman"/>
                <w:b/>
                <w:noProof/>
                <w:sz w:val="16"/>
              </w:rPr>
              <w:t>ț</w:t>
            </w:r>
            <w:r>
              <w:rPr>
                <w:rFonts w:ascii="Times New Roman"/>
                <w:b/>
                <w:noProof/>
                <w:sz w:val="16"/>
              </w:rPr>
              <w:t>ia la locul de munc</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C(2019) 5362 de instituire a unui comitet comun privind preven</w:t>
            </w:r>
            <w:r>
              <w:rPr>
                <w:rFonts w:ascii="Times New Roman"/>
                <w:noProof/>
                <w:sz w:val="16"/>
              </w:rPr>
              <w:t>ț</w:t>
            </w:r>
            <w:r>
              <w:rPr>
                <w:rFonts w:ascii="Times New Roman"/>
                <w:noProof/>
                <w:sz w:val="16"/>
              </w:rPr>
              <w:t xml:space="preserve">ia </w:t>
            </w:r>
            <w:r>
              <w:rPr>
                <w:rFonts w:ascii="Times New Roman"/>
                <w:noProof/>
                <w:sz w:val="16"/>
              </w:rPr>
              <w:t>ș</w:t>
            </w:r>
            <w:r>
              <w:rPr>
                <w:rFonts w:ascii="Times New Roman"/>
                <w:noProof/>
                <w:sz w:val="16"/>
              </w:rPr>
              <w:t>i protec</w:t>
            </w:r>
            <w:r>
              <w:rPr>
                <w:rFonts w:ascii="Times New Roman"/>
                <w:noProof/>
                <w:sz w:val="16"/>
              </w:rPr>
              <w:t>ț</w:t>
            </w:r>
            <w:r>
              <w:rPr>
                <w:rFonts w:ascii="Times New Roman"/>
                <w:noProof/>
                <w:sz w:val="16"/>
              </w:rPr>
              <w:t>ia la locul de munc</w:t>
            </w:r>
            <w:r>
              <w:rPr>
                <w:rFonts w:ascii="Times New Roman"/>
                <w:noProof/>
                <w:sz w:val="16"/>
              </w:rPr>
              <w:t>ă</w:t>
            </w:r>
          </w:p>
        </w:tc>
        <w:tc>
          <w:tcPr>
            <w:tcW w:w="355"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fr-BE"/>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6</w:t>
            </w:r>
          </w:p>
        </w:tc>
      </w:tr>
      <w:tr>
        <w:trPr>
          <w:trHeight w:val="146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12a</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Combaterea h</w:t>
            </w:r>
            <w:r>
              <w:rPr>
                <w:rFonts w:ascii="Times New Roman"/>
                <w:b/>
                <w:noProof/>
                <w:sz w:val="16"/>
              </w:rPr>
              <w:t>ă</w:t>
            </w:r>
            <w:r>
              <w:rPr>
                <w:rFonts w:ascii="Times New Roman"/>
                <w:b/>
                <w:noProof/>
                <w:sz w:val="16"/>
              </w:rPr>
              <w:t>r</w:t>
            </w:r>
            <w:r>
              <w:rPr>
                <w:rFonts w:ascii="Times New Roman"/>
                <w:b/>
                <w:noProof/>
                <w:sz w:val="16"/>
              </w:rPr>
              <w:t>ț</w:t>
            </w:r>
            <w:r>
              <w:rPr>
                <w:rFonts w:ascii="Times New Roman"/>
                <w:b/>
                <w:noProof/>
                <w:sz w:val="16"/>
              </w:rPr>
              <w:t>uirii</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C(2006) 1624/3 privind protec</w:t>
            </w:r>
            <w:r>
              <w:rPr>
                <w:rFonts w:ascii="Times New Roman"/>
                <w:noProof/>
                <w:sz w:val="16"/>
              </w:rPr>
              <w:t>ț</w:t>
            </w:r>
            <w:r>
              <w:rPr>
                <w:rFonts w:ascii="Times New Roman"/>
                <w:noProof/>
                <w:sz w:val="16"/>
              </w:rPr>
              <w:t>ia demnit</w:t>
            </w:r>
            <w:r>
              <w:rPr>
                <w:rFonts w:ascii="Times New Roman"/>
                <w:noProof/>
                <w:sz w:val="16"/>
              </w:rPr>
              <w:t>ăț</w:t>
            </w:r>
            <w:r>
              <w:rPr>
                <w:rFonts w:ascii="Times New Roman"/>
                <w:noProof/>
                <w:sz w:val="16"/>
              </w:rPr>
              <w:t xml:space="preserve">ii persoanei </w:t>
            </w:r>
            <w:r>
              <w:rPr>
                <w:rFonts w:ascii="Times New Roman"/>
                <w:noProof/>
                <w:sz w:val="16"/>
              </w:rPr>
              <w:t>ș</w:t>
            </w:r>
            <w:r>
              <w:rPr>
                <w:rFonts w:ascii="Times New Roman"/>
                <w:noProof/>
                <w:sz w:val="16"/>
              </w:rPr>
              <w:t>i prevenirea h</w:t>
            </w:r>
            <w:r>
              <w:rPr>
                <w:rFonts w:ascii="Times New Roman"/>
                <w:noProof/>
                <w:sz w:val="16"/>
              </w:rPr>
              <w:t>ă</w:t>
            </w:r>
            <w:r>
              <w:rPr>
                <w:rFonts w:ascii="Times New Roman"/>
                <w:noProof/>
                <w:sz w:val="16"/>
              </w:rPr>
              <w:t>r</w:t>
            </w:r>
            <w:r>
              <w:rPr>
                <w:rFonts w:ascii="Times New Roman"/>
                <w:noProof/>
                <w:sz w:val="16"/>
              </w:rPr>
              <w:t>ț</w:t>
            </w:r>
            <w:r>
              <w:rPr>
                <w:rFonts w:ascii="Times New Roman"/>
                <w:noProof/>
                <w:sz w:val="16"/>
              </w:rPr>
              <w:t xml:space="preserve">uirii psihologice </w:t>
            </w:r>
            <w:r>
              <w:rPr>
                <w:rFonts w:ascii="Times New Roman"/>
                <w:noProof/>
                <w:sz w:val="16"/>
              </w:rPr>
              <w:t>ș</w:t>
            </w:r>
            <w:r>
              <w:rPr>
                <w:rFonts w:ascii="Times New Roman"/>
                <w:noProof/>
                <w:sz w:val="16"/>
              </w:rPr>
              <w:t>i a h</w:t>
            </w:r>
            <w:r>
              <w:rPr>
                <w:rFonts w:ascii="Times New Roman"/>
                <w:noProof/>
                <w:sz w:val="16"/>
              </w:rPr>
              <w:t>ă</w:t>
            </w:r>
            <w:r>
              <w:rPr>
                <w:rFonts w:ascii="Times New Roman"/>
                <w:noProof/>
                <w:sz w:val="16"/>
              </w:rPr>
              <w:t>r</w:t>
            </w:r>
            <w:r>
              <w:rPr>
                <w:rFonts w:ascii="Times New Roman"/>
                <w:noProof/>
                <w:sz w:val="16"/>
              </w:rPr>
              <w:t>ț</w:t>
            </w:r>
            <w:r>
              <w:rPr>
                <w:rFonts w:ascii="Times New Roman"/>
                <w:noProof/>
                <w:sz w:val="16"/>
              </w:rPr>
              <w:t>uirii sexuale</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C(2016) 6595 privind politica referitoare la protec</w:t>
            </w:r>
            <w:r>
              <w:rPr>
                <w:rFonts w:ascii="Times New Roman"/>
                <w:noProof/>
                <w:sz w:val="16"/>
              </w:rPr>
              <w:t>ț</w:t>
            </w:r>
            <w:r>
              <w:rPr>
                <w:rFonts w:ascii="Times New Roman"/>
                <w:noProof/>
                <w:sz w:val="16"/>
              </w:rPr>
              <w:t>ia demnit</w:t>
            </w:r>
            <w:r>
              <w:rPr>
                <w:rFonts w:ascii="Times New Roman"/>
                <w:noProof/>
                <w:sz w:val="16"/>
              </w:rPr>
              <w:t>ăț</w:t>
            </w:r>
            <w:r>
              <w:rPr>
                <w:rFonts w:ascii="Times New Roman"/>
                <w:noProof/>
                <w:sz w:val="16"/>
              </w:rPr>
              <w:t xml:space="preserve">ii persoanei </w:t>
            </w:r>
            <w:r>
              <w:rPr>
                <w:rFonts w:ascii="Times New Roman"/>
                <w:noProof/>
                <w:sz w:val="16"/>
              </w:rPr>
              <w:t>ș</w:t>
            </w:r>
            <w:r>
              <w:rPr>
                <w:rFonts w:ascii="Times New Roman"/>
                <w:noProof/>
                <w:sz w:val="16"/>
              </w:rPr>
              <w:t>i la prevenirea h</w:t>
            </w:r>
            <w:r>
              <w:rPr>
                <w:rFonts w:ascii="Times New Roman"/>
                <w:noProof/>
                <w:sz w:val="16"/>
              </w:rPr>
              <w:t>ă</w:t>
            </w:r>
            <w:r>
              <w:rPr>
                <w:rFonts w:ascii="Times New Roman"/>
                <w:noProof/>
                <w:sz w:val="16"/>
              </w:rPr>
              <w:t>r</w:t>
            </w:r>
            <w:r>
              <w:rPr>
                <w:rFonts w:ascii="Times New Roman"/>
                <w:noProof/>
                <w:sz w:val="16"/>
              </w:rPr>
              <w:t>ț</w:t>
            </w:r>
            <w:r>
              <w:rPr>
                <w:rFonts w:ascii="Times New Roman"/>
                <w:noProof/>
                <w:sz w:val="16"/>
              </w:rPr>
              <w:t xml:space="preserve">uirii psihologice </w:t>
            </w:r>
            <w:r>
              <w:rPr>
                <w:rFonts w:ascii="Times New Roman"/>
                <w:noProof/>
                <w:sz w:val="16"/>
              </w:rPr>
              <w:t>ș</w:t>
            </w:r>
            <w:r>
              <w:rPr>
                <w:rFonts w:ascii="Times New Roman"/>
                <w:noProof/>
                <w:sz w:val="16"/>
              </w:rPr>
              <w:t>i sexuale</w:t>
            </w: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42</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62"/>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12b, 16 </w:t>
            </w:r>
            <w:r>
              <w:rPr>
                <w:rFonts w:ascii="Times New Roman"/>
                <w:b/>
                <w:noProof/>
                <w:sz w:val="16"/>
              </w:rPr>
              <w:t>ș</w:t>
            </w:r>
            <w:r>
              <w:rPr>
                <w:rFonts w:ascii="Times New Roman"/>
                <w:b/>
                <w:noProof/>
                <w:sz w:val="16"/>
              </w:rPr>
              <w:t>i 17</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Activit</w:t>
            </w:r>
            <w:r>
              <w:rPr>
                <w:rFonts w:ascii="Times New Roman"/>
                <w:b/>
                <w:noProof/>
                <w:sz w:val="16"/>
              </w:rPr>
              <w:t>ăț</w:t>
            </w:r>
            <w:r>
              <w:rPr>
                <w:rFonts w:ascii="Times New Roman"/>
                <w:b/>
                <w:noProof/>
                <w:sz w:val="16"/>
              </w:rPr>
              <w:t>i externe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hAnsi="Times New Roman"/>
                <w:strike/>
                <w:noProof/>
                <w:spacing w:val="-1"/>
                <w:sz w:val="16"/>
                <w:szCs w:val="16"/>
              </w:rPr>
            </w:pPr>
            <w:r>
              <w:rPr>
                <w:rFonts w:ascii="Times New Roman"/>
                <w:noProof/>
                <w:sz w:val="16"/>
              </w:rPr>
              <w:t>C(2018) 4048 privind activit</w:t>
            </w:r>
            <w:r>
              <w:rPr>
                <w:rFonts w:ascii="Times New Roman"/>
                <w:noProof/>
                <w:sz w:val="16"/>
              </w:rPr>
              <w:t>ăț</w:t>
            </w:r>
            <w:r>
              <w:rPr>
                <w:rFonts w:ascii="Times New Roman"/>
                <w:noProof/>
                <w:sz w:val="16"/>
              </w:rPr>
              <w:t xml:space="preserve">ile externe </w:t>
            </w:r>
            <w:r>
              <w:rPr>
                <w:rFonts w:ascii="Times New Roman"/>
                <w:noProof/>
                <w:sz w:val="16"/>
              </w:rPr>
              <w:t>ș</w:t>
            </w:r>
            <w:r>
              <w:rPr>
                <w:rFonts w:ascii="Times New Roman"/>
                <w:noProof/>
                <w:sz w:val="16"/>
              </w:rPr>
              <w:t>i repartiz</w:t>
            </w:r>
            <w:r>
              <w:rPr>
                <w:rFonts w:ascii="Times New Roman"/>
                <w:noProof/>
                <w:sz w:val="16"/>
              </w:rPr>
              <w:t>ă</w:t>
            </w:r>
            <w:r>
              <w:rPr>
                <w:rFonts w:ascii="Times New Roman"/>
                <w:noProof/>
                <w:sz w:val="16"/>
              </w:rPr>
              <w:t>rile</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58"/>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22a </w:t>
            </w:r>
            <w:r>
              <w:rPr>
                <w:rFonts w:ascii="Times New Roman"/>
                <w:b/>
                <w:noProof/>
                <w:sz w:val="16"/>
              </w:rPr>
              <w:t>ș</w:t>
            </w:r>
            <w:r>
              <w:rPr>
                <w:rFonts w:ascii="Times New Roman"/>
                <w:b/>
                <w:noProof/>
                <w:sz w:val="16"/>
              </w:rPr>
              <w:t>i 22b</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Avertizarea </w:t>
            </w:r>
            <w:r>
              <w:rPr>
                <w:rFonts w:ascii="Times New Roman"/>
                <w:b/>
                <w:noProof/>
                <w:sz w:val="16"/>
              </w:rPr>
              <w:t>î</w:t>
            </w:r>
            <w:r>
              <w:rPr>
                <w:rFonts w:ascii="Times New Roman"/>
                <w:b/>
                <w:noProof/>
                <w:sz w:val="16"/>
              </w:rPr>
              <w:t>n interes public</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SEC(2012) 679 </w:t>
            </w:r>
            <w:r>
              <w:rPr>
                <w:rFonts w:ascii="Times New Roman"/>
                <w:noProof/>
                <w:sz w:val="16"/>
              </w:rPr>
              <w:t>–</w:t>
            </w:r>
            <w:r>
              <w:rPr>
                <w:rFonts w:ascii="Times New Roman"/>
                <w:noProof/>
                <w:sz w:val="16"/>
              </w:rPr>
              <w:t xml:space="preserve"> Orient</w:t>
            </w:r>
            <w:r>
              <w:rPr>
                <w:rFonts w:ascii="Times New Roman"/>
                <w:noProof/>
                <w:sz w:val="16"/>
              </w:rPr>
              <w:t>ă</w:t>
            </w:r>
            <w:r>
              <w:rPr>
                <w:rFonts w:ascii="Times New Roman"/>
                <w:noProof/>
                <w:sz w:val="16"/>
              </w:rPr>
              <w:t xml:space="preserve">ri privind avertizarea </w:t>
            </w:r>
            <w:r>
              <w:rPr>
                <w:rFonts w:ascii="Times New Roman"/>
                <w:noProof/>
                <w:sz w:val="16"/>
              </w:rPr>
              <w:t>î</w:t>
            </w:r>
            <w:r>
              <w:rPr>
                <w:rFonts w:ascii="Times New Roman"/>
                <w:noProof/>
                <w:sz w:val="16"/>
              </w:rPr>
              <w:t>n interes public</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C(2018) 1362 </w:t>
            </w:r>
            <w:r>
              <w:rPr>
                <w:rFonts w:ascii="Times New Roman"/>
                <w:noProof/>
                <w:sz w:val="16"/>
              </w:rPr>
              <w:t>–</w:t>
            </w:r>
            <w:r>
              <w:rPr>
                <w:rFonts w:ascii="Times New Roman"/>
                <w:noProof/>
                <w:sz w:val="16"/>
              </w:rPr>
              <w:t xml:space="preserve"> Orient</w:t>
            </w:r>
            <w:r>
              <w:rPr>
                <w:rFonts w:ascii="Times New Roman"/>
                <w:noProof/>
                <w:sz w:val="16"/>
              </w:rPr>
              <w:t>ă</w:t>
            </w:r>
            <w:r>
              <w:rPr>
                <w:rFonts w:ascii="Times New Roman"/>
                <w:noProof/>
                <w:sz w:val="16"/>
              </w:rPr>
              <w:t xml:space="preserve">ri privind avertizarea </w:t>
            </w:r>
            <w:r>
              <w:rPr>
                <w:rFonts w:ascii="Times New Roman"/>
                <w:noProof/>
                <w:sz w:val="16"/>
              </w:rPr>
              <w:t>î</w:t>
            </w:r>
            <w:r>
              <w:rPr>
                <w:rFonts w:ascii="Times New Roman"/>
                <w:noProof/>
                <w:sz w:val="16"/>
              </w:rPr>
              <w:t>n interes public</w:t>
            </w: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8</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695"/>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24a</w:t>
            </w:r>
          </w:p>
        </w:tc>
        <w:tc>
          <w:tcPr>
            <w:tcW w:w="518"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Formarea profesional</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3829 Strategia de </w:t>
            </w:r>
            <w:r>
              <w:rPr>
                <w:rFonts w:ascii="Times New Roman"/>
                <w:noProof/>
                <w:sz w:val="16"/>
              </w:rPr>
              <w:t>î</w:t>
            </w:r>
            <w:r>
              <w:rPr>
                <w:rFonts w:ascii="Times New Roman"/>
                <w:noProof/>
                <w:sz w:val="16"/>
              </w:rPr>
              <w:t>nv</w:t>
            </w:r>
            <w:r>
              <w:rPr>
                <w:rFonts w:ascii="Times New Roman"/>
                <w:noProof/>
                <w:sz w:val="16"/>
              </w:rPr>
              <w:t>ăț</w:t>
            </w:r>
            <w:r>
              <w:rPr>
                <w:rFonts w:ascii="Times New Roman"/>
                <w:noProof/>
                <w:sz w:val="16"/>
              </w:rPr>
              <w:t xml:space="preserve">are </w:t>
            </w:r>
            <w:r>
              <w:rPr>
                <w:rFonts w:ascii="Times New Roman"/>
                <w:noProof/>
                <w:sz w:val="16"/>
              </w:rPr>
              <w:t>ș</w:t>
            </w:r>
            <w:r>
              <w:rPr>
                <w:rFonts w:ascii="Times New Roman"/>
                <w:noProof/>
                <w:sz w:val="16"/>
              </w:rPr>
              <w:t>i dezvoltare</w:t>
            </w:r>
          </w:p>
        </w:tc>
        <w:tc>
          <w:tcPr>
            <w:tcW w:w="560"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C(2017) 6772 privind </w:t>
            </w:r>
            <w:r>
              <w:rPr>
                <w:rFonts w:ascii="Times New Roman"/>
                <w:noProof/>
                <w:sz w:val="16"/>
              </w:rPr>
              <w:t>î</w:t>
            </w:r>
            <w:r>
              <w:rPr>
                <w:rFonts w:ascii="Times New Roman"/>
                <w:noProof/>
                <w:sz w:val="16"/>
              </w:rPr>
              <w:t>nv</w:t>
            </w:r>
            <w:r>
              <w:rPr>
                <w:rFonts w:ascii="Times New Roman"/>
                <w:noProof/>
                <w:sz w:val="16"/>
              </w:rPr>
              <w:t>ăț</w:t>
            </w:r>
            <w:r>
              <w:rPr>
                <w:rFonts w:ascii="Times New Roman"/>
                <w:noProof/>
                <w:sz w:val="16"/>
              </w:rPr>
              <w:t xml:space="preserve">area </w:t>
            </w:r>
            <w:r>
              <w:rPr>
                <w:rFonts w:ascii="Times New Roman"/>
                <w:noProof/>
                <w:sz w:val="16"/>
              </w:rPr>
              <w:t>ș</w:t>
            </w:r>
            <w:r>
              <w:rPr>
                <w:rFonts w:ascii="Times New Roman"/>
                <w:noProof/>
                <w:sz w:val="16"/>
              </w:rPr>
              <w:t>i dezvoltarea</w:t>
            </w: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669"/>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C(2016) 3855 privind formarea la ini</w:t>
            </w:r>
            <w:r>
              <w:rPr>
                <w:rFonts w:ascii="Times New Roman"/>
                <w:noProof/>
                <w:sz w:val="16"/>
              </w:rPr>
              <w:t>ț</w:t>
            </w:r>
            <w:r>
              <w:rPr>
                <w:rFonts w:ascii="Times New Roman"/>
                <w:noProof/>
                <w:sz w:val="16"/>
              </w:rPr>
              <w:t>iativa membrilor personalului</w:t>
            </w:r>
          </w:p>
        </w:tc>
        <w:tc>
          <w:tcPr>
            <w:tcW w:w="560"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81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27-34</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Recrutare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8970 GIP privind criteriile aplicabile </w:t>
            </w:r>
            <w:r>
              <w:rPr>
                <w:rFonts w:ascii="Times New Roman"/>
                <w:noProof/>
                <w:sz w:val="16"/>
              </w:rPr>
              <w:t>î</w:t>
            </w:r>
            <w:r>
              <w:rPr>
                <w:rFonts w:ascii="Times New Roman"/>
                <w:noProof/>
                <w:sz w:val="16"/>
              </w:rPr>
              <w:t>ncadr</w:t>
            </w:r>
            <w:r>
              <w:rPr>
                <w:rFonts w:ascii="Times New Roman"/>
                <w:noProof/>
                <w:sz w:val="16"/>
              </w:rPr>
              <w:t>ă</w:t>
            </w:r>
            <w:r>
              <w:rPr>
                <w:rFonts w:ascii="Times New Roman"/>
                <w:noProof/>
                <w:sz w:val="16"/>
              </w:rPr>
              <w:t xml:space="preserve">rii </w:t>
            </w:r>
            <w:r>
              <w:rPr>
                <w:rFonts w:ascii="Times New Roman"/>
                <w:noProof/>
                <w:sz w:val="16"/>
              </w:rPr>
              <w:t>î</w:t>
            </w:r>
            <w:r>
              <w:rPr>
                <w:rFonts w:ascii="Times New Roman"/>
                <w:noProof/>
                <w:sz w:val="16"/>
              </w:rPr>
              <w:t>n treapt</w:t>
            </w:r>
            <w:r>
              <w:rPr>
                <w:rFonts w:ascii="Times New Roman"/>
                <w:noProof/>
                <w:sz w:val="16"/>
              </w:rPr>
              <w:t>ă</w:t>
            </w:r>
            <w:r>
              <w:rPr>
                <w:rFonts w:ascii="Times New Roman"/>
                <w:noProof/>
                <w:sz w:val="16"/>
              </w:rPr>
              <w:t xml:space="preserve"> </w:t>
            </w:r>
            <w:r>
              <w:rPr>
                <w:rFonts w:ascii="Times New Roman"/>
                <w:noProof/>
                <w:sz w:val="16"/>
              </w:rPr>
              <w:t>î</w:t>
            </w:r>
            <w:r>
              <w:rPr>
                <w:rFonts w:ascii="Times New Roman"/>
                <w:noProof/>
                <w:sz w:val="16"/>
              </w:rPr>
              <w:t>n momentul recrut</w:t>
            </w:r>
            <w:r>
              <w:rPr>
                <w:rFonts w:ascii="Times New Roman"/>
                <w:noProof/>
                <w:sz w:val="16"/>
              </w:rPr>
              <w:t>ă</w:t>
            </w:r>
            <w:r>
              <w:rPr>
                <w:rFonts w:ascii="Times New Roman"/>
                <w:noProof/>
                <w:sz w:val="16"/>
              </w:rPr>
              <w:t>rii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73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29</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Cadrele medii</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C(2016) 3288 privind cadrele medii</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C(2018) 2542 </w:t>
            </w:r>
            <w:r>
              <w:rPr>
                <w:rFonts w:ascii="Times New Roman"/>
                <w:noProof/>
                <w:sz w:val="16"/>
              </w:rPr>
              <w:t>ș</w:t>
            </w:r>
            <w:r>
              <w:rPr>
                <w:rFonts w:ascii="Times New Roman"/>
                <w:noProof/>
                <w:sz w:val="16"/>
              </w:rPr>
              <w:t>i C(2018) 4360 privind cadrele medii</w:t>
            </w: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8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41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lastRenderedPageBreak/>
              <w:t>40</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Concediul pentru interese personale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C(2013) 9054 privind m</w:t>
            </w:r>
            <w:r>
              <w:rPr>
                <w:rFonts w:ascii="Times New Roman"/>
                <w:noProof/>
                <w:sz w:val="16"/>
              </w:rPr>
              <w:t>ă</w:t>
            </w:r>
            <w:r>
              <w:rPr>
                <w:rFonts w:ascii="Times New Roman"/>
                <w:noProof/>
                <w:sz w:val="16"/>
              </w:rPr>
              <w:t>surile referitoare la concediul pentru interese personale pentru func</w:t>
            </w:r>
            <w:r>
              <w:rPr>
                <w:rFonts w:ascii="Times New Roman"/>
                <w:noProof/>
                <w:sz w:val="16"/>
              </w:rPr>
              <w:t>ț</w:t>
            </w:r>
            <w:r>
              <w:rPr>
                <w:rFonts w:ascii="Times New Roman"/>
                <w:noProof/>
                <w:sz w:val="16"/>
              </w:rPr>
              <w:t xml:space="preserve">ionari </w:t>
            </w:r>
            <w:r>
              <w:rPr>
                <w:rFonts w:ascii="Times New Roman"/>
                <w:noProof/>
                <w:sz w:val="16"/>
              </w:rPr>
              <w:t>ș</w:t>
            </w:r>
            <w:r>
              <w:rPr>
                <w:rFonts w:ascii="Times New Roman"/>
                <w:noProof/>
                <w:sz w:val="16"/>
              </w:rPr>
              <w:t>i la concediul f</w:t>
            </w:r>
            <w:r>
              <w:rPr>
                <w:rFonts w:ascii="Times New Roman"/>
                <w:noProof/>
                <w:sz w:val="16"/>
              </w:rPr>
              <w:t>ă</w:t>
            </w:r>
            <w:r>
              <w:rPr>
                <w:rFonts w:ascii="Times New Roman"/>
                <w:noProof/>
                <w:sz w:val="16"/>
              </w:rPr>
              <w:t>r</w:t>
            </w:r>
            <w:r>
              <w:rPr>
                <w:rFonts w:ascii="Times New Roman"/>
                <w:noProof/>
                <w:sz w:val="16"/>
              </w:rPr>
              <w:t>ă</w:t>
            </w:r>
            <w:r>
              <w:rPr>
                <w:rFonts w:ascii="Times New Roman"/>
                <w:noProof/>
                <w:sz w:val="16"/>
              </w:rPr>
              <w:t xml:space="preserve"> plat</w:t>
            </w:r>
            <w:r>
              <w:rPr>
                <w:rFonts w:ascii="Times New Roman"/>
                <w:noProof/>
                <w:sz w:val="16"/>
              </w:rPr>
              <w:t>ă</w:t>
            </w:r>
            <w:r>
              <w:rPr>
                <w:rFonts w:ascii="Times New Roman"/>
                <w:noProof/>
                <w:sz w:val="16"/>
              </w:rPr>
              <w:t xml:space="preserve"> pentru agen</w:t>
            </w:r>
            <w:r>
              <w:rPr>
                <w:rFonts w:ascii="Times New Roman"/>
                <w:noProof/>
                <w:sz w:val="16"/>
              </w:rPr>
              <w:t>ț</w:t>
            </w:r>
            <w:r>
              <w:rPr>
                <w:rFonts w:ascii="Times New Roman"/>
                <w:noProof/>
                <w:sz w:val="16"/>
              </w:rPr>
              <w:t xml:space="preserve">ii temporari </w:t>
            </w:r>
            <w:r>
              <w:rPr>
                <w:rFonts w:ascii="Times New Roman"/>
                <w:noProof/>
                <w:sz w:val="16"/>
              </w:rPr>
              <w:t>ș</w:t>
            </w:r>
            <w:r>
              <w:rPr>
                <w:rFonts w:ascii="Times New Roman"/>
                <w:noProof/>
                <w:sz w:val="16"/>
              </w:rPr>
              <w:t>i agen</w:t>
            </w:r>
            <w:r>
              <w:rPr>
                <w:rFonts w:ascii="Times New Roman"/>
                <w:noProof/>
                <w:sz w:val="16"/>
              </w:rPr>
              <w:t>ț</w:t>
            </w:r>
            <w:r>
              <w:rPr>
                <w:rFonts w:ascii="Times New Roman"/>
                <w:noProof/>
                <w:sz w:val="16"/>
              </w:rPr>
              <w:t>ii contractuali ai UE</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C(2015) 5320 privind m</w:t>
            </w:r>
            <w:r>
              <w:rPr>
                <w:rFonts w:ascii="Times New Roman"/>
                <w:noProof/>
                <w:sz w:val="16"/>
              </w:rPr>
              <w:t>ă</w:t>
            </w:r>
            <w:r>
              <w:rPr>
                <w:rFonts w:ascii="Times New Roman"/>
                <w:noProof/>
                <w:sz w:val="16"/>
              </w:rPr>
              <w:t>surile referitoare la concediul pentru interese personale pentru func</w:t>
            </w:r>
            <w:r>
              <w:rPr>
                <w:rFonts w:ascii="Times New Roman"/>
                <w:noProof/>
                <w:sz w:val="16"/>
              </w:rPr>
              <w:t>ț</w:t>
            </w:r>
            <w:r>
              <w:rPr>
                <w:rFonts w:ascii="Times New Roman"/>
                <w:noProof/>
                <w:sz w:val="16"/>
              </w:rPr>
              <w:t xml:space="preserve">ionari </w:t>
            </w:r>
            <w:r>
              <w:rPr>
                <w:rFonts w:ascii="Times New Roman"/>
                <w:noProof/>
                <w:sz w:val="16"/>
              </w:rPr>
              <w:t>ș</w:t>
            </w:r>
            <w:r>
              <w:rPr>
                <w:rFonts w:ascii="Times New Roman"/>
                <w:noProof/>
                <w:sz w:val="16"/>
              </w:rPr>
              <w:t>i la concediul f</w:t>
            </w:r>
            <w:r>
              <w:rPr>
                <w:rFonts w:ascii="Times New Roman"/>
                <w:noProof/>
                <w:sz w:val="16"/>
              </w:rPr>
              <w:t>ă</w:t>
            </w:r>
            <w:r>
              <w:rPr>
                <w:rFonts w:ascii="Times New Roman"/>
                <w:noProof/>
                <w:sz w:val="16"/>
              </w:rPr>
              <w:t>r</w:t>
            </w:r>
            <w:r>
              <w:rPr>
                <w:rFonts w:ascii="Times New Roman"/>
                <w:noProof/>
                <w:sz w:val="16"/>
              </w:rPr>
              <w:t>ă</w:t>
            </w:r>
            <w:r>
              <w:rPr>
                <w:rFonts w:ascii="Times New Roman"/>
                <w:noProof/>
                <w:sz w:val="16"/>
              </w:rPr>
              <w:t xml:space="preserve"> plat</w:t>
            </w:r>
            <w:r>
              <w:rPr>
                <w:rFonts w:ascii="Times New Roman"/>
                <w:noProof/>
                <w:sz w:val="16"/>
              </w:rPr>
              <w:t>ă</w:t>
            </w:r>
            <w:r>
              <w:rPr>
                <w:rFonts w:ascii="Times New Roman"/>
                <w:noProof/>
                <w:sz w:val="16"/>
              </w:rPr>
              <w:t xml:space="preserve"> pentru agen</w:t>
            </w:r>
            <w:r>
              <w:rPr>
                <w:rFonts w:ascii="Times New Roman"/>
                <w:noProof/>
                <w:sz w:val="16"/>
              </w:rPr>
              <w:t>ț</w:t>
            </w:r>
            <w:r>
              <w:rPr>
                <w:rFonts w:ascii="Times New Roman"/>
                <w:noProof/>
                <w:sz w:val="16"/>
              </w:rPr>
              <w:t xml:space="preserve">ii temporari </w:t>
            </w:r>
            <w:r>
              <w:rPr>
                <w:rFonts w:ascii="Times New Roman"/>
                <w:noProof/>
                <w:sz w:val="16"/>
              </w:rPr>
              <w:t>ș</w:t>
            </w:r>
            <w:r>
              <w:rPr>
                <w:rFonts w:ascii="Times New Roman"/>
                <w:noProof/>
                <w:sz w:val="16"/>
              </w:rPr>
              <w:t>i agen</w:t>
            </w:r>
            <w:r>
              <w:rPr>
                <w:rFonts w:ascii="Times New Roman"/>
                <w:noProof/>
                <w:sz w:val="16"/>
              </w:rPr>
              <w:t>ț</w:t>
            </w:r>
            <w:r>
              <w:rPr>
                <w:rFonts w:ascii="Times New Roman"/>
                <w:noProof/>
                <w:sz w:val="16"/>
              </w:rPr>
              <w:t>ii contractuali ai UE</w:t>
            </w: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51</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59"/>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43</w:t>
            </w:r>
          </w:p>
        </w:tc>
        <w:tc>
          <w:tcPr>
            <w:tcW w:w="518"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Raportul anual</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8985 </w:t>
            </w:r>
            <w:r>
              <w:rPr>
                <w:rFonts w:ascii="Times New Roman"/>
                <w:noProof/>
                <w:sz w:val="16"/>
              </w:rPr>
              <w:t>–</w:t>
            </w:r>
            <w:r>
              <w:rPr>
                <w:rFonts w:ascii="Times New Roman"/>
                <w:noProof/>
                <w:sz w:val="16"/>
              </w:rPr>
              <w:t xml:space="preserve"> GIP privind articolul 43 </w:t>
            </w:r>
            <w:r>
              <w:rPr>
                <w:rFonts w:ascii="Times New Roman"/>
                <w:noProof/>
                <w:sz w:val="16"/>
              </w:rPr>
              <w:t>ș</w:t>
            </w:r>
            <w:r>
              <w:rPr>
                <w:rFonts w:ascii="Times New Roman"/>
                <w:noProof/>
                <w:sz w:val="16"/>
              </w:rPr>
              <w:t>i articolul 44 alineatul (1) din Statutul func</w:t>
            </w:r>
            <w:r>
              <w:rPr>
                <w:rFonts w:ascii="Times New Roman"/>
                <w:noProof/>
                <w:sz w:val="16"/>
              </w:rPr>
              <w:t>ț</w:t>
            </w:r>
            <w:r>
              <w:rPr>
                <w:rFonts w:ascii="Times New Roman"/>
                <w:noProof/>
                <w:sz w:val="16"/>
              </w:rPr>
              <w:t>ionarilor</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1513 privind articolul 43 </w:t>
            </w:r>
            <w:r>
              <w:rPr>
                <w:rFonts w:ascii="Times New Roman"/>
                <w:noProof/>
                <w:sz w:val="16"/>
              </w:rPr>
              <w:t>ș</w:t>
            </w:r>
            <w:r>
              <w:rPr>
                <w:rFonts w:ascii="Times New Roman"/>
                <w:noProof/>
                <w:sz w:val="16"/>
              </w:rPr>
              <w:t>i articolul 44 alineatul (1) din Statutul func</w:t>
            </w:r>
            <w:r>
              <w:rPr>
                <w:rFonts w:ascii="Times New Roman"/>
                <w:noProof/>
                <w:sz w:val="16"/>
              </w:rPr>
              <w:t>ț</w:t>
            </w:r>
            <w:r>
              <w:rPr>
                <w:rFonts w:ascii="Times New Roman"/>
                <w:noProof/>
                <w:sz w:val="16"/>
              </w:rPr>
              <w:t>ionarilor</w:t>
            </w: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7270 </w:t>
            </w:r>
            <w:r>
              <w:rPr>
                <w:rFonts w:ascii="Times New Roman"/>
                <w:noProof/>
                <w:sz w:val="16"/>
              </w:rPr>
              <w:t>–</w:t>
            </w:r>
            <w:r>
              <w:rPr>
                <w:rFonts w:ascii="Times New Roman"/>
                <w:noProof/>
                <w:sz w:val="16"/>
              </w:rPr>
              <w:t xml:space="preserve"> Modificare privind evaluarea</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es-ES_tradnl"/>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45</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Promovarea</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noProof/>
              </w:rPr>
            </w:pPr>
            <w:r>
              <w:rPr>
                <w:rFonts w:ascii="Times New Roman"/>
                <w:noProof/>
                <w:sz w:val="16"/>
              </w:rPr>
              <w:t xml:space="preserve">C(2013) 8968 privind punerea </w:t>
            </w:r>
            <w:r>
              <w:rPr>
                <w:rFonts w:ascii="Times New Roman"/>
                <w:noProof/>
                <w:sz w:val="16"/>
              </w:rPr>
              <w:t>î</w:t>
            </w:r>
            <w:r>
              <w:rPr>
                <w:rFonts w:ascii="Times New Roman"/>
                <w:noProof/>
                <w:sz w:val="16"/>
              </w:rPr>
              <w:t>n aplicare a articolului 45 din Statutul func</w:t>
            </w:r>
            <w:r>
              <w:rPr>
                <w:rFonts w:ascii="Times New Roman"/>
                <w:noProof/>
                <w:sz w:val="16"/>
              </w:rPr>
              <w:t>ț</w:t>
            </w:r>
            <w:r>
              <w:rPr>
                <w:rFonts w:ascii="Times New Roman"/>
                <w:noProof/>
                <w:sz w:val="16"/>
              </w:rPr>
              <w:t xml:space="preserve">ionarilor </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9563 privind punerea </w:t>
            </w:r>
            <w:r>
              <w:rPr>
                <w:rFonts w:ascii="Times New Roman"/>
                <w:noProof/>
                <w:sz w:val="16"/>
              </w:rPr>
              <w:t>î</w:t>
            </w:r>
            <w:r>
              <w:rPr>
                <w:rFonts w:ascii="Times New Roman"/>
                <w:noProof/>
                <w:sz w:val="16"/>
              </w:rPr>
              <w:t>n aplicare a articolului 45 din Statutul func</w:t>
            </w:r>
            <w:r>
              <w:rPr>
                <w:rFonts w:ascii="Times New Roman"/>
                <w:noProof/>
                <w:sz w:val="16"/>
              </w:rPr>
              <w:t>ț</w:t>
            </w:r>
            <w:r>
              <w:rPr>
                <w:rFonts w:ascii="Times New Roman"/>
                <w:noProof/>
                <w:sz w:val="16"/>
              </w:rPr>
              <w:t>ionarilor</w:t>
            </w: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20</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4 </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761"/>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51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Procedurile privind incompeten</w:t>
            </w:r>
            <w:r>
              <w:rPr>
                <w:rFonts w:ascii="Times New Roman"/>
                <w:b/>
                <w:noProof/>
                <w:sz w:val="16"/>
              </w:rPr>
              <w:t>ț</w:t>
            </w:r>
            <w:r>
              <w:rPr>
                <w:rFonts w:ascii="Times New Roman"/>
                <w:b/>
                <w:noProof/>
                <w:sz w:val="16"/>
              </w:rPr>
              <w:t>a profesional</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C(2019) 6855 privind incompeten</w:t>
            </w:r>
            <w:r>
              <w:rPr>
                <w:rFonts w:ascii="Times New Roman"/>
                <w:noProof/>
                <w:sz w:val="16"/>
              </w:rPr>
              <w:t>ț</w:t>
            </w:r>
            <w:r>
              <w:rPr>
                <w:rFonts w:ascii="Times New Roman"/>
                <w:noProof/>
                <w:sz w:val="16"/>
              </w:rPr>
              <w:t>a profesional</w:t>
            </w:r>
            <w:r>
              <w:rPr>
                <w:rFonts w:ascii="Times New Roman"/>
                <w:noProof/>
                <w:sz w:val="16"/>
              </w:rPr>
              <w:t>ă</w:t>
            </w:r>
            <w:r>
              <w:rPr>
                <w:rFonts w:ascii="Times New Roman"/>
                <w:noProof/>
                <w:sz w:val="16"/>
              </w:rPr>
              <w:t xml:space="preserve"> a func</w:t>
            </w:r>
            <w:r>
              <w:rPr>
                <w:rFonts w:ascii="Times New Roman"/>
                <w:noProof/>
                <w:sz w:val="16"/>
              </w:rPr>
              <w:t>ț</w:t>
            </w:r>
            <w:r>
              <w:rPr>
                <w:rFonts w:ascii="Times New Roman"/>
                <w:noProof/>
                <w:sz w:val="16"/>
              </w:rPr>
              <w:t>ionarilor</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51</w:t>
            </w: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w:b/>
                <w:noProof/>
                <w:sz w:val="16"/>
              </w:rPr>
              <w:t>54</w:t>
            </w:r>
          </w:p>
        </w:tc>
      </w:tr>
      <w:tr>
        <w:trPr>
          <w:trHeight w:val="546"/>
        </w:trPr>
        <w:tc>
          <w:tcPr>
            <w:tcW w:w="311" w:type="pct"/>
            <w:tcBorders>
              <w:top w:val="single" w:sz="4" w:space="0" w:color="auto"/>
              <w:left w:val="single" w:sz="4" w:space="0" w:color="auto"/>
              <w:bottom w:val="single" w:sz="4" w:space="0" w:color="auto"/>
              <w:right w:val="single" w:sz="4" w:space="0" w:color="auto"/>
            </w:tcBorders>
            <w:vAlign w:val="center"/>
          </w:tcPr>
          <w:p>
            <w:pPr>
              <w:pStyle w:val="TableParagraph"/>
              <w:spacing w:before="49"/>
              <w:jc w:val="center"/>
              <w:rPr>
                <w:rFonts w:ascii="Times New Roman"/>
                <w:b/>
                <w:noProof/>
                <w:spacing w:val="-1"/>
                <w:sz w:val="16"/>
                <w:szCs w:val="16"/>
              </w:rPr>
            </w:pPr>
            <w:r>
              <w:rPr>
                <w:rFonts w:ascii="Times New Roman"/>
                <w:b/>
                <w:noProof/>
                <w:sz w:val="16"/>
              </w:rPr>
              <w:t>55</w:t>
            </w:r>
          </w:p>
        </w:tc>
        <w:tc>
          <w:tcPr>
            <w:tcW w:w="51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t xml:space="preserve">Timpul de lucru </w:t>
            </w:r>
            <w:r>
              <w:rPr>
                <w:rFonts w:ascii="Times New Roman"/>
                <w:b/>
                <w:noProof/>
                <w:sz w:val="16"/>
              </w:rPr>
              <w:t>ș</w:t>
            </w:r>
            <w:r>
              <w:rPr>
                <w:rFonts w:ascii="Times New Roman"/>
                <w:b/>
                <w:noProof/>
                <w:sz w:val="16"/>
              </w:rPr>
              <w:t>i munca hibrid</w:t>
            </w:r>
            <w:r>
              <w:rPr>
                <w:rFonts w:ascii="Times New Roman"/>
                <w:b/>
                <w:noProof/>
                <w:sz w:val="16"/>
              </w:rPr>
              <w:t>ă</w:t>
            </w:r>
            <w:r>
              <w:rPr>
                <w:rFonts w:ascii="Times New Roman"/>
                <w:b/>
                <w:noProof/>
                <w:sz w:val="16"/>
              </w:rPr>
              <w:t xml:space="preserve"> </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rPr>
                <w:rFonts w:ascii="Times New Roman"/>
                <w:noProof/>
                <w:spacing w:val="-1"/>
                <w:sz w:val="16"/>
                <w:szCs w:val="16"/>
              </w:rPr>
            </w:pPr>
            <w:r>
              <w:rPr>
                <w:rFonts w:ascii="Times New Roman"/>
                <w:noProof/>
                <w:sz w:val="16"/>
              </w:rPr>
              <w:t>C(2022) 1788</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C(2023) 5076</w:t>
            </w: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z w:val="16"/>
              </w:rPr>
              <w:t>54</w:t>
            </w:r>
          </w:p>
        </w:tc>
      </w:tr>
      <w:tr>
        <w:trPr>
          <w:trHeight w:val="553"/>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55a</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Activitatea cu norm</w:t>
            </w:r>
            <w:r>
              <w:rPr>
                <w:rFonts w:ascii="Times New Roman"/>
                <w:b/>
                <w:noProof/>
                <w:sz w:val="16"/>
              </w:rPr>
              <w:t>ă</w:t>
            </w:r>
            <w:r>
              <w:rPr>
                <w:rFonts w:ascii="Times New Roman"/>
                <w:b/>
                <w:noProof/>
                <w:sz w:val="16"/>
              </w:rPr>
              <w:t xml:space="preserve"> redus</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C(2015) 9720 privind articolul 55a din Statutul func</w:t>
            </w:r>
            <w:r>
              <w:rPr>
                <w:rFonts w:ascii="Times New Roman"/>
                <w:noProof/>
                <w:sz w:val="16"/>
              </w:rPr>
              <w:t>ț</w:t>
            </w:r>
            <w:r>
              <w:rPr>
                <w:rFonts w:ascii="Times New Roman"/>
                <w:noProof/>
                <w:sz w:val="16"/>
              </w:rPr>
              <w:t xml:space="preserve">ionarilor </w:t>
            </w:r>
            <w:r>
              <w:rPr>
                <w:rFonts w:ascii="Times New Roman"/>
                <w:noProof/>
                <w:sz w:val="16"/>
              </w:rPr>
              <w:t>ș</w:t>
            </w:r>
            <w:r>
              <w:rPr>
                <w:rFonts w:ascii="Times New Roman"/>
                <w:noProof/>
                <w:sz w:val="16"/>
              </w:rPr>
              <w:t>i anexa IVa</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55b</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Î</w:t>
            </w:r>
            <w:r>
              <w:rPr>
                <w:rFonts w:ascii="Times New Roman"/>
                <w:b/>
                <w:noProof/>
                <w:sz w:val="16"/>
              </w:rPr>
              <w:t>mp</w:t>
            </w:r>
            <w:r>
              <w:rPr>
                <w:rFonts w:ascii="Times New Roman"/>
                <w:b/>
                <w:noProof/>
                <w:sz w:val="16"/>
              </w:rPr>
              <w:t>ă</w:t>
            </w:r>
            <w:r>
              <w:rPr>
                <w:rFonts w:ascii="Times New Roman"/>
                <w:b/>
                <w:noProof/>
                <w:sz w:val="16"/>
              </w:rPr>
              <w:t>r</w:t>
            </w:r>
            <w:r>
              <w:rPr>
                <w:rFonts w:ascii="Times New Roman"/>
                <w:b/>
                <w:noProof/>
                <w:sz w:val="16"/>
              </w:rPr>
              <w:t>ț</w:t>
            </w:r>
            <w:r>
              <w:rPr>
                <w:rFonts w:ascii="Times New Roman"/>
                <w:b/>
                <w:noProof/>
                <w:sz w:val="16"/>
              </w:rPr>
              <w:t>irea activit</w:t>
            </w:r>
            <w:r>
              <w:rPr>
                <w:rFonts w:ascii="Times New Roman"/>
                <w:b/>
                <w:noProof/>
                <w:sz w:val="16"/>
              </w:rPr>
              <w:t>ăț</w:t>
            </w:r>
            <w:r>
              <w:rPr>
                <w:rFonts w:ascii="Times New Roman"/>
                <w:b/>
                <w:noProof/>
                <w:sz w:val="16"/>
              </w:rPr>
              <w:t>ii</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C(2004) 1314 privind </w:t>
            </w:r>
            <w:r>
              <w:rPr>
                <w:rFonts w:ascii="Times New Roman"/>
                <w:noProof/>
                <w:sz w:val="16"/>
              </w:rPr>
              <w:t>î</w:t>
            </w:r>
            <w:r>
              <w:rPr>
                <w:rFonts w:ascii="Times New Roman"/>
                <w:noProof/>
                <w:sz w:val="16"/>
              </w:rPr>
              <w:t>mp</w:t>
            </w:r>
            <w:r>
              <w:rPr>
                <w:rFonts w:ascii="Times New Roman"/>
                <w:noProof/>
                <w:sz w:val="16"/>
              </w:rPr>
              <w:t>ă</w:t>
            </w:r>
            <w:r>
              <w:rPr>
                <w:rFonts w:ascii="Times New Roman"/>
                <w:noProof/>
                <w:sz w:val="16"/>
              </w:rPr>
              <w:t>r</w:t>
            </w:r>
            <w:r>
              <w:rPr>
                <w:rFonts w:ascii="Times New Roman"/>
                <w:noProof/>
                <w:sz w:val="16"/>
              </w:rPr>
              <w:t>ț</w:t>
            </w:r>
            <w:r>
              <w:rPr>
                <w:rFonts w:ascii="Times New Roman"/>
                <w:noProof/>
                <w:sz w:val="16"/>
              </w:rPr>
              <w:t>irea activit</w:t>
            </w:r>
            <w:r>
              <w:rPr>
                <w:rFonts w:ascii="Times New Roman"/>
                <w:noProof/>
                <w:sz w:val="16"/>
              </w:rPr>
              <w:t>ăț</w:t>
            </w:r>
            <w:r>
              <w:rPr>
                <w:rFonts w:ascii="Times New Roman"/>
                <w:noProof/>
                <w:sz w:val="16"/>
              </w:rPr>
              <w:t>ii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8</w:t>
            </w: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9"/>
        </w:trPr>
        <w:tc>
          <w:tcPr>
            <w:tcW w:w="31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t>56</w:t>
            </w:r>
          </w:p>
        </w:tc>
        <w:tc>
          <w:tcPr>
            <w:tcW w:w="51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t xml:space="preserve">Sarcinile </w:t>
            </w:r>
            <w:r>
              <w:rPr>
                <w:rFonts w:ascii="Times New Roman"/>
                <w:b/>
                <w:noProof/>
                <w:sz w:val="16"/>
              </w:rPr>
              <w:t>ș</w:t>
            </w:r>
            <w:r>
              <w:rPr>
                <w:rFonts w:ascii="Times New Roman"/>
                <w:b/>
                <w:noProof/>
                <w:sz w:val="16"/>
              </w:rPr>
              <w:t>oferilor Comisiei</w:t>
            </w:r>
          </w:p>
        </w:tc>
        <w:tc>
          <w:tcPr>
            <w:tcW w:w="65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 xml:space="preserve">C(2004) 1318 </w:t>
            </w:r>
            <w:r>
              <w:rPr>
                <w:rFonts w:ascii="Times New Roman"/>
                <w:noProof/>
                <w:sz w:val="16"/>
              </w:rPr>
              <w:t>ș</w:t>
            </w:r>
            <w:r>
              <w:rPr>
                <w:rFonts w:ascii="Times New Roman"/>
                <w:noProof/>
                <w:sz w:val="16"/>
              </w:rPr>
              <w:t>i C(2019) 7822</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52</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w:t>
            </w:r>
          </w:p>
        </w:tc>
        <w:tc>
          <w:tcPr>
            <w:tcW w:w="239"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z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z w:val="16"/>
              </w:rPr>
              <w:t>57</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Concediul anual </w:t>
            </w:r>
            <w:r>
              <w:rPr>
                <w:rFonts w:ascii="Times New Roman"/>
                <w:b/>
                <w:noProof/>
                <w:sz w:val="16"/>
              </w:rPr>
              <w:t>ș</w:t>
            </w:r>
            <w:r>
              <w:rPr>
                <w:rFonts w:ascii="Times New Roman"/>
                <w:b/>
                <w:noProof/>
                <w:sz w:val="16"/>
              </w:rPr>
              <w:t>i concediile speciale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9051 privind concediile </w:t>
            </w:r>
            <w:r>
              <w:rPr>
                <w:rFonts w:ascii="Times New Roman"/>
                <w:noProof/>
                <w:sz w:val="16"/>
              </w:rPr>
              <w:t>ș</w:t>
            </w:r>
            <w:r>
              <w:rPr>
                <w:rFonts w:ascii="Times New Roman"/>
                <w:noProof/>
                <w:sz w:val="16"/>
              </w:rPr>
              <w:t>i C(2020) 1559</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01"/>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59-60</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Concediul medical</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C(2004) 1597/11 privind concediul medical</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29</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5"/>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67-68</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Aloca</w:t>
            </w:r>
            <w:r>
              <w:rPr>
                <w:rFonts w:ascii="Times New Roman"/>
                <w:b/>
                <w:noProof/>
                <w:sz w:val="16"/>
              </w:rPr>
              <w:t>ț</w:t>
            </w:r>
            <w:r>
              <w:rPr>
                <w:rFonts w:ascii="Times New Roman"/>
                <w:b/>
                <w:noProof/>
                <w:sz w:val="16"/>
              </w:rPr>
              <w:t xml:space="preserve">ia </w:t>
            </w:r>
            <w:r>
              <w:rPr>
                <w:rFonts w:ascii="Times New Roman"/>
                <w:b/>
                <w:noProof/>
                <w:sz w:val="16"/>
              </w:rPr>
              <w:t>ș</w:t>
            </w:r>
            <w:r>
              <w:rPr>
                <w:rFonts w:ascii="Times New Roman"/>
                <w:b/>
                <w:noProof/>
                <w:sz w:val="16"/>
              </w:rPr>
              <w:t>colar</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8971 </w:t>
            </w:r>
            <w:r>
              <w:rPr>
                <w:rFonts w:ascii="Times New Roman"/>
                <w:noProof/>
                <w:sz w:val="16"/>
              </w:rPr>
              <w:t>–</w:t>
            </w:r>
            <w:r>
              <w:rPr>
                <w:rFonts w:ascii="Times New Roman"/>
                <w:noProof/>
                <w:sz w:val="16"/>
              </w:rPr>
              <w:t xml:space="preserve"> GIP privind articolul 3 din anexa VII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4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Cheltuielile de c</w:t>
            </w:r>
            <w:r>
              <w:rPr>
                <w:rFonts w:ascii="Times New Roman"/>
                <w:b/>
                <w:noProof/>
                <w:sz w:val="16"/>
              </w:rPr>
              <w:t>ă</w:t>
            </w:r>
            <w:r>
              <w:rPr>
                <w:rFonts w:ascii="Times New Roman"/>
                <w:b/>
                <w:noProof/>
                <w:sz w:val="16"/>
              </w:rPr>
              <w:t>l</w:t>
            </w:r>
            <w:r>
              <w:rPr>
                <w:rFonts w:ascii="Times New Roman"/>
                <w:b/>
                <w:noProof/>
                <w:sz w:val="16"/>
              </w:rPr>
              <w:t>ă</w:t>
            </w:r>
            <w:r>
              <w:rPr>
                <w:rFonts w:ascii="Times New Roman"/>
                <w:b/>
                <w:noProof/>
                <w:sz w:val="16"/>
              </w:rPr>
              <w:t>torie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8987 </w:t>
            </w:r>
            <w:r>
              <w:rPr>
                <w:rFonts w:ascii="Times New Roman"/>
                <w:noProof/>
                <w:sz w:val="16"/>
              </w:rPr>
              <w:t>–</w:t>
            </w:r>
            <w:r>
              <w:rPr>
                <w:rFonts w:ascii="Times New Roman"/>
                <w:noProof/>
                <w:sz w:val="16"/>
              </w:rPr>
              <w:t xml:space="preserve"> GIP privind articolul 8 din anexa VII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lastRenderedPageBreak/>
              <w:t>71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Locul de origine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8982 </w:t>
            </w:r>
            <w:r>
              <w:rPr>
                <w:rFonts w:ascii="Times New Roman"/>
                <w:noProof/>
                <w:sz w:val="16"/>
              </w:rPr>
              <w:t>–</w:t>
            </w:r>
            <w:r>
              <w:rPr>
                <w:rFonts w:ascii="Times New Roman"/>
                <w:noProof/>
                <w:sz w:val="16"/>
              </w:rPr>
              <w:t xml:space="preserve"> GIP privind articolul 7 alineatul</w:t>
            </w:r>
            <w:r>
              <w:rPr>
                <w:rFonts w:ascii="Times New Roman"/>
                <w:noProof/>
                <w:sz w:val="16"/>
              </w:rPr>
              <w:t> </w:t>
            </w:r>
            <w:r>
              <w:rPr>
                <w:rFonts w:ascii="Times New Roman"/>
                <w:noProof/>
                <w:sz w:val="16"/>
              </w:rPr>
              <w:t>(4) din anexa</w:t>
            </w:r>
            <w:r>
              <w:rPr>
                <w:rFonts w:ascii="Times New Roman"/>
                <w:noProof/>
                <w:sz w:val="16"/>
              </w:rPr>
              <w:t> </w:t>
            </w:r>
            <w:r>
              <w:rPr>
                <w:rFonts w:ascii="Times New Roman"/>
                <w:noProof/>
                <w:sz w:val="16"/>
              </w:rPr>
              <w:t>VII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4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Cheltuielile de mutare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9040 </w:t>
            </w:r>
            <w:r>
              <w:rPr>
                <w:rFonts w:ascii="Times New Roman"/>
                <w:noProof/>
                <w:sz w:val="16"/>
              </w:rPr>
              <w:t>–</w:t>
            </w:r>
            <w:r>
              <w:rPr>
                <w:rFonts w:ascii="Times New Roman"/>
                <w:noProof/>
                <w:sz w:val="16"/>
              </w:rPr>
              <w:t xml:space="preserve"> GIP privind cheltuielile de mutare</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54"/>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Cheltuielile de delega</w:t>
            </w:r>
            <w:r>
              <w:rPr>
                <w:rFonts w:ascii="Times New Roman"/>
                <w:b/>
                <w:noProof/>
                <w:sz w:val="16"/>
              </w:rPr>
              <w:t>ț</w:t>
            </w:r>
            <w:r>
              <w:rPr>
                <w:rFonts w:ascii="Times New Roman"/>
                <w:b/>
                <w:noProof/>
                <w:sz w:val="16"/>
              </w:rPr>
              <w:t xml:space="preserve">ie </w:t>
            </w:r>
            <w:r>
              <w:rPr>
                <w:rFonts w:ascii="Times New Roman"/>
                <w:b/>
                <w:noProof/>
                <w:sz w:val="16"/>
              </w:rPr>
              <w:t>ș</w:t>
            </w:r>
            <w:r>
              <w:rPr>
                <w:rFonts w:ascii="Times New Roman"/>
                <w:b/>
                <w:noProof/>
                <w:sz w:val="16"/>
              </w:rPr>
              <w:t xml:space="preserve">i de deplasare </w:t>
            </w:r>
            <w:r>
              <w:rPr>
                <w:rFonts w:ascii="Times New Roman"/>
                <w:b/>
                <w:noProof/>
                <w:sz w:val="16"/>
              </w:rPr>
              <w:t>î</w:t>
            </w:r>
            <w:r>
              <w:rPr>
                <w:rFonts w:ascii="Times New Roman"/>
                <w:b/>
                <w:noProof/>
                <w:sz w:val="16"/>
              </w:rPr>
              <w:t>n interes de serviciu</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C(2017) 5323 </w:t>
            </w:r>
            <w:r>
              <w:rPr>
                <w:rFonts w:ascii="Times New Roman"/>
                <w:noProof/>
                <w:sz w:val="16"/>
              </w:rPr>
              <w:t>–</w:t>
            </w:r>
            <w:r>
              <w:rPr>
                <w:rFonts w:ascii="Times New Roman"/>
                <w:noProof/>
                <w:sz w:val="16"/>
              </w:rPr>
              <w:t xml:space="preserve"> Ghidul privind delega</w:t>
            </w:r>
            <w:r>
              <w:rPr>
                <w:rFonts w:ascii="Times New Roman"/>
                <w:noProof/>
                <w:sz w:val="16"/>
              </w:rPr>
              <w:t>ț</w:t>
            </w:r>
            <w:r>
              <w:rPr>
                <w:rFonts w:ascii="Times New Roman"/>
                <w:noProof/>
                <w:sz w:val="16"/>
              </w:rPr>
              <w:t>iile</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704"/>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77</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Transferul drepturilor la pensie</w:t>
            </w:r>
          </w:p>
        </w:tc>
        <w:tc>
          <w:tcPr>
            <w:tcW w:w="65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C(2011) 1278 </w:t>
            </w:r>
            <w:r>
              <w:rPr>
                <w:rFonts w:ascii="Times New Roman"/>
                <w:noProof/>
                <w:sz w:val="16"/>
              </w:rPr>
              <w:t>–</w:t>
            </w:r>
            <w:r>
              <w:rPr>
                <w:rFonts w:ascii="Times New Roman"/>
                <w:noProof/>
                <w:sz w:val="16"/>
              </w:rPr>
              <w:t xml:space="preserve"> GIP privind articolele 11 </w:t>
            </w:r>
            <w:r>
              <w:rPr>
                <w:rFonts w:ascii="Times New Roman"/>
                <w:noProof/>
                <w:sz w:val="16"/>
              </w:rPr>
              <w:t>ș</w:t>
            </w:r>
            <w:r>
              <w:rPr>
                <w:rFonts w:ascii="Times New Roman"/>
                <w:noProof/>
                <w:sz w:val="16"/>
              </w:rPr>
              <w:t xml:space="preserve">i 12 din anexa VIII </w:t>
            </w:r>
            <w:r>
              <w:rPr>
                <w:rFonts w:ascii="Times New Roman"/>
                <w:noProof/>
                <w:sz w:val="16"/>
              </w:rPr>
              <w:t>ș</w:t>
            </w:r>
            <w:r>
              <w:rPr>
                <w:rFonts w:ascii="Times New Roman"/>
                <w:noProof/>
                <w:sz w:val="16"/>
              </w:rPr>
              <w:t>i C(2020) 4818</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86</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Procedura disciplinar</w:t>
            </w:r>
            <w:r>
              <w:rPr>
                <w:rFonts w:ascii="Times New Roman"/>
                <w:b/>
                <w:noProof/>
                <w:sz w:val="16"/>
              </w:rPr>
              <w:t>ă</w:t>
            </w:r>
            <w:r>
              <w:rPr>
                <w:rFonts w:ascii="Times New Roman"/>
                <w:b/>
                <w:noProof/>
                <w:sz w:val="16"/>
              </w:rPr>
              <w:t xml:space="preserve"> </w:t>
            </w:r>
            <w:r>
              <w:rPr>
                <w:rFonts w:ascii="Times New Roman"/>
                <w:b/>
                <w:noProof/>
                <w:sz w:val="16"/>
              </w:rPr>
              <w:t>ș</w:t>
            </w:r>
            <w:r>
              <w:rPr>
                <w:rFonts w:ascii="Times New Roman"/>
                <w:b/>
                <w:noProof/>
                <w:sz w:val="16"/>
              </w:rPr>
              <w:t>i anchetele administrative</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C(2019) 4231 privind anchetele administrative </w:t>
            </w:r>
            <w:r>
              <w:rPr>
                <w:rFonts w:ascii="Times New Roman"/>
                <w:noProof/>
                <w:sz w:val="16"/>
              </w:rPr>
              <w:t>ș</w:t>
            </w:r>
            <w:r>
              <w:rPr>
                <w:rFonts w:ascii="Times New Roman"/>
                <w:noProof/>
                <w:sz w:val="16"/>
              </w:rPr>
              <w:t>i procedura disciplinar</w:t>
            </w:r>
            <w:r>
              <w:rPr>
                <w:rFonts w:ascii="Times New Roman"/>
                <w:noProof/>
                <w:sz w:val="16"/>
              </w:rPr>
              <w:t>ă</w:t>
            </w:r>
            <w:r>
              <w:rPr>
                <w:rFonts w:ascii="Times New Roman"/>
                <w:noProof/>
                <w:sz w:val="16"/>
                <w:shd w:val="clear" w:color="auto" w:fill="92D050"/>
              </w:rPr>
              <w:t xml:space="preserve"> </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 xml:space="preserve">C(2022) 497 privind anchetele administrative </w:t>
            </w:r>
            <w:r>
              <w:rPr>
                <w:rFonts w:ascii="Times New Roman"/>
                <w:noProof/>
                <w:sz w:val="16"/>
              </w:rPr>
              <w:t>ș</w:t>
            </w:r>
            <w:r>
              <w:rPr>
                <w:rFonts w:ascii="Times New Roman"/>
                <w:noProof/>
                <w:sz w:val="16"/>
              </w:rPr>
              <w:t>i procedura disciplinar</w:t>
            </w:r>
            <w:r>
              <w:rPr>
                <w:rFonts w:ascii="Times New Roman"/>
                <w:noProof/>
                <w:sz w:val="16"/>
              </w:rPr>
              <w:t>ă</w:t>
            </w:r>
          </w:p>
        </w:tc>
        <w:tc>
          <w:tcPr>
            <w:tcW w:w="35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1044"/>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Bold" w:hAnsi="Times New Roman Bold"/>
                <w:b/>
                <w:smallCaps/>
                <w:noProof/>
                <w:sz w:val="36"/>
              </w:rPr>
              <w:t>Regimul aplicabil celorlalți agenți</w:t>
            </w:r>
          </w:p>
        </w:tc>
      </w:tr>
      <w:tr>
        <w:tc>
          <w:tcPr>
            <w:tcW w:w="829"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lang w:val="en-GB"/>
              </w:rPr>
            </w:pPr>
          </w:p>
        </w:tc>
        <w:tc>
          <w:tcPr>
            <w:tcW w:w="1213"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b/>
                <w:noProof/>
                <w:sz w:val="28"/>
              </w:rPr>
              <w:t>Comisia</w:t>
            </w:r>
          </w:p>
        </w:tc>
        <w:tc>
          <w:tcPr>
            <w:tcW w:w="2958"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b/>
                <w:noProof/>
                <w:sz w:val="28"/>
              </w:rPr>
              <w:t xml:space="preserve">Agențiile </w:t>
            </w:r>
            <w:r>
              <w:rPr>
                <w:noProof/>
              </w:rPr>
              <w:br/>
            </w:r>
            <w:r>
              <w:rPr>
                <w:rFonts w:ascii="Times New Roman" w:hAnsi="Times New Roman"/>
                <w:noProof/>
                <w:sz w:val="16"/>
              </w:rPr>
              <w:t>Numărul de norme de punere în aplicare la data de 31 decembrie 2019</w:t>
            </w:r>
          </w:p>
        </w:tc>
      </w:tr>
      <w:t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rPr>
            </w:pPr>
          </w:p>
        </w:tc>
        <w:tc>
          <w:tcPr>
            <w:tcW w:w="1213" w:type="pct"/>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fr-BE"/>
              </w:rPr>
            </w:pPr>
          </w:p>
        </w:tc>
        <w:tc>
          <w:tcPr>
            <w:tcW w:w="772"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z w:val="20"/>
              </w:rPr>
              <w:t xml:space="preserve">Adoptate </w:t>
            </w:r>
            <w:r>
              <w:rPr>
                <w:rFonts w:ascii="Times New Roman"/>
                <w:b/>
                <w:noProof/>
                <w:sz w:val="20"/>
              </w:rPr>
              <w:t>î</w:t>
            </w:r>
            <w:r>
              <w:rPr>
                <w:rFonts w:ascii="Times New Roman"/>
                <w:b/>
                <w:noProof/>
                <w:sz w:val="20"/>
              </w:rPr>
              <w:t>nainte de reforma din 2014</w:t>
            </w:r>
            <w:r>
              <w:rPr>
                <w:rStyle w:val="FootnoteReference"/>
                <w:noProof/>
                <w:spacing w:val="-1"/>
                <w:sz w:val="16"/>
                <w:szCs w:val="16"/>
              </w:rPr>
              <w:footnoteReference w:id="4"/>
            </w:r>
          </w:p>
        </w:tc>
        <w:tc>
          <w:tcPr>
            <w:tcW w:w="1529"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20"/>
              </w:rPr>
              <w:t>Adoptate dup</w:t>
            </w:r>
            <w:r>
              <w:rPr>
                <w:rFonts w:ascii="Times New Roman"/>
                <w:b/>
                <w:noProof/>
                <w:sz w:val="20"/>
              </w:rPr>
              <w:t>ă</w:t>
            </w:r>
            <w:r>
              <w:rPr>
                <w:rFonts w:ascii="Times New Roman"/>
                <w:b/>
                <w:noProof/>
                <w:sz w:val="20"/>
              </w:rPr>
              <w:t xml:space="preserve"> reforma din 2014</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Nicio norm</w:t>
            </w:r>
            <w:r>
              <w:rPr>
                <w:rFonts w:ascii="Times New Roman"/>
                <w:b/>
                <w:noProof/>
                <w:sz w:val="16"/>
              </w:rPr>
              <w:t>ă</w:t>
            </w:r>
            <w:r>
              <w:rPr>
                <w:rFonts w:ascii="Times New Roman"/>
                <w:b/>
                <w:noProof/>
                <w:sz w:val="16"/>
              </w:rPr>
              <w:t xml:space="preserve"> / opt-out</w:t>
            </w:r>
            <w:r>
              <w:rPr>
                <w:rFonts w:ascii="Times New Roman"/>
                <w:noProof/>
                <w:sz w:val="16"/>
              </w:rPr>
              <w:t xml:space="preserve"> (inclusiv cererile </w:t>
            </w:r>
            <w:r>
              <w:rPr>
                <w:rFonts w:ascii="Times New Roman"/>
                <w:noProof/>
                <w:sz w:val="16"/>
              </w:rPr>
              <w:t>î</w:t>
            </w:r>
            <w:r>
              <w:rPr>
                <w:rFonts w:ascii="Times New Roman"/>
                <w:noProof/>
                <w:sz w:val="16"/>
              </w:rPr>
              <w:t>n curs)</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Total</w:t>
            </w:r>
          </w:p>
        </w:tc>
      </w:tr>
      <w:tr>
        <w:tc>
          <w:tcPr>
            <w:tcW w:w="31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Articolul</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Subiectul</w:t>
            </w:r>
          </w:p>
        </w:tc>
        <w:tc>
          <w:tcPr>
            <w:tcW w:w="65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z w:val="16"/>
              </w:rPr>
              <w:t xml:space="preserve">Norma de punere </w:t>
            </w:r>
            <w:r>
              <w:rPr>
                <w:rFonts w:ascii="Times New Roman"/>
                <w:b/>
                <w:noProof/>
                <w:sz w:val="16"/>
              </w:rPr>
              <w:t>î</w:t>
            </w:r>
            <w:r>
              <w:rPr>
                <w:rFonts w:ascii="Times New Roman"/>
                <w:b/>
                <w:noProof/>
                <w:sz w:val="16"/>
              </w:rPr>
              <w:t>n aplicare relevant</w:t>
            </w:r>
            <w:r>
              <w:rPr>
                <w:rFonts w:ascii="Times New Roman"/>
                <w:b/>
                <w:noProof/>
                <w:sz w:val="16"/>
              </w:rPr>
              <w:t>ă</w:t>
            </w:r>
            <w:r>
              <w:rPr>
                <w:rFonts w:ascii="Times New Roman"/>
                <w:b/>
                <w:noProof/>
                <w:sz w:val="16"/>
              </w:rPr>
              <w:t xml:space="preserve"> a Comisiei</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z w:val="16"/>
              </w:rPr>
              <w:t xml:space="preserve">Acord </w:t>
            </w:r>
            <w:r>
              <w:rPr>
                <w:rFonts w:ascii="Times New Roman"/>
                <w:b/>
                <w:i/>
                <w:iCs/>
                <w:noProof/>
                <w:sz w:val="16"/>
              </w:rPr>
              <w:t>ex ante</w:t>
            </w:r>
          </w:p>
        </w:tc>
        <w:tc>
          <w:tcPr>
            <w:tcW w:w="355"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Analog</w:t>
            </w:r>
            <w:r>
              <w:rPr>
                <w:rFonts w:ascii="Times New Roman"/>
                <w:b/>
                <w:noProof/>
                <w:sz w:val="16"/>
              </w:rPr>
              <w:t>ă</w:t>
            </w:r>
            <w:r>
              <w:rPr>
                <w:rFonts w:ascii="Times New Roman"/>
                <w:b/>
                <w:noProof/>
                <w:sz w:val="16"/>
              </w:rPr>
              <w:t xml:space="preserve"> normei Comisiei</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Norme proprii</w:t>
            </w:r>
            <w:r>
              <w:rPr>
                <w:rFonts w:ascii="Times New Roman"/>
                <w:noProof/>
                <w:sz w:val="16"/>
              </w:rPr>
              <w:t xml:space="preserve"> (inclusiv cererile </w:t>
            </w:r>
            <w:r>
              <w:rPr>
                <w:rFonts w:ascii="Times New Roman"/>
                <w:noProof/>
                <w:sz w:val="16"/>
              </w:rPr>
              <w:t>î</w:t>
            </w:r>
            <w:r>
              <w:rPr>
                <w:rFonts w:ascii="Times New Roman"/>
                <w:noProof/>
                <w:sz w:val="16"/>
              </w:rPr>
              <w:t>n curs)</w:t>
            </w:r>
          </w:p>
        </w:tc>
        <w:tc>
          <w:tcPr>
            <w:tcW w:w="834"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Analogie </w:t>
            </w:r>
            <w:r>
              <w:rPr>
                <w:rFonts w:ascii="Times New Roman"/>
                <w:b/>
                <w:noProof/>
                <w:sz w:val="16"/>
              </w:rPr>
              <w:t>–</w:t>
            </w:r>
            <w:r>
              <w:rPr>
                <w:rFonts w:ascii="Times New Roman"/>
                <w:b/>
                <w:noProof/>
                <w:sz w:val="16"/>
              </w:rPr>
              <w:t xml:space="preserve"> articolul 110</w:t>
            </w:r>
            <w:r>
              <w:rPr>
                <w:rStyle w:val="FootnoteReference"/>
                <w:rFonts w:ascii="Times New Roman"/>
                <w:b/>
                <w:noProof/>
                <w:spacing w:val="-1"/>
                <w:sz w:val="16"/>
                <w:szCs w:val="16"/>
              </w:rPr>
              <w:footnoteReference w:id="5"/>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Norm</w:t>
            </w:r>
            <w:r>
              <w:rPr>
                <w:rFonts w:ascii="Times New Roman"/>
                <w:b/>
                <w:noProof/>
                <w:sz w:val="16"/>
              </w:rPr>
              <w:t>ă</w:t>
            </w:r>
            <w:r>
              <w:rPr>
                <w:rFonts w:ascii="Times New Roman"/>
                <w:b/>
                <w:noProof/>
                <w:sz w:val="16"/>
              </w:rPr>
              <w:t xml:space="preserve"> bazat</w:t>
            </w:r>
            <w:r>
              <w:rPr>
                <w:rFonts w:ascii="Times New Roman"/>
                <w:b/>
                <w:noProof/>
                <w:sz w:val="16"/>
              </w:rPr>
              <w:t>ă</w:t>
            </w:r>
            <w:r>
              <w:rPr>
                <w:rFonts w:ascii="Times New Roman"/>
                <w:b/>
                <w:noProof/>
                <w:sz w:val="16"/>
              </w:rPr>
              <w:t xml:space="preserve"> pe un acord </w:t>
            </w:r>
            <w:r>
              <w:rPr>
                <w:rFonts w:ascii="Times New Roman"/>
                <w:b/>
                <w:i/>
                <w:iCs/>
                <w:noProof/>
                <w:sz w:val="16"/>
              </w:rPr>
              <w:t>ex ante</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Norme proprii diferite de cele ale Comisiei</w:t>
            </w:r>
            <w:r>
              <w:rPr>
                <w:rFonts w:ascii="Times New Roman"/>
                <w:noProof/>
                <w:sz w:val="16"/>
              </w:rPr>
              <w:t xml:space="preserve"> (inclusiv cererile </w:t>
            </w:r>
            <w:r>
              <w:rPr>
                <w:rFonts w:ascii="Times New Roman"/>
                <w:noProof/>
                <w:sz w:val="16"/>
              </w:rPr>
              <w:t>î</w:t>
            </w:r>
            <w:r>
              <w:rPr>
                <w:rFonts w:ascii="Times New Roman"/>
                <w:noProof/>
                <w:sz w:val="16"/>
              </w:rPr>
              <w:t>n curs)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560"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Aplicare prin analogie</w:t>
            </w: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perioada de 9 luni </w:t>
            </w:r>
            <w:r>
              <w:rPr>
                <w:rFonts w:ascii="Times New Roman"/>
                <w:noProof/>
                <w:sz w:val="16"/>
              </w:rPr>
              <w:t>î</w:t>
            </w:r>
            <w:r>
              <w:rPr>
                <w:rFonts w:ascii="Times New Roman"/>
                <w:noProof/>
                <w:sz w:val="16"/>
              </w:rPr>
              <w:t>n curs la data de 31.12.2019</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fr-B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fr-BE"/>
              </w:rPr>
            </w:pPr>
          </w:p>
        </w:tc>
      </w:tr>
      <w:tr>
        <w:trPr>
          <w:trHeight w:val="88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z w:val="16"/>
              </w:rPr>
              <w:t>12 alineatul (5)</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Angajarea agen</w:t>
            </w:r>
            <w:r>
              <w:rPr>
                <w:rFonts w:ascii="Times New Roman"/>
                <w:b/>
                <w:noProof/>
                <w:sz w:val="16"/>
              </w:rPr>
              <w:t>ț</w:t>
            </w:r>
            <w:r>
              <w:rPr>
                <w:rFonts w:ascii="Times New Roman"/>
                <w:b/>
                <w:noProof/>
                <w:sz w:val="16"/>
              </w:rPr>
              <w:t>ilor temporari</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9049 final referitoare la politicile privind angajarea </w:t>
            </w:r>
            <w:r>
              <w:rPr>
                <w:rFonts w:ascii="Times New Roman"/>
                <w:noProof/>
                <w:sz w:val="16"/>
              </w:rPr>
              <w:t>ș</w:t>
            </w:r>
            <w:r>
              <w:rPr>
                <w:rFonts w:ascii="Times New Roman"/>
                <w:noProof/>
                <w:sz w:val="16"/>
              </w:rPr>
              <w:t>i utilizarea agen</w:t>
            </w:r>
            <w:r>
              <w:rPr>
                <w:rFonts w:ascii="Times New Roman"/>
                <w:noProof/>
                <w:sz w:val="16"/>
              </w:rPr>
              <w:t>ț</w:t>
            </w:r>
            <w:r>
              <w:rPr>
                <w:rFonts w:ascii="Times New Roman"/>
                <w:noProof/>
                <w:sz w:val="16"/>
              </w:rPr>
              <w:t>ilor temporari</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43</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lastRenderedPageBreak/>
              <w:t>17 + 91</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Concediul de maternitate </w:t>
            </w:r>
            <w:r>
              <w:rPr>
                <w:rFonts w:ascii="Times New Roman"/>
                <w:b/>
                <w:noProof/>
                <w:sz w:val="16"/>
              </w:rPr>
              <w:t>ș</w:t>
            </w:r>
            <w:r>
              <w:rPr>
                <w:rFonts w:ascii="Times New Roman"/>
                <w:b/>
                <w:noProof/>
                <w:sz w:val="16"/>
              </w:rPr>
              <w:t>i aloca</w:t>
            </w:r>
            <w:r>
              <w:rPr>
                <w:rFonts w:ascii="Times New Roman"/>
                <w:b/>
                <w:noProof/>
                <w:sz w:val="16"/>
              </w:rPr>
              <w:t>ț</w:t>
            </w:r>
            <w:r>
              <w:rPr>
                <w:rFonts w:ascii="Times New Roman"/>
                <w:b/>
                <w:noProof/>
                <w:sz w:val="16"/>
              </w:rPr>
              <w:t>ia aferent</w:t>
            </w:r>
            <w:r>
              <w:rPr>
                <w:rFonts w:ascii="Times New Roman"/>
                <w:b/>
                <w:noProof/>
                <w:sz w:val="16"/>
              </w:rPr>
              <w:t>ă</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9020 privind concediul de maternitate </w:t>
            </w:r>
            <w:r>
              <w:rPr>
                <w:rFonts w:ascii="Times New Roman"/>
                <w:noProof/>
                <w:sz w:val="16"/>
              </w:rPr>
              <w:t>ș</w:t>
            </w:r>
            <w:r>
              <w:rPr>
                <w:rFonts w:ascii="Times New Roman"/>
                <w:noProof/>
                <w:sz w:val="16"/>
              </w:rPr>
              <w:t>i indemniza</w:t>
            </w:r>
            <w:r>
              <w:rPr>
                <w:rFonts w:ascii="Times New Roman"/>
                <w:noProof/>
                <w:sz w:val="16"/>
              </w:rPr>
              <w:t>ț</w:t>
            </w:r>
            <w:r>
              <w:rPr>
                <w:rFonts w:ascii="Times New Roman"/>
                <w:noProof/>
                <w:sz w:val="16"/>
              </w:rPr>
              <w:t>ia de maternitate</w:t>
            </w:r>
          </w:p>
        </w:tc>
        <w:tc>
          <w:tcPr>
            <w:tcW w:w="560"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Reclasificarea agen</w:t>
            </w:r>
            <w:r>
              <w:rPr>
                <w:rFonts w:ascii="Times New Roman"/>
                <w:b/>
                <w:noProof/>
                <w:sz w:val="16"/>
              </w:rPr>
              <w:t>ț</w:t>
            </w:r>
            <w:r>
              <w:rPr>
                <w:rFonts w:ascii="Times New Roman"/>
                <w:b/>
                <w:noProof/>
                <w:sz w:val="16"/>
              </w:rPr>
              <w:t>ilor temporari 2f</w:t>
            </w:r>
          </w:p>
        </w:tc>
        <w:tc>
          <w:tcPr>
            <w:tcW w:w="65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4996 </w:t>
            </w:r>
            <w:r>
              <w:rPr>
                <w:rFonts w:ascii="Times New Roman"/>
                <w:noProof/>
                <w:sz w:val="16"/>
              </w:rPr>
              <w:t>ș</w:t>
            </w:r>
            <w:r>
              <w:rPr>
                <w:rFonts w:ascii="Times New Roman"/>
                <w:noProof/>
                <w:sz w:val="16"/>
              </w:rPr>
              <w:t xml:space="preserve">i C(2015) 9560 privind executarea normelor de asigurare a punerii </w:t>
            </w:r>
            <w:r>
              <w:rPr>
                <w:rFonts w:ascii="Times New Roman"/>
                <w:noProof/>
                <w:sz w:val="16"/>
              </w:rPr>
              <w:t>î</w:t>
            </w:r>
            <w:r>
              <w:rPr>
                <w:rFonts w:ascii="Times New Roman"/>
                <w:noProof/>
                <w:sz w:val="16"/>
              </w:rPr>
              <w:t>n aplicare a articolului 54 din RACA</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56</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Angajarea agen</w:t>
            </w:r>
            <w:r>
              <w:rPr>
                <w:rFonts w:ascii="Times New Roman"/>
                <w:b/>
                <w:noProof/>
                <w:sz w:val="16"/>
              </w:rPr>
              <w:t>ț</w:t>
            </w:r>
            <w:r>
              <w:rPr>
                <w:rFonts w:ascii="Times New Roman"/>
                <w:b/>
                <w:noProof/>
                <w:sz w:val="16"/>
              </w:rPr>
              <w:t>ilor temporari 2f</w:t>
            </w:r>
          </w:p>
        </w:tc>
        <w:tc>
          <w:tcPr>
            <w:tcW w:w="65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1457 </w:t>
            </w:r>
            <w:r>
              <w:rPr>
                <w:rFonts w:ascii="Times New Roman"/>
                <w:noProof/>
                <w:sz w:val="16"/>
              </w:rPr>
              <w:t>ș</w:t>
            </w:r>
            <w:r>
              <w:rPr>
                <w:rFonts w:ascii="Times New Roman"/>
                <w:noProof/>
                <w:sz w:val="16"/>
              </w:rPr>
              <w:t xml:space="preserve">i C(2015) 1509 privind executarea normelor de asigurare a punerii </w:t>
            </w:r>
            <w:r>
              <w:rPr>
                <w:rFonts w:ascii="Times New Roman"/>
                <w:noProof/>
                <w:sz w:val="16"/>
              </w:rPr>
              <w:t>î</w:t>
            </w:r>
            <w:r>
              <w:rPr>
                <w:rFonts w:ascii="Times New Roman"/>
                <w:noProof/>
                <w:sz w:val="16"/>
              </w:rPr>
              <w:t>n aplicare a articolului 56 din RACA</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52</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79 alineatul (2) - 90</w:t>
            </w:r>
          </w:p>
        </w:tc>
        <w:tc>
          <w:tcPr>
            <w:tcW w:w="518"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Angajarea agen</w:t>
            </w:r>
            <w:r>
              <w:rPr>
                <w:rFonts w:ascii="Times New Roman"/>
                <w:b/>
                <w:noProof/>
                <w:sz w:val="16"/>
              </w:rPr>
              <w:t>ț</w:t>
            </w:r>
            <w:r>
              <w:rPr>
                <w:rFonts w:ascii="Times New Roman"/>
                <w:b/>
                <w:noProof/>
                <w:sz w:val="16"/>
              </w:rPr>
              <w:t>ilor contractuali</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C(2017) 6760 privind condi</w:t>
            </w:r>
            <w:r>
              <w:rPr>
                <w:rFonts w:ascii="Times New Roman"/>
                <w:noProof/>
                <w:sz w:val="16"/>
              </w:rPr>
              <w:t>ț</w:t>
            </w:r>
            <w:r>
              <w:rPr>
                <w:rFonts w:ascii="Times New Roman"/>
                <w:noProof/>
                <w:sz w:val="16"/>
              </w:rPr>
              <w:t xml:space="preserve">iile de </w:t>
            </w:r>
            <w:r>
              <w:rPr>
                <w:rFonts w:ascii="Times New Roman"/>
                <w:noProof/>
                <w:sz w:val="16"/>
              </w:rPr>
              <w:t>î</w:t>
            </w:r>
            <w:r>
              <w:rPr>
                <w:rFonts w:ascii="Times New Roman"/>
                <w:noProof/>
                <w:sz w:val="16"/>
              </w:rPr>
              <w:t xml:space="preserve">ncadrare </w:t>
            </w:r>
            <w:r>
              <w:rPr>
                <w:rFonts w:ascii="Times New Roman"/>
                <w:noProof/>
                <w:sz w:val="16"/>
              </w:rPr>
              <w:t>î</w:t>
            </w:r>
            <w:r>
              <w:rPr>
                <w:rFonts w:ascii="Times New Roman"/>
                <w:noProof/>
                <w:sz w:val="16"/>
              </w:rPr>
              <w:t>n munc</w:t>
            </w:r>
            <w:r>
              <w:rPr>
                <w:rFonts w:ascii="Times New Roman"/>
                <w:noProof/>
                <w:sz w:val="16"/>
              </w:rPr>
              <w:t>ă</w:t>
            </w:r>
            <w:r>
              <w:rPr>
                <w:rFonts w:ascii="Times New Roman"/>
                <w:noProof/>
                <w:sz w:val="16"/>
              </w:rPr>
              <w:t xml:space="preserve"> a agen</w:t>
            </w:r>
            <w:r>
              <w:rPr>
                <w:rFonts w:ascii="Times New Roman"/>
                <w:noProof/>
                <w:sz w:val="16"/>
              </w:rPr>
              <w:t>ț</w:t>
            </w:r>
            <w:r>
              <w:rPr>
                <w:rFonts w:ascii="Times New Roman"/>
                <w:noProof/>
                <w:sz w:val="16"/>
              </w:rPr>
              <w:t>ilor contractuali</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C(2019) 3016 privind condi</w:t>
            </w:r>
            <w:r>
              <w:rPr>
                <w:rFonts w:ascii="Times New Roman"/>
                <w:noProof/>
                <w:sz w:val="16"/>
              </w:rPr>
              <w:t>ț</w:t>
            </w:r>
            <w:r>
              <w:rPr>
                <w:rFonts w:ascii="Times New Roman"/>
                <w:noProof/>
                <w:sz w:val="16"/>
              </w:rPr>
              <w:t xml:space="preserve">iile de </w:t>
            </w:r>
            <w:r>
              <w:rPr>
                <w:rFonts w:ascii="Times New Roman"/>
                <w:noProof/>
                <w:sz w:val="16"/>
              </w:rPr>
              <w:t>î</w:t>
            </w:r>
            <w:r>
              <w:rPr>
                <w:rFonts w:ascii="Times New Roman"/>
                <w:noProof/>
                <w:sz w:val="16"/>
              </w:rPr>
              <w:t xml:space="preserve">ncadrare </w:t>
            </w:r>
            <w:r>
              <w:rPr>
                <w:rFonts w:ascii="Times New Roman"/>
                <w:noProof/>
                <w:sz w:val="16"/>
              </w:rPr>
              <w:t>î</w:t>
            </w:r>
            <w:r>
              <w:rPr>
                <w:rFonts w:ascii="Times New Roman"/>
                <w:noProof/>
                <w:sz w:val="16"/>
              </w:rPr>
              <w:t>n munc</w:t>
            </w:r>
            <w:r>
              <w:rPr>
                <w:rFonts w:ascii="Times New Roman"/>
                <w:noProof/>
                <w:sz w:val="16"/>
              </w:rPr>
              <w:t>ă</w:t>
            </w:r>
            <w:r>
              <w:rPr>
                <w:rFonts w:ascii="Times New Roman"/>
                <w:noProof/>
                <w:sz w:val="16"/>
              </w:rPr>
              <w:t xml:space="preserve"> a agen</w:t>
            </w:r>
            <w:r>
              <w:rPr>
                <w:rFonts w:ascii="Times New Roman"/>
                <w:noProof/>
                <w:sz w:val="16"/>
              </w:rPr>
              <w:t>ț</w:t>
            </w:r>
            <w:r>
              <w:rPr>
                <w:rFonts w:ascii="Times New Roman"/>
                <w:noProof/>
                <w:sz w:val="16"/>
              </w:rPr>
              <w:t>ilor contractuali</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90"/>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spacing w:before="49"/>
              <w:rPr>
                <w:rFonts w:ascii="Times New Roman"/>
                <w:noProof/>
                <w:spacing w:val="-1"/>
                <w:sz w:val="16"/>
                <w:szCs w:val="16"/>
              </w:rPr>
            </w:pPr>
            <w:r>
              <w:rPr>
                <w:rFonts w:ascii="Times New Roman"/>
                <w:noProof/>
                <w:sz w:val="16"/>
              </w:rPr>
              <w:t>C(2013) 9028 privind durata maxim</w:t>
            </w:r>
            <w:r>
              <w:rPr>
                <w:rFonts w:ascii="Times New Roman"/>
                <w:noProof/>
                <w:sz w:val="16"/>
              </w:rPr>
              <w:t>ă</w:t>
            </w:r>
            <w:r>
              <w:rPr>
                <w:rFonts w:ascii="Times New Roman"/>
                <w:noProof/>
                <w:sz w:val="16"/>
              </w:rPr>
              <w:t xml:space="preserve"> a contractelor de angajare a personalului nepermanent </w:t>
            </w:r>
            <w:r>
              <w:rPr>
                <w:rFonts w:ascii="Times New Roman"/>
                <w:noProof/>
                <w:sz w:val="16"/>
              </w:rPr>
              <w:t>î</w:t>
            </w:r>
            <w:r>
              <w:rPr>
                <w:rFonts w:ascii="Times New Roman"/>
                <w:noProof/>
                <w:sz w:val="16"/>
              </w:rPr>
              <w:t>n serviciile Comisiei</w:t>
            </w:r>
          </w:p>
          <w:p>
            <w:pPr>
              <w:pStyle w:val="TableParagraph"/>
              <w:spacing w:before="49"/>
              <w:ind w:left="114"/>
              <w:jc w:val="center"/>
              <w:rPr>
                <w:rFonts w:ascii="Times New Roman"/>
                <w:noProof/>
                <w:spacing w:val="-1"/>
                <w:sz w:val="16"/>
                <w:szCs w:val="16"/>
              </w:rPr>
            </w:pP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C(2016) 2421 privind neaplicarea Deciziei Comisiei referitoare la durata maxim</w:t>
            </w:r>
            <w:r>
              <w:rPr>
                <w:rFonts w:ascii="Times New Roman"/>
                <w:noProof/>
                <w:sz w:val="16"/>
              </w:rPr>
              <w:t>ă</w:t>
            </w:r>
            <w:r>
              <w:rPr>
                <w:rFonts w:ascii="Times New Roman"/>
                <w:noProof/>
                <w:sz w:val="16"/>
              </w:rPr>
              <w:t xml:space="preserve"> a contractelor de angajare a personalului nepermanent</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C(2019) 2548</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C(2019) 6929 privind neaplicarea Deciziei Comisiei referitoare la durata maxim</w:t>
            </w:r>
            <w:r>
              <w:rPr>
                <w:rFonts w:ascii="Times New Roman"/>
                <w:noProof/>
                <w:sz w:val="16"/>
              </w:rPr>
              <w:t>ă</w:t>
            </w:r>
            <w:r>
              <w:rPr>
                <w:rFonts w:ascii="Times New Roman"/>
                <w:noProof/>
                <w:sz w:val="16"/>
              </w:rPr>
              <w:t xml:space="preserve"> a contractelor de angajare a personalului nepermanent</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18</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87</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Evaluarea agen</w:t>
            </w:r>
            <w:r>
              <w:rPr>
                <w:rFonts w:ascii="Times New Roman"/>
                <w:b/>
                <w:noProof/>
                <w:sz w:val="16"/>
              </w:rPr>
              <w:t>ț</w:t>
            </w:r>
            <w:r>
              <w:rPr>
                <w:rFonts w:ascii="Times New Roman"/>
                <w:b/>
                <w:noProof/>
                <w:sz w:val="16"/>
              </w:rPr>
              <w:t>ilor contractuali</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C(2014) 2226 </w:t>
            </w:r>
            <w:r>
              <w:rPr>
                <w:rFonts w:ascii="Times New Roman"/>
                <w:noProof/>
                <w:sz w:val="16"/>
              </w:rPr>
              <w:t>–</w:t>
            </w:r>
            <w:r>
              <w:rPr>
                <w:rFonts w:ascii="Times New Roman"/>
                <w:noProof/>
                <w:sz w:val="16"/>
              </w:rPr>
              <w:t xml:space="preserve"> GIP pentru punerea </w:t>
            </w:r>
            <w:r>
              <w:rPr>
                <w:rFonts w:ascii="Times New Roman"/>
                <w:noProof/>
                <w:sz w:val="16"/>
              </w:rPr>
              <w:t>î</w:t>
            </w:r>
            <w:r>
              <w:rPr>
                <w:rFonts w:ascii="Times New Roman"/>
                <w:noProof/>
                <w:sz w:val="16"/>
              </w:rPr>
              <w:t>n aplicare a articolului 87 alineatul (1) din RAA</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1456 pentru punerea </w:t>
            </w:r>
            <w:r>
              <w:rPr>
                <w:rFonts w:ascii="Times New Roman"/>
                <w:noProof/>
                <w:sz w:val="16"/>
              </w:rPr>
              <w:t>î</w:t>
            </w:r>
            <w:r>
              <w:rPr>
                <w:rFonts w:ascii="Times New Roman"/>
                <w:noProof/>
                <w:sz w:val="16"/>
              </w:rPr>
              <w:t xml:space="preserve">n aplicare a articolului 87 alineatul (1) din RAA </w:t>
            </w:r>
            <w:r>
              <w:rPr>
                <w:rFonts w:ascii="Times New Roman"/>
                <w:noProof/>
                <w:sz w:val="16"/>
              </w:rPr>
              <w:t>ș</w:t>
            </w:r>
            <w:r>
              <w:rPr>
                <w:rFonts w:ascii="Times New Roman"/>
                <w:noProof/>
                <w:sz w:val="16"/>
              </w:rPr>
              <w:t>i a articolului 44 alineatul (1) din Statutul func</w:t>
            </w:r>
            <w:r>
              <w:rPr>
                <w:rFonts w:ascii="Times New Roman"/>
                <w:noProof/>
                <w:sz w:val="16"/>
              </w:rPr>
              <w:t>ț</w:t>
            </w:r>
            <w:r>
              <w:rPr>
                <w:rFonts w:ascii="Times New Roman"/>
                <w:noProof/>
                <w:sz w:val="16"/>
              </w:rPr>
              <w:t>ionarilor</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4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50</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lastRenderedPageBreak/>
              <w:t>87 alineatul (3)</w:t>
            </w:r>
          </w:p>
        </w:tc>
        <w:tc>
          <w:tcPr>
            <w:tcW w:w="51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Reclasificarea agen</w:t>
            </w:r>
            <w:r>
              <w:rPr>
                <w:rFonts w:ascii="Times New Roman"/>
                <w:b/>
                <w:noProof/>
                <w:sz w:val="16"/>
              </w:rPr>
              <w:t>ț</w:t>
            </w:r>
            <w:r>
              <w:rPr>
                <w:rFonts w:ascii="Times New Roman"/>
                <w:b/>
                <w:noProof/>
                <w:sz w:val="16"/>
              </w:rPr>
              <w:t>ilor contractuali</w:t>
            </w:r>
          </w:p>
        </w:tc>
        <w:tc>
          <w:tcPr>
            <w:tcW w:w="65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 xml:space="preserve">C(2013) 2529 privind GIP pentru punerea </w:t>
            </w:r>
            <w:r>
              <w:rPr>
                <w:rFonts w:ascii="Times New Roman"/>
                <w:noProof/>
                <w:sz w:val="16"/>
              </w:rPr>
              <w:t>î</w:t>
            </w:r>
            <w:r>
              <w:rPr>
                <w:rFonts w:ascii="Times New Roman"/>
                <w:noProof/>
                <w:sz w:val="16"/>
              </w:rPr>
              <w:t>n aplicare a articolului 87 alineatul</w:t>
            </w:r>
            <w:r>
              <w:rPr>
                <w:rFonts w:ascii="Times New Roman"/>
                <w:noProof/>
                <w:sz w:val="16"/>
              </w:rPr>
              <w:t> </w:t>
            </w:r>
            <w:r>
              <w:rPr>
                <w:rFonts w:ascii="Times New Roman"/>
                <w:noProof/>
                <w:sz w:val="16"/>
              </w:rPr>
              <w:t>(3) din RAA</w:t>
            </w:r>
          </w:p>
        </w:tc>
        <w:tc>
          <w:tcPr>
            <w:tcW w:w="56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C(2015) 9561 </w:t>
            </w:r>
            <w:r>
              <w:rPr>
                <w:rFonts w:ascii="Times New Roman"/>
                <w:noProof/>
                <w:sz w:val="16"/>
              </w:rPr>
              <w:t>ș</w:t>
            </w:r>
            <w:r>
              <w:rPr>
                <w:rFonts w:ascii="Times New Roman"/>
                <w:noProof/>
                <w:sz w:val="16"/>
              </w:rPr>
              <w:t>i C(2015) 4997 privind dispozi</w:t>
            </w:r>
            <w:r>
              <w:rPr>
                <w:rFonts w:ascii="Times New Roman"/>
                <w:noProof/>
                <w:sz w:val="16"/>
              </w:rPr>
              <w:t>ț</w:t>
            </w:r>
            <w:r>
              <w:rPr>
                <w:rFonts w:ascii="Times New Roman"/>
                <w:noProof/>
                <w:sz w:val="16"/>
              </w:rPr>
              <w:t xml:space="preserve">iile pentru punerea </w:t>
            </w:r>
            <w:r>
              <w:rPr>
                <w:rFonts w:ascii="Times New Roman"/>
                <w:noProof/>
                <w:sz w:val="16"/>
              </w:rPr>
              <w:t>î</w:t>
            </w:r>
            <w:r>
              <w:rPr>
                <w:rFonts w:ascii="Times New Roman"/>
                <w:noProof/>
                <w:sz w:val="16"/>
              </w:rPr>
              <w:t>n aplicare a articolului 87 alineatul</w:t>
            </w:r>
            <w:r>
              <w:rPr>
                <w:rFonts w:ascii="Times New Roman"/>
                <w:noProof/>
                <w:sz w:val="16"/>
              </w:rPr>
              <w:t> </w:t>
            </w:r>
            <w:r>
              <w:rPr>
                <w:rFonts w:ascii="Times New Roman"/>
                <w:noProof/>
                <w:sz w:val="16"/>
              </w:rPr>
              <w:t>(3) din RAA</w:t>
            </w:r>
          </w:p>
        </w:tc>
        <w:tc>
          <w:tcPr>
            <w:tcW w:w="355"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bl>
    <w:p>
      <w:pPr>
        <w:shd w:val="clear" w:color="auto" w:fill="D6E3BC" w:themeFill="accent3" w:themeFillTint="66"/>
        <w:rPr>
          <w:noProof/>
          <w:vanish/>
        </w:rPr>
      </w:pPr>
    </w:p>
    <w:p>
      <w:pPr>
        <w:rPr>
          <w:noProof/>
          <w:vanish/>
        </w:rPr>
      </w:pPr>
    </w:p>
    <w:p>
      <w:pPr>
        <w:rPr>
          <w:rFonts w:ascii="Times New Roman" w:hAnsi="Times New Roman" w:cs="Times New Roman"/>
          <w:b/>
          <w:i/>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274320</wp:posOffset>
                </wp:positionV>
                <wp:extent cx="1581150" cy="527050"/>
                <wp:effectExtent l="0" t="0" r="19050" b="25400"/>
                <wp:wrapNone/>
                <wp:docPr id="5" name="Rectangle 5"/>
                <wp:cNvGraphicFramePr/>
                <a:graphic xmlns:a="http://schemas.openxmlformats.org/drawingml/2006/main">
                  <a:graphicData uri="http://schemas.microsoft.com/office/word/2010/wordprocessingShape">
                    <wps:wsp>
                      <wps:cNvSpPr/>
                      <wps:spPr>
                        <a:xfrm>
                          <a:off x="0" y="0"/>
                          <a:ext cx="1581150" cy="52705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pPr>
                              <w:rPr>
                                <w:color w:val="000000" w:themeColor="text1"/>
                              </w:rPr>
                            </w:pPr>
                            <w:r>
                              <w:rPr>
                                <w:rFonts w:ascii="Times New Roman" w:hAnsi="Calibri"/>
                                <w:b/>
                                <w:color w:val="000000" w:themeColor="text1"/>
                                <w:sz w:val="16"/>
                              </w:rPr>
                              <w:t xml:space="preserve">Norme de punere </w:t>
                            </w:r>
                            <w:r>
                              <w:rPr>
                                <w:rFonts w:ascii="Times New Roman" w:hAnsi="Calibri"/>
                                <w:b/>
                                <w:color w:val="000000" w:themeColor="text1"/>
                                <w:sz w:val="16"/>
                              </w:rPr>
                              <w:t>î</w:t>
                            </w:r>
                            <w:r>
                              <w:rPr>
                                <w:rFonts w:ascii="Times New Roman" w:hAnsi="Calibri"/>
                                <w:b/>
                                <w:color w:val="000000" w:themeColor="text1"/>
                                <w:sz w:val="16"/>
                              </w:rPr>
                              <w:t xml:space="preserve">n aplicare ale Comisiei adoptate </w:t>
                            </w:r>
                            <w:r>
                              <w:rPr>
                                <w:rFonts w:ascii="Times New Roman" w:hAnsi="Calibri"/>
                                <w:b/>
                                <w:color w:val="000000" w:themeColor="text1"/>
                                <w:sz w:val="16"/>
                                <w:u w:val="single"/>
                              </w:rPr>
                              <w:t>dup</w:t>
                            </w:r>
                            <w:r>
                              <w:rPr>
                                <w:rFonts w:ascii="Times New Roman" w:hAnsi="Calibri"/>
                                <w:b/>
                                <w:color w:val="000000" w:themeColor="text1"/>
                                <w:sz w:val="16"/>
                                <w:u w:val="single"/>
                              </w:rPr>
                              <w:t>ă</w:t>
                            </w:r>
                            <w:r>
                              <w:rPr>
                                <w:rFonts w:ascii="Times New Roman" w:hAnsi="Calibri"/>
                                <w:b/>
                                <w:color w:val="000000" w:themeColor="text1"/>
                                <w:sz w:val="16"/>
                                <w:u w:val="single"/>
                              </w:rPr>
                              <w:t xml:space="preserve"> reforma din 2014</w:t>
                            </w:r>
                            <w:r>
                              <w:rPr>
                                <w:rFonts w:ascii="Times New Roman" w:hAnsi="Calibri"/>
                                <w:b/>
                                <w:color w:val="000000" w:themeColor="text1"/>
                                <w:sz w:val="16"/>
                              </w:rPr>
                              <w:t xml:space="preserve"> </w:t>
                            </w:r>
                            <w:r>
                              <w:rPr>
                                <w:rFonts w:ascii="Times New Roman" w:hAnsi="Calibri"/>
                                <w:b/>
                                <w:color w:val="000000" w:themeColor="text1"/>
                                <w:sz w:val="16"/>
                              </w:rPr>
                              <w:t>ș</w:t>
                            </w:r>
                            <w:r>
                              <w:rPr>
                                <w:rFonts w:ascii="Times New Roman" w:hAnsi="Calibri"/>
                                <w:b/>
                                <w:color w:val="000000" w:themeColor="text1"/>
                                <w:sz w:val="16"/>
                              </w:rPr>
                              <w:t>i notificate agen</w:t>
                            </w:r>
                            <w:r>
                              <w:rPr>
                                <w:rFonts w:ascii="Times New Roman" w:hAnsi="Calibri"/>
                                <w:b/>
                                <w:color w:val="000000" w:themeColor="text1"/>
                                <w:sz w:val="16"/>
                              </w:rPr>
                              <w:t>ț</w:t>
                            </w:r>
                            <w:r>
                              <w:rPr>
                                <w:rFonts w:ascii="Times New Roman" w:hAnsi="Calibri"/>
                                <w:b/>
                                <w:color w:val="000000" w:themeColor="text1"/>
                                <w:sz w:val="16"/>
                              </w:rPr>
                              <w:t>iilor</w:t>
                            </w:r>
                          </w:p>
                          <w:p>
                            <w:pPr>
                              <w:jc w:val="center"/>
                              <w:rPr>
                                <w:lang w:val="fr-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6pt;margin-top:21.6pt;width:124.5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" fillcolor="#92d050" strokecolor="#243f60 [1604]" strokeweight="2pt">
                <v:textbox>
                  <w:txbxContent>
                    <w:p>
                      <w:pPr>
                        <w:rPr>
                          <w:color w:val="000000" w:themeColor="text1"/>
                        </w:rPr>
                      </w:pPr>
                      <w:r>
                        <w:rPr>
                          <w:rFonts w:ascii="Times New Roman" w:hAnsi="Calibri"/>
                          <w:b/>
                          <w:color w:val="000000" w:themeColor="text1"/>
                          <w:sz w:val="16"/>
                        </w:rPr>
                        <w:t xml:space="preserve">Norme de punere </w:t>
                      </w:r>
                      <w:r>
                        <w:rPr>
                          <w:rFonts w:ascii="Times New Roman" w:hAnsi="Calibri"/>
                          <w:b/>
                          <w:color w:val="000000" w:themeColor="text1"/>
                          <w:sz w:val="16"/>
                        </w:rPr>
                        <w:t>î</w:t>
                      </w:r>
                      <w:r>
                        <w:rPr>
                          <w:rFonts w:ascii="Times New Roman" w:hAnsi="Calibri"/>
                          <w:b/>
                          <w:color w:val="000000" w:themeColor="text1"/>
                          <w:sz w:val="16"/>
                        </w:rPr>
                        <w:t xml:space="preserve">n aplicare ale Comisiei adoptate </w:t>
                      </w:r>
                      <w:r>
                        <w:rPr>
                          <w:rFonts w:ascii="Times New Roman" w:hAnsi="Calibri"/>
                          <w:b/>
                          <w:color w:val="000000" w:themeColor="text1"/>
                          <w:sz w:val="16"/>
                          <w:u w:val="single"/>
                        </w:rPr>
                        <w:t>dup</w:t>
                      </w:r>
                      <w:r>
                        <w:rPr>
                          <w:rFonts w:ascii="Times New Roman" w:hAnsi="Calibri"/>
                          <w:b/>
                          <w:color w:val="000000" w:themeColor="text1"/>
                          <w:sz w:val="16"/>
                          <w:u w:val="single"/>
                        </w:rPr>
                        <w:t>ă</w:t>
                      </w:r>
                      <w:r>
                        <w:rPr>
                          <w:rFonts w:ascii="Times New Roman" w:hAnsi="Calibri"/>
                          <w:b/>
                          <w:color w:val="000000" w:themeColor="text1"/>
                          <w:sz w:val="16"/>
                          <w:u w:val="single"/>
                        </w:rPr>
                        <w:t xml:space="preserve"> reforma din 2014</w:t>
                      </w:r>
                      <w:r>
                        <w:rPr>
                          <w:rFonts w:ascii="Times New Roman" w:hAnsi="Calibri"/>
                          <w:b/>
                          <w:color w:val="000000" w:themeColor="text1"/>
                          <w:sz w:val="16"/>
                        </w:rPr>
                        <w:t xml:space="preserve"> </w:t>
                      </w:r>
                      <w:r>
                        <w:rPr>
                          <w:rFonts w:ascii="Times New Roman" w:hAnsi="Calibri"/>
                          <w:b/>
                          <w:color w:val="000000" w:themeColor="text1"/>
                          <w:sz w:val="16"/>
                        </w:rPr>
                        <w:t>ș</w:t>
                      </w:r>
                      <w:r>
                        <w:rPr>
                          <w:rFonts w:ascii="Times New Roman" w:hAnsi="Calibri"/>
                          <w:b/>
                          <w:color w:val="000000" w:themeColor="text1"/>
                          <w:sz w:val="16"/>
                        </w:rPr>
                        <w:t>i notificate agen</w:t>
                      </w:r>
                      <w:r>
                        <w:rPr>
                          <w:rFonts w:ascii="Times New Roman" w:hAnsi="Calibri"/>
                          <w:b/>
                          <w:color w:val="000000" w:themeColor="text1"/>
                          <w:sz w:val="16"/>
                        </w:rPr>
                        <w:t>ț</w:t>
                      </w:r>
                      <w:r>
                        <w:rPr>
                          <w:rFonts w:ascii="Times New Roman" w:hAnsi="Calibri"/>
                          <w:b/>
                          <w:color w:val="000000" w:themeColor="text1"/>
                          <w:sz w:val="16"/>
                        </w:rPr>
                        <w:t>iilor</w:t>
                      </w:r>
                    </w:p>
                    <w:p>
                      <w:pPr>
                        <w:jc w:val="center"/>
                        <w:rPr>
                          <w:lang w:val="fr-BE"/>
                        </w:rPr>
                      </w:pPr>
                    </w:p>
                  </w:txbxContent>
                </v:textbox>
              </v:rect>
            </w:pict>
          </mc:Fallback>
        </mc:AlternateContent>
      </w:r>
      <w:r>
        <w:rPr>
          <w:rFonts w:ascii="Times New Roman" w:hAnsi="Times New Roman"/>
          <w:b/>
          <w:i/>
          <w:noProof/>
        </w:rPr>
        <w:t>Legendă:</w:t>
      </w:r>
    </w:p>
    <w:p>
      <w:pPr>
        <w:rPr>
          <w:rFonts w:ascii="Times New Roman" w:hAnsi="Times New Roman" w:cs="Times New Roman"/>
          <w:noProof/>
          <w:lang w:val="en-US"/>
        </w:rPr>
      </w:pPr>
    </w:p>
    <w:p>
      <w:pPr>
        <w:pageBreakBefore/>
        <w:jc w:val="center"/>
        <w:rPr>
          <w:rFonts w:ascii="Times New Roman Bold" w:eastAsia="Calibri" w:hAnsi="Times New Roman Bold" w:cs="Times New Roman"/>
          <w:b/>
          <w:smallCaps/>
          <w:noProof/>
          <w:sz w:val="24"/>
          <w:szCs w:val="24"/>
          <w:u w:val="single"/>
        </w:rPr>
      </w:pPr>
      <w:r>
        <w:rPr>
          <w:rFonts w:ascii="Times New Roman Bold" w:hAnsi="Times New Roman Bold"/>
          <w:b/>
          <w:smallCaps/>
          <w:noProof/>
          <w:sz w:val="24"/>
          <w:u w:val="single"/>
        </w:rPr>
        <w:lastRenderedPageBreak/>
        <w:t>Lista agențiilor, a întreprinderilor comune și a organismelor UE</w:t>
      </w:r>
    </w:p>
    <w:p>
      <w:pPr>
        <w:rPr>
          <w:rFonts w:ascii="Times New Roman Bold" w:eastAsia="Calibri" w:hAnsi="Times New Roman Bold" w:cs="Times New Roman"/>
          <w:b/>
          <w:smallCaps/>
          <w:noProof/>
          <w:sz w:val="24"/>
          <w:szCs w:val="24"/>
          <w:u w:val="single"/>
          <w:lang w:val="en-US"/>
        </w:rPr>
      </w:pPr>
    </w:p>
    <w:p>
      <w:pPr>
        <w:rPr>
          <w:rFonts w:ascii="Times New Roman" w:eastAsia="Calibri" w:hAnsi="Times New Roman" w:cs="Times New Roman"/>
          <w:b/>
          <w:noProof/>
          <w:sz w:val="24"/>
          <w:szCs w:val="24"/>
        </w:rPr>
      </w:pPr>
      <w:r>
        <w:rPr>
          <w:rFonts w:ascii="Times New Roman" w:hAnsi="Times New Roman"/>
          <w:b/>
          <w:noProof/>
          <w:sz w:val="24"/>
        </w:rPr>
        <w:t>Agenții executive</w:t>
      </w:r>
      <w:r>
        <w:rPr>
          <w:rStyle w:val="FootnoteReference"/>
          <w:rFonts w:ascii="Times New Roman" w:eastAsia="Calibri" w:hAnsi="Times New Roman" w:cs="Times New Roman"/>
          <w:b/>
          <w:noProof/>
          <w:sz w:val="24"/>
          <w:szCs w:val="24"/>
          <w:lang w:val="en-US"/>
        </w:rPr>
        <w:footnoteReference w:id="6"/>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Europeană pentru Educație și Cultură (EACEA)</w:t>
      </w:r>
      <w:r>
        <w:rPr>
          <w:rStyle w:val="FootnoteReference"/>
          <w:rFonts w:ascii="Times New Roman" w:eastAsia="Calibri" w:hAnsi="Times New Roman" w:cs="Times New Roman"/>
          <w:noProof/>
          <w:sz w:val="24"/>
          <w:szCs w:val="24"/>
        </w:rPr>
        <w:footnoteReference w:id="7"/>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pentru Consiliul European pentru Inovare și IMM-uri (EISMEA)</w:t>
      </w:r>
      <w:r>
        <w:rPr>
          <w:rStyle w:val="FootnoteReference"/>
          <w:rFonts w:ascii="Times New Roman" w:eastAsia="Calibri" w:hAnsi="Times New Roman" w:cs="Times New Roman"/>
          <w:noProof/>
          <w:sz w:val="24"/>
          <w:szCs w:val="24"/>
        </w:rPr>
        <w:footnoteReference w:id="8"/>
      </w:r>
      <w:r>
        <w:rPr>
          <w:rFonts w:ascii="Times New Roman" w:hAnsi="Times New Roman"/>
          <w:noProof/>
          <w:sz w:val="24"/>
        </w:rPr>
        <w:t xml:space="preserve"> </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a Consiliului European pentru Cercetare (ERCEA)</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pentru Climă, Infrastructură și Mediu (CINEA)</w:t>
      </w:r>
      <w:r>
        <w:rPr>
          <w:rStyle w:val="FootnoteReference"/>
          <w:rFonts w:ascii="Times New Roman" w:eastAsia="Calibri" w:hAnsi="Times New Roman" w:cs="Times New Roman"/>
          <w:noProof/>
          <w:sz w:val="24"/>
          <w:szCs w:val="24"/>
        </w:rPr>
        <w:footnoteReference w:id="9"/>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Europeană pentru Cercetare (REA)</w:t>
      </w:r>
      <w:r>
        <w:rPr>
          <w:rStyle w:val="FootnoteReference"/>
          <w:rFonts w:ascii="Times New Roman" w:eastAsia="Calibri" w:hAnsi="Times New Roman" w:cs="Times New Roman"/>
          <w:noProof/>
          <w:sz w:val="24"/>
          <w:szCs w:val="24"/>
        </w:rPr>
        <w:footnoteReference w:id="10"/>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Agenția Executivă Europeană pentru Domeniile Sănătății și Digital (HADEA)</w:t>
      </w:r>
    </w:p>
    <w:p>
      <w:pPr>
        <w:rPr>
          <w:rFonts w:ascii="Times New Roman" w:eastAsia="Calibri" w:hAnsi="Times New Roman" w:cs="Times New Roman"/>
          <w:b/>
          <w:noProof/>
          <w:sz w:val="24"/>
          <w:szCs w:val="24"/>
        </w:rPr>
      </w:pPr>
      <w:r>
        <w:rPr>
          <w:rFonts w:ascii="Times New Roman" w:hAnsi="Times New Roman"/>
          <w:b/>
          <w:noProof/>
          <w:sz w:val="24"/>
        </w:rPr>
        <w:t>Agenții descentralizate și organisme ale UE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Cooperarea Autorităților de Reglementare din Domeniul Energiei (ACER)</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Agenția de Sprijin pentru OAREC (Oficiul OAREC)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Centrul de Traduceri pentru Organismele Uniunii Europene (CdT)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Centrul European pentru Dezvoltarea Formării Profesionale (CEDEFOP)</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Formare în Materie de Aplicare a Legii (CEPOL)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Oficiul Comunitar pentru Soiuri de Plante (OCSP)</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lastRenderedPageBreak/>
        <w:t>Agenția Uniunii Europene pentru Siguranța Aviației (AESA)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Azil (EUAA)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Autoritatea Bancară Europeană (ABE)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Centrul European de Prevenire și Control al Bolilor (ECDC)</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pentru Produse Chimice (ECHA)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de Mediu (AEM)</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Agenția Europeană pentru Controlul Pescuitului (EFCA)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Autoritatea Europeană pentru Siguranța Alimentară (EFSA)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Institutul European pentru Egalitatea de Șanse între Femei și Bărbați (EIGE)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Autoritatea Europeană de Asigurări și Pensii Ocupaționale (EIOPA)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Institutul European de Inovare și Tehnologie (EIT)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Autoritatea Europeană a Muncii (ELA)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pentru Medicamente (EMA)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pentru Siguranță Maritimă (EMSA)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Observatorul European pentru Droguri și Toxicomanie (OEDT)</w:t>
      </w:r>
      <w:r>
        <w:rPr>
          <w:rStyle w:val="FootnoteReference"/>
          <w:rFonts w:ascii="Times New Roman" w:eastAsia="Times New Roman" w:hAnsi="Times New Roman" w:cs="Times New Roman"/>
          <w:iCs/>
          <w:noProof/>
          <w:sz w:val="24"/>
          <w:szCs w:val="24"/>
          <w:lang w:eastAsia="en-GB"/>
        </w:rPr>
        <w:footnoteReference w:id="11"/>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Securitate Cibernetică (ENISA)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Parchetul European (EPPO)</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Căile Ferate (ERA)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Autoritatea Europeană pentru Valori Mobiliare și Piețe (ESMA)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Fundația Europeană de Formare (ETF)</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Oficiul Uniunii Europene pentru Proprietate Intelectuală (EUIPO)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Gestionarea Operațională a Sistemelor Informatice la Scară Largă în Spațiul de Libertate, Securitate și Justiție (eu</w:t>
      </w:r>
      <w:r>
        <w:rPr>
          <w:rFonts w:ascii="Times New Roman" w:hAnsi="Times New Roman" w:cs="Times New Roman"/>
          <w:noProof/>
          <w:sz w:val="24"/>
        </w:rPr>
        <w:t>­</w:t>
      </w:r>
      <w:r>
        <w:rPr>
          <w:rFonts w:ascii="Times New Roman" w:hAnsi="Times New Roman"/>
          <w:noProof/>
          <w:sz w:val="24"/>
        </w:rPr>
        <w:t>LISA)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pentru Securitate și Sănătate în Muncă (EU-OSHA)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Fundația Europeană pentru Îmbunătățirea Condițiilor de Viață și de Muncă (Eurofound)</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Unitatea de Cooperare Judiciară a Uniunii Europene (Eurojust)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Uniunii Europene pentru Cooperare în Materie de Aplicare a Legii (Europol)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lastRenderedPageBreak/>
        <w:t>Agenția pentru Drepturi Fundamentale a Uniunii Europene (FRA)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Europeană pentru Poliția de Frontieră și Garda de Coastă (Frontex)</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Agenția UE pentru Programul spațial (EUSPA, fosta GSA)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Comitetul unic de rezoluție (SRB)</w:t>
      </w:r>
    </w:p>
    <w:p>
      <w:pPr>
        <w:spacing w:before="100" w:beforeAutospacing="1" w:after="100" w:afterAutospacing="1"/>
        <w:rPr>
          <w:rFonts w:ascii="Times New Roman" w:eastAsia="Calibri" w:hAnsi="Times New Roman" w:cs="Times New Roman"/>
          <w:b/>
          <w:noProof/>
          <w:sz w:val="24"/>
          <w:szCs w:val="24"/>
        </w:rPr>
      </w:pPr>
      <w:r>
        <w:rPr>
          <w:rFonts w:ascii="Times New Roman" w:hAnsi="Times New Roman"/>
          <w:b/>
          <w:noProof/>
          <w:sz w:val="24"/>
        </w:rPr>
        <w:t>Întreprinderi comune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pentru bioeconomia circulară în Europa (CBE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pentru o aviație curată (CA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pentru cipuri (Chips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pentru un hidrogen curat (CH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Centrul european de competențe în materie de securitate cibernetică (ECCC)</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 xml:space="preserve">Întreprinderea comună pentru calculul european de înaltă performanță (EuroHPC) </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europeană pentru ITER și pentru dezvoltarea energiei de fuziune (F4E)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pentru căile ferate ale Europei (EU-Rail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EDCTP3 „Sănătatea la nivel mondial” (GH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„Inițiativa pentru inovare în domeniul sănătății” (IHI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SESAR (SESAR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Întreprinderea comună „Rețele și servicii inteligente” (SNS JU)</w:t>
      </w:r>
    </w:p>
    <w:sectPr>
      <w:headerReference w:type="even" r:id="rId15"/>
      <w:headerReference w:type="default" r:id="rId16"/>
      <w:footerReference w:type="even" r:id="rId17"/>
      <w:footerReference w:type="default" r:id="rId18"/>
      <w:headerReference w:type="first" r:id="rId19"/>
      <w:footerReference w:type="first" r:id="rId20"/>
      <w:pgSz w:w="16840" w:h="11900" w:orient="landscape" w:code="9"/>
      <w:pgMar w:top="560" w:right="280" w:bottom="220" w:left="1280" w:header="108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O listă completă a agențiilor executive, a întreprinderilor comune, a agențiilor descentralizate și a organismelor Uniunii este prevăzută la sfârșitul prezentei anexe.</w:t>
      </w:r>
    </w:p>
  </w:footnote>
  <w:footnote w:id="2">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Normele agențiilor de punere în aplicare a Statutului funcționarilor adoptate înainte de reforma din 2014 sunt menționate în cazul în care există o decizie a Comisiei cu privire la subiectul în cauză.</w:t>
      </w:r>
    </w:p>
  </w:footnote>
  <w:footnote w:id="3">
    <w:p>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szCs w:val="16"/>
        </w:rPr>
        <w:t xml:space="preserve">O normă de punere în aplicare a Comisiei se aplică, prin analogie, agențiilor după nouă luni de la intrarea sa în vigoare în ceea ce privește Comisia sau după nouă luni de la data la care Comisia a comunicat agențiilor adoptarea respectivei norme de punere în aplicare, oricare dintre aceste date este ulterioară. </w:t>
      </w:r>
    </w:p>
  </w:footnote>
  <w:footnote w:id="4">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Normele agențiilor de punere în aplicare a Statutului funcționarilor adoptate înainte de reforma din 2014 sunt menționate în cazul în care există o decizie a Comisiei cu privire la subiectul în cauză.</w:t>
      </w:r>
    </w:p>
  </w:footnote>
  <w:footnote w:id="5">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sz w:val="16"/>
        </w:rPr>
        <w:t xml:space="preserve">Trebuie remarcat faptul că aceste cifre includ, de asemenea, normele adoptate prin analogie pe baza normelor de punere în aplicare ale Comisiei care, deși fuseseră adoptate înainte de reforma din 2014, au fost notificate de Comisie agențiilor. </w:t>
      </w:r>
    </w:p>
  </w:footnote>
  <w:footnote w:id="6">
    <w:p>
      <w:pPr>
        <w:tabs>
          <w:tab w:val="left" w:pos="840"/>
        </w:tabs>
        <w:spacing w:after="0"/>
        <w:contextualSpacing/>
        <w:rPr>
          <w:rFonts w:ascii="Times New Roman" w:eastAsia="Calibri" w:hAnsi="Times New Roman" w:cs="Times New Roman"/>
          <w:noProof/>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În temeiul Deciziei de punere în aplicare (UE) 2021/173 a Comisiei din 12 februarie 2021, Agenția Executivă pentru Consumatori, Sănătate, Agricultură și Alimente (CHAFEA) a încetat să existe la 1 aprilie 2021, L 50/9, 15.2.2021. </w:t>
      </w:r>
    </w:p>
  </w:footnote>
  <w:footnote w:id="7">
    <w:p>
      <w:pPr>
        <w:pStyle w:val="FootnoteText"/>
        <w:ind w:left="840" w:hanging="840"/>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Agenția Executivă Europeană pentru Educație și Cultură succedă și înlocuiește Agenția Executivă pentru Educație, Audiovizual și Cultură, a se vedea Decizia de punere în aplicare (UE) 2021/173 a Comisiei, idem.</w:t>
      </w:r>
    </w:p>
  </w:footnote>
  <w:footnote w:id="8">
    <w:p>
      <w:pPr>
        <w:tabs>
          <w:tab w:val="left" w:pos="840"/>
        </w:tabs>
        <w:spacing w:after="100" w:afterAutospacing="1"/>
        <w:contextualSpacing/>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Agenția Executivă pentru Consiliul European pentru Inovare și IMM-uri succedă și înlocuiește Agenția Executivă pentru Întreprinderi Mici și Mijlocii, a se vedea Decizia de punere în aplicare (UE) 2021/173 a Comisiei, idem.</w:t>
      </w:r>
    </w:p>
  </w:footnote>
  <w:footnote w:id="9">
    <w:p>
      <w:pPr>
        <w:tabs>
          <w:tab w:val="left" w:pos="840"/>
        </w:tabs>
        <w:spacing w:before="100" w:beforeAutospacing="1" w:after="100" w:afterAutospacing="1"/>
        <w:contextualSpacing/>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Agenția Executivă Europeană pentru Climă, Infrastructură și Mediu succedă și înlocuiește Agenția Executivă pentru Inovare și Rețele, a se vedea Decizia de punere în aplicare (UE) 2021/173 a Comisiei, idem.</w:t>
      </w:r>
    </w:p>
  </w:footnote>
  <w:footnote w:id="10">
    <w:p>
      <w:pPr>
        <w:tabs>
          <w:tab w:val="left" w:pos="840"/>
        </w:tabs>
        <w:spacing w:before="100" w:beforeAutospacing="1" w:after="100" w:afterAutospacing="1"/>
        <w:contextualSpacing/>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Agenția Executivă Europeană pentru Cercetare succedă și înlocuiește Agenția Executivă pentru Cercetare, a se vedea Decizia de punere în aplicare (UE) 2021/173 a Comisiei, idem.</w:t>
      </w:r>
    </w:p>
  </w:footnote>
  <w:footnote w:id="11">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Agenția Uniunii Europene privind Drogurile înlocuiește Observatorul European pentru Droguri și Toxicomanie și îi succedă acestuia, în temeiul Regulamentului (UE) 2023/1322 al Parlamentului European și al Consiliului din 27 iunie 2023 cu privire la Agenția Uniunii Europene privind Drogurile (EUDA) și de abrogare a Regulamentului (CE) nr. 1920/2006, cu efect de la 2 iulie 2024, JO 30.6.2023, L 166/12.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954243"/>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t>1</w:t>
        </w:r>
        <w:r>
          <w:fldChar w:fldCharType="end"/>
        </w:r>
      </w:p>
    </w:sdtContent>
  </w:sdt>
  <w:p>
    <w:pPr>
      <w:spacing w:line="14" w:lineRule="auto"/>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6EB"/>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D0569E"/>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802C46"/>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la"/>
    <w:docVar w:name="LW_ANNEX_NBR_FIRST" w:val="4"/>
    <w:docVar w:name="LW_ANNEX_NBR_LAST" w:val="4"/>
    <w:docVar w:name="LW_ANNEX_UNIQUE" w:val="0"/>
    <w:docVar w:name="LW_CORRIGENDUM" w:val="&lt;UNUSED&gt;"/>
    <w:docVar w:name="LW_COVERPAGE_EXISTS" w:val="True"/>
    <w:docVar w:name="LW_COVERPAGE_GUID" w:val="991C376D-671B-48F9-81A5-D7CA3139A55A"/>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privind normele adoptate de autoritatea împuternicit\u259? s\u259? fac\u259? numiri a fiec\u259?rei institu\u539?ii pentru punerea în aplicare a Statutului func\u539?ionarilor_x000d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u536?I CONSILIU_x000b_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56465F-5F06-471E-8C4F-2D6D2412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99"/>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ro-RO"/>
    </w:rPr>
  </w:style>
  <w:style w:type="paragraph" w:styleId="ListParagraph">
    <w:name w:val="List Paragraph"/>
    <w:basedOn w:val="Normal"/>
    <w:uiPriority w:val="34"/>
    <w:qFormat/>
    <w:pPr>
      <w:widowControl w:val="0"/>
      <w:spacing w:after="0" w:line="240" w:lineRule="auto"/>
    </w:pPr>
  </w:style>
  <w:style w:type="paragraph" w:customStyle="1" w:styleId="TableParagraph">
    <w:name w:val="Table Paragraph"/>
    <w:basedOn w:val="Normal"/>
    <w:uiPriority w:val="1"/>
    <w:qFormat/>
    <w:pPr>
      <w:widowControl w:val="0"/>
      <w:spacing w:after="0" w:line="240" w:lineRule="auto"/>
    </w:p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30" w:after="150" w:line="240" w:lineRule="auto"/>
    </w:pPr>
    <w:rPr>
      <w:rFonts w:ascii="Arial" w:eastAsia="Times New Roman" w:hAnsi="Arial" w:cs="Arial"/>
      <w:sz w:val="24"/>
      <w:szCs w:val="24"/>
      <w:lang w:eastAsia="en-GB"/>
    </w:rPr>
  </w:style>
  <w:style w:type="paragraph" w:styleId="Date">
    <w:name w:val="Date"/>
    <w:basedOn w:val="Normal"/>
    <w:next w:val="Normal"/>
    <w:link w:val="DateChar"/>
    <w:uiPriority w:val="99"/>
    <w:semiHidden/>
    <w:unhideWhenUsed/>
    <w:pPr>
      <w:spacing w:after="0" w:line="240" w:lineRule="auto"/>
      <w:ind w:left="5103"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uiPriority w:val="99"/>
    <w:semiHidden/>
    <w:rPr>
      <w:rFonts w:ascii="Times New Roman" w:eastAsia="Times New Roman" w:hAnsi="Times New Roman" w:cs="Times New Roman"/>
      <w:sz w:val="24"/>
      <w:szCs w:val="20"/>
      <w:lang w:val="ro-RO" w:eastAsia="en-GB"/>
    </w:rPr>
  </w:style>
  <w:style w:type="paragraph" w:customStyle="1" w:styleId="bodytext1">
    <w:name w:val="bodytext1"/>
    <w:basedOn w:val="Normal"/>
    <w:uiPriority w:val="99"/>
    <w:pPr>
      <w:spacing w:after="0" w:line="360" w:lineRule="auto"/>
    </w:pPr>
    <w:rPr>
      <w:rFonts w:ascii="Times New Roman" w:eastAsia="Times New Roman" w:hAnsi="Times New Roman" w:cs="Times New Roman"/>
      <w:color w:val="666666"/>
      <w:sz w:val="18"/>
      <w:szCs w:val="18"/>
      <w:lang w:eastAsia="en-GB"/>
    </w:rPr>
  </w:style>
  <w:style w:type="table" w:styleId="TableGrid">
    <w:name w:val="Table Grid"/>
    <w:basedOn w:val="TableNormal"/>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8038">
      <w:bodyDiv w:val="1"/>
      <w:marLeft w:val="0"/>
      <w:marRight w:val="0"/>
      <w:marTop w:val="0"/>
      <w:marBottom w:val="0"/>
      <w:divBdr>
        <w:top w:val="none" w:sz="0" w:space="0" w:color="auto"/>
        <w:left w:val="none" w:sz="0" w:space="0" w:color="auto"/>
        <w:bottom w:val="none" w:sz="0" w:space="0" w:color="auto"/>
        <w:right w:val="none" w:sz="0" w:space="0" w:color="auto"/>
      </w:divBdr>
    </w:div>
    <w:div w:id="258609955">
      <w:bodyDiv w:val="1"/>
      <w:marLeft w:val="0"/>
      <w:marRight w:val="0"/>
      <w:marTop w:val="0"/>
      <w:marBottom w:val="0"/>
      <w:divBdr>
        <w:top w:val="none" w:sz="0" w:space="0" w:color="auto"/>
        <w:left w:val="none" w:sz="0" w:space="0" w:color="auto"/>
        <w:bottom w:val="none" w:sz="0" w:space="0" w:color="auto"/>
        <w:right w:val="none" w:sz="0" w:space="0" w:color="auto"/>
      </w:divBdr>
    </w:div>
    <w:div w:id="722097731">
      <w:bodyDiv w:val="1"/>
      <w:marLeft w:val="0"/>
      <w:marRight w:val="0"/>
      <w:marTop w:val="0"/>
      <w:marBottom w:val="0"/>
      <w:divBdr>
        <w:top w:val="none" w:sz="0" w:space="0" w:color="auto"/>
        <w:left w:val="none" w:sz="0" w:space="0" w:color="auto"/>
        <w:bottom w:val="none" w:sz="0" w:space="0" w:color="auto"/>
        <w:right w:val="none" w:sz="0" w:space="0" w:color="auto"/>
      </w:divBdr>
    </w:div>
    <w:div w:id="772553434">
      <w:bodyDiv w:val="1"/>
      <w:marLeft w:val="0"/>
      <w:marRight w:val="0"/>
      <w:marTop w:val="0"/>
      <w:marBottom w:val="0"/>
      <w:divBdr>
        <w:top w:val="none" w:sz="0" w:space="0" w:color="auto"/>
        <w:left w:val="none" w:sz="0" w:space="0" w:color="auto"/>
        <w:bottom w:val="none" w:sz="0" w:space="0" w:color="auto"/>
        <w:right w:val="none" w:sz="0" w:space="0" w:color="auto"/>
      </w:divBdr>
    </w:div>
    <w:div w:id="1479112716">
      <w:bodyDiv w:val="1"/>
      <w:marLeft w:val="0"/>
      <w:marRight w:val="0"/>
      <w:marTop w:val="0"/>
      <w:marBottom w:val="0"/>
      <w:divBdr>
        <w:top w:val="none" w:sz="0" w:space="0" w:color="auto"/>
        <w:left w:val="none" w:sz="0" w:space="0" w:color="auto"/>
        <w:bottom w:val="none" w:sz="0" w:space="0" w:color="auto"/>
        <w:right w:val="none" w:sz="0" w:space="0" w:color="auto"/>
      </w:divBdr>
    </w:div>
    <w:div w:id="1686051468">
      <w:bodyDiv w:val="1"/>
      <w:marLeft w:val="0"/>
      <w:marRight w:val="0"/>
      <w:marTop w:val="0"/>
      <w:marBottom w:val="0"/>
      <w:divBdr>
        <w:top w:val="none" w:sz="0" w:space="0" w:color="auto"/>
        <w:left w:val="none" w:sz="0" w:space="0" w:color="auto"/>
        <w:bottom w:val="none" w:sz="0" w:space="0" w:color="auto"/>
        <w:right w:val="none" w:sz="0" w:space="0" w:color="auto"/>
      </w:divBdr>
    </w:div>
    <w:div w:id="1773626104">
      <w:bodyDiv w:val="1"/>
      <w:marLeft w:val="0"/>
      <w:marRight w:val="0"/>
      <w:marTop w:val="0"/>
      <w:marBottom w:val="0"/>
      <w:divBdr>
        <w:top w:val="none" w:sz="0" w:space="0" w:color="auto"/>
        <w:left w:val="none" w:sz="0" w:space="0" w:color="auto"/>
        <w:bottom w:val="none" w:sz="0" w:space="0" w:color="auto"/>
        <w:right w:val="none" w:sz="0" w:space="0" w:color="auto"/>
      </w:divBdr>
    </w:div>
    <w:div w:id="1785536586">
      <w:bodyDiv w:val="1"/>
      <w:marLeft w:val="0"/>
      <w:marRight w:val="0"/>
      <w:marTop w:val="0"/>
      <w:marBottom w:val="0"/>
      <w:divBdr>
        <w:top w:val="none" w:sz="0" w:space="0" w:color="auto"/>
        <w:left w:val="none" w:sz="0" w:space="0" w:color="auto"/>
        <w:bottom w:val="none" w:sz="0" w:space="0" w:color="auto"/>
        <w:right w:val="none" w:sz="0" w:space="0" w:color="auto"/>
      </w:divBdr>
    </w:div>
    <w:div w:id="178927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3B24C-39D2-41A7-B78E-D53E0BDDA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cp:lastPrinted>2020-10-02T11:54:00Z</cp:lastPrinted>
  <dcterms:created xsi:type="dcterms:W3CDTF">2026-08-27T06:06:00Z</dcterms:created>
  <dcterms:modified xsi:type="dcterms:W3CDTF">2026-09-10T12:58:00Z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4</vt:lpwstr>
  </property>
  <property fmtid="{D5CDD505-2E9C-101B-9397-08002B2CF9AE}" pid="3" name="Last annex">
    <vt:lpwstr>4</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2024-05-10T10:28:53Z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34c6bfdf-6134-4393-b1a1-fab6e4b0994a</vt:lpwstr>
  </property>
  <property fmtid="{D5CDD505-2E9C-101B-9397-08002B2CF9AE}" pid="17" name="MSIP_Label_6bd9ddd1-4d20-43f6-abfa-fc3c07406f94_ContentBits">
    <vt:lpwstr>0</vt:lpwstr>
  </property>
</Properties>
</file>