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BC90711-455C-4DAD-B048-D7847E5C3AC9" style="width:455.25pt;height:342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pPr>
        <w:rPr>
          <w:b/>
          <w:smallCaps/>
          <w:noProof/>
          <w:lang w:eastAsia="de-DE"/>
        </w:rPr>
      </w:pPr>
    </w:p>
    <w:p>
      <w:pPr>
        <w:pStyle w:val="ManualHeading1"/>
        <w:spacing w:before="0" w:after="0"/>
        <w:ind w:left="851" w:hanging="851"/>
        <w:rPr>
          <w:noProof/>
        </w:rPr>
      </w:pPr>
      <w:r>
        <w:rPr>
          <w:noProof/>
        </w:rPr>
        <w:t>Sinteză</w:t>
      </w:r>
    </w:p>
    <w:p>
      <w:pPr>
        <w:pStyle w:val="ManualHeading1"/>
        <w:spacing w:before="0" w:after="0"/>
        <w:ind w:left="851" w:hanging="851"/>
        <w:rPr>
          <w:noProof/>
        </w:rPr>
      </w:pPr>
      <w:bookmarkStart w:id="1" w:name="_Hlk166852712"/>
    </w:p>
    <w:p>
      <w:pPr>
        <w:jc w:val="both"/>
        <w:rPr>
          <w:noProof/>
        </w:rPr>
      </w:pPr>
      <w:r>
        <w:rPr>
          <w:noProof/>
        </w:rPr>
        <w:t>Acesta este cel de al 44-lea raport privind activitatea de apărare comercială a Uniunii Europene (UE). Raportul vizează activitățile antidumping, antisubvenție și de salvgardare ale UE, activitățile de apărare comercială ale țărilor terțe în ceea ce privește mărfurile importate din UE, precum și activitățile desfășurate de consilierul-auditor în 2025. Raportul este însoțit de un document de lucru al serviciilor Comisiei care oferă informații și statistici mai detaliate.</w:t>
      </w:r>
    </w:p>
    <w:p>
      <w:pPr>
        <w:jc w:val="both"/>
        <w:rPr>
          <w:noProof/>
        </w:rPr>
      </w:pPr>
    </w:p>
    <w:p>
      <w:pPr>
        <w:jc w:val="both"/>
        <w:rPr>
          <w:noProof/>
        </w:rPr>
      </w:pPr>
      <w:r>
        <w:rPr>
          <w:noProof/>
        </w:rPr>
        <w:t>Anul 2025 a fost un alt an important pentru activitatea de apărare comercială a UE, caracterizat de o cerere ridicată continuă de măsuri menite să protejeze industria europeană atât împotriva importurilor care fac obiectul dumpingului și a celor subvenționate, cât și împotriva creșterii bruște a importurilor. În anul 2025 s-a impus o măsură de salvgardare rar utilizată în cazul feroaliajelor. Cu puțin sub nivelul record înregistrat în anul precedent, Comisia a inițiat 32 de noi investigații. Creșterea cererii de apărare comercială este un indicator al creșterii practicilor comerciale neloiale care afectează industria UE și al gravității situației, în special în sectorul chimic, care a fost din nou evidentă în 2025, având în vedere că a reprezentat peste o treime din noile cazuri inițiate în 2025. Acest nivel ridicat și persistent de activitate continuă să exercite presiune asupra serviciilor de apărare comercială. Cu toate acestea, angajamentul de a apăra industria împotriva practicilor comerciale neloiale a rămas ferm.</w:t>
      </w:r>
    </w:p>
    <w:p>
      <w:pPr>
        <w:jc w:val="both"/>
        <w:rPr>
          <w:noProof/>
        </w:rPr>
      </w:pPr>
    </w:p>
    <w:p>
      <w:pPr>
        <w:jc w:val="both"/>
        <w:rPr>
          <w:noProof/>
        </w:rPr>
      </w:pPr>
      <w:r>
        <w:rPr>
          <w:noProof/>
        </w:rPr>
        <w:t xml:space="preserve">În 2025, UE a majorat numărul măsurilor în vigoare de la 199 la începutul anului la 232 de măsuri, protejând peste 637 000 de locuri de muncă directe din industria prelucrătoare până la sfârșitul anului. Deși sectorul siderurgic reprezintă aproape o treime din măsuri, în mod deloc surprinzător, sectorul chimic este, de asemenea, predominant, reprezentând aproape un sfert din măsuri. </w:t>
      </w:r>
    </w:p>
    <w:p>
      <w:pPr>
        <w:jc w:val="both"/>
        <w:rPr>
          <w:noProof/>
        </w:rPr>
      </w:pPr>
    </w:p>
    <w:p>
      <w:pPr>
        <w:autoSpaceDE w:val="0"/>
        <w:autoSpaceDN w:val="0"/>
        <w:jc w:val="both"/>
        <w:rPr>
          <w:noProof/>
        </w:rPr>
      </w:pPr>
      <w:r>
        <w:rPr>
          <w:noProof/>
        </w:rPr>
        <w:t xml:space="preserve">În 2025, eficacitatea măsurilor de apărare comercială a continuat să reprezinte o prioritate majoră pentru Comisie, întrucât aceasta este esențială pentru eficacitatea instrumentelor respective. Aplicarea retroactivă a măsurilor în trei cazuri a demonstrat hotărârea Comisiei de a asigura o protecție promptă industriei, atunci când acest lucru era justificat din punct de vedere juridic. Acest lucru a fost facilitat de înregistrarea automată a importurilor în toate noile investigații antidumping și antisubvenție, ceea ce a permis urmărirea precisă a fluxurilor comerciale. Monitorizarea nivelurilor importurilor și a evoluțiilor pieței în asociere cu industria și luarea de măsuri împotriva circumvenției au continuat, de asemenea, pe tot parcursul anului. În plus, </w:t>
      </w:r>
      <w:r>
        <w:rPr>
          <w:noProof/>
          <w:color w:val="000000"/>
        </w:rPr>
        <w:t xml:space="preserve">pentru a îmbunătăți monitorizarea fluxurilor comerciale de produse care fac obiectul măsurilor specifice fiecărei întreprinderi, în 2025, Comisia a dezvoltat un nou instrument de raportare a exportatorilor și de urmărire a transporturilor, care a intrat în vigoare la începutul anului 2026, cu scopul de a monitoriza un angajament de preț acceptat în ceea ce privește importurile de vehicule electrice cu baterii. </w:t>
      </w:r>
      <w:r>
        <w:rPr>
          <w:noProof/>
        </w:rPr>
        <w:t xml:space="preserve">Circumvenția măsurilor rămâne o provocare, fiind înregistrată o creștere a cazurilor de eludare a acestora prin practici precum transbordarea prin țări terțe, care implică operațiuni de asamblare cu valoare minimă. O investigație anticircumvenție desfășurată în 2025 a condus la prelungirea măsurilor antidumping aplicabile glutamatului monosodic provenit din China în Malaysia, tocmai pentru a combate o astfel de practică. </w:t>
      </w:r>
    </w:p>
    <w:p>
      <w:pPr>
        <w:rPr>
          <w:noProof/>
        </w:rPr>
      </w:pPr>
    </w:p>
    <w:p>
      <w:pPr>
        <w:jc w:val="both"/>
        <w:rPr>
          <w:noProof/>
        </w:rPr>
      </w:pPr>
      <w:r>
        <w:rPr>
          <w:noProof/>
        </w:rPr>
        <w:lastRenderedPageBreak/>
        <w:t xml:space="preserve">În 2025 s-a înregistrat o creștere semnificativă a numărului de acțiuni în instanță prin care au fost contestate măsurile de apărare comercială, fiind depuse 18 noi dosare, față de 10 în 2024. Totuși, printre acestea se numără șase contestații împotriva taxelor compensatorii aplicate vehiculelor electrice chinezești în 2024. În același timp, din opt hotărâri pronunțate de Tribunal în 2025, Comisia a avut câștig de cauză în șapte. Au fost confirmate câteva principii juridice importante, printre care dreptul de a continua investigațiile chiar și după ce industria își retrage plângerea, metodologia de stabilire a valorii normale în cazul în care nu există date privind vânzările pe piața internă, precum și evaluarea probabilității de continuare sau reapariție a dumpingului și a prejudiciului în cadrul reexaminărilor efectuate în perspectiva expirării măsurilor de salvgardare aflate în vigoare. Deși jurisprudența recentă subliniază soliditatea măsurilor de apărare comercială ale UE, intensificarea controlului juridic evidențiază că este necesar ca Comisia să aplice corect legislația, de la etapa de depunere a plângerii până la impunerea măsurilor. </w:t>
      </w:r>
    </w:p>
    <w:p>
      <w:pPr>
        <w:jc w:val="both"/>
        <w:rPr>
          <w:noProof/>
        </w:rPr>
      </w:pPr>
    </w:p>
    <w:p>
      <w:pPr>
        <w:jc w:val="both"/>
        <w:rPr>
          <w:noProof/>
        </w:rPr>
      </w:pPr>
      <w:r>
        <w:rPr>
          <w:noProof/>
        </w:rPr>
        <w:t xml:space="preserve">În 2025, UE a jucat un rol proactiv și ferm în cadrul comitetelor de apărare comercială ale OMC, apărându-și cu fermitate măsurile, contestând în același timp practicile neloiale și anumite investigații inițiate de unii parteneri comerciali care afectează exportatorii din UE. Angajamentul UE față de activitatea acestor comitete este esențial pentru a consolida și a susține sistemul comercial bazat pe norme, asigurându-se, în același timp, că industriile europene sunt protejate împotriva concurenței neloiale într-un mod solid din punct de vedere juridic. În cadrul Comitetului pentru subvenții și măsuri compensatorii, UE a subliniat necesitatea urgentă a unei mai mari transparențe, având în vedere nivelul insuficient de raportare a subvențiilor care denaturează piața din partea multor membri ai OMC. </w:t>
      </w:r>
    </w:p>
    <w:p>
      <w:pPr>
        <w:rPr>
          <w:noProof/>
        </w:rPr>
      </w:pPr>
    </w:p>
    <w:p>
      <w:pPr>
        <w:jc w:val="both"/>
        <w:rPr>
          <w:noProof/>
        </w:rPr>
      </w:pPr>
      <w:r>
        <w:rPr>
          <w:noProof/>
        </w:rPr>
        <w:t xml:space="preserve">La sfârșitul anului 2025, erau în vigoare 181 de măsuri de apărare comercială impuse de țări terțe împotriva exporturilor UE, cu 14 mai multe decât la începutul anului. Pe de altă parte, numărul de noi investigații inițiate în 2025 care vizează UE și statele sale membre a înregistrat o ușoară scădere de la 34 în anul precedent la 30. Deși investigațiile Chinei privind importurile de coniac, carne de porc și produse lactate din UE au implicat numeroase intervenții ale Comisiei la toate nivelurile, de la cel tehnic la cel politic, China a continuat să aplice măsuri în pofida deficiențelor acestor cazuri. Cu toate acestea, Comisia continuă să analizeze modalitățile de continuare a acestor măsuri de apărare comercială nejustificate, precum și altor măsuri similare, care au un impact asupra exportatorilor din UE. Astfel de eforturi au condus la înregistrarea unor succese, precum încheierea investigațiilor antidumping și antisubvenție inițiate de Australia, care vizau de mult timp exporturile italiene de roșii, inclusiv impunerea de măsuri antisubvenții împotriva programelor din cadrul politicii agricole comune (PAC) care nu puteau face obiectul unor măsuri compensatorii. </w:t>
      </w:r>
    </w:p>
    <w:p>
      <w:pPr>
        <w:jc w:val="both"/>
        <w:rPr>
          <w:noProof/>
        </w:rPr>
      </w:pPr>
    </w:p>
    <w:p>
      <w:pPr>
        <w:jc w:val="both"/>
        <w:rPr>
          <w:noProof/>
        </w:rPr>
      </w:pPr>
      <w:r>
        <w:rPr>
          <w:noProof/>
        </w:rPr>
        <w:t>Ca urmare a creșterii cererii de apărare comercială în 2025, Comisia s-a întâlnit cu numeroși reprezentanți ai industriei la nivel de întreprindere, de sector și de asociație națională pentru a face schimb de opinii cu privire la instrumente, a gestiona așteptările și a asculta propuneri privind modul în care acestea vor fi utilizate în viitor. Un mesaj clar adresat industriei în contextul actual dificil este acela de a acționa rapid, reacționând mai devreme și pregătindu-se mai bine pentru a evita ca tendințele negative să se transforme în rezultate negative. Această abordare poate ajuta Comisia să sprijine industria și să continue să își respecte angajamentul asumat de președinta von der Leyen în discursul său privind Starea Uniunii din septembrie 2025, potrivit căruia „[...] ne vom proteja întotdeauna industria împotriva concurenței neloiale”.</w:t>
      </w:r>
    </w:p>
    <w:p>
      <w:pPr>
        <w:jc w:val="both"/>
        <w:rPr>
          <w:noProof/>
        </w:rPr>
      </w:pPr>
    </w:p>
    <w:p>
      <w:pPr>
        <w:tabs>
          <w:tab w:val="num" w:pos="720"/>
        </w:tabs>
        <w:jc w:val="both"/>
        <w:rPr>
          <w:noProof/>
        </w:rPr>
      </w:pPr>
      <w:r>
        <w:rPr>
          <w:noProof/>
        </w:rPr>
        <w:lastRenderedPageBreak/>
        <w:t xml:space="preserve">În sfârșit, raportul include o secțiune separată care descrie grupul operativ de supraveghere a importurilor, anunțat în aprilie 2025, pentru a monitoriza reorientarea dăunătoare a schimburilor comerciale, în cadrul căreia mărfurile ar putea fi redirecționate către UE din cauza tarifelor ridicate din alte părți. Grupul operativ monitorizează importurile și identifică importurile care ar putea cauza prejudicii și, în colaborare cu sectorul industrial, utilizează aceste date pentru a identifica riscurile și, dacă este necesar, pentru a lua măsurile corespunzătoare. </w:t>
      </w:r>
    </w:p>
    <w:p>
      <w:pPr>
        <w:tabs>
          <w:tab w:val="num" w:pos="720"/>
        </w:tabs>
        <w:jc w:val="both"/>
        <w:rPr>
          <w:noProof/>
        </w:rPr>
      </w:pPr>
    </w:p>
    <w:p>
      <w:pPr>
        <w:jc w:val="both"/>
        <w:rPr>
          <w:noProof/>
        </w:rPr>
      </w:pPr>
      <w:r>
        <w:rPr>
          <w:noProof/>
        </w:rPr>
        <w:t xml:space="preserve">Această abordare bazată pe dovezi a consolidat capacitatea UE de a-și proteja piața deschisă împotriva concurenței neloiale din partea importurilor. Cu toate acestea, începând din primăvara anului 2025, peisajul comercial s-a schimbat ca urmare a reducerii semnificative a tarifelor impuse de SUA, ceea ce a dus la diminuarea stimulentelor pentru redirecționarea comerțului. În același timp, principala preocupare exprimată de industria UE a trecut de la reorientarea comerțului pe termen scurt către presiunea mai amplă și pe termen lung exercitată de importuri, determinată de supracapacitățile globale, în special cele originare din China. Pentru a răspunde acestor preocupări, în cursul anului 2026, Comisia va introduce o metodologie pentru a surprinde creșterile susținute și pe termen mai lung ale importurilor, în loc să identifice modificările pe termen scurt cauzate de reorientarea schimburilor comerciale determinată de tarife. </w:t>
      </w:r>
    </w:p>
    <w:p>
      <w:pPr>
        <w:jc w:val="both"/>
        <w:rPr>
          <w:noProof/>
        </w:rPr>
      </w:pPr>
    </w:p>
    <w:bookmarkEnd w:id="1"/>
    <w:p>
      <w:pPr>
        <w:pStyle w:val="Heading1"/>
        <w:numPr>
          <w:ilvl w:val="0"/>
          <w:numId w:val="0"/>
        </w:numPr>
        <w:rPr>
          <w:noProof/>
          <w:szCs w:val="24"/>
        </w:rPr>
      </w:pPr>
      <w:r>
        <w:rPr>
          <w:noProof/>
        </w:rPr>
        <w:t>I</w:t>
      </w:r>
      <w:r>
        <w:rPr>
          <w:noProof/>
        </w:rPr>
        <w:tab/>
        <w:t>Aplicarea instrumentelor de apărare comercială (IAC) în 2025</w:t>
      </w:r>
    </w:p>
    <w:p>
      <w:pPr>
        <w:pStyle w:val="Heading1"/>
        <w:tabs>
          <w:tab w:val="clear" w:pos="960"/>
        </w:tabs>
        <w:ind w:left="0" w:firstLine="0"/>
        <w:rPr>
          <w:noProof/>
          <w:szCs w:val="24"/>
        </w:rPr>
      </w:pPr>
      <w:r>
        <w:rPr>
          <w:noProof/>
        </w:rPr>
        <w:t>Activitatea de investigare</w:t>
      </w:r>
    </w:p>
    <w:p>
      <w:pPr>
        <w:pStyle w:val="Heading2"/>
        <w:ind w:left="0" w:firstLine="0"/>
        <w:rPr>
          <w:noProof/>
          <w:szCs w:val="24"/>
        </w:rPr>
      </w:pPr>
      <w:r>
        <w:rPr>
          <w:noProof/>
        </w:rPr>
        <w:t>Prezentare generală</w:t>
      </w:r>
    </w:p>
    <w:p>
      <w:pPr>
        <w:autoSpaceDE w:val="0"/>
        <w:autoSpaceDN w:val="0"/>
        <w:jc w:val="both"/>
        <w:rPr>
          <w:noProof/>
          <w:color w:val="000000"/>
        </w:rPr>
      </w:pPr>
      <w:bookmarkStart w:id="2" w:name="_Hlk189748915"/>
      <w:r>
        <w:rPr>
          <w:noProof/>
          <w:color w:val="000000"/>
        </w:rPr>
        <w:t xml:space="preserve">La sfârșitul anului 2025, în UE erau în vigoare 232 de măsuri de apărare comercială (provizorii și definitive), dintre care 159 de măsuri antidumping (AD), 39 de prelungiri ale măsurilor antidumping în urma unor investigații anticircumvenție, 25 de măsuri antisubvenție (AS), 7 prelungiri ale măsurilor antisubvenție în urma unor investigații anticircumvenție și 2 măsuri de salvgardare (SVG). </w:t>
      </w:r>
      <w:bookmarkEnd w:id="2"/>
      <w:r>
        <w:rPr>
          <w:noProof/>
          <w:color w:val="000000"/>
        </w:rPr>
        <w:t>Aceste măsuri protejează peste 637 000 de locuri de muncă directe în UE.</w:t>
      </w:r>
    </w:p>
    <w:p>
      <w:pPr>
        <w:autoSpaceDE w:val="0"/>
        <w:autoSpaceDN w:val="0"/>
        <w:spacing w:before="120" w:after="120"/>
        <w:jc w:val="both"/>
        <w:rPr>
          <w:noProof/>
          <w:color w:val="000000"/>
        </w:rPr>
      </w:pPr>
      <w:bookmarkStart w:id="3" w:name="_Hlk189748744"/>
      <w:r>
        <w:rPr>
          <w:noProof/>
          <w:color w:val="000000"/>
        </w:rPr>
        <w:t xml:space="preserve">În 2025, Comisia a lucrat la 32 de investigații noi și la 21 de reexaminări inițiate, precum și la 67 de investigații care erau în desfășurare la începutul anului. Comisia a încheiat 26 de noi investigații și 29 de reexaminări în cursul anului. </w:t>
      </w:r>
    </w:p>
    <w:bookmarkEnd w:id="3"/>
    <w:p>
      <w:pPr>
        <w:autoSpaceDE w:val="0"/>
        <w:autoSpaceDN w:val="0"/>
        <w:spacing w:before="120" w:after="120"/>
        <w:jc w:val="both"/>
        <w:rPr>
          <w:noProof/>
          <w:color w:val="000000"/>
        </w:rPr>
      </w:pPr>
      <w:r>
        <w:rPr>
          <w:noProof/>
          <w:color w:val="000000"/>
        </w:rPr>
        <w:t>Prezentul raport este însoțit de un document de lucru al serviciilor Comisiei, care oferă mai multe informații și statistici și include anexe pentru secțiunile de mai jos.</w:t>
      </w:r>
    </w:p>
    <w:p>
      <w:pPr>
        <w:pStyle w:val="Heading2"/>
        <w:ind w:left="0" w:firstLine="0"/>
        <w:rPr>
          <w:noProof/>
          <w:szCs w:val="24"/>
        </w:rPr>
      </w:pPr>
      <w:r>
        <w:rPr>
          <w:noProof/>
        </w:rPr>
        <w:t>Investigații antidumping (AD) și antisubvenție (AS) (a se vedea anexele A-I)</w:t>
      </w:r>
    </w:p>
    <w:p>
      <w:pPr>
        <w:jc w:val="both"/>
        <w:rPr>
          <w:noProof/>
          <w:color w:val="000000"/>
        </w:rPr>
      </w:pPr>
      <w:r>
        <w:rPr>
          <w:noProof/>
          <w:color w:val="000000"/>
        </w:rPr>
        <w:t>În 2025, Comisia a inițiat 32 de investigații noi (30 AD și 2 AS). Acest număr este aproape egal cu numărul record de 33 de investigații noi inițiate în 2024. Acest nivel de activitate reprezintă o creștere semnificativă în comparație cu media anuală istorică anterioară de 12 cazuri noi pe an. Sectorul chimic a continuat să domine în rândul noile cazuri inițiate, reprezentând peste o treime dintre acestea. Produsele siderurgice au fost, de asemenea, vizate în 9 cazuri inițiate, referitoare la produsele din acest sector.</w:t>
      </w:r>
    </w:p>
    <w:p>
      <w:pPr>
        <w:jc w:val="both"/>
        <w:rPr>
          <w:noProof/>
        </w:rPr>
      </w:pPr>
      <w:r>
        <w:rPr>
          <w:noProof/>
          <w:color w:val="000000"/>
        </w:rPr>
        <w:t xml:space="preserve"> </w:t>
      </w:r>
    </w:p>
    <w:p>
      <w:pPr>
        <w:autoSpaceDE w:val="0"/>
        <w:autoSpaceDN w:val="0"/>
        <w:jc w:val="both"/>
        <w:rPr>
          <w:noProof/>
        </w:rPr>
      </w:pPr>
      <w:r>
        <w:rPr>
          <w:noProof/>
          <w:color w:val="000000"/>
        </w:rPr>
        <w:t xml:space="preserve">Comisia a inițiat 21 de reexaminări în 2025, ceea ce a reprezentat o scădere față de cele 30 din 2024. Majoritatea acestora (18) au fost reexaminări efectuate în perspectiva expirării </w:t>
      </w:r>
      <w:r>
        <w:rPr>
          <w:noProof/>
          <w:color w:val="000000"/>
        </w:rPr>
        <w:lastRenderedPageBreak/>
        <w:t>măsurilor, restul investigațiilor cuprinzând 1 reexaminare intermediară, 1 investigație anticircumvenție și 1 redeschidere. Numărul de reexaminări efectuate în perspectiva expirării măsurilor este legată de ciclul de viață de 5 ani al măsurilor.</w:t>
      </w:r>
    </w:p>
    <w:p>
      <w:pPr>
        <w:autoSpaceDE w:val="0"/>
        <w:autoSpaceDN w:val="0"/>
        <w:jc w:val="both"/>
        <w:rPr>
          <w:noProof/>
          <w:color w:val="000000"/>
        </w:rPr>
      </w:pPr>
      <w:r>
        <w:rPr>
          <w:noProof/>
        </w:rPr>
        <w:t xml:space="preserve"> </w:t>
      </w:r>
    </w:p>
    <w:p>
      <w:pPr>
        <w:autoSpaceDE w:val="0"/>
        <w:autoSpaceDN w:val="0"/>
        <w:jc w:val="both"/>
        <w:rPr>
          <w:noProof/>
        </w:rPr>
      </w:pPr>
      <w:r>
        <w:rPr>
          <w:noProof/>
        </w:rPr>
        <w:t>În total, au fost deschise 53 de investigații noi și de reexaminare, ceea ce a reprezentat o scădere față de cele 63 de investigații deschise în anul precedent. Acest lucru se datorează însă unei scăderi a numărului de reexaminări.</w:t>
      </w:r>
    </w:p>
    <w:p>
      <w:pPr>
        <w:autoSpaceDE w:val="0"/>
        <w:autoSpaceDN w:val="0"/>
        <w:jc w:val="both"/>
        <w:rPr>
          <w:noProof/>
        </w:rPr>
      </w:pPr>
    </w:p>
    <w:p>
      <w:pPr>
        <w:autoSpaceDE w:val="0"/>
        <w:autoSpaceDN w:val="0"/>
        <w:jc w:val="both"/>
        <w:rPr>
          <w:noProof/>
          <w:color w:val="000000"/>
        </w:rPr>
      </w:pPr>
      <w:r>
        <w:rPr>
          <w:noProof/>
          <w:color w:val="000000"/>
        </w:rPr>
        <w:t xml:space="preserve">Comisia a instituit 27 de măsuri provizorii (toate AD) și a încheiat 26 de investigații (23 AD și 3 AS) prin instituirea de măsuri definitive. Comisia a închis 3 investigații AD fără a institui măsuri. </w:t>
      </w:r>
    </w:p>
    <w:p>
      <w:pPr>
        <w:autoSpaceDE w:val="0"/>
        <w:autoSpaceDN w:val="0"/>
        <w:jc w:val="both"/>
        <w:rPr>
          <w:noProof/>
          <w:color w:val="000000"/>
        </w:rPr>
      </w:pPr>
    </w:p>
    <w:p>
      <w:pPr>
        <w:autoSpaceDE w:val="0"/>
        <w:autoSpaceDN w:val="0"/>
        <w:jc w:val="both"/>
        <w:rPr>
          <w:noProof/>
        </w:rPr>
      </w:pPr>
      <w:r>
        <w:rPr>
          <w:noProof/>
          <w:color w:val="000000"/>
        </w:rPr>
        <w:t>În 2025, au fost finalizate 18 reexaminări efectuate în perspectiva expirării măsurilor, confirmându-se prelungirea perioadei de aplicare a taxelor</w:t>
      </w:r>
      <w:r>
        <w:rPr>
          <w:noProof/>
        </w:rPr>
        <w:t>. Nicio măsură nu a expirat automat la sfârșitul perioadei de aplicare de cinci ani.</w:t>
      </w:r>
    </w:p>
    <w:p>
      <w:pPr>
        <w:autoSpaceDE w:val="0"/>
        <w:autoSpaceDN w:val="0"/>
        <w:jc w:val="both"/>
        <w:rPr>
          <w:noProof/>
          <w:color w:val="000000"/>
        </w:rPr>
      </w:pPr>
    </w:p>
    <w:p>
      <w:pPr>
        <w:pStyle w:val="Heading2"/>
        <w:numPr>
          <w:ilvl w:val="0"/>
          <w:numId w:val="0"/>
        </w:numPr>
        <w:ind w:left="1626"/>
        <w:rPr>
          <w:noProof/>
          <w:szCs w:val="24"/>
        </w:rPr>
      </w:pPr>
      <w:r>
        <w:rPr>
          <w:noProof/>
          <w:szCs w:val="24"/>
        </w:rPr>
        <w:drawing>
          <wp:inline distT="0" distB="0" distL="0" distR="0">
            <wp:extent cx="3962953" cy="2372056"/>
            <wp:effectExtent l="0" t="0" r="0" b="9525"/>
            <wp:docPr id="1329641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641535" name=""/>
                    <pic:cNvPicPr/>
                  </pic:nvPicPr>
                  <pic:blipFill>
                    <a:blip r:embed="rId18"/>
                    <a:stretch>
                      <a:fillRect/>
                    </a:stretch>
                  </pic:blipFill>
                  <pic:spPr>
                    <a:xfrm>
                      <a:off x="0" y="0"/>
                      <a:ext cx="3962953" cy="2372056"/>
                    </a:xfrm>
                    <a:prstGeom prst="rect">
                      <a:avLst/>
                    </a:prstGeom>
                  </pic:spPr>
                </pic:pic>
              </a:graphicData>
            </a:graphic>
          </wp:inline>
        </w:drawing>
      </w:r>
    </w:p>
    <w:p>
      <w:pPr>
        <w:pStyle w:val="Heading2"/>
        <w:ind w:left="0" w:firstLine="0"/>
        <w:rPr>
          <w:noProof/>
          <w:szCs w:val="24"/>
        </w:rPr>
      </w:pPr>
      <w:r>
        <w:rPr>
          <w:noProof/>
        </w:rPr>
        <w:t>Investigații de salvgardare</w:t>
      </w:r>
    </w:p>
    <w:p>
      <w:pPr>
        <w:jc w:val="both"/>
        <w:rPr>
          <w:rFonts w:eastAsia="DengXian"/>
          <w:noProof/>
        </w:rPr>
      </w:pPr>
      <w:r>
        <w:rPr>
          <w:noProof/>
        </w:rPr>
        <w:t xml:space="preserve">În 2025, nu au fost inițiate investigații de salvgardare. În același an, a avut loc o reexaminare a funcționării măsurii de salvgardare privind oțelul și, de asemenea, a fost instituită o măsură de salvgardare privind feroaliajele. </w:t>
      </w:r>
    </w:p>
    <w:p>
      <w:pPr>
        <w:pStyle w:val="Default"/>
        <w:jc w:val="both"/>
        <w:rPr>
          <w:rFonts w:ascii="Times New Roman" w:hAnsi="Times New Roman" w:cs="Times New Roman"/>
          <w:i/>
          <w:iCs/>
          <w:noProof/>
        </w:rPr>
      </w:pPr>
    </w:p>
    <w:p>
      <w:pPr>
        <w:pStyle w:val="Default"/>
        <w:jc w:val="both"/>
        <w:rPr>
          <w:rFonts w:ascii="Times New Roman" w:hAnsi="Times New Roman" w:cs="Times New Roman"/>
          <w:i/>
          <w:iCs/>
          <w:noProof/>
          <w:u w:val="single"/>
        </w:rPr>
      </w:pPr>
      <w:r>
        <w:rPr>
          <w:rFonts w:ascii="Times New Roman" w:hAnsi="Times New Roman"/>
          <w:i/>
          <w:noProof/>
          <w:u w:val="single"/>
        </w:rPr>
        <w:t xml:space="preserve">Reexaminarea funcționării – măsura de salvgardare privind anumite produse siderurgice </w:t>
      </w:r>
    </w:p>
    <w:p>
      <w:pPr>
        <w:jc w:val="both"/>
        <w:rPr>
          <w:noProof/>
        </w:rPr>
      </w:pPr>
    </w:p>
    <w:p>
      <w:pPr>
        <w:jc w:val="both"/>
        <w:rPr>
          <w:noProof/>
        </w:rPr>
      </w:pPr>
      <w:r>
        <w:rPr>
          <w:noProof/>
        </w:rPr>
        <w:t>La 25 martie 2025, Comisia Europeană a introdus ajustări ale funcționării măsurii de salvgardare a UE privind oțelul pentru a asigura eficacitatea continuă a măsurii. Investigația, deschisă în noiembrie 2024 în urma unei cereri din partea mai multor state membre, a arătat că era necesar să se ajusteze gestionarea măsurii. A fost necesar să se ofere o soluție pe termen scurt pentru industria siderurgică a UE, care se confrunta cu o presiune semnificativă din partea importurilor, ca urmare a supracapacității globale în creștere, a intensificării măsurilor comerciale adoptate de țări terțe, a riscului aferent de reorientare suplimentară a comerțului către Uniune, împreună cu o scădere a cererii de oțel a Uniunii.</w:t>
      </w:r>
    </w:p>
    <w:p>
      <w:pPr>
        <w:jc w:val="both"/>
        <w:rPr>
          <w:noProof/>
        </w:rPr>
      </w:pPr>
    </w:p>
    <w:p>
      <w:pPr>
        <w:jc w:val="both"/>
        <w:rPr>
          <w:noProof/>
        </w:rPr>
      </w:pPr>
      <w:r>
        <w:rPr>
          <w:noProof/>
        </w:rPr>
        <w:t xml:space="preserve">Anterior, așteptările pieței erau ca cererea mondială de oțel să crească și, prin urmare, cotele au fost liberalizate cu peste 25 % de la instituirea măsurilor în 2019. La momentul respectiv, </w:t>
      </w:r>
      <w:r>
        <w:rPr>
          <w:noProof/>
        </w:rPr>
        <w:lastRenderedPageBreak/>
        <w:t xml:space="preserve">acest lucru era în interesul general al Uniunii Europene, în special pentru a aduce beneficii utilizatorilor și pentru a răspunde creșterilor preconizate ale cererii. </w:t>
      </w:r>
    </w:p>
    <w:p>
      <w:pPr>
        <w:jc w:val="both"/>
        <w:rPr>
          <w:noProof/>
        </w:rPr>
      </w:pPr>
    </w:p>
    <w:p>
      <w:pPr>
        <w:jc w:val="both"/>
        <w:rPr>
          <w:noProof/>
        </w:rPr>
      </w:pPr>
      <w:r>
        <w:rPr>
          <w:noProof/>
        </w:rPr>
        <w:t xml:space="preserve">Cu toate acestea, investigația de reexaminare a funcționării a arătat că, între 2021 și 2024, consumul a scăzut semnificativ (cu 14 %), iar industria Uniunii s-a confruntat cu o presiune semnificativă a importurilor în multe categorii. Având în vedere aceste condiții de piață, Comisia a considerat necesar și adecvat să introducă ajustări ale funcționării măsurii de salvgardare a UE privind oțelul pentru a asigura eficacitatea acesteia. Rata de liberalizare a fost redusă de la 1 % la 0,1 %, limitând cantitatea de oțel care poate fi importată în UE fără taxe vamale. În plus, a fost eliminată posibilitatea ca țările să utilizeze integral volumele de cote neutilizate ale altor țări, inclusiv ale Rusiei și Belarusului. Mecanismul de „reportare”, care a permis țărilor să reporteze cotele neutilizate în următorul trimestru, a fost, de asemenea, eliminat pentru categoriile cu o presiune ridicată a importurilor și cu un consum scăzut. În cele din urmă, la fel ca în investigațiile de reexaminare anterioare, Comisia a actualizat lista țărilor în curs de dezvoltare exceptate de la aplicarea măsurii. </w:t>
      </w:r>
    </w:p>
    <w:p>
      <w:pPr>
        <w:jc w:val="both"/>
        <w:rPr>
          <w:noProof/>
        </w:rPr>
      </w:pPr>
    </w:p>
    <w:p>
      <w:pPr>
        <w:jc w:val="both"/>
        <w:rPr>
          <w:noProof/>
        </w:rPr>
      </w:pPr>
      <w:r>
        <w:rPr>
          <w:noProof/>
        </w:rPr>
        <w:t xml:space="preserve">Ca urmare a ajustărilor introduse la categoria 17 („Profiluri, forme și secțiuni”) din măsura de salvgardare privind oțelul, în cadrul revizuirii funcționării acesteia finalizate în martie 2025, volumele de export scutite de taxe vamale de care beneficiază Regatul Unit și Turcia au devenit mai mici decât volumele istorice ale exporturilor acestora către UE. În același timp, intenția UE a fost de a pune în aplicare măsura de salvgardare într-un mod care să mențină astfel de fluxuri comerciale tradiționale. Regatul Unit a semnalat această problemă în contextul summitului UE-Regatul Unit din 19 mai. Pentru a ajunge la un rezultat echilibrat și avantajos pentru ambele părți în cadrul summitului, Comisia și-a exprimat disponibilitatea de a aborda această chestiune. </w:t>
      </w:r>
      <w:bookmarkStart w:id="4" w:name="_Hlk229129981"/>
      <w:r>
        <w:rPr>
          <w:noProof/>
        </w:rPr>
        <w:t xml:space="preserve">În consecință, la 1 august 2025, a intrat în vigoare un regulament de modificare, care a reintrodus cotele specifice fiecărei țări pentru Regatul Unit, Turcia și Coreea în categoria 17. </w:t>
      </w:r>
      <w:bookmarkEnd w:id="4"/>
    </w:p>
    <w:p>
      <w:pPr>
        <w:jc w:val="both"/>
        <w:rPr>
          <w:noProof/>
          <w:u w:val="single"/>
        </w:rPr>
      </w:pPr>
      <w:r>
        <w:rPr>
          <w:noProof/>
        </w:rPr>
        <w:br/>
      </w:r>
      <w:r>
        <w:rPr>
          <w:i/>
          <w:noProof/>
          <w:u w:val="single"/>
        </w:rPr>
        <w:t>O investigație de salvgardare privind importurile de elemente de aliere pe bază de mangan și siliciu</w:t>
      </w:r>
      <w:r>
        <w:rPr>
          <w:noProof/>
          <w:u w:val="single"/>
        </w:rPr>
        <w:t xml:space="preserve"> </w:t>
      </w:r>
    </w:p>
    <w:p>
      <w:pPr>
        <w:jc w:val="both"/>
        <w:rPr>
          <w:noProof/>
          <w:u w:val="single"/>
        </w:rPr>
      </w:pPr>
    </w:p>
    <w:p>
      <w:pPr>
        <w:jc w:val="both"/>
        <w:rPr>
          <w:noProof/>
        </w:rPr>
      </w:pPr>
      <w:r>
        <w:rPr>
          <w:noProof/>
        </w:rPr>
        <w:t>La 19 decembrie 2024, Comisia a deschis o investigație de salvgardare privind importurile de anumite elemente de aliere pe bază de siliciu și mangan în urma unei cereri din partea mai multor state membre. La 18 noiembrie 2025, în urma unei investigații aprofundate cu privire la perturbările pieței care afectează producătorii din Uniune, Comisia a adoptat o măsură de salvgardare definitivă privind importurile de anumite feroaliaje. Măsura răspunde unei creșteri susținute a importurilor, care a exercitat o presiune semnificativă asupra industriei feroaliajelor din UE și a condus la un prejudiciu economic major.</w:t>
      </w:r>
    </w:p>
    <w:p>
      <w:pPr>
        <w:jc w:val="both"/>
        <w:rPr>
          <w:noProof/>
        </w:rPr>
      </w:pPr>
    </w:p>
    <w:p>
      <w:pPr>
        <w:jc w:val="both"/>
        <w:rPr>
          <w:noProof/>
        </w:rPr>
      </w:pPr>
      <w:r>
        <w:rPr>
          <w:noProof/>
        </w:rPr>
        <w:t xml:space="preserve">Investigația a examinat importurile de elemente de aliere pe bază de siliciu și mangan în perioada 2019-2024, datele suplimentare fiind evaluate până la jumătatea anului 2025. În urma unei analize detaliate a produselor și a pieței, siliciul și siliciul de calciu au fost excluse din domeniul de aplicare, </w:t>
      </w:r>
      <w:bookmarkStart w:id="5" w:name="_Hlk229129906"/>
      <w:r>
        <w:rPr>
          <w:noProof/>
        </w:rPr>
        <w:t>întrucât criteriile relevante pentru includerea lor nu erau îndeplinite la momentul respectiv.</w:t>
      </w:r>
      <w:bookmarkEnd w:id="5"/>
      <w:r>
        <w:rPr>
          <w:noProof/>
        </w:rPr>
        <w:t xml:space="preserve"> Prin urmare, măsura finală se aplică anumitor feroaliaje utilizate în principal în industria siderurgică.</w:t>
      </w:r>
    </w:p>
    <w:p>
      <w:pPr>
        <w:jc w:val="both"/>
        <w:rPr>
          <w:noProof/>
        </w:rPr>
      </w:pPr>
    </w:p>
    <w:p>
      <w:pPr>
        <w:jc w:val="both"/>
        <w:rPr>
          <w:noProof/>
        </w:rPr>
      </w:pPr>
      <w:r>
        <w:rPr>
          <w:noProof/>
        </w:rPr>
        <w:t xml:space="preserve">Comisia a constatat că importurile de feroaliaje au crescut atât în termeni absoluți, cât și în raport cu producția și consumul Uniunii, în special începând cu 2021, afectând astfel în mod negativ producătorii din UE. Importurile au intrat în mod constant pe piața UE la prețuri mai mici decât costurile de producție interne, ceea ce a dus la blocarea prețurilor, la pierderea </w:t>
      </w:r>
      <w:r>
        <w:rPr>
          <w:noProof/>
        </w:rPr>
        <w:lastRenderedPageBreak/>
        <w:t xml:space="preserve">cotei de piață, la scăderea producției și a gradului de utilizare a capacității de producție, la reduceri semnificative ale ocupării forței de muncă și la pierderi financiare în întreaga industrie a Uniunii. Comisia a stabilit, de asemenea, o legătură de cauzalitate clară între creșterea importurilor și prejudiciul grav suferit de producătorii din Uniune. Alți factori potențiali care ar fi putut contribui la această situație, printre care costurile ridicate ale energiei și scăderea performanței la export, au fost analizați în detaliu, dar s-a constatat că aceștia nu atenuează această legătură de cauzalitate. </w:t>
      </w:r>
    </w:p>
    <w:p>
      <w:pPr>
        <w:jc w:val="both"/>
        <w:rPr>
          <w:noProof/>
        </w:rPr>
      </w:pPr>
    </w:p>
    <w:p>
      <w:pPr>
        <w:jc w:val="both"/>
        <w:rPr>
          <w:noProof/>
        </w:rPr>
      </w:pPr>
      <w:r>
        <w:rPr>
          <w:noProof/>
        </w:rPr>
        <w:t xml:space="preserve">După evaluarea interesului general al Uniunii, Comisia a concluzionat că adoptarea măsurilor de salvgardare era justificată și proporțională. Feroaliajele constituie factori de producție importanți din punct de vedere strategic pentru principalele sectoare din aval, inclusiv oțelul, industria autovehiculelor, construcțiile, apărarea și industria aerospațială. Menținerea unei industrii viabile a feroaliajelor din UE este esențială pentru reziliența industrială, ocuparea forței de muncă și autonomia strategică. </w:t>
      </w:r>
    </w:p>
    <w:p>
      <w:pPr>
        <w:jc w:val="both"/>
        <w:rPr>
          <w:noProof/>
        </w:rPr>
      </w:pPr>
    </w:p>
    <w:p>
      <w:pPr>
        <w:jc w:val="both"/>
        <w:rPr>
          <w:noProof/>
        </w:rPr>
      </w:pPr>
      <w:r>
        <w:rPr>
          <w:noProof/>
        </w:rPr>
        <w:t>În același timp, Comisia a urmărit să asigure disponibilitatea continuă a aprovizionării pentru utilizatori. Prin urmare, măsura de salvgardare a fost concepută sub forma unor contingente tarifare (CT) specifice produsului, care permit intrarea unor volume substanțiale de importuri scutite de taxe vamale în Uniune, combinate cu o taxă variabilă în afara contingentului menită să prevină importurile prejudiciabile la prețuri scăzute. Măsura urmează să se aplice pentru o perioadă de trei ani și face obiectul unei liberalizări progresive și al unei revizuiri periodice.</w:t>
      </w:r>
    </w:p>
    <w:p>
      <w:pPr>
        <w:pStyle w:val="Default"/>
        <w:jc w:val="both"/>
        <w:rPr>
          <w:noProof/>
          <w:sz w:val="22"/>
          <w:szCs w:val="22"/>
        </w:rPr>
      </w:pPr>
    </w:p>
    <w:p>
      <w:pPr>
        <w:pStyle w:val="Heading2"/>
        <w:ind w:left="0" w:firstLine="0"/>
        <w:rPr>
          <w:noProof/>
          <w:szCs w:val="24"/>
        </w:rPr>
      </w:pPr>
      <w:r>
        <w:rPr>
          <w:noProof/>
        </w:rPr>
        <w:t>Verificări în cadrul investigațiilor</w:t>
      </w:r>
    </w:p>
    <w:p>
      <w:pPr>
        <w:autoSpaceDE w:val="0"/>
        <w:autoSpaceDN w:val="0"/>
        <w:jc w:val="both"/>
        <w:rPr>
          <w:noProof/>
          <w:color w:val="000000"/>
        </w:rPr>
      </w:pPr>
      <w:r>
        <w:rPr>
          <w:noProof/>
          <w:color w:val="000000"/>
        </w:rPr>
        <w:t xml:space="preserve">Comisia se asigură că informațiile utilizate în investigațiile de apărare comercială sunt exacte și complete pentru a asigura luarea unor decizii solide din punct de vedere juridic și instituirea corectă a măsurilor. </w:t>
      </w:r>
    </w:p>
    <w:p>
      <w:pPr>
        <w:autoSpaceDE w:val="0"/>
        <w:autoSpaceDN w:val="0"/>
        <w:jc w:val="both"/>
        <w:rPr>
          <w:noProof/>
          <w:color w:val="000000"/>
        </w:rPr>
      </w:pPr>
    </w:p>
    <w:p>
      <w:pPr>
        <w:autoSpaceDE w:val="0"/>
        <w:autoSpaceDN w:val="0"/>
        <w:jc w:val="both"/>
        <w:rPr>
          <w:noProof/>
          <w:color w:val="000000"/>
        </w:rPr>
      </w:pPr>
      <w:bookmarkStart w:id="6" w:name="_Hlk229130027"/>
      <w:bookmarkStart w:id="7" w:name="_Hlk221541620"/>
      <w:r>
        <w:rPr>
          <w:noProof/>
          <w:color w:val="000000"/>
        </w:rPr>
        <w:t>În 2025, Comisia a verificat date de la 296 de întreprinderi, 243 din UE și 53 din țări terțe. Toate aceste vizite de verificare s-au desfășurat la fața locului, la sediile întreprinderilor. În plus, Comisia a verificat datele de la distanță pentru nouă întreprinderi. Acest proces a fost introdus în 2020 pentru a face față restricțiilor de călătorie legate de COVID-19, dar este utilizat din ce în ce mai puțin.</w:t>
      </w:r>
    </w:p>
    <w:bookmarkEnd w:id="6"/>
    <w:bookmarkEnd w:id="7"/>
    <w:p>
      <w:pPr>
        <w:pStyle w:val="Heading1"/>
        <w:tabs>
          <w:tab w:val="clear" w:pos="960"/>
        </w:tabs>
        <w:ind w:left="0" w:firstLine="0"/>
        <w:rPr>
          <w:noProof/>
          <w:szCs w:val="24"/>
        </w:rPr>
      </w:pPr>
      <w:r>
        <w:rPr>
          <w:noProof/>
        </w:rPr>
        <w:t>Aplicarea și asigurarea respectării cu fermitate și eficacitate a instrumentelor de apărare comercială</w:t>
      </w:r>
    </w:p>
    <w:p>
      <w:pPr>
        <w:pStyle w:val="Heading2"/>
        <w:ind w:left="0" w:firstLine="0"/>
        <w:rPr>
          <w:noProof/>
          <w:szCs w:val="24"/>
        </w:rPr>
      </w:pPr>
      <w:r>
        <w:rPr>
          <w:noProof/>
        </w:rPr>
        <w:t>Angajamentul în favoarea unei utilizări ferme a instrumentelor de apărare comercială</w:t>
      </w:r>
    </w:p>
    <w:p>
      <w:pPr>
        <w:jc w:val="both"/>
        <w:rPr>
          <w:noProof/>
        </w:rPr>
      </w:pPr>
      <w:bookmarkStart w:id="8" w:name="_Hlk226647032"/>
      <w:r>
        <w:rPr>
          <w:noProof/>
        </w:rPr>
        <w:t xml:space="preserve">În discursul său privind starea Uniunii din septembrie 2025, președinta von der Leyen a afirmat din nou că „Europa va rămâne întotdeauna deschisă. Ne place concurența. Dar ne vom proteja întotdeauna industria împotriva concurenței neloiale”. </w:t>
      </w:r>
      <w:bookmarkEnd w:id="8"/>
      <w:r>
        <w:rPr>
          <w:noProof/>
        </w:rPr>
        <w:t>Pe tot parcursul anului, Comisia a continuat să utilizeze în mod ferm instrumentele de apărare comercială, fapt demonstrat nu numai de numărul mare de noi investigații inițiate, ci și, în unele cazuri, de aplicarea retroactivă a măsurilor, dacă este necesar. De asemenea, Comisia și-a menținut angajamentul de a consolida monitorizarea măsurilor, de a lua măsuri împotriva practicilor de circumvenție, precum și de a apăra măsurile din sistemul judiciar.</w:t>
      </w:r>
    </w:p>
    <w:p>
      <w:pPr>
        <w:jc w:val="both"/>
        <w:rPr>
          <w:noProof/>
        </w:rPr>
      </w:pPr>
    </w:p>
    <w:p>
      <w:pPr>
        <w:pStyle w:val="Heading2"/>
        <w:ind w:left="0" w:firstLine="0"/>
        <w:rPr>
          <w:noProof/>
        </w:rPr>
      </w:pPr>
      <w:r>
        <w:rPr>
          <w:noProof/>
        </w:rPr>
        <w:lastRenderedPageBreak/>
        <w:t>Înregistrarea importurilor</w:t>
      </w:r>
    </w:p>
    <w:p>
      <w:pPr>
        <w:autoSpaceDE w:val="0"/>
        <w:autoSpaceDN w:val="0"/>
        <w:jc w:val="both"/>
        <w:rPr>
          <w:noProof/>
          <w:color w:val="000000"/>
        </w:rPr>
      </w:pPr>
      <w:r>
        <w:rPr>
          <w:noProof/>
          <w:color w:val="000000"/>
        </w:rPr>
        <w:t>În contextul în care înregistrarea importurilor a fost introdusă în octombrie 2024 pentru a consolida instrumentele de apărare comercială, Comisia a continuat să înregistreze automat importurile în toate noile investigații antidumping și antisubvenție deschise în 2025 pentru a permite colectarea retroactivă a taxelor, dacă acest lucru este justificat și dacă sunt îndeplinite condiții juridice specifice. În cadrul fiecărei investigații, Comisia ia o decizie cu privire la colectarea retroactivă în etapa definitivă și ținând seama de criteriile prevăzute în regulamentele de bază. Înregistrarea importurilor furnizează Comisiei informații precise cu privire la sursa și cantitățile importurilor unui produs care face obiectul investigației, precum și cu privire la evoluțiile mai ample ale pieței. În cazul a trei dintre cele 26 de măsuri definitive instituite în 2025, au fost îndeplinite criteriile pentru aplicarea retroactivă a măsurilor. A fost vorba despre eritritol, parchetul din lemn cu mai multe straturi și șuruburile fără cap, toate provenind din China. În toate celelalte cazuri, evoluția volumelor și a prețurilor importurilor în cursul perioadei de înregistrare nu a justificat colectarea retroactivă a măsurilor.</w:t>
      </w:r>
    </w:p>
    <w:p>
      <w:pPr>
        <w:autoSpaceDE w:val="0"/>
        <w:autoSpaceDN w:val="0"/>
        <w:jc w:val="both"/>
        <w:rPr>
          <w:noProof/>
          <w:color w:val="000000"/>
        </w:rPr>
      </w:pPr>
    </w:p>
    <w:p>
      <w:pPr>
        <w:pStyle w:val="Heading2"/>
        <w:ind w:left="0" w:firstLine="0"/>
        <w:rPr>
          <w:noProof/>
          <w:szCs w:val="24"/>
        </w:rPr>
      </w:pPr>
      <w:r>
        <w:rPr>
          <w:noProof/>
        </w:rPr>
        <w:t>Monitorizarea, supravegherea și asigurarea respectării măsurilor (a se vedea anexele J, K, M, Q)</w:t>
      </w:r>
    </w:p>
    <w:p>
      <w:pPr>
        <w:jc w:val="both"/>
        <w:rPr>
          <w:noProof/>
        </w:rPr>
      </w:pPr>
      <w:r>
        <w:rPr>
          <w:noProof/>
        </w:rPr>
        <w:t>Credibilitatea și eficacitatea instrumentelor de apărare comercială ale Uniunii se bazează pe aplicarea lor deplină și corectă. Atunci când operatorii economici încearcă să se sustragă de la măsuri, integritatea sistemului este slăbită. Din acest motiv, monitorizarea sistematică a fluxurilor de import după instituirea taxelor este esențială pentru a se asigura că măsurile își ating efectul scontat.</w:t>
      </w:r>
    </w:p>
    <w:p>
      <w:pPr>
        <w:jc w:val="both"/>
        <w:rPr>
          <w:noProof/>
        </w:rPr>
      </w:pPr>
    </w:p>
    <w:p>
      <w:pPr>
        <w:autoSpaceDE w:val="0"/>
        <w:autoSpaceDN w:val="0"/>
        <w:jc w:val="both"/>
        <w:rPr>
          <w:noProof/>
          <w:color w:val="000000"/>
        </w:rPr>
      </w:pPr>
      <w:bookmarkStart w:id="9" w:name="_Hlk226644319"/>
      <w:r>
        <w:rPr>
          <w:noProof/>
          <w:color w:val="000000"/>
        </w:rPr>
        <w:t>Pentru a îmbunătăți monitorizarea fluxurilor comerciale de produse care fac obiectul unor măsuri specifice fiecărei întreprinderi, Comisia a dezvoltat un nou instrument de raportare a exportatorilor și de urmărire a transporturilor. Noul instrument a fost introdus la începutul anului 2026 în legătură cu punerea în aplicare a angajamentului privind vehiculele electrice cu baterie, descris mai jos.</w:t>
      </w:r>
    </w:p>
    <w:bookmarkEnd w:id="9"/>
    <w:p>
      <w:pPr>
        <w:autoSpaceDE w:val="0"/>
        <w:autoSpaceDN w:val="0"/>
        <w:jc w:val="both"/>
        <w:rPr>
          <w:noProof/>
          <w:color w:val="000000"/>
        </w:rPr>
      </w:pPr>
    </w:p>
    <w:p>
      <w:pPr>
        <w:autoSpaceDE w:val="0"/>
        <w:autoSpaceDN w:val="0"/>
        <w:jc w:val="both"/>
        <w:rPr>
          <w:noProof/>
          <w:color w:val="000000"/>
        </w:rPr>
      </w:pPr>
      <w:r>
        <w:rPr>
          <w:noProof/>
          <w:color w:val="000000"/>
        </w:rPr>
        <w:t>Pentru a extinde și mai mult domeniul de aplicare al activităților de monitorizare a fluxurilor comerciale legate de produsele care fac obiectul măsurilor de apărare comercială, Comisia partajează, la cerere, statisticile privind importurile cu părțile implicate în investigațiile care au condus la instituirea acestor măsuri. După evaluarea admisibilității unor astfel de cereri, în 2025, Comisia a furnizat informații într-un format agregat și neconfidențial în 38 de cazuri. Acest lucru a permis părților respective să monitorizeze fluxurile comerciale în mod independent, sprijinind eforturile lor de a urmări respectarea măsurilor impuse.</w:t>
      </w:r>
    </w:p>
    <w:p>
      <w:pPr>
        <w:jc w:val="both"/>
        <w:rPr>
          <w:noProof/>
        </w:rPr>
      </w:pPr>
    </w:p>
    <w:p>
      <w:pPr>
        <w:jc w:val="both"/>
        <w:rPr>
          <w:noProof/>
        </w:rPr>
      </w:pPr>
      <w:r>
        <w:rPr>
          <w:noProof/>
        </w:rPr>
        <w:t>Circumvenția măsurilor rămâne o problemă. Atunci când se identifică indicii credibile că se întâmplă acest lucru, fie prin propria analiză a Comisiei, fie prin informațiile furnizate de industrie, Comisia reacționează prompt și decisiv. Circumvenția este o modificare a modelelor comerciale dintre țările terțe și Uniune care rezultă din practici, procese sau operațiuni care nu au o motivație suficientă sau o justificare economică suficientă, altele decât evitarea plății taxei de apărare comercială.</w:t>
      </w:r>
    </w:p>
    <w:p>
      <w:pPr>
        <w:jc w:val="both"/>
        <w:rPr>
          <w:noProof/>
        </w:rPr>
      </w:pPr>
    </w:p>
    <w:p>
      <w:pPr>
        <w:jc w:val="both"/>
        <w:rPr>
          <w:noProof/>
        </w:rPr>
      </w:pPr>
      <w:r>
        <w:rPr>
          <w:noProof/>
        </w:rPr>
        <w:t xml:space="preserve">Comisia continuă să abordeze o varietate de astfel de practici. Deși transbordarea prin țări terțe a fost, în mod tradițional, cea mai frecventă metodă, au apărut forme din ce în ce mai complexe de circumvenție. În special, operațiunile de asamblare sau de finalizare, efectuate </w:t>
      </w:r>
      <w:r>
        <w:rPr>
          <w:noProof/>
        </w:rPr>
        <w:lastRenderedPageBreak/>
        <w:t>atât în afara, cât și în interiorul Uniunii, sunt utilizate pentru a ascunde adevărata origine a mărfurilor. Aceste operațiuni implică, de regulă, o activitate industrială limitată, modificând clasificarea sau aspectul produsului, adăugând în același timp o valoare neglijabilă. Astfel de practici permit operatorilor să importe mărfuri încadrate la o poziție diferită din Nomenclatura combinată (NC), evitând astfel taxele în vigoare. Aceste evoluții necesită o vigilență constantă, adaptarea strategiilor de asigurare a respectării legislației, precum și o expertiză din ce în ce mai sofisticată și o analiză aprofundată în cursul investigațiilor.</w:t>
      </w:r>
    </w:p>
    <w:p>
      <w:pPr>
        <w:jc w:val="both"/>
        <w:rPr>
          <w:noProof/>
        </w:rPr>
      </w:pPr>
    </w:p>
    <w:p>
      <w:pPr>
        <w:jc w:val="both"/>
        <w:rPr>
          <w:noProof/>
        </w:rPr>
      </w:pPr>
      <w:r>
        <w:rPr>
          <w:noProof/>
        </w:rPr>
        <w:t>Ar trebui remarcat faptul că, deși acordurile OMC nu conțin dispoziții formale privind circumvenția, problema a devenit din ce în ce mai îngrijorătoare în rândul multor membri ai OMC. Comisia a participat la grupul informal al OMC pentru practicile anticircumvenție, care servește drept platformă pentru schimbul de experiență, identificarea celor mai bune practici și abordarea provocărilor comune. Abordarea UE a suscitat un interes deosebit, întrucât Comisia este recunoscută pe scară largă ca fiind una dintre cele mai experimentate instituții în ceea ce privește desfășurarea procedurilor anticircumvenție. De-a lungul timpului, Comisia a elaborat proceduri, instrumente și metodologii sofisticate pentru a detecta și a aborda în mod eficace circumvenția, consolidând rolul Uniunii de lider mondial în acest domeniu.</w:t>
      </w:r>
    </w:p>
    <w:p>
      <w:pPr>
        <w:jc w:val="both"/>
        <w:rPr>
          <w:b/>
          <w:bCs/>
          <w:noProof/>
        </w:rPr>
      </w:pPr>
    </w:p>
    <w:p>
      <w:pPr>
        <w:jc w:val="both"/>
        <w:rPr>
          <w:noProof/>
          <w:color w:val="000000"/>
        </w:rPr>
      </w:pPr>
      <w:r>
        <w:rPr>
          <w:noProof/>
        </w:rPr>
        <w:t xml:space="preserve">În iulie 2025, Comisia a lansat o investigație anticircumvenție privind fitingurile maleabile pentru țevi provenite din China, pe baza unor presupuse practici de circumvenție care implicau operațiuni de asamblare/finalizare a pieselor chinezești în UE. Tot în iulie 2025, Comisia a încheiat o investigație anticircumvenție prin </w:t>
      </w:r>
      <w:r>
        <w:rPr>
          <w:noProof/>
          <w:color w:val="000000"/>
        </w:rPr>
        <w:t>extinderea măsurilor antidumping privind importurile de glutamat monosodic din China la importurile produsului din Malaysia. În cadrul investigației respective, Comisia a constatat că produsul era transbordat prin Malaysia și că măsurile erau eludate prin intermediul unor activități de prelucrare ulterioare cu o valoare adăugată limitată în țara respectivă.</w:t>
      </w:r>
    </w:p>
    <w:p>
      <w:pPr>
        <w:jc w:val="both"/>
        <w:rPr>
          <w:noProof/>
          <w:color w:val="000000"/>
        </w:rPr>
      </w:pPr>
    </w:p>
    <w:p>
      <w:pPr>
        <w:autoSpaceDE w:val="0"/>
        <w:autoSpaceDN w:val="0"/>
        <w:jc w:val="both"/>
        <w:rPr>
          <w:noProof/>
          <w:color w:val="000000"/>
        </w:rPr>
      </w:pPr>
      <w:r>
        <w:rPr>
          <w:noProof/>
          <w:color w:val="000000"/>
        </w:rPr>
        <w:t xml:space="preserve">În 2025, a continuat cooperarea în vederea punerii în aplicare corespunzătoare a măsurilor IAC, atât la nivelul serviciilor relevante ale Comisiei (DG Comerț, DG TAXUD și DG Buget), al Parchetului European (EPPO), al Oficiului European de Luptă Antifraudă (OLAF), cât și la nivelul statelor membre. În ceea ce privește acest din urmă aspect, cooperarea include publicarea alertelor de risc specifice prin intermediul sistemului comun al UE de gestionare a riscurilor vamale către autoritățile vamale naționale și autoritățile de aplicare a legii. În plus, au existat schimburi periodice cu industria Uniunii pentru a urmări evoluțiile pieței și pentru a identifica acțiuni ulterioare adecvate, după caz. </w:t>
      </w:r>
    </w:p>
    <w:p>
      <w:pPr>
        <w:autoSpaceDE w:val="0"/>
        <w:autoSpaceDN w:val="0"/>
        <w:jc w:val="both"/>
        <w:rPr>
          <w:noProof/>
          <w:color w:val="000000"/>
        </w:rPr>
      </w:pPr>
    </w:p>
    <w:p>
      <w:pPr>
        <w:autoSpaceDE w:val="0"/>
        <w:autoSpaceDN w:val="0"/>
        <w:jc w:val="both"/>
        <w:rPr>
          <w:noProof/>
          <w:color w:val="000000"/>
        </w:rPr>
      </w:pPr>
      <w:r>
        <w:rPr>
          <w:noProof/>
          <w:color w:val="000000"/>
        </w:rPr>
        <w:t xml:space="preserve">Punerea în aplicare eficace a instrumentelor de apărare comercială se bazează pe o cooperare strânsă între DG TAXUD și DG TRADE. Coordonarea continuă asigură clasificarea corectă a mărfurilor în cauză, în timp ce integrarea promptă a măsurilor IAC nou adoptate în TARIC (Tariful Integrat al Uniunii Europene) în urma publicării acestora în </w:t>
      </w:r>
      <w:r>
        <w:rPr>
          <w:i/>
          <w:noProof/>
          <w:color w:val="000000"/>
        </w:rPr>
        <w:t>Jurnalul Oficial al Uniunii Europene</w:t>
      </w:r>
      <w:r>
        <w:rPr>
          <w:noProof/>
          <w:color w:val="000000"/>
        </w:rPr>
        <w:t xml:space="preserve"> permite autorităților vamale din toate statele membre să aplice măsurile respective în mod consecvent și fără întârziere.</w:t>
      </w:r>
    </w:p>
    <w:p>
      <w:pPr>
        <w:autoSpaceDE w:val="0"/>
        <w:autoSpaceDN w:val="0"/>
        <w:jc w:val="both"/>
        <w:rPr>
          <w:noProof/>
          <w:color w:val="000000"/>
        </w:rPr>
      </w:pPr>
    </w:p>
    <w:p>
      <w:pPr>
        <w:autoSpaceDE w:val="0"/>
        <w:autoSpaceDN w:val="0"/>
        <w:jc w:val="both"/>
        <w:rPr>
          <w:noProof/>
          <w:color w:val="000000"/>
        </w:rPr>
      </w:pPr>
      <w:r>
        <w:rPr>
          <w:noProof/>
          <w:color w:val="000000"/>
        </w:rPr>
        <w:t xml:space="preserve">Ori de câte ori Comisia Europeană primește rapoarte privind nereguli, fie prin plângeri oficiale, fie prin cereri din partea industriilor UE, aceasta informează Oficiul European de Luptă Antifraudă (OLAF). OLAF publică un raport anual în care își prezintă activitățile pentru mai multe detalii. </w:t>
      </w:r>
    </w:p>
    <w:p>
      <w:pPr>
        <w:autoSpaceDE w:val="0"/>
        <w:autoSpaceDN w:val="0"/>
        <w:jc w:val="both"/>
        <w:rPr>
          <w:noProof/>
          <w:color w:val="000000"/>
        </w:rPr>
      </w:pPr>
      <w:r>
        <w:rPr>
          <w:noProof/>
        </w:rPr>
        <w:br/>
      </w:r>
      <w:r>
        <w:rPr>
          <w:noProof/>
          <w:color w:val="000000"/>
        </w:rPr>
        <w:t xml:space="preserve">În 2025, Parchetul European (EPPO) a solicitat, de asemenea, expertiza Comisiei cu privire la anumite măsuri în cadrul anchetei penale pe care o desfășoară. </w:t>
      </w:r>
    </w:p>
    <w:p>
      <w:pPr>
        <w:autoSpaceDE w:val="0"/>
        <w:autoSpaceDN w:val="0"/>
        <w:jc w:val="both"/>
        <w:rPr>
          <w:noProof/>
          <w:color w:val="000000"/>
        </w:rPr>
      </w:pPr>
      <w:r>
        <w:rPr>
          <w:noProof/>
        </w:rPr>
        <w:lastRenderedPageBreak/>
        <w:br/>
      </w:r>
      <w:r>
        <w:rPr>
          <w:noProof/>
          <w:color w:val="000000"/>
        </w:rPr>
        <w:t xml:space="preserve">Pe lângă implicarea părților interesate descrisă mai jos în secțiunea 8, Comisia a participat la reuniuni periodice ale Grupului de experți în domeniul vamal al TAXUD. </w:t>
      </w:r>
      <w:bookmarkStart w:id="10" w:name="_Hlk226967599"/>
      <w:r>
        <w:rPr>
          <w:noProof/>
          <w:color w:val="000000"/>
        </w:rPr>
        <w:t xml:space="preserve">În plus, aspectele legate de punerea în aplicare au fost discutate periodic în cadrul unui grup de interese închis dedicat, care cuprinde experți din partea Comisiei și a statelor membre. </w:t>
      </w:r>
      <w:bookmarkEnd w:id="10"/>
    </w:p>
    <w:p>
      <w:pPr>
        <w:autoSpaceDE w:val="0"/>
        <w:autoSpaceDN w:val="0"/>
        <w:jc w:val="both"/>
        <w:rPr>
          <w:noProof/>
          <w:color w:val="000000"/>
        </w:rPr>
      </w:pPr>
    </w:p>
    <w:p>
      <w:pPr>
        <w:autoSpaceDE w:val="0"/>
        <w:autoSpaceDN w:val="0"/>
        <w:jc w:val="both"/>
        <w:rPr>
          <w:noProof/>
          <w:color w:val="000000"/>
        </w:rPr>
      </w:pPr>
      <w:r>
        <w:rPr>
          <w:noProof/>
          <w:color w:val="000000"/>
        </w:rPr>
        <w:t>DG BUDG supraveghează colectarea corespunzătoare și promptă a veniturilor UE, inclusiv a taxelor antidumping și compensatorii, de către autoritățile vamale ale statelor membre. În acest sens, DG TRADE a colaborat prin furnizarea de orientări interpretative privind legislația în materie de apărare comercială, în special în ceea ce privește pregătirea inspecțiilor în statele membre, legate de aspecte referitoare la instrumentele de apărare comercială, și a contribuit la evaluarea juridică în cazuri individuale cu implicații financiare semnificative.</w:t>
      </w:r>
    </w:p>
    <w:p>
      <w:pPr>
        <w:autoSpaceDE w:val="0"/>
        <w:autoSpaceDN w:val="0"/>
        <w:jc w:val="both"/>
        <w:rPr>
          <w:noProof/>
          <w:color w:val="000000"/>
        </w:rPr>
      </w:pPr>
    </w:p>
    <w:p>
      <w:pPr>
        <w:autoSpaceDE w:val="0"/>
        <w:autoSpaceDN w:val="0"/>
        <w:jc w:val="both"/>
        <w:rPr>
          <w:noProof/>
          <w:color w:val="000000"/>
        </w:rPr>
      </w:pPr>
      <w:r>
        <w:rPr>
          <w:noProof/>
          <w:color w:val="000000"/>
        </w:rPr>
        <w:t xml:space="preserve">Monitorizarea angajamentelor face parte, de asemenea, din activitățile de asigurare a respectării legislației, având în vedere că angajamentele permit suspendarea măsurilor AD sau AS. Comisia acceptă astfel de angajamente atunci când este convinsă că acestea pot elimina în mod eficient efectele prejudiciabile ale dumpingului sau ale subvenționării și verifică periodic respectarea angajamentelor de către exportatori. </w:t>
      </w:r>
    </w:p>
    <w:p>
      <w:pPr>
        <w:autoSpaceDE w:val="0"/>
        <w:autoSpaceDN w:val="0"/>
        <w:jc w:val="both"/>
        <w:rPr>
          <w:noProof/>
          <w:color w:val="000000"/>
        </w:rPr>
      </w:pPr>
    </w:p>
    <w:p>
      <w:pPr>
        <w:autoSpaceDE w:val="0"/>
        <w:autoSpaceDN w:val="0"/>
        <w:jc w:val="both"/>
        <w:rPr>
          <w:noProof/>
          <w:color w:val="000000"/>
        </w:rPr>
      </w:pPr>
      <w:r>
        <w:rPr>
          <w:noProof/>
          <w:color w:val="000000"/>
        </w:rPr>
        <w:t>În 2025</w:t>
      </w:r>
      <w:r>
        <w:rPr>
          <w:noProof/>
        </w:rPr>
        <w:t xml:space="preserve">, existau 8 întreprinderi cu angajamente în vigoare privind măsurile compensatorii în vigoare aplicabile importurilor de biomotorină din Argentina. </w:t>
      </w:r>
      <w:r>
        <w:rPr>
          <w:noProof/>
          <w:color w:val="000000"/>
        </w:rPr>
        <w:t>Monitorizarea periodică a acestor angajamente a arătat că producătorii-exportatori respectau pe deplin aceste angajamente.</w:t>
      </w:r>
    </w:p>
    <w:p>
      <w:pPr>
        <w:autoSpaceDE w:val="0"/>
        <w:autoSpaceDN w:val="0"/>
        <w:jc w:val="both"/>
        <w:rPr>
          <w:noProof/>
          <w:color w:val="000000"/>
        </w:rPr>
      </w:pPr>
    </w:p>
    <w:p>
      <w:pPr>
        <w:autoSpaceDE w:val="0"/>
        <w:autoSpaceDN w:val="0"/>
        <w:jc w:val="both"/>
        <w:rPr>
          <w:noProof/>
          <w:color w:val="000000"/>
        </w:rPr>
      </w:pPr>
      <w:r>
        <w:rPr>
          <w:noProof/>
          <w:color w:val="000000"/>
        </w:rPr>
        <w:t xml:space="preserve">În decembrie 2025, Comisia a inițiat, </w:t>
      </w:r>
      <w:r>
        <w:rPr>
          <w:i/>
          <w:noProof/>
          <w:color w:val="000000"/>
        </w:rPr>
        <w:t>ex officio</w:t>
      </w:r>
      <w:r>
        <w:rPr>
          <w:noProof/>
          <w:color w:val="000000"/>
        </w:rPr>
        <w:t xml:space="preserve">, o reexaminare intermediară pentru a analiza o ofertă de angajament prezentată de Volkswagen (Anhui) Automotive Co., Ltd în contextul măsurilor antisubvenție instituite în octombrie 2024 asupra vehiculelor electrice cu baterie și referitoare la un singur model, CUPRA Tavascan. În urma unei investigații, în februarie 2026, Comisia a acceptat angajamentul în materie de prețuri din partea Volkswagen (Anhui) Automotive Company Ltd., și a părții sale afiliate din UE, SEAT S.A., Martorell, Spania. Angajamentul a fost considerat adecvat pentru a elimina efectul prejudiciabil al subvențiilor și, de asemenea, realizabil. Investigația a constatat că pragul de preț propus de Volkswagen (Anhui) pentru CUPRA Tavascan nu ar fi prejudiciabil pentru industria din UE. De asemenea, angajamentele SEAT au inclus standardizarea canalelor sale de vânzări, limitarea exporturilor către Uniune la un singur model al produsului în cauză și obligații extinse de raportare. Drept urmare, Comisia a considerat că există suficiente măsuri de atenuare pentru a aborda riscul de compensare încrucișată. Pe lângă Volkswagen (Anhui), s-a angajat, de asemenea, să investească în proiecte semnificative legate de vehiculele electrice cu baterie în UE, cu jaloane clar definite, sprijinind strategia industrială a UE și stimulând respectarea obiectivelor UE privind tranziția climatică. </w:t>
      </w:r>
    </w:p>
    <w:p>
      <w:pPr>
        <w:autoSpaceDE w:val="0"/>
        <w:autoSpaceDN w:val="0"/>
        <w:jc w:val="both"/>
        <w:rPr>
          <w:noProof/>
          <w:color w:val="000000"/>
        </w:rPr>
      </w:pPr>
    </w:p>
    <w:p>
      <w:pPr>
        <w:autoSpaceDE w:val="0"/>
        <w:autoSpaceDN w:val="0"/>
        <w:jc w:val="both"/>
        <w:rPr>
          <w:noProof/>
        </w:rPr>
      </w:pPr>
      <w:r>
        <w:rPr>
          <w:noProof/>
          <w:color w:val="000000"/>
        </w:rPr>
        <w:t xml:space="preserve">Nu au existat alte oferte de angajament prezentate în cadrul investigațiilor antidumping sau antisubvenție încheiate în 2025 care, după o evaluare juridică, să poată fi acceptate de Comisie. </w:t>
      </w:r>
    </w:p>
    <w:p>
      <w:pPr>
        <w:rPr>
          <w:noProof/>
        </w:rPr>
      </w:pPr>
    </w:p>
    <w:p>
      <w:pPr>
        <w:pStyle w:val="Heading2"/>
        <w:ind w:left="0" w:firstLine="0"/>
        <w:rPr>
          <w:noProof/>
          <w:szCs w:val="24"/>
        </w:rPr>
      </w:pPr>
      <w:r>
        <w:rPr>
          <w:noProof/>
        </w:rPr>
        <w:t>Controlul judiciar exercitat de instanțele UE (anexa S)</w:t>
      </w:r>
    </w:p>
    <w:p>
      <w:pPr>
        <w:spacing w:before="120" w:after="240"/>
        <w:jc w:val="both"/>
        <w:rPr>
          <w:noProof/>
        </w:rPr>
      </w:pPr>
      <w:bookmarkStart w:id="11" w:name="_Hlk160616562"/>
      <w:r>
        <w:rPr>
          <w:noProof/>
        </w:rPr>
        <w:t xml:space="preserve">În 2025, Tribunalul și Curtea de Justiție au pronunțat 13 hotărâri și ordonanțe în cauze privind măsuri de apărare comercială. Tribunalul a pronunțat 10 hotărâri, dintre care două ordonanțe </w:t>
      </w:r>
      <w:r>
        <w:rPr>
          <w:noProof/>
        </w:rPr>
        <w:lastRenderedPageBreak/>
        <w:t>în urma retragerii unei acțiuni. Curtea de Justiție s-a pronunțat cu privire la două recursuri și la o cerere de decizie preliminară.</w:t>
      </w:r>
    </w:p>
    <w:p>
      <w:pPr>
        <w:spacing w:before="120" w:after="240"/>
        <w:jc w:val="both"/>
        <w:rPr>
          <w:noProof/>
        </w:rPr>
      </w:pPr>
      <w:r>
        <w:rPr>
          <w:noProof/>
        </w:rPr>
        <w:t xml:space="preserve">În 2025 au fost introduse mai multe proceduri judiciare noi privind măsurile de apărare comercială (18 în total) comparativ cu anul precedent (10 în total în anul 2024). Au fost introduse 14 acțiuni în anulare în fața Tribunalului, dintre care șase au vizat taxele compensatorii aplicate importurilor de vehicule electrice noi cu baterii originare din Republica Populară Chineză și două au vizat taxele impuse importurilor de echipamente de acces mobil originare din Republica Populară Chineză. În plus, în 2025, au fost introduse două recursuri privind încălcarea angajamentelor și două cereri de decizie preliminară în fața Curții de Justiție. </w:t>
      </w:r>
    </w:p>
    <w:p>
      <w:pPr>
        <w:spacing w:before="120" w:after="240"/>
        <w:jc w:val="both"/>
        <w:rPr>
          <w:noProof/>
        </w:rPr>
      </w:pPr>
      <w:r>
        <w:rPr>
          <w:noProof/>
        </w:rPr>
        <w:t>Din cele opt cauze judecate de Tribunal în 2025, Comisia a avut câștig de cauză în toate, cu excepția uneia, care se referea la taxele compensatorii instituite asupra importurilor de anumite specii de păstrăv curcubeu originare din Turcia. Comisia (alături de Fertilizers Europe) a câștigat două recursuri privind deschiderea unei reexaminări în perspectiva expirării măsurilor privind nitratul de amoniu.</w:t>
      </w:r>
    </w:p>
    <w:p>
      <w:pPr>
        <w:spacing w:before="120" w:after="240"/>
        <w:jc w:val="both"/>
        <w:rPr>
          <w:noProof/>
        </w:rPr>
      </w:pPr>
      <w:r>
        <w:rPr>
          <w:noProof/>
        </w:rPr>
        <w:t xml:space="preserve">Instanțele au furnizat clarificări importante cu privire la mai multe aspecte, cum ar fi: </w:t>
      </w:r>
    </w:p>
    <w:p>
      <w:pPr>
        <w:numPr>
          <w:ilvl w:val="0"/>
          <w:numId w:val="23"/>
        </w:numPr>
        <w:ind w:left="714" w:hanging="357"/>
        <w:jc w:val="both"/>
        <w:rPr>
          <w:noProof/>
        </w:rPr>
      </w:pPr>
      <w:r>
        <w:rPr>
          <w:noProof/>
        </w:rPr>
        <w:t xml:space="preserve">posibilitatea de a continua o investigație în urma retragerii unei plângeri de către industria din Uniune; </w:t>
      </w:r>
    </w:p>
    <w:p>
      <w:pPr>
        <w:ind w:left="714"/>
        <w:jc w:val="both"/>
        <w:rPr>
          <w:noProof/>
        </w:rPr>
      </w:pPr>
    </w:p>
    <w:p>
      <w:pPr>
        <w:numPr>
          <w:ilvl w:val="0"/>
          <w:numId w:val="23"/>
        </w:numPr>
        <w:ind w:left="714" w:hanging="357"/>
        <w:jc w:val="both"/>
        <w:rPr>
          <w:noProof/>
        </w:rPr>
      </w:pPr>
      <w:r>
        <w:rPr>
          <w:noProof/>
        </w:rPr>
        <w:t xml:space="preserve">stabilirea valorii normale în absența vânzărilor pe piața internă; </w:t>
      </w:r>
    </w:p>
    <w:p>
      <w:pPr>
        <w:ind w:left="714"/>
        <w:jc w:val="both"/>
        <w:rPr>
          <w:noProof/>
        </w:rPr>
      </w:pPr>
    </w:p>
    <w:p>
      <w:pPr>
        <w:numPr>
          <w:ilvl w:val="0"/>
          <w:numId w:val="23"/>
        </w:numPr>
        <w:ind w:left="714" w:hanging="357"/>
        <w:jc w:val="both"/>
        <w:rPr>
          <w:noProof/>
        </w:rPr>
      </w:pPr>
      <w:bookmarkStart w:id="12" w:name="_Hlk226647559"/>
      <w:r>
        <w:rPr>
          <w:noProof/>
        </w:rPr>
        <w:t>marja de apreciere de care dispune Comisia atunci când decide cu privire la cererile de tratament individual, în cazurile în care se aplică eșantionarea;</w:t>
      </w:r>
    </w:p>
    <w:p>
      <w:pPr>
        <w:ind w:left="714"/>
        <w:jc w:val="both"/>
        <w:rPr>
          <w:noProof/>
        </w:rPr>
      </w:pPr>
    </w:p>
    <w:p>
      <w:pPr>
        <w:numPr>
          <w:ilvl w:val="0"/>
          <w:numId w:val="23"/>
        </w:numPr>
        <w:ind w:left="714" w:hanging="357"/>
        <w:jc w:val="both"/>
        <w:rPr>
          <w:noProof/>
        </w:rPr>
      </w:pPr>
      <w:r>
        <w:rPr>
          <w:noProof/>
        </w:rPr>
        <w:t>evaluarea probabilității continuării sau reapariției dumpingului și a prejudiciului în cadrul reexaminărilor efectuate în perspectiva expirării măsurilor cu măsuri de salvgardare în vigoare.</w:t>
      </w:r>
    </w:p>
    <w:bookmarkEnd w:id="12"/>
    <w:p>
      <w:pPr>
        <w:spacing w:before="120" w:after="240"/>
        <w:jc w:val="both"/>
        <w:rPr>
          <w:noProof/>
        </w:rPr>
      </w:pPr>
      <w:r>
        <w:rPr>
          <w:noProof/>
        </w:rPr>
        <w:t xml:space="preserve">Informații suplimentare cu privire la unele dintre aceste hotărâri sunt disponibile în documentul de lucru al serviciilor Comisiei. </w:t>
      </w:r>
    </w:p>
    <w:bookmarkEnd w:id="11"/>
    <w:p>
      <w:pPr>
        <w:pStyle w:val="Heading1"/>
        <w:tabs>
          <w:tab w:val="clear" w:pos="960"/>
        </w:tabs>
        <w:ind w:left="0" w:firstLine="0"/>
        <w:rPr>
          <w:noProof/>
          <w:szCs w:val="24"/>
        </w:rPr>
      </w:pPr>
      <w:r>
        <w:rPr>
          <w:noProof/>
        </w:rPr>
        <w:t>Standarde sociale și de mediu în IAC</w:t>
      </w:r>
    </w:p>
    <w:p>
      <w:pPr>
        <w:spacing w:before="120" w:after="240"/>
        <w:jc w:val="both"/>
        <w:rPr>
          <w:noProof/>
        </w:rPr>
      </w:pPr>
      <w:r>
        <w:rPr>
          <w:noProof/>
        </w:rPr>
        <w:t xml:space="preserve">Timp de peste opt ani, legislația UE în materie de apărare comercială reflectă angajamentul UE față de standarde sociale și de mediu ridicate. Odată cu modificările introduse în 2017 și în 2018, standardele sociale și de mediu sunt examinate în anumite aspecte ale investigațiilor, atunci când acest lucru este justificat și adecvat. </w:t>
      </w:r>
    </w:p>
    <w:p>
      <w:pPr>
        <w:spacing w:before="120" w:after="240"/>
        <w:jc w:val="both"/>
        <w:rPr>
          <w:noProof/>
        </w:rPr>
      </w:pPr>
      <w:r>
        <w:rPr>
          <w:noProof/>
        </w:rPr>
        <w:t xml:space="preserve">Atunci când selectează o țară reprezentativă pentru a stabili o valoare normală nedistorsionată în investigațiile referitoare la țări în care există distorsiuni semnificative din partea statului, Comisia poate lua în considerare standardele sociale și de mediu în cadrul procesului său de evaluare. Acest lucru este necesar pentru a obține o valoare normală nedistorsionată atunci când se calculează dumpingul utilizând metodologia distorsiunilor semnificative. În aceste cazuri, atunci când îi sunt prezentate mai multe țări reprezentative posibile, Comisia le poate selecta pe cele cu un nivel adecvat de protecție socială și a mediului. </w:t>
      </w:r>
    </w:p>
    <w:p>
      <w:pPr>
        <w:spacing w:before="120" w:after="240"/>
        <w:jc w:val="both"/>
        <w:rPr>
          <w:noProof/>
        </w:rPr>
      </w:pPr>
      <w:r>
        <w:rPr>
          <w:noProof/>
        </w:rPr>
        <w:lastRenderedPageBreak/>
        <w:t xml:space="preserve">În 2025, Comisia a utilizat metodologia distorsiunilor semnificative pentru a calcula marjele de dumping în toate cele 16 cazuri referitoare la China. În cazurile respective, Comisia nu a fost nevoită să examineze nivelul standardelor sociale și de mediu din nicio țară reprezentativă potențială, deoarece, în fiecare dintre cazuri, a existat o singură țară reprezentativă potențială cu datele adecvate disponibile. </w:t>
      </w:r>
    </w:p>
    <w:p>
      <w:pPr>
        <w:jc w:val="both"/>
        <w:rPr>
          <w:noProof/>
        </w:rPr>
      </w:pPr>
      <w:r>
        <w:rPr>
          <w:noProof/>
        </w:rPr>
        <w:t>Un aspect în care standardele sociale și de mediu pot juca un rol important în determinarea nivelului măsurilor care urmează să fie impuse este calcularea marjei de prejudiciu. Începând din 2018, Comisia poate include în costurile de producție ale industriei UE costul respectării acordurilor multilaterale de mediu și a convențiilor Organizației Internaționale a Muncii pe durata de aplicare a oricăror măsuri. De exemplu, pot fi adăugate costuri viitoare suplimentare asociate cu respectarea schemei UE de comercializare a certificatelor de emisii. Adăugarea acestor costuri poate duce la creșterea prețurilor neprejudiciabile</w:t>
      </w:r>
      <w:r>
        <w:rPr>
          <w:rStyle w:val="FootnoteReference"/>
          <w:noProof/>
        </w:rPr>
        <w:footnoteReference w:id="2"/>
      </w:r>
      <w:r>
        <w:rPr>
          <w:noProof/>
        </w:rPr>
        <w:t xml:space="preserve"> și, prin urmare, a marjelor de prejudiciu. Impactul se resimte atunci când taxele instituite se bazează mai degrabă pe prejudiciu decât pe marjele de dumping. Aceste costuri au fost incluse în unsprezece cazuri antidumping finalizate în 2025 și au crescut nivelul măsurilor instituite în patru investigații în care taxele s-au bazat pe marjele de prejudiciu – eritritol și clorură de colină din China, policlorură de vinil din Egipt și produse plate din oțel laminate la cald din Japonia.</w:t>
      </w:r>
    </w:p>
    <w:p>
      <w:pPr>
        <w:jc w:val="both"/>
        <w:rPr>
          <w:noProof/>
        </w:rPr>
      </w:pPr>
    </w:p>
    <w:p>
      <w:pPr>
        <w:jc w:val="both"/>
        <w:rPr>
          <w:noProof/>
        </w:rPr>
      </w:pPr>
      <w:r>
        <w:rPr>
          <w:noProof/>
        </w:rPr>
        <w:t xml:space="preserve">Deși standardele sociale și de mediu pot fi, de asemenea, luate în considerare atunci când se examinează ofertele de angajament, nu au existat angajamente convenite în 2025. </w:t>
      </w:r>
    </w:p>
    <w:p>
      <w:pPr>
        <w:pStyle w:val="Heading1"/>
        <w:tabs>
          <w:tab w:val="clear" w:pos="960"/>
        </w:tabs>
        <w:ind w:left="0" w:firstLine="0"/>
        <w:rPr>
          <w:noProof/>
          <w:szCs w:val="24"/>
        </w:rPr>
      </w:pPr>
      <w:r>
        <w:rPr>
          <w:noProof/>
        </w:rPr>
        <w:t>Activitățile consilierului-auditor</w:t>
      </w:r>
    </w:p>
    <w:p>
      <w:pPr>
        <w:jc w:val="both"/>
        <w:rPr>
          <w:noProof/>
        </w:rPr>
      </w:pPr>
      <w:r>
        <w:rPr>
          <w:noProof/>
        </w:rPr>
        <w:t>Consilierul-auditor joacă un rol esențial în asigurarea faptului că părțile interesate afectate de procedurile și măsurile prevăzute de legislația UE privind comerțul internațional își pot exercita drepturile procedurale, inclusiv dreptul de a fi audiate. Consilierul-auditor a continuat să urmeze practica consacrată de a încuraja părțile să își exprime preocupările în fața serviciilor Comisiei responsabile de investigație înainte de a solicita o audiere. Această abordare a permis majorității părților să își rezolve preocupările direct cu echipele de investigație, consilierul-auditor monitorizând îndeaproape procesul și rămânând disponibil pentru a aborda orice alte probleme.</w:t>
      </w:r>
    </w:p>
    <w:p>
      <w:pPr>
        <w:jc w:val="both"/>
        <w:rPr>
          <w:noProof/>
        </w:rPr>
      </w:pPr>
    </w:p>
    <w:p>
      <w:pPr>
        <w:jc w:val="both"/>
        <w:rPr>
          <w:noProof/>
        </w:rPr>
      </w:pPr>
      <w:r>
        <w:rPr>
          <w:noProof/>
        </w:rPr>
        <w:t>În 2025, funcția de consilier-auditor a trecut printr-o perioadă de tranziție, întrucât consilierul-auditor cu vechime în funcție s-a pensionat după prima jumătate a anului, fiind înlocuit temporar până când, începând cu luna noiembrie, noul consilier-auditor numit și-a preluat funcția.</w:t>
      </w:r>
    </w:p>
    <w:p>
      <w:pPr>
        <w:jc w:val="both"/>
        <w:rPr>
          <w:noProof/>
        </w:rPr>
      </w:pPr>
    </w:p>
    <w:p>
      <w:pPr>
        <w:jc w:val="both"/>
        <w:rPr>
          <w:noProof/>
        </w:rPr>
      </w:pPr>
      <w:r>
        <w:rPr>
          <w:noProof/>
        </w:rPr>
        <w:t>În 2025, consilierul-auditor a primit 23 de cereri de intervenție, toate referitoare la proceduri de apărare comercială, și a organizat două audieri cu părțile interesate. În două ocazii, consilierul-auditor a emis recomandări specifice fiecărei proceduri adresate serviciilor fără a organiza o audiere. În 2025, consilierul-auditor nu a acordat nicio prelungire a termenelor.</w:t>
      </w:r>
    </w:p>
    <w:p>
      <w:pPr>
        <w:jc w:val="both"/>
        <w:rPr>
          <w:noProof/>
        </w:rPr>
      </w:pPr>
    </w:p>
    <w:p>
      <w:pPr>
        <w:jc w:val="both"/>
        <w:rPr>
          <w:noProof/>
        </w:rPr>
      </w:pPr>
      <w:r>
        <w:rPr>
          <w:noProof/>
        </w:rPr>
        <w:t>Entitățile care au solicitat intervenția au reprezentat toate tipurile de părți interesate – utilizatori, producători-exportatori, reprezentanți ai industriei Uniunii, guvern al unei țări terțe, importatori și părți care nu sunt înregistrate ca părți interesate în cadrul procedurilor.</w:t>
      </w:r>
    </w:p>
    <w:p>
      <w:pPr>
        <w:jc w:val="both"/>
        <w:rPr>
          <w:noProof/>
        </w:rPr>
      </w:pPr>
      <w:r>
        <w:rPr>
          <w:noProof/>
        </w:rPr>
        <w:lastRenderedPageBreak/>
        <w:t xml:space="preserve"> </w:t>
      </w:r>
    </w:p>
    <w:p>
      <w:pPr>
        <w:jc w:val="both"/>
        <w:rPr>
          <w:noProof/>
        </w:rPr>
      </w:pPr>
      <w:r>
        <w:rPr>
          <w:noProof/>
        </w:rPr>
        <w:t xml:space="preserve">Preocupările exprimate de părțile solicitante au implicat o prezentare suplimentară de informații sau obiecții cu privire la fapte și constatări, selectarea țării reprezentative, confidențialitatea, dreptul de a fi recunoscut ca parte interesată și obiecții cu privire la deciziile de procedură. </w:t>
      </w:r>
    </w:p>
    <w:p>
      <w:pPr>
        <w:jc w:val="both"/>
        <w:rPr>
          <w:noProof/>
        </w:rPr>
      </w:pPr>
    </w:p>
    <w:p>
      <w:pPr>
        <w:jc w:val="both"/>
        <w:rPr>
          <w:noProof/>
        </w:rPr>
      </w:pPr>
      <w:r>
        <w:rPr>
          <w:noProof/>
        </w:rPr>
        <w:t>În ceea ce privește două recomandări emise de consilierul-auditor cu privire la drepturile părților, serviciile de apărare comercială au pus în aplicare cu promptitudine o recomandare și au dat curs alteia. În toate celelalte proceduri vizate de cererile de intervenție, consilierul-auditor a constatat că drepturile procedurale ale tuturor părților au fost respectate. O prezentare detaliată a activităților consilierului-auditor este disponibilă în raportul anual al activităților sale.</w:t>
      </w:r>
    </w:p>
    <w:p>
      <w:pPr>
        <w:pStyle w:val="Heading1"/>
        <w:tabs>
          <w:tab w:val="clear" w:pos="960"/>
        </w:tabs>
        <w:ind w:left="0" w:firstLine="0"/>
        <w:rPr>
          <w:noProof/>
          <w:szCs w:val="24"/>
        </w:rPr>
      </w:pPr>
      <w:r>
        <w:rPr>
          <w:noProof/>
        </w:rPr>
        <w:t>Abordarea activității de apărare comercială împotriva UE</w:t>
      </w:r>
    </w:p>
    <w:p>
      <w:pPr>
        <w:jc w:val="both"/>
        <w:rPr>
          <w:noProof/>
        </w:rPr>
      </w:pPr>
      <w:r>
        <w:rPr>
          <w:noProof/>
        </w:rPr>
        <w:t>Într-un mediu comercial din ce în ce mai imprevizibil, aderarea la sistemul bazat pe norme și susținerea acestuia sunt esențiale pentru monitorizarea de către Comisie a investigațiilor în materie de apărare comercială ale țărilor terțe care au un impact asupra exportatorilor din UE. Investigațiile și procedurile previzibile și solide din punct de vedere juridic sunt esențiale pentru ca exportatorii din UE să își poată exercita în mod corespunzător dreptul la apărare, menținând în același timp accesul pe piață. Apărarea intereselor ofensive ale producătorilor din UE reprezintă un efort colectiv și dă cele mai bune rezultate atunci când toate părțile interesate, și anume întreprinderile în cauză, statele membre și Comisia, sunt implicate și împărtășesc un interes comun.</w:t>
      </w:r>
    </w:p>
    <w:p>
      <w:pPr>
        <w:jc w:val="both"/>
        <w:rPr>
          <w:noProof/>
        </w:rPr>
      </w:pPr>
    </w:p>
    <w:p>
      <w:pPr>
        <w:jc w:val="both"/>
        <w:rPr>
          <w:noProof/>
        </w:rPr>
      </w:pPr>
      <w:r>
        <w:rPr>
          <w:noProof/>
        </w:rPr>
        <w:t xml:space="preserve">Utilizarea necorespunzătoare și nejustificată a instrumentelor cauzează prejudicii suplimentare în contextul unor condiții comerciale globale din ce în ce mai complexe, de aceea este importantă monitorizarea acestor cazuri. </w:t>
      </w:r>
      <w:bookmarkStart w:id="13" w:name="_Hlk226649067"/>
      <w:r>
        <w:rPr>
          <w:noProof/>
        </w:rPr>
        <w:t xml:space="preserve">În 2025, China a continuat utilizarea inadecvată a instrumentelor prin investigațiile sale privind importurile de coniac, carne de porc și produse lactate. În pofida numeroaselor intervenții ale Comisiei la toate nivelurile, de la tehnic la politic, China a persistat, în iulie 2025 fiind instituite măsuri definitive privind importurile de coniac, în decembrie 2025, privind carnea de porc, iar în decembrie 2025, măsuri provizorii privind produsele lactate. </w:t>
      </w:r>
      <w:bookmarkEnd w:id="13"/>
      <w:r>
        <w:rPr>
          <w:noProof/>
        </w:rPr>
        <w:t>Comisia analizează punctele forte și punctele slabe ale oricărei posibile provocări a OMC pentru a decide ce măsuri suplimentare trebuie luate pentru a apăra cât mai bine interesele exportatorilor din UE.</w:t>
      </w:r>
    </w:p>
    <w:p>
      <w:pPr>
        <w:jc w:val="both"/>
        <w:rPr>
          <w:noProof/>
        </w:rPr>
      </w:pPr>
    </w:p>
    <w:p>
      <w:pPr>
        <w:jc w:val="both"/>
        <w:rPr>
          <w:noProof/>
        </w:rPr>
      </w:pPr>
      <w:r>
        <w:rPr>
          <w:noProof/>
        </w:rPr>
        <w:t>Rezultatul pozitiv al intervențiilor Comisiei în 2025 se reflectă în următoarele exemple:</w:t>
      </w:r>
    </w:p>
    <w:p>
      <w:pPr>
        <w:jc w:val="both"/>
        <w:rPr>
          <w:noProof/>
        </w:rPr>
      </w:pPr>
    </w:p>
    <w:p>
      <w:pPr>
        <w:jc w:val="both"/>
        <w:rPr>
          <w:i/>
          <w:iCs/>
          <w:noProof/>
        </w:rPr>
      </w:pPr>
      <w:r>
        <w:rPr>
          <w:i/>
          <w:noProof/>
        </w:rPr>
        <w:t>Investigația antidumping din India privind para-nitrotoluenul (PNT)</w:t>
      </w:r>
    </w:p>
    <w:p>
      <w:pPr>
        <w:pStyle w:val="Default"/>
        <w:rPr>
          <w:i/>
          <w:iCs/>
          <w:noProof/>
          <w:sz w:val="22"/>
          <w:szCs w:val="22"/>
        </w:rPr>
      </w:pPr>
    </w:p>
    <w:p>
      <w:pPr>
        <w:pStyle w:val="Default"/>
        <w:numPr>
          <w:ilvl w:val="0"/>
          <w:numId w:val="28"/>
        </w:numPr>
        <w:jc w:val="both"/>
        <w:rPr>
          <w:rFonts w:ascii="Times New Roman" w:hAnsi="Times New Roman" w:cs="Times New Roman"/>
          <w:noProof/>
        </w:rPr>
      </w:pPr>
      <w:r>
        <w:rPr>
          <w:rFonts w:ascii="Times New Roman" w:hAnsi="Times New Roman"/>
          <w:noProof/>
        </w:rPr>
        <w:t xml:space="preserve">În iunie 2025, autoritățile indiene au deschis o investigație antidumping privind importurile de PNT din Uniunea Europeană. Ca răspuns la o cerere depusă de o întreprindere germană, Comisia Europeană a apărat cu fermitate exporturile UE evaluate la 5,4 milioane EUR. La 11 decembrie 2025, autoritatea indiană responsabilă cu investigația a </w:t>
      </w:r>
      <w:r>
        <w:rPr>
          <w:rFonts w:ascii="Times New Roman" w:hAnsi="Times New Roman"/>
          <w:noProof/>
          <w:u w:val="single"/>
        </w:rPr>
        <w:t>închis</w:t>
      </w:r>
      <w:r>
        <w:rPr>
          <w:rFonts w:ascii="Times New Roman" w:hAnsi="Times New Roman"/>
          <w:noProof/>
        </w:rPr>
        <w:t xml:space="preserve"> investigația fără a institui taxe antidumping.</w:t>
      </w:r>
    </w:p>
    <w:p>
      <w:pPr>
        <w:pStyle w:val="Default"/>
        <w:rPr>
          <w:rFonts w:ascii="Times New Roman" w:hAnsi="Times New Roman" w:cs="Times New Roman"/>
          <w:i/>
          <w:iCs/>
          <w:noProof/>
          <w:sz w:val="22"/>
          <w:szCs w:val="22"/>
        </w:rPr>
      </w:pPr>
    </w:p>
    <w:p>
      <w:pPr>
        <w:pStyle w:val="Default"/>
        <w:rPr>
          <w:rFonts w:ascii="Times New Roman" w:hAnsi="Times New Roman" w:cs="Times New Roman"/>
          <w:i/>
          <w:noProof/>
        </w:rPr>
      </w:pPr>
      <w:r>
        <w:rPr>
          <w:rFonts w:ascii="Times New Roman" w:hAnsi="Times New Roman"/>
          <w:i/>
          <w:noProof/>
        </w:rPr>
        <w:t>Investigația din Indonezia de reexaminare a măsurilor de salvgardare privind importurile de articole de îmbrăcăminte și de accesorii vestimentare</w:t>
      </w:r>
    </w:p>
    <w:p>
      <w:pPr>
        <w:pStyle w:val="Default"/>
        <w:rPr>
          <w:rFonts w:ascii="Times New Roman" w:hAnsi="Times New Roman" w:cs="Times New Roman"/>
          <w:i/>
          <w:noProof/>
        </w:rPr>
      </w:pPr>
    </w:p>
    <w:p>
      <w:pPr>
        <w:pStyle w:val="Default"/>
        <w:numPr>
          <w:ilvl w:val="0"/>
          <w:numId w:val="28"/>
        </w:numPr>
        <w:jc w:val="both"/>
        <w:rPr>
          <w:rFonts w:ascii="Times New Roman" w:hAnsi="Times New Roman" w:cs="Times New Roman"/>
          <w:noProof/>
        </w:rPr>
      </w:pPr>
      <w:r>
        <w:rPr>
          <w:rFonts w:ascii="Times New Roman" w:hAnsi="Times New Roman"/>
          <w:noProof/>
        </w:rPr>
        <w:lastRenderedPageBreak/>
        <w:t>La 7 noiembrie 2024, Comitetul de salvgardare indonezian a deschis o investigație pentru a examina o posibilă prelungire a măsurilor de salvgardare privind importurile de articole de îmbrăcăminte și accesorii vestimentare. Având în vedere interesul economic substanțial al UE, în valoare de 76 de milioane </w:t>
      </w:r>
      <w:r>
        <w:rPr>
          <w:noProof/>
        </w:rPr>
        <w:t>EUR</w:t>
      </w:r>
      <w:r>
        <w:rPr>
          <w:rFonts w:ascii="Times New Roman" w:hAnsi="Times New Roman"/>
          <w:noProof/>
        </w:rPr>
        <w:t xml:space="preserve">, și în strânsă cooperare cu părțile interesate din industria UE, Comisia a intervenit în mod decisiv în etapa de deschidere a procedurii. Investigația de reexaminare a fost </w:t>
      </w:r>
      <w:r>
        <w:rPr>
          <w:rFonts w:ascii="Times New Roman" w:hAnsi="Times New Roman"/>
          <w:noProof/>
          <w:u w:val="single"/>
        </w:rPr>
        <w:t>închisă</w:t>
      </w:r>
      <w:r>
        <w:rPr>
          <w:rFonts w:ascii="Times New Roman" w:hAnsi="Times New Roman"/>
          <w:noProof/>
        </w:rPr>
        <w:t xml:space="preserve"> ulterior, fără instituirea de măsuri, la 29 septembrie 2025. </w:t>
      </w:r>
    </w:p>
    <w:p>
      <w:pPr>
        <w:jc w:val="both"/>
        <w:rPr>
          <w:noProof/>
        </w:rPr>
      </w:pPr>
    </w:p>
    <w:p>
      <w:pPr>
        <w:pStyle w:val="Default"/>
        <w:jc w:val="both"/>
        <w:rPr>
          <w:rFonts w:ascii="Times New Roman" w:hAnsi="Times New Roman" w:cs="Times New Roman"/>
          <w:i/>
          <w:noProof/>
        </w:rPr>
      </w:pPr>
      <w:r>
        <w:rPr>
          <w:rFonts w:ascii="Times New Roman" w:hAnsi="Times New Roman"/>
          <w:i/>
          <w:noProof/>
        </w:rPr>
        <w:t xml:space="preserve">Investigațiile </w:t>
      </w:r>
      <w:bookmarkStart w:id="14" w:name="_Hlk226649814"/>
      <w:r>
        <w:rPr>
          <w:rFonts w:ascii="Times New Roman" w:hAnsi="Times New Roman"/>
          <w:i/>
          <w:noProof/>
        </w:rPr>
        <w:t>antidumping și antisubvenție din Australia privind roșiile</w:t>
      </w:r>
      <w:bookmarkEnd w:id="14"/>
      <w:r>
        <w:rPr>
          <w:rFonts w:ascii="Times New Roman" w:hAnsi="Times New Roman"/>
          <w:i/>
          <w:noProof/>
        </w:rPr>
        <w:t xml:space="preserve"> (preparate sau conservate) </w:t>
      </w:r>
    </w:p>
    <w:p>
      <w:pPr>
        <w:pStyle w:val="Default"/>
        <w:rPr>
          <w:i/>
          <w:noProof/>
        </w:rPr>
      </w:pPr>
    </w:p>
    <w:p>
      <w:pPr>
        <w:pStyle w:val="ListParagraph"/>
        <w:numPr>
          <w:ilvl w:val="0"/>
          <w:numId w:val="28"/>
        </w:numPr>
        <w:jc w:val="both"/>
        <w:rPr>
          <w:noProof/>
        </w:rPr>
      </w:pPr>
      <w:r>
        <w:rPr>
          <w:noProof/>
        </w:rPr>
        <w:t xml:space="preserve">Aceste investigații au fost inițiate de Australia în octombrie 2024. Având în vedere interesele economice semnificative ale UE (estimate la 63 de milioane EUR) și interesele sistemice implicate, Comisia, în strânsă cooperare cu guvernul italian și cu sectorul industrial, a intervenit ferm încă din etapa premergătoare inițierii procedurii, prin consultări și observații scrise detaliate. Cazul a fost deosebit de dificil, deoarece investigația antisubvenție din Australia a vizat sprijinul acordat în cadrul politicii agricole comune (PAC) a UE. Cu toate acestea, la 12 noiembrie 2025, Australia a emis raportul său preliminar, recunoscând că sprijinul PAC nu constituie o subvenție care poate face obiectul unor măsuri compensatorii. Ulterior, la 27 ianuarie 2026, investigațiile au fost parțial încheiate cu privire la mai mulți producători italieni de roșii, iar la 2 februarie 2026, investigația a fost </w:t>
      </w:r>
      <w:r>
        <w:rPr>
          <w:noProof/>
          <w:u w:val="single"/>
        </w:rPr>
        <w:t>închisă</w:t>
      </w:r>
      <w:r>
        <w:rPr>
          <w:noProof/>
        </w:rPr>
        <w:t xml:space="preserve"> pentru toate întreprinderile.</w:t>
      </w:r>
    </w:p>
    <w:p>
      <w:pPr>
        <w:jc w:val="both"/>
        <w:rPr>
          <w:noProof/>
        </w:rPr>
      </w:pPr>
    </w:p>
    <w:p>
      <w:pPr>
        <w:jc w:val="both"/>
        <w:rPr>
          <w:i/>
          <w:iCs/>
          <w:noProof/>
        </w:rPr>
      </w:pPr>
      <w:r>
        <w:rPr>
          <w:i/>
          <w:noProof/>
        </w:rPr>
        <w:t xml:space="preserve">Investigația antidumping din Argentina privind anumite cazane </w:t>
      </w:r>
    </w:p>
    <w:p>
      <w:pPr>
        <w:jc w:val="both"/>
        <w:rPr>
          <w:i/>
          <w:iCs/>
          <w:noProof/>
        </w:rPr>
      </w:pPr>
    </w:p>
    <w:p>
      <w:pPr>
        <w:pStyle w:val="ListParagraph"/>
        <w:numPr>
          <w:ilvl w:val="0"/>
          <w:numId w:val="28"/>
        </w:numPr>
        <w:jc w:val="both"/>
        <w:rPr>
          <w:noProof/>
        </w:rPr>
      </w:pPr>
      <w:r>
        <w:rPr>
          <w:noProof/>
        </w:rPr>
        <w:t xml:space="preserve">Argentina a instituit măsuri antidumping asupra importurilor de anumite cazane din Italia în 2020, cu taxe cuprinse între 24 % și 57 %. În martie 2025, autoritățile argentiniene au inițiat o reexaminare în perspectiva expirării măsurilor. Comisia i-a sprijinit pe exportatorii italieni prin prezentarea de argumente care au arătat că menținerea măsurilor nu era justificată. Printre alte motive, principalul reclamant și-a retras cooperarea. Măsura a fost în cele din urmă </w:t>
      </w:r>
      <w:r>
        <w:rPr>
          <w:noProof/>
          <w:u w:val="single"/>
        </w:rPr>
        <w:t>abrogată</w:t>
      </w:r>
      <w:r>
        <w:rPr>
          <w:noProof/>
        </w:rPr>
        <w:t xml:space="preserve"> de autoritățile argentiniene în noiembrie 2025. </w:t>
      </w:r>
    </w:p>
    <w:p>
      <w:pPr>
        <w:jc w:val="both"/>
        <w:rPr>
          <w:noProof/>
        </w:rPr>
      </w:pPr>
    </w:p>
    <w:p>
      <w:pPr>
        <w:pStyle w:val="Default"/>
        <w:jc w:val="both"/>
        <w:rPr>
          <w:rFonts w:ascii="Times New Roman" w:hAnsi="Times New Roman" w:cs="Times New Roman"/>
          <w:noProof/>
          <w:color w:val="auto"/>
        </w:rPr>
      </w:pPr>
      <w:bookmarkStart w:id="15" w:name="_Hlk226648803"/>
      <w:r>
        <w:rPr>
          <w:rFonts w:ascii="Times New Roman" w:hAnsi="Times New Roman"/>
          <w:noProof/>
          <w:color w:val="auto"/>
        </w:rPr>
        <w:t xml:space="preserve">În 2025, au fost inițiate 30 de investigații noi care vizează UE și statele sale membre, ceea ce reprezintă o ușoară scădere față de 2024, când au fost inițiate 34 de investigații noi. Instrumentul cel mai utilizat rămâne măsura antidumping, care reprezintă 17 dintre aceste noi investigații, restul fiind măsuri de salvgardare. </w:t>
      </w:r>
      <w:bookmarkEnd w:id="15"/>
    </w:p>
    <w:p>
      <w:pPr>
        <w:pStyle w:val="Default"/>
        <w:jc w:val="both"/>
        <w:rPr>
          <w:rFonts w:ascii="Times New Roman" w:hAnsi="Times New Roman" w:cs="Times New Roman"/>
          <w:noProof/>
          <w:color w:val="auto"/>
          <w:lang w:eastAsia="ko-KR"/>
        </w:rPr>
      </w:pPr>
    </w:p>
    <w:p>
      <w:pPr>
        <w:pStyle w:val="Default"/>
        <w:jc w:val="both"/>
        <w:rPr>
          <w:rFonts w:ascii="Times New Roman" w:hAnsi="Times New Roman" w:cs="Times New Roman"/>
          <w:noProof/>
          <w:color w:val="auto"/>
        </w:rPr>
      </w:pPr>
      <w:r>
        <w:rPr>
          <w:rFonts w:ascii="Times New Roman" w:hAnsi="Times New Roman"/>
          <w:noProof/>
          <w:color w:val="auto"/>
        </w:rPr>
        <w:t>Cei mai prolifici utilizatori în 2025 au fost India, cu 7 investigații noi, Turcia, cu 6, urmate de SUA și Egipt, cu 3 investigații fiecare, și Brazilia, Africa de Sud și Thailanda, cu 2 investigații fiecare. Canada, Republica Dominicană, Coreea de Sud, Madagascar și Filipine au inițiat fiecare câte 1 investigație nouă.</w:t>
      </w:r>
    </w:p>
    <w:p>
      <w:pPr>
        <w:pStyle w:val="Default"/>
        <w:jc w:val="both"/>
        <w:rPr>
          <w:rFonts w:ascii="Times New Roman" w:hAnsi="Times New Roman" w:cs="Times New Roman"/>
          <w:noProof/>
          <w:color w:val="auto"/>
          <w:lang w:eastAsia="ko-KR"/>
        </w:rPr>
      </w:pPr>
    </w:p>
    <w:p>
      <w:pPr>
        <w:pStyle w:val="Default"/>
        <w:jc w:val="both"/>
        <w:rPr>
          <w:rFonts w:ascii="Times New Roman" w:hAnsi="Times New Roman" w:cs="Times New Roman"/>
          <w:noProof/>
          <w:color w:val="auto"/>
        </w:rPr>
      </w:pPr>
      <w:r>
        <w:rPr>
          <w:rFonts w:ascii="Times New Roman" w:hAnsi="Times New Roman"/>
          <w:noProof/>
          <w:color w:val="auto"/>
        </w:rPr>
        <w:t>În ceea ce privește noile măsuri impuse, în 2025 s-a înregistrat o creștere semnificativă, cu 30 de măsuri noi impuse, comparativ cu 17 în 2024. Majoritatea acestor măsuri au fost măsuri de salvgardare (17), cu 11 măsuri antidumping și 2 măsuri antisubvenție. China și SUA au impus câte 4 măsuri noi fiecare, urmate de Turcia, India și Egipt, fiecare cu câte 3.</w:t>
      </w:r>
    </w:p>
    <w:p>
      <w:pPr>
        <w:pStyle w:val="Default"/>
        <w:jc w:val="both"/>
        <w:rPr>
          <w:rFonts w:ascii="Times New Roman" w:hAnsi="Times New Roman" w:cs="Times New Roman"/>
          <w:noProof/>
          <w:color w:val="auto"/>
          <w:lang w:eastAsia="ko-KR"/>
        </w:rPr>
      </w:pPr>
    </w:p>
    <w:p>
      <w:pPr>
        <w:pStyle w:val="Default"/>
        <w:jc w:val="both"/>
        <w:rPr>
          <w:rFonts w:ascii="Times New Roman" w:hAnsi="Times New Roman" w:cs="Times New Roman"/>
          <w:noProof/>
          <w:color w:val="auto"/>
        </w:rPr>
      </w:pPr>
      <w:r>
        <w:rPr>
          <w:rFonts w:ascii="Times New Roman" w:hAnsi="Times New Roman"/>
          <w:noProof/>
          <w:color w:val="auto"/>
        </w:rPr>
        <w:lastRenderedPageBreak/>
        <w:t xml:space="preserve">La sfârșitul anului 2025, </w:t>
      </w:r>
      <w:bookmarkStart w:id="16" w:name="_Hlk226648635"/>
      <w:r>
        <w:rPr>
          <w:rFonts w:ascii="Times New Roman" w:hAnsi="Times New Roman"/>
          <w:noProof/>
          <w:color w:val="auto"/>
        </w:rPr>
        <w:t xml:space="preserve">erau în vigoare 181 de măsuri împotriva exporturilor UE, ceea ce reprezintă o creștere de 14 măsuri față de 2024. </w:t>
      </w:r>
      <w:bookmarkEnd w:id="16"/>
      <w:r>
        <w:rPr>
          <w:rFonts w:ascii="Times New Roman" w:hAnsi="Times New Roman"/>
          <w:noProof/>
          <w:color w:val="auto"/>
        </w:rPr>
        <w:t>În ceea ce privește măsurile în vigoare împotriva UE și/sau a statelor membre, SUA se află pe primul loc cu 45 de măsuri, urmată de Turcia și China cu 25 și, respectiv, 19 măsuri. Alți utilizatori care se remarcă sunt Brazilia, Canada, Indonezia și Madagascar, fiecare cu 10 măsuri în vigoare. India și Africa de Sud au fiecare câte 6 măsuri, urmate de Maroc cu 5 măsuri. În plus, Australia, Egipt, Thailanda și Mexic au câte 4 măsuri fiecare, iar Argentina are 3 măsuri în vigoare. Coreea, Noua Zeelandă, Filipine și Regatul Unit au fiecare câte 2 măsuri, iar Columbia, Ghana, Consiliul de Cooperare al Golfului (CCG), Iordania, Pakistan, Uniunea vamală sud-africană, Tunisia și Vietnam au fiecare câte 1 măsură în vigoare. Mai multe informații cu privire la acțiunile țărilor terțe care afectează exporturile UE sunt rezumate în documentul de lucru al serviciilor Comisiei.</w:t>
      </w:r>
    </w:p>
    <w:p>
      <w:pPr>
        <w:jc w:val="both"/>
        <w:rPr>
          <w:noProof/>
        </w:rPr>
      </w:pPr>
    </w:p>
    <w:p>
      <w:pPr>
        <w:jc w:val="both"/>
        <w:rPr>
          <w:noProof/>
        </w:rPr>
      </w:pPr>
      <w:bookmarkStart w:id="17" w:name="_Hlk226648699"/>
      <w:r>
        <w:rPr>
          <w:noProof/>
        </w:rPr>
        <w:t xml:space="preserve">Totalul celor 181 de măsuri în vigoare include 49 de măsuri de salvgardare, cel mai mare număr din ultimii 10 ani. </w:t>
      </w:r>
      <w:bookmarkEnd w:id="17"/>
      <w:r>
        <w:rPr>
          <w:noProof/>
        </w:rPr>
        <w:t xml:space="preserve">Cei mai frecvenți utilizatori ai măsurilor de salvgardare sunt Indonezia și Madagascar, fiecare cu 10 măsuri în vigoare, urmate de Turcia cu 8. Deși măsurile adoptate de Indonezia și Madagascar au un impact mai redus asupra exporturilor UE, măsurile luate de Turcia au un impact semnificativ și vizează în principal sectoarele oțelului, textilelor și hârtiei. </w:t>
      </w:r>
    </w:p>
    <w:p>
      <w:pPr>
        <w:pStyle w:val="Heading1"/>
        <w:tabs>
          <w:tab w:val="clear" w:pos="960"/>
        </w:tabs>
        <w:ind w:left="0" w:firstLine="0"/>
        <w:rPr>
          <w:noProof/>
        </w:rPr>
      </w:pPr>
      <w:bookmarkStart w:id="18" w:name="_Hlk156474627"/>
      <w:r>
        <w:rPr>
          <w:noProof/>
        </w:rPr>
        <w:t>Activități legate de OMC</w:t>
      </w:r>
    </w:p>
    <w:p>
      <w:pPr>
        <w:jc w:val="both"/>
        <w:rPr>
          <w:noProof/>
        </w:rPr>
      </w:pPr>
      <w:r>
        <w:rPr>
          <w:noProof/>
        </w:rPr>
        <w:t>De două ori pe an, primăvara și toamna, OMC convoacă reuniuni ale comitetelor pentru subvenții și măsuri compensatorii, antidumping și de salvgardare. Aceste comitete servesc drept platforme în cadrul cărora membrii OMC se consultă și discută aspecte legate de punerea în aplicare a acordurilor relevante de către autoritățile de investigare. Pe lângă aceste comitete oficiale, OMC găzduiește, de asemenea, grupuri subsidiare care se ocupă de chestiuni de apărare comercială. Există un grup de lucru antidumping privind punerea în aplicare, în cadrul căruia membrii fac schimb de informații cu privire la aplicarea practică a investigațiilor antidumping și un grup informal pentru practicile anticircumvenție pentru a discuta modul în care membrii abordează circumvenția, având în vedere absența unor astfel de dispoziții în Acordul antidumping. În plus, sesiunile informale ale grupului „Prietenii procedurilor de salvgardare” facilitează discuțiile cu privire la elemente specifice ale instrumentului de salvgardare și la aplicarea acestuia. Aceste comitete și subgrupuri permit membrilor OMC să își exprime îngrijorările cu privire la cazuri și practici specifice ale altor membri, apărându-și în același timp propriile investigații, practici și măsuri.</w:t>
      </w:r>
    </w:p>
    <w:p>
      <w:pPr>
        <w:jc w:val="both"/>
        <w:rPr>
          <w:noProof/>
        </w:rPr>
      </w:pPr>
    </w:p>
    <w:p>
      <w:pPr>
        <w:pStyle w:val="NoSpacing"/>
        <w:jc w:val="both"/>
        <w:rPr>
          <w:noProof/>
        </w:rPr>
      </w:pPr>
      <w:r>
        <w:rPr>
          <w:noProof/>
        </w:rPr>
        <w:t>În cursul săptămânii comisiilor din luna octombrie 2025, UE a participat la o reuniune informală a șefilor autorităților responsabile cu investigarea măsurilor comerciale corective, organizată de Comisia Antidumping din Australia (ADC) și de Agenția Serviciilor de Frontieră din Canada. Discuțiile foarte utile s-au axat pe identificarea modalităților de îmbunătățire a transparenței și de consolidare a colaborării prin schimbul de informații, în special în cadrul investigațiilor privind subvențiile, în care cooperarea din partea exportatorilor sau a guvernelor străine este limitată. A avut loc un schimb de opinii cu privire la modul în care autoritățile se adaptează pentru a ține pasul cu condițiile de piață în schimbare rapidă, precum și cu provocările generate de practicile de circumvenție din ce în ce mai complexe.</w:t>
      </w:r>
    </w:p>
    <w:p>
      <w:pPr>
        <w:pStyle w:val="NoSpacing"/>
        <w:rPr>
          <w:noProof/>
        </w:rPr>
      </w:pPr>
    </w:p>
    <w:p>
      <w:pPr>
        <w:jc w:val="both"/>
        <w:rPr>
          <w:noProof/>
        </w:rPr>
      </w:pPr>
      <w:r>
        <w:rPr>
          <w:noProof/>
        </w:rPr>
        <w:t xml:space="preserve">În cadrul reuniunii din aprilie 2025 a Comitetului special pentru subvenții și măsuri compensatorii, membrii au continuat să examineze notificările privind subvențiile transmise în 2023 și au început, în cadrul reuniunii din octombrie, examinarea notificărilor transmise în </w:t>
      </w:r>
      <w:r>
        <w:rPr>
          <w:noProof/>
        </w:rPr>
        <w:lastRenderedPageBreak/>
        <w:t>contextul exercițiului din 2025. Respectarea obligațiilor de notificare în temeiul Acordului privind subvențiile și măsurile compensatorii (ASMC) rămâne deosebit de deficitară, doar jumătate dintre membri transmițând notificări până în octombrie 2025 pentru ultimul exercițiu, în pofida termenului-limită din iunie 2025. UE a evidențiat această chestiune, îndemnând membrii să își respecte obligațiile și să sporească transparența în ceea ce privește subvențiile, având în vedere impactul lor de denaturare asupra comerțului mondial.</w:t>
      </w:r>
    </w:p>
    <w:p>
      <w:pPr>
        <w:jc w:val="both"/>
        <w:rPr>
          <w:noProof/>
        </w:rPr>
      </w:pPr>
    </w:p>
    <w:p>
      <w:pPr>
        <w:jc w:val="both"/>
        <w:rPr>
          <w:noProof/>
        </w:rPr>
      </w:pPr>
      <w:r>
        <w:rPr>
          <w:noProof/>
        </w:rPr>
        <w:t>În cadrul sesiunii de primăvară a Comitetului permanent pentru subvenții și măsuri compensatorii, UE a apărat măsurile compensatorii impuse în octombrie 2024 asupra vehiculelor electrice cu baterii, pe fondul criticilor puternice din partea Chinei. În cadrul reuniunii de toamnă, Egiptul a abordat reexaminarea efectuată de UE în perspectiva expirării măsurilor privind armăturile din fibră de sticlă, sugerând închiderea cazului în lumina procedurii OMC de soluționare a litigiilor privind taxele compensatorii pentru produsele plate din oțel inoxidabil laminate la rece din Indonezia, care a abordat problema subvențiilor transfrontaliere. UE a susținut că aceste cazuri nu au nicio legătură între ele. UE a continuat să își exprime îngrijorarea cu privire la investigația antisubvenție a Australiei privind conservele de roșii din Italia, constatând că producătorii italieni de roșii au fost vizați din 1992, când Australia a impus pentru prima dată măsuri AD și AS, și a abordat investigația Chinei privind produsele lactate din UE. Discuțiile au continuat, în cadrul punctului obișnuit de pe ordinea de zi „Subvenții și supracapacitate”, cu privire la efectul negativ al subvențiilor în crearea unei supracapacități la nivel mondial și prejudiciile care decurg din aceasta pentru comerțul mondial.</w:t>
      </w:r>
    </w:p>
    <w:p>
      <w:pPr>
        <w:jc w:val="both"/>
        <w:rPr>
          <w:noProof/>
        </w:rPr>
      </w:pPr>
    </w:p>
    <w:p>
      <w:pPr>
        <w:jc w:val="both"/>
        <w:rPr>
          <w:noProof/>
        </w:rPr>
      </w:pPr>
      <w:r>
        <w:rPr>
          <w:noProof/>
        </w:rPr>
        <w:t>În cadrul Comitetului antidumping, UE și-a exprimat îngrijorarea cu privire la investigația antidumping inițiată de Regatul Unit privind uleiul de motor din Lituania, la revizuirea administrativă efectuată de SUA privind pastele din Italia, și a reiterat îngrijorările exprimate anterior cu privire la investigația Australiei privind conservele de roșii din Italia și la investigațiile Chinei privind coniacul și produsele din carne de porc provenite din UE. UE a îndemnat China să nu utilizeze instrumentele de apărare comercială ca instrumente de retorsiune, ci să adere la normele OMC. În cadrul acestor reuniuni, UE a răspuns preocupărilor exprimate cu privire la investigațiile sale antidumping privind produsele plate din oțel laminate la cald din Egipt și Japonia, cablurile cu fibră optică din India și o reexaminare a amestecului de uree și azotat de amoniu din Rusia. De asemenea, UE a răspuns atât Turciei, cât și Japoniei, care au criticat investigația UE privind produsele plate din oțel laminate la rece, menționând aspectele legate de „situația specială a pieței”. China a criticat UE pentru ceea ce aceasta percepe ca fiind o poziție din ce în ce mai protecționistă, citând trimiteri la apărarea comercială în mai multe comunicări sectoriale adoptate de UE. UE a subliniat că acțiunile sale sunt determinate de plângeri și că această creștere reflectă un nivel fără precedent al importurilor din China care ar fi făcute în condiții de comerț neloial. În ceea ce privește documentele de politică industrială, UE a subliniat că acestea reflectă angajamentul său ferm de a combate practicile comerciale neloiale care dăunează industriilor europene, în conformitate cu normele OMC.</w:t>
      </w:r>
    </w:p>
    <w:p>
      <w:pPr>
        <w:jc w:val="both"/>
        <w:rPr>
          <w:noProof/>
        </w:rPr>
      </w:pPr>
    </w:p>
    <w:p>
      <w:pPr>
        <w:jc w:val="both"/>
        <w:rPr>
          <w:noProof/>
        </w:rPr>
      </w:pPr>
      <w:r>
        <w:rPr>
          <w:noProof/>
        </w:rPr>
        <w:t>În cadrul Grupului de lucru antidumping privind punerea în aplicare, UE a participat la discuții referitoare la reexaminările intermediare și cele privind schimbarea circumstanțelor, la sistemele de înregistrare a cazurilor, la gestionarea documentelor, la eșantionare și la implicațiile lipsei de cooperare în cadrul investigațiilor.</w:t>
      </w:r>
    </w:p>
    <w:p>
      <w:pPr>
        <w:jc w:val="both"/>
        <w:rPr>
          <w:noProof/>
        </w:rPr>
      </w:pPr>
    </w:p>
    <w:p>
      <w:pPr>
        <w:jc w:val="both"/>
        <w:rPr>
          <w:noProof/>
        </w:rPr>
      </w:pPr>
      <w:r>
        <w:rPr>
          <w:noProof/>
        </w:rPr>
        <w:t xml:space="preserve">În cadrul reuniunii din octombrie 2025 a Grupului informal pentru practici anticircumvenție, discuțiile s-au axat pe actualizările de către membri ale cadrelor lor juridice privind </w:t>
      </w:r>
      <w:r>
        <w:rPr>
          <w:noProof/>
        </w:rPr>
        <w:lastRenderedPageBreak/>
        <w:t>circumvenția și punerea în aplicare a procedurilor anticircumvenție. Grupul a analizat, de asemenea, tendințele emergente și provocările întâmpinate în cadrul unor astfel de investigații.</w:t>
      </w:r>
    </w:p>
    <w:p>
      <w:pPr>
        <w:jc w:val="both"/>
        <w:rPr>
          <w:noProof/>
        </w:rPr>
      </w:pPr>
    </w:p>
    <w:p>
      <w:pPr>
        <w:jc w:val="both"/>
        <w:rPr>
          <w:noProof/>
        </w:rPr>
      </w:pPr>
      <w:r>
        <w:rPr>
          <w:noProof/>
        </w:rPr>
        <w:t>În cadrul reuniunii Comitetului pentru măsuri de salvgardare, UE a abordat întrebări cu privire la măsura privind oțelul propusă de Comisia Europeană la 7 octombrie 2025, explicând că aceasta viza atenuarea efectelor negative ale supracapacității globale pe piața oțelului din UE. UE a clarificat faptul că, întrucât măsura propusă nu este o măsură de salvgardare, Comitetul pentru măsuri de salvgardare nu este forumul adecvat pentru discutarea acesteia. UE a răspuns, de asemenea, la întrebările referitoare la investigația de salvgardare în curs privind feroaliajele. Începând din mai 2025, instrumentul online al OMC denumit „Portalul online de notificare a măsurilor de salvgardare” este pe deplin operațional, iar UE îl consideră ușor de utilizat.</w:t>
      </w:r>
    </w:p>
    <w:p>
      <w:pPr>
        <w:jc w:val="both"/>
        <w:rPr>
          <w:noProof/>
        </w:rPr>
      </w:pPr>
    </w:p>
    <w:p>
      <w:pPr>
        <w:jc w:val="both"/>
        <w:rPr>
          <w:noProof/>
        </w:rPr>
      </w:pPr>
      <w:r>
        <w:rPr>
          <w:noProof/>
        </w:rPr>
        <w:t>Acordul OMC privind subvențiile pentru pescuit a intrat în vigoare în septembrie 2025, atingând pragul de ratificare necesar de două treimi. Negocierile OMC cu privire la chestiunile nesoluționate au continuat în vederea ajungerii la un acord cuprinzător privind subvențiile pentru pescuit.</w:t>
      </w:r>
    </w:p>
    <w:p>
      <w:pPr>
        <w:jc w:val="both"/>
        <w:rPr>
          <w:noProof/>
        </w:rPr>
      </w:pPr>
    </w:p>
    <w:p>
      <w:pPr>
        <w:jc w:val="both"/>
        <w:rPr>
          <w:noProof/>
        </w:rPr>
      </w:pPr>
      <w:r>
        <w:rPr>
          <w:noProof/>
        </w:rPr>
        <w:t xml:space="preserve">UE, împreună cu alți membri ai OMC care împărtășesc aceeași viziune, a continuat activitatea privind subvențiile în cadrul inițiativei OMC privind reforma subvențiilor pentru combustibilii fosili și al discuțiilor structurate privind comerțul și durabilitatea mediului. </w:t>
      </w:r>
    </w:p>
    <w:p>
      <w:pPr>
        <w:jc w:val="both"/>
        <w:rPr>
          <w:noProof/>
        </w:rPr>
      </w:pPr>
    </w:p>
    <w:p>
      <w:pPr>
        <w:jc w:val="both"/>
        <w:rPr>
          <w:noProof/>
        </w:rPr>
      </w:pPr>
      <w:r>
        <w:rPr>
          <w:noProof/>
        </w:rPr>
        <w:t>Deliberările informale ale OMC privind comerțul și politicile industriale au continuat, de asemenea, cu opt sesiuni desfășurate în 2025. UE a coorganizat două sesiuni: în februarie 2025, privind transparența subvențiilor și, în septembrie 2025, privind finanțarea la rate mai mici decât cele de pe piață acordată de băncile de stat.</w:t>
      </w:r>
    </w:p>
    <w:p>
      <w:pPr>
        <w:pStyle w:val="Heading1"/>
        <w:tabs>
          <w:tab w:val="clear" w:pos="960"/>
        </w:tabs>
        <w:ind w:left="0" w:firstLine="0"/>
        <w:rPr>
          <w:noProof/>
          <w:szCs w:val="24"/>
        </w:rPr>
      </w:pPr>
      <w:bookmarkStart w:id="19" w:name="_Hlk190689092"/>
      <w:bookmarkEnd w:id="18"/>
      <w:r>
        <w:rPr>
          <w:noProof/>
        </w:rPr>
        <w:t>Întreprinderi mici și mijlocii (IMM-uri)</w:t>
      </w:r>
    </w:p>
    <w:p>
      <w:pPr>
        <w:pStyle w:val="NormalWeb"/>
        <w:jc w:val="both"/>
        <w:rPr>
          <w:noProof/>
        </w:rPr>
      </w:pPr>
      <w:r>
        <w:rPr>
          <w:noProof/>
        </w:rPr>
        <w:t>Pentru a ajuta întreprinderile mici și mijlocii (IMM-urile) să depășească limitările legate de resurse în cazul în care sunt afectate de instrumentele de apărare comercială sau au nevoie de acestea, Comisia Europeană oferă sprijin și îndrumare cuprinzătoare IMM-urilor, indiferent dacă acestea sunt producători, exportatori sau importatori din UE.</w:t>
      </w:r>
    </w:p>
    <w:p>
      <w:pPr>
        <w:pStyle w:val="NormalWeb"/>
        <w:jc w:val="both"/>
        <w:rPr>
          <w:noProof/>
        </w:rPr>
      </w:pPr>
      <w:r>
        <w:rPr>
          <w:noProof/>
        </w:rPr>
        <w:t xml:space="preserve">În 2025, Comisia și-a continuat programul de informare menit să sensibilizeze publicul cu privire la aceste instrumente. Pentru a maximiza impactul asupra publicului, Comisia a utilizat rețelele existente, prezentând informații privind măsurile de apărare comercială în cadrul evenimentelor Access2Market (A2M) din martie și decembrie 2025, precum și în cadrul evenimentului „Ziua accesului pe piață” din România. Aceste evenimente, care au beneficiat de o largă participare, primesc un feedback pozitiv. </w:t>
      </w:r>
    </w:p>
    <w:p>
      <w:pPr>
        <w:pStyle w:val="NormalWeb"/>
        <w:jc w:val="both"/>
        <w:rPr>
          <w:noProof/>
        </w:rPr>
      </w:pPr>
      <w:r>
        <w:rPr>
          <w:noProof/>
        </w:rPr>
        <w:t xml:space="preserve">În pofida provocărilor reprezentate de resursele limitate, IMM-urile au fost implicate activ în unele cazuri noi și finalizate în 2025. Printre investigațiile recent lansate în 2025, investigațiile AD deschise cu privire la articolele din fontă și sârma de sudură, ambele referitoare la China, au vizat IMM-uri. Dintre cazurile finalizate în 2025, IMM-urile au fost implicate în cazuri legate de șuruburi fără cap, placajul din lemn de esență tare și lumânări, toate având legătură cu China. </w:t>
      </w:r>
    </w:p>
    <w:bookmarkEnd w:id="19"/>
    <w:p>
      <w:pPr>
        <w:pStyle w:val="Heading1"/>
        <w:tabs>
          <w:tab w:val="clear" w:pos="960"/>
        </w:tabs>
        <w:ind w:left="0" w:firstLine="0"/>
        <w:rPr>
          <w:noProof/>
          <w:szCs w:val="24"/>
        </w:rPr>
      </w:pPr>
      <w:r>
        <w:rPr>
          <w:noProof/>
        </w:rPr>
        <w:lastRenderedPageBreak/>
        <w:t>Activități de informare și comunicare/Contacte bilaterale</w:t>
      </w:r>
    </w:p>
    <w:p>
      <w:pPr>
        <w:pStyle w:val="NormalWeb"/>
        <w:jc w:val="both"/>
        <w:rPr>
          <w:noProof/>
        </w:rPr>
      </w:pPr>
      <w:r>
        <w:rPr>
          <w:noProof/>
        </w:rPr>
        <w:t>În contextul unei cereri tot mai mari de măsuri de apărare comercială, coroborată cu complexitatea lanțurilor de aprovizionare globale, îmbunătățirea transparenței și colaborarea cu părțile interesate sunt esențiale pentru a promova o mai bună înțelegere a nevoilor, obligațiilor și limitărilor legate de instrumentele de apărare comercială. În acest sens, în 2025, Comisia a participat la diverse activități de schimb de informații.</w:t>
      </w:r>
    </w:p>
    <w:p>
      <w:pPr>
        <w:pStyle w:val="NormalWeb"/>
        <w:jc w:val="both"/>
        <w:rPr>
          <w:noProof/>
        </w:rPr>
      </w:pPr>
      <w:r>
        <w:rPr>
          <w:noProof/>
        </w:rPr>
        <w:t>Pe tot parcursul anului, Comisia a colaborat cu numeroase părți interesate și asociații industriale naționale, printre care Business Europe, AEGIS Europe, France Industrie, industria siderurgică, Europe Aluminium, CEFIC, Asociația germană a industriei chimice și France Chimie, pentru a asculta punctele de vedere și preocupările părților interesate. Numeroasele contacte cu industria chimică reflectă presiunea tot mai mare din acest sector, iar serviciile de apărare comercială fac parte, de asemenea, din Alianța pentru Produse Chimice Esențiale, înființată în octombrie 2025. De asemenea, în noiembrie 2025 a avut loc un dialog cu societatea civilă pe teme de apărare comercială. În plus, Comisia a participat și la câteva inițiative legate de IAC în Parlamentul European (PE), inclusiv la un studiu comandat de INTA privind instrumentele de apărare comercială ale UE, precum și la o masă rotundă FORUM a PE în luna iulie: Consolidarea setului de instrumente de apărare comercială al UE, un eveniment organizat de PE în colaborare cu AEGIS.</w:t>
      </w:r>
    </w:p>
    <w:p>
      <w:pPr>
        <w:pStyle w:val="NormalWeb"/>
        <w:jc w:val="both"/>
        <w:rPr>
          <w:noProof/>
        </w:rPr>
      </w:pPr>
      <w:r>
        <w:rPr>
          <w:noProof/>
        </w:rPr>
        <w:t>În iunie 2025, Comisia a participat la Forumul de la Seul privind măsurile de apărare comercială, care este o reuniune anuală a șefilor autorităților de investigare a măsurilor de apărare comercială. Aceasta a inclus o conferință generală, în cadrul căreia s-au discutat aspecte legate de cooperarea în domeniul măsurilor comerciale corective și aspecte tehnice, urmată de mai multe întâlniri bilaterale cu țările partenere. În decembrie 2025, au avut loc schimburi suplimentare cu directorul general pentru comerț multilateral și afaceri juridice din cadrul Ministerului Comerțului, Industriei și Resurselor (MOTIR) din Republica Coreea cu privire la politica UE în materie de IAC și la cazurile care implică întreprinderi coreene, precum și un schimb de opinii referitor la propunerea privind noua măsură a UE privind oțelul.</w:t>
      </w:r>
    </w:p>
    <w:p>
      <w:pPr>
        <w:pStyle w:val="NormalWeb"/>
        <w:jc w:val="both"/>
        <w:rPr>
          <w:noProof/>
        </w:rPr>
      </w:pPr>
      <w:r>
        <w:rPr>
          <w:noProof/>
        </w:rPr>
        <w:t xml:space="preserve">În septembrie 2025, la cererea autorităților islandeze, Comisia a oferit explicații cu privire la investigațiile AD și AS. Acest lucru a fost determinat de o cerere depusă de industrie la autoritățile islandeze pentru investigații antidumping și antisubvenții. DG TRADE a organizat cursuri de formare specializate care au acoperit toate elementele esențiale pentru desfășurarea unor astfel de investigații. </w:t>
      </w:r>
    </w:p>
    <w:p>
      <w:pPr>
        <w:pStyle w:val="Heading1"/>
        <w:numPr>
          <w:ilvl w:val="0"/>
          <w:numId w:val="0"/>
        </w:numPr>
        <w:rPr>
          <w:noProof/>
          <w:szCs w:val="24"/>
        </w:rPr>
      </w:pPr>
      <w:bookmarkStart w:id="20" w:name="_Hlk159509186"/>
      <w:r>
        <w:rPr>
          <w:noProof/>
        </w:rPr>
        <w:t>II</w:t>
      </w:r>
      <w:r>
        <w:rPr>
          <w:noProof/>
        </w:rPr>
        <w:tab/>
        <w:t>Grupul operativ al UE pentru supravegherea importurilor</w:t>
      </w:r>
    </w:p>
    <w:p>
      <w:pPr>
        <w:pStyle w:val="Heading2"/>
        <w:numPr>
          <w:ilvl w:val="0"/>
          <w:numId w:val="33"/>
        </w:numPr>
        <w:rPr>
          <w:noProof/>
          <w:szCs w:val="24"/>
        </w:rPr>
      </w:pPr>
      <w:r>
        <w:rPr>
          <w:noProof/>
        </w:rPr>
        <w:t>Context</w:t>
      </w:r>
    </w:p>
    <w:p>
      <w:pPr>
        <w:jc w:val="both"/>
        <w:rPr>
          <w:noProof/>
        </w:rPr>
      </w:pPr>
      <w:r>
        <w:rPr>
          <w:noProof/>
        </w:rPr>
        <w:t>Având în vedere că partenerii comerciali ai UE impun un număr tot mai mare de măsuri restrictive, există o îngrijorare tot mai mare cu privire la faptul că mărfurile destinate inițial piețelor din afara UE sunt redirecționate către UE. Atunci când astfel de schimbări au loc la scară semnificativă, creșterea importurilor poate avea consecințe negative pentru industria UE și pentru piața internă a UE. </w:t>
      </w:r>
    </w:p>
    <w:p>
      <w:pPr>
        <w:jc w:val="both"/>
        <w:rPr>
          <w:noProof/>
        </w:rPr>
      </w:pPr>
    </w:p>
    <w:p>
      <w:pPr>
        <w:jc w:val="both"/>
        <w:rPr>
          <w:noProof/>
        </w:rPr>
      </w:pPr>
      <w:r>
        <w:rPr>
          <w:noProof/>
        </w:rPr>
        <w:t xml:space="preserve">Pentru a răspunde acestor provocări, la 7 aprilie 2025, președinta Comisiei Europene, Ursula von der Leyen, a anunțat </w:t>
      </w:r>
      <w:hyperlink r:id="rId19">
        <w:r>
          <w:rPr>
            <w:noProof/>
          </w:rPr>
          <w:t>crearea unui grup operativ pentru supravegherea importurilor</w:t>
        </w:r>
      </w:hyperlink>
      <w:r>
        <w:rPr>
          <w:noProof/>
        </w:rPr>
        <w:t xml:space="preserve">. Rolul </w:t>
      </w:r>
      <w:r>
        <w:rPr>
          <w:noProof/>
        </w:rPr>
        <w:lastRenderedPageBreak/>
        <w:t>principal al acestui grup operativ este de a fundamenta deciziile și acțiunile de protejare a pieței interne a UE. Pentru a se asigura că acțiunile de combatere a potențialelor efecte dăunătoare ale reorientării schimburilor comerciale sunt proporționale, specifice și bazate pe dovezi, grupul operativ utilizează o abordare bazată pe date pentru a identifica rapid creșterile bruște ale importurilor și completează constatările cu informații relevante – în special din partea industriei UE, dar și a statelor membre și a experților – pentru a înțelege implicațiile acestora.</w:t>
      </w:r>
    </w:p>
    <w:p>
      <w:pPr>
        <w:jc w:val="both"/>
        <w:rPr>
          <w:noProof/>
        </w:rPr>
      </w:pPr>
    </w:p>
    <w:p>
      <w:pPr>
        <w:pStyle w:val="Heading2"/>
        <w:numPr>
          <w:ilvl w:val="0"/>
          <w:numId w:val="33"/>
        </w:numPr>
        <w:rPr>
          <w:noProof/>
          <w:szCs w:val="24"/>
        </w:rPr>
      </w:pPr>
      <w:r>
        <w:rPr>
          <w:noProof/>
        </w:rPr>
        <w:t>Metodologie</w:t>
      </w:r>
    </w:p>
    <w:p>
      <w:pPr>
        <w:jc w:val="both"/>
        <w:rPr>
          <w:noProof/>
        </w:rPr>
      </w:pPr>
      <w:r>
        <w:rPr>
          <w:noProof/>
        </w:rPr>
        <w:t>Analiza datelor se bazează pe un instrument automatizat dezvoltat de experții Comisiei</w:t>
      </w:r>
      <w:r>
        <w:rPr>
          <w:rStyle w:val="FootnoteReference"/>
          <w:noProof/>
        </w:rPr>
        <w:footnoteReference w:id="3"/>
      </w:r>
      <w:r>
        <w:rPr>
          <w:noProof/>
        </w:rPr>
        <w:t>, care utilizează date din sistemul de monitorizare vamală</w:t>
      </w:r>
      <w:r>
        <w:rPr>
          <w:rStyle w:val="FootnoteReference"/>
          <w:noProof/>
        </w:rPr>
        <w:footnoteReference w:id="4"/>
      </w:r>
      <w:r>
        <w:rPr>
          <w:noProof/>
        </w:rPr>
        <w:t>. Acesta monitorizează lunar tendințele importurilor la nivelul foarte detaliat al codurilor de 8 cifre din Nomenclatura combinată. Instrumentul ia în considerare importurile din toate țările de origine, deoarece complexitatea măsurilor și a contramăsurilor impuse poate duce la creșteri bruște ale importurilor din țări de origine neașteptate. Analiza compară volumele importurilor de la începutul anului 2025 cu tendințele istorice și semnalează codurile care prezintă „creșteri”, și anume creșteri anormal de mari în comparație cu nivelul preconizat. Instrumentul aplică apoi criterii suplimentare pentru a selecta codurile de produse care ar putea fi expuse riscului unei creșteri dăunătoare a importurilor. Codurile de produse care prezintă creșteri bruște apar în rezultate (lista de „rezultate pozitive”) dacă, în comparație cu aceeași perioadă a anului precedent, se înregistrează o creștere semnificativă a importurilor la prețuri reduse, în special pentru produsele fabricate în UE. Aceste criterii pun în balanță necesitatea de a identifica rezultatele relevante și evitarea supraîncărcării cu date nesemnificative.</w:t>
      </w:r>
    </w:p>
    <w:p>
      <w:pPr>
        <w:jc w:val="both"/>
        <w:rPr>
          <w:noProof/>
        </w:rPr>
      </w:pPr>
    </w:p>
    <w:p>
      <w:pPr>
        <w:spacing w:after="240"/>
        <w:jc w:val="both"/>
        <w:rPr>
          <w:noProof/>
        </w:rPr>
      </w:pPr>
      <w:r>
        <w:rPr>
          <w:noProof/>
        </w:rPr>
        <w:t>Cu toate acestea, identificarea acestor creșteri este doar primul pas. Pentru a activa instrumentele de apărare comercială ale UE, trebuie să existe dovezi că aceste importuri cauzează prejudicii industriilor UE. Prin urmare, pentru ca orice investigație în materie de apărare comercială să poată fi inițiată, este necesară colaborarea industriilor din UE, întrucât acestea pot furniza datele esențiale necesare pentru luarea de măsuri.</w:t>
      </w:r>
    </w:p>
    <w:p>
      <w:pPr>
        <w:pStyle w:val="Heading2"/>
        <w:numPr>
          <w:ilvl w:val="0"/>
          <w:numId w:val="33"/>
        </w:numPr>
        <w:rPr>
          <w:noProof/>
          <w:szCs w:val="24"/>
        </w:rPr>
      </w:pPr>
      <w:r>
        <w:rPr>
          <w:noProof/>
        </w:rPr>
        <w:t>Rezultate</w:t>
      </w:r>
    </w:p>
    <w:p>
      <w:pPr>
        <w:jc w:val="both"/>
        <w:rPr>
          <w:noProof/>
        </w:rPr>
      </w:pPr>
      <w:hyperlink r:id="rId20" w:history="1">
        <w:r>
          <w:rPr>
            <w:rStyle w:val="Hyperlink"/>
            <w:noProof/>
          </w:rPr>
          <w:t>Rezultatele</w:t>
        </w:r>
      </w:hyperlink>
      <w:r>
        <w:rPr>
          <w:noProof/>
        </w:rPr>
        <w:t xml:space="preserve"> sunt publicate lunar, împreună cu o notă explicativă care prezintă contextul. Analiza este dinamică din cauza tiparelor sezoniere, a variației istorice și, în anumite cazuri, a revizuirilor datelor privind importurile. În plus, măsurile comerciale în continuă schimbare modifică în permanență factorii care determină reorientarea schimburilor comerciale. Prin urmare, este important să se pună accentul mai degrabă pe tendințe, decât pe fluctuațiile pe termen scurt.</w:t>
      </w:r>
    </w:p>
    <w:p>
      <w:pPr>
        <w:jc w:val="both"/>
        <w:rPr>
          <w:noProof/>
        </w:rPr>
      </w:pPr>
      <w:r>
        <w:rPr>
          <w:noProof/>
        </w:rPr>
        <w:t xml:space="preserve"> </w:t>
      </w:r>
    </w:p>
    <w:p>
      <w:pPr>
        <w:jc w:val="both"/>
        <w:rPr>
          <w:noProof/>
        </w:rPr>
      </w:pPr>
      <w:r>
        <w:rPr>
          <w:noProof/>
        </w:rPr>
        <w:lastRenderedPageBreak/>
        <w:t>Raportul inițial a fost publicat în iunie 2025, oferind o analiză a datelor până în aprilie 2025. Fiecare raport lunar ulterior a inclus date pentru o lună suplimentară; de exemplu, cel de al nouălea raport, publicat în februarie 2026, a inclus date până în decembrie 2025</w:t>
      </w:r>
      <w:r>
        <w:rPr>
          <w:rStyle w:val="FootnoteReference"/>
          <w:noProof/>
        </w:rPr>
        <w:footnoteReference w:id="5"/>
      </w:r>
      <w:r>
        <w:rPr>
          <w:noProof/>
        </w:rPr>
        <w:t xml:space="preserve"> inclusiv.</w:t>
      </w:r>
    </w:p>
    <w:p>
      <w:pPr>
        <w:jc w:val="both"/>
        <w:rPr>
          <w:noProof/>
        </w:rPr>
      </w:pPr>
    </w:p>
    <w:p>
      <w:pPr>
        <w:spacing w:after="240"/>
        <w:contextualSpacing/>
        <w:jc w:val="both"/>
        <w:rPr>
          <w:noProof/>
        </w:rPr>
      </w:pPr>
      <w:r>
        <w:rPr>
          <w:noProof/>
        </w:rPr>
        <w:t>Textilele și articolele de îmbrăcăminte, produsele chimice și categoriile interconectate de mașini și metale sunt sectoarele cele mai răspândite, reprezentând 21 %, 14 % și 12 și, respectiv, 10 % dintre codurile incluse în rezultate.</w:t>
      </w:r>
    </w:p>
    <w:p>
      <w:pPr>
        <w:spacing w:after="240"/>
        <w:contextualSpacing/>
        <w:jc w:val="both"/>
        <w:rPr>
          <w:noProof/>
        </w:rPr>
      </w:pPr>
    </w:p>
    <w:p>
      <w:pPr>
        <w:spacing w:after="120"/>
        <w:jc w:val="both"/>
        <w:rPr>
          <w:noProof/>
        </w:rPr>
      </w:pPr>
      <w:r>
        <w:rPr>
          <w:noProof/>
        </w:rPr>
        <w:t>Rezultatele sunt, de asemenea, rezumate într-un grafic de tip hartă termică, care prezintă frecvența „rezultatelor pozitive” pentru fiecare sector industrial și partener comercial principal (sau grup de parteneri</w:t>
      </w:r>
      <w:r>
        <w:rPr>
          <w:rStyle w:val="FootnoteReference"/>
          <w:noProof/>
        </w:rPr>
        <w:footnoteReference w:id="6"/>
      </w:r>
      <w:r>
        <w:rPr>
          <w:noProof/>
        </w:rPr>
        <w:t>). Din nou, produsele chimice, utilajele și textilele (atât cele provenite din China, cât și cele din întreaga lume) sunt sectoarele semnalate cel mai frecvent.</w:t>
      </w:r>
    </w:p>
    <w:p>
      <w:pPr>
        <w:jc w:val="both"/>
        <w:rPr>
          <w:noProof/>
        </w:rPr>
      </w:pPr>
    </w:p>
    <w:p>
      <w:pPr>
        <w:pStyle w:val="Heading2"/>
        <w:numPr>
          <w:ilvl w:val="0"/>
          <w:numId w:val="33"/>
        </w:numPr>
        <w:rPr>
          <w:noProof/>
          <w:szCs w:val="24"/>
        </w:rPr>
      </w:pPr>
      <w:r>
        <w:rPr>
          <w:noProof/>
        </w:rPr>
        <w:t>Feedback și activități de informare din partea industriei</w:t>
      </w:r>
    </w:p>
    <w:p>
      <w:pPr>
        <w:jc w:val="both"/>
        <w:rPr>
          <w:noProof/>
        </w:rPr>
      </w:pPr>
      <w:r>
        <w:rPr>
          <w:noProof/>
        </w:rPr>
        <w:t xml:space="preserve">Implicarea și cooperarea cu industria UE sunt esențiale pentru a completa rezultatele monitorizării și pentru a arăta dacă importurile aduc prejudicii industriilor din UE. DG Comerț a facilitat colectarea de informații relevante, prin intermediul unui </w:t>
      </w:r>
      <w:hyperlink r:id="rId21">
        <w:r>
          <w:rPr>
            <w:rStyle w:val="Hyperlink"/>
            <w:noProof/>
          </w:rPr>
          <w:t>chestionar</w:t>
        </w:r>
      </w:hyperlink>
      <w:r>
        <w:rPr>
          <w:noProof/>
        </w:rPr>
        <w:t xml:space="preserve"> specific și al unei </w:t>
      </w:r>
      <w:hyperlink r:id="rId22">
        <w:r>
          <w:rPr>
            <w:rStyle w:val="Hyperlink"/>
            <w:noProof/>
          </w:rPr>
          <w:t>căsuțe poștale</w:t>
        </w:r>
      </w:hyperlink>
      <w:r>
        <w:rPr>
          <w:noProof/>
        </w:rPr>
        <w:t xml:space="preserve"> funcționale unde părțile interesate pot solicita și transmite informații. În plus, grupul operativ pentru supravegherea importurilor s-a adresat în mod activ asociațiilor industriale de la nivelul UE și de la nivel național pentru a explica rezultatele și pentru a le informa cu privire la posibilitățile și condițiile de aplicare a măsurilor de apărare comercială. Părțile interesate din industrie au salutat această monitorizare, iar unele dintre ele au furnizat informații suplimentare pe care serviciile Comisiei să le evalueze. </w:t>
      </w:r>
    </w:p>
    <w:p>
      <w:pPr>
        <w:jc w:val="both"/>
        <w:rPr>
          <w:noProof/>
        </w:rPr>
      </w:pPr>
    </w:p>
    <w:p>
      <w:pPr>
        <w:pStyle w:val="Heading2"/>
        <w:numPr>
          <w:ilvl w:val="0"/>
          <w:numId w:val="33"/>
        </w:numPr>
        <w:rPr>
          <w:noProof/>
          <w:szCs w:val="24"/>
        </w:rPr>
      </w:pPr>
      <w:bookmarkStart w:id="21" w:name="_Hlk231222338"/>
      <w:r>
        <w:rPr>
          <w:noProof/>
        </w:rPr>
        <w:t>Etapele următoare</w:t>
      </w:r>
    </w:p>
    <w:p>
      <w:pPr>
        <w:spacing w:after="240"/>
        <w:jc w:val="both"/>
        <w:rPr>
          <w:noProof/>
        </w:rPr>
      </w:pPr>
      <w:r>
        <w:rPr>
          <w:noProof/>
        </w:rPr>
        <w:t>Grupul operativ pentru supravegherea importurilor a oferit informații cu privire la tendințele importurilor și a identificat creșteri care ar putea fi dăunătoare pentru anumite produse. Acesta a inițiat discuții cu industria, a sensibilizat publicul și a îmbunătățit cunoștințele cu privire la setul de instrumente de apărare comercială al UE și la procedurile și cerințele sale juridice.</w:t>
      </w:r>
    </w:p>
    <w:p>
      <w:pPr>
        <w:spacing w:after="240"/>
        <w:jc w:val="both"/>
        <w:rPr>
          <w:noProof/>
        </w:rPr>
      </w:pPr>
      <w:r>
        <w:rPr>
          <w:noProof/>
        </w:rPr>
        <w:t xml:space="preserve">Rezultatele grupului operativ nu reprezintă o listă gata pregătită de produse cu privire la care Comisia ar urma să ia măsuri de apărare comercială. Pentru a îndeplini cerința legală privind prejudiciul cauzat industriei UE de importuri și pentru a putea beneficia de protecție, industria UE trebuie să coopereze activ cu Comisia și să completeze analiza acesteia cu cunoștințele sale privind piața și cu datele referitoare la prejudiciu. În acest spirit, grupul operativ a colaborat în permanență cu părțile interesate și a încercat să perfecționeze abordarea metodologică acolo unde a fost necesar. </w:t>
      </w:r>
    </w:p>
    <w:p>
      <w:pPr>
        <w:spacing w:after="240"/>
        <w:jc w:val="both"/>
        <w:rPr>
          <w:noProof/>
        </w:rPr>
      </w:pPr>
      <w:r>
        <w:rPr>
          <w:noProof/>
        </w:rPr>
        <w:t xml:space="preserve">Schimburile cu industria și cu statele membre arată că preocupările părților interesate au trecut de la reorientarea pe termen scurt a schimburilor comerciale la presiunea mai amplă, pe termen mai lung, a importurilor, determinată de supracapacitățile mondiale, în special din </w:t>
      </w:r>
      <w:r>
        <w:rPr>
          <w:noProof/>
        </w:rPr>
        <w:lastRenderedPageBreak/>
        <w:t>China. Concentrarea inițială pe creșterile pe termen scurt a fost justificată de riscul imediat de reorientare a schimburilor comerciale generat de majorările tarifare de după „Ziua Eliberării”, anunțată de președintele Trump. Reducerea ulterioară a tarifelor ar fi trebuit să diminueze motivația de a redirecționa comerțul către UE și să reducă presiunea asupra importurilor. Cu toate acestea, părțile interesate din industrie raportează o presiune tot mai mare a importurilor determinată de supracapacitățile din străinătate. Cu toate acestea, spre deosebire de creșterile bruște, această presiune exercitată de importuri este generalizată și crește treptat în mai multe sectoare. Pentru a identifica astfel de presiuni exercitate de importuri care ar putea cauza prejudicii industriei UE, Comisia va adapta metodologia în cursul anului 2026, astfel încât să surprindă creșterile continue și pe termen lung ale importurilor, mai degrabă decât să se concentreze asupra creșterilor bruște pe termen scurt cauzate de reorientarea schimburilor comerciale determinată de tarife.</w:t>
      </w:r>
    </w:p>
    <w:bookmarkEnd w:id="21"/>
    <w:p>
      <w:pPr>
        <w:jc w:val="both"/>
        <w:rPr>
          <w:noProof/>
        </w:rPr>
      </w:pPr>
    </w:p>
    <w:p>
      <w:pPr>
        <w:pStyle w:val="Heading1"/>
        <w:numPr>
          <w:ilvl w:val="0"/>
          <w:numId w:val="0"/>
        </w:numPr>
        <w:rPr>
          <w:noProof/>
        </w:rPr>
      </w:pPr>
      <w:r>
        <w:rPr>
          <w:noProof/>
        </w:rPr>
        <w:tab/>
      </w:r>
      <w:bookmarkEnd w:id="20"/>
    </w:p>
    <w:sectPr>
      <w:headerReference w:type="even" r:id="rId23"/>
      <w:headerReference w:type="default" r:id="rId24"/>
      <w:footerReference w:type="even" r:id="rId25"/>
      <w:footerReference w:type="default" r:id="rId26"/>
      <w:headerReference w:type="first" r:id="rId27"/>
      <w:footerReference w:type="first" r:id="rId28"/>
      <w:pgSz w:w="11906" w:h="16838"/>
      <w:pgMar w:top="1417" w:right="1417" w:bottom="1417" w:left="1417"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Gulim">
    <w:altName w:val="굴림"/>
    <w:panose1 w:val="020B0600000101010101"/>
    <w:charset w:val="81"/>
    <w:family w:val="swiss"/>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535"/>
        <w:tab w:val="left" w:pos="109"/>
        <w:tab w:val="center" w:pos="4536"/>
      </w:tabs>
      <w:spacing w:before="0"/>
      <w:ind w:left="0" w:right="-851"/>
      <w:jc w:val="center"/>
    </w:pPr>
    <w:r>
      <w:fldChar w:fldCharType="begin"/>
    </w:r>
    <w:r>
      <w:instrText xml:space="preserve"> PAGE   \* MERGEFORMAT </w:instrText>
    </w:r>
    <w:r>
      <w:fldChar w:fldCharType="separate"/>
    </w:r>
    <w:r>
      <w:t>8</w:t>
    </w:r>
    <w: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801840"/>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type="continuationNotice" w:id="1">
    <w:p/>
  </w:footnote>
  <w:footnote w:id="2">
    <w:p>
      <w:pPr>
        <w:pStyle w:val="FootnoteText"/>
        <w:ind w:left="0" w:firstLine="0"/>
      </w:pPr>
      <w:r>
        <w:rPr>
          <w:rStyle w:val="FootnoteReference"/>
        </w:rPr>
        <w:footnoteRef/>
      </w:r>
      <w:r>
        <w:t xml:space="preserve"> Prețul pe care industria ar fi trebuit să îl perceapă în condiții normale, și anume în absența importurilor care fac obiectul unui dumping sau al unor subvenții.</w:t>
      </w:r>
    </w:p>
  </w:footnote>
  <w:footnote w:id="3">
    <w:p>
      <w:pPr>
        <w:pStyle w:val="FootnoteText"/>
        <w:ind w:left="0" w:firstLine="0"/>
      </w:pPr>
      <w:r>
        <w:rPr>
          <w:rStyle w:val="FootnoteReference"/>
        </w:rPr>
        <w:footnoteRef/>
      </w:r>
      <w:r>
        <w:t xml:space="preserve"> Direcțiile generale participante au fost Direcția Generală Comerț și Securitate Economică (DG Comerț), Direcția Generală Impozitare și Uniune Vamală (DG Taxud) și Centrul Comun de Cercetare (JRC), sprijinite de Direcția Generală Piață Internă, Industrie, Antreprenoriat și IMM-uri (DG GROW) și Direcția Generală Agricultură și Dezvoltare Rurală (DG AGRI).</w:t>
      </w:r>
    </w:p>
  </w:footnote>
  <w:footnote w:id="4">
    <w:p>
      <w:pPr>
        <w:pStyle w:val="FootnoteText"/>
        <w:ind w:left="0" w:firstLine="0"/>
      </w:pPr>
      <w:r>
        <w:rPr>
          <w:rStyle w:val="FootnoteReference"/>
        </w:rPr>
        <w:footnoteRef/>
      </w:r>
      <w:r>
        <w:t xml:space="preserve"> https://taxation-customs.ec.europa.eu/online-services/online-services-and-databases-customs/surveillance-system_en.</w:t>
      </w:r>
    </w:p>
  </w:footnote>
  <w:footnote w:id="5">
    <w:p>
      <w:pPr>
        <w:ind w:left="142" w:hanging="142"/>
        <w:jc w:val="both"/>
        <w:rPr>
          <w:sz w:val="20"/>
          <w:szCs w:val="20"/>
        </w:rPr>
      </w:pPr>
    </w:p>
    <w:p>
      <w:pPr>
        <w:pStyle w:val="FootnoteText"/>
        <w:ind w:left="0" w:firstLine="0"/>
      </w:pPr>
      <w:r>
        <w:rPr>
          <w:vertAlign w:val="superscript"/>
        </w:rPr>
        <w:t>4</w:t>
      </w:r>
      <w:r>
        <w:t xml:space="preserve"> Rezultate anterioare celei de a 6-a ediții ajustate pentru a include numai „rezultatele pozitive” care au fost conforme cu limita valorii medii săptămânale de 200 000 EUR, aplicabilă începând cu ediția respectivă.</w:t>
      </w:r>
    </w:p>
  </w:footnote>
  <w:footnote w:id="6">
    <w:p>
      <w:pPr>
        <w:jc w:val="both"/>
        <w:rPr>
          <w:sz w:val="20"/>
          <w:szCs w:val="20"/>
        </w:rPr>
      </w:pPr>
      <w:r>
        <w:rPr>
          <w:rStyle w:val="FootnoteReference"/>
          <w:sz w:val="20"/>
          <w:szCs w:val="20"/>
        </w:rPr>
        <w:footnoteRef/>
      </w:r>
      <w:r>
        <w:t xml:space="preserve"> </w:t>
      </w:r>
      <w:r>
        <w:rPr>
          <w:sz w:val="20"/>
        </w:rPr>
        <w:t>Din motive tehnice, Comisia a limitat originile (grupurile de origini) afișate la: ASEAN, Canada, China, AELS, India, Japonia, Mercosur, Mexic, Rusia, Coreea de Sud, Turcia, Taiwan, Regatul Unit și Statele Unite.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8031C"/>
    <w:multiLevelType w:val="hybridMultilevel"/>
    <w:tmpl w:val="7720957C"/>
    <w:lvl w:ilvl="0" w:tplc="2E421DE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32B1092"/>
    <w:multiLevelType w:val="hybridMultilevel"/>
    <w:tmpl w:val="D0BEBF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F734306"/>
    <w:multiLevelType w:val="multilevel"/>
    <w:tmpl w:val="C7FECFDE"/>
    <w:lvl w:ilvl="0">
      <w:start w:val="1"/>
      <w:numFmt w:val="decimal"/>
      <w:pStyle w:val="Heading1"/>
      <w:lvlText w:val="%1."/>
      <w:lvlJc w:val="left"/>
      <w:pPr>
        <w:tabs>
          <w:tab w:val="num" w:pos="960"/>
        </w:tabs>
        <w:ind w:left="960" w:hanging="480"/>
      </w:pPr>
      <w:rPr>
        <w:rFonts w:cs="Times New Roman" w:hint="default"/>
      </w:rPr>
    </w:lvl>
    <w:lvl w:ilvl="1">
      <w:start w:val="1"/>
      <w:numFmt w:val="decimal"/>
      <w:pStyle w:val="Heading2"/>
      <w:lvlText w:val="%1.%2."/>
      <w:lvlJc w:val="left"/>
      <w:pPr>
        <w:tabs>
          <w:tab w:val="num" w:pos="720"/>
        </w:tabs>
        <w:ind w:left="720" w:hanging="720"/>
      </w:pPr>
      <w:rPr>
        <w:rFonts w:cs="Times New Roman" w:hint="default"/>
      </w:rPr>
    </w:lvl>
    <w:lvl w:ilvl="2">
      <w:start w:val="1"/>
      <w:numFmt w:val="decimal"/>
      <w:pStyle w:val="Heading3"/>
      <w:lvlText w:val="%1.%2.%3."/>
      <w:lvlJc w:val="left"/>
      <w:pPr>
        <w:tabs>
          <w:tab w:val="num" w:pos="2400"/>
        </w:tabs>
        <w:ind w:left="2400" w:hanging="720"/>
      </w:pPr>
      <w:rPr>
        <w:rFonts w:cs="Times New Roman" w:hint="default"/>
      </w:rPr>
    </w:lvl>
    <w:lvl w:ilvl="3">
      <w:start w:val="1"/>
      <w:numFmt w:val="decimal"/>
      <w:pStyle w:val="Heading4"/>
      <w:lvlText w:val="%1.%2.%3.%4."/>
      <w:lvlJc w:val="left"/>
      <w:pPr>
        <w:tabs>
          <w:tab w:val="num" w:pos="2400"/>
        </w:tabs>
        <w:ind w:left="2400" w:hanging="720"/>
      </w:pPr>
      <w:rPr>
        <w:rFonts w:cs="Times New Roman" w:hint="default"/>
      </w:rPr>
    </w:lvl>
    <w:lvl w:ilvl="4">
      <w:start w:val="1"/>
      <w:numFmt w:val="lowerLetter"/>
      <w:lvlText w:val="(%5)"/>
      <w:lvlJc w:val="left"/>
      <w:pPr>
        <w:tabs>
          <w:tab w:val="num" w:pos="2280"/>
        </w:tabs>
        <w:ind w:left="2280" w:hanging="360"/>
      </w:pPr>
      <w:rPr>
        <w:rFonts w:cs="Times New Roman" w:hint="default"/>
      </w:rPr>
    </w:lvl>
    <w:lvl w:ilvl="5">
      <w:start w:val="1"/>
      <w:numFmt w:val="lowerRoman"/>
      <w:lvlText w:val="(%6)"/>
      <w:lvlJc w:val="left"/>
      <w:pPr>
        <w:tabs>
          <w:tab w:val="num" w:pos="2640"/>
        </w:tabs>
        <w:ind w:left="2640" w:hanging="360"/>
      </w:pPr>
      <w:rPr>
        <w:rFonts w:cs="Times New Roman" w:hint="default"/>
      </w:rPr>
    </w:lvl>
    <w:lvl w:ilvl="6">
      <w:start w:val="1"/>
      <w:numFmt w:val="decimal"/>
      <w:lvlText w:val="%7."/>
      <w:lvlJc w:val="left"/>
      <w:pPr>
        <w:tabs>
          <w:tab w:val="num" w:pos="3000"/>
        </w:tabs>
        <w:ind w:left="3000" w:hanging="360"/>
      </w:pPr>
      <w:rPr>
        <w:rFonts w:cs="Times New Roman" w:hint="default"/>
      </w:rPr>
    </w:lvl>
    <w:lvl w:ilvl="7">
      <w:start w:val="1"/>
      <w:numFmt w:val="lowerLetter"/>
      <w:lvlText w:val="%8."/>
      <w:lvlJc w:val="left"/>
      <w:pPr>
        <w:tabs>
          <w:tab w:val="num" w:pos="3360"/>
        </w:tabs>
        <w:ind w:left="3360" w:hanging="360"/>
      </w:pPr>
      <w:rPr>
        <w:rFonts w:cs="Times New Roman" w:hint="default"/>
      </w:rPr>
    </w:lvl>
    <w:lvl w:ilvl="8">
      <w:start w:val="1"/>
      <w:numFmt w:val="lowerRoman"/>
      <w:lvlText w:val="%9."/>
      <w:lvlJc w:val="left"/>
      <w:pPr>
        <w:tabs>
          <w:tab w:val="num" w:pos="3720"/>
        </w:tabs>
        <w:ind w:left="3720" w:hanging="360"/>
      </w:pPr>
      <w:rPr>
        <w:rFonts w:cs="Times New Roman" w:hint="default"/>
      </w:rPr>
    </w:lvl>
  </w:abstractNum>
  <w:abstractNum w:abstractNumId="3" w15:restartNumberingAfterBreak="0">
    <w:nsid w:val="24810F16"/>
    <w:multiLevelType w:val="hybridMultilevel"/>
    <w:tmpl w:val="BFC4753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26A0020D"/>
    <w:multiLevelType w:val="hybridMultilevel"/>
    <w:tmpl w:val="92D45D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E681635"/>
    <w:multiLevelType w:val="hybridMultilevel"/>
    <w:tmpl w:val="2A78AD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DA6B63"/>
    <w:multiLevelType w:val="hybridMultilevel"/>
    <w:tmpl w:val="1292F1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37CB1E1C"/>
    <w:multiLevelType w:val="multilevel"/>
    <w:tmpl w:val="6DC82B68"/>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3FA14A3D"/>
    <w:multiLevelType w:val="multilevel"/>
    <w:tmpl w:val="8BF6D0A2"/>
    <w:lvl w:ilvl="0">
      <w:start w:val="1"/>
      <w:numFmt w:val="decimal"/>
      <w:lvlRestart w:val="0"/>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49C259B1"/>
    <w:multiLevelType w:val="hybridMultilevel"/>
    <w:tmpl w:val="256AC3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822522E"/>
    <w:multiLevelType w:val="hybridMultilevel"/>
    <w:tmpl w:val="E77414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B3E34A8"/>
    <w:multiLevelType w:val="hybridMultilevel"/>
    <w:tmpl w:val="30D0F76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C850254"/>
    <w:multiLevelType w:val="hybridMultilevel"/>
    <w:tmpl w:val="FDF66F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CA2459A"/>
    <w:multiLevelType w:val="hybridMultilevel"/>
    <w:tmpl w:val="0BA6575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9"/>
  </w:num>
  <w:num w:numId="3">
    <w:abstractNumId w:val="5"/>
  </w:num>
  <w:num w:numId="4">
    <w:abstractNumId w:val="7"/>
  </w:num>
  <w:num w:numId="5">
    <w:abstractNumId w:val="8"/>
  </w:num>
  <w:num w:numId="6">
    <w:abstractNumId w:val="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7">
    <w:abstractNumId w:val="10"/>
  </w:num>
  <w:num w:numId="8">
    <w:abstractNumId w:val="2"/>
  </w:num>
  <w:num w:numId="9">
    <w:abstractNumId w:val="2"/>
  </w:num>
  <w:num w:numId="10">
    <w:abstractNumId w:val="6"/>
  </w:num>
  <w:num w:numId="11">
    <w:abstractNumId w:val="2"/>
  </w:num>
  <w:num w:numId="12">
    <w:abstractNumId w:val="1"/>
  </w:num>
  <w:num w:numId="13">
    <w:abstractNumId w:val="4"/>
  </w:num>
  <w:num w:numId="14">
    <w:abstractNumId w:val="13"/>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0"/>
  </w:num>
  <w:num w:numId="23">
    <w:abstractNumId w:val="3"/>
  </w:num>
  <w:num w:numId="24">
    <w:abstractNumId w:val="2"/>
  </w:num>
  <w:num w:numId="25">
    <w:abstractNumId w:val="2"/>
  </w:num>
  <w:num w:numId="26">
    <w:abstractNumId w:val="12"/>
  </w:num>
  <w:num w:numId="27">
    <w:abstractNumId w:val="2"/>
  </w:num>
  <w:num w:numId="28">
    <w:abstractNumId w:val="11"/>
  </w:num>
  <w:num w:numId="29">
    <w:abstractNumId w:val="2"/>
  </w:num>
  <w:num w:numId="30">
    <w:abstractNumId w:val="2"/>
  </w:num>
  <w:num w:numId="31">
    <w:abstractNumId w:val="2"/>
  </w:num>
  <w:num w:numId="32">
    <w:abstractNumId w:val="2"/>
  </w:num>
  <w:num w:numId="33">
    <w:abstractNumId w:val="14"/>
  </w:num>
  <w:num w:numId="34">
    <w:abstractNumId w:val="2"/>
  </w:num>
  <w:num w:numId="35">
    <w:abstractNumId w:val="2"/>
  </w:num>
  <w:num w:numId="36">
    <w:abstractNumId w:val="2"/>
  </w:num>
  <w:num w:numId="37">
    <w:abstractNumId w:val="2"/>
  </w:num>
  <w:num w:numId="38">
    <w:abstractNumId w:val="2"/>
  </w:num>
  <w:num w:numId="3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851"/>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DocStatus" w:val="Green"/>
    <w:docVar w:name="LW_CORRIGENDUM" w:val="&lt;UNUSED&gt;"/>
    <w:docVar w:name="LW_COVERPAGE_EXISTS" w:val="True"/>
    <w:docVar w:name="LW_COVERPAGE_GUID" w:val="3BC90711-455C-4DAD-B048-D7847E5C3AC9"/>
    <w:docVar w:name="LW_COVERPAGE_TYPE" w:val="1"/>
    <w:docVar w:name="LW_CROSSREFERENCE" w:val="{SWD(2026) 277 final}"/>
    <w:docVar w:name="LW_DocType" w:val="NORMAL"/>
    <w:docVar w:name="LW_EMISSION" w:val="17.9.2026"/>
    <w:docVar w:name="LW_EMISSION_ISODATE" w:val="2026-09-17"/>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7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lt;FMT:Bold&gt;Al 44-lea raport anual al Comisiei c\u259?tre Parlamentul European \u537?i Consiliu privind activit\u259?\u539?ile antidumping, antisubven\u539?ie \u537?i de salvgardare ale UE, precum \u537?i utilizarea de c\u259?tre \u539?\u259?rile ter\u539?e a instrumentelor de ap\u259?rare comercial\u259? împotriva UE în 2025&lt;/FMT&gt;_x000d__x000b__x000d__x000d__x000d__x000d__x000d__x000d__x000d__x000d__x000d__x000d__x000d__x000d__x000d__x000b_"/>
    <w:docVar w:name="LW_TYPE.DOC.CP" w:val="RAPORT AL COMISIEI C\u258?TRE PARLAMENTUL EUROPEAN \u536?I CONSILIU"/>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5:docId w15:val="{9F34F031-E256-4F7B-9ADA-1E9F60373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ko-KR"/>
    </w:rPr>
  </w:style>
  <w:style w:type="paragraph" w:styleId="Heading1">
    <w:name w:val="heading 1"/>
    <w:basedOn w:val="Normal"/>
    <w:next w:val="Normal"/>
    <w:link w:val="Heading1Char"/>
    <w:uiPriority w:val="9"/>
    <w:qFormat/>
    <w:pPr>
      <w:keepNext/>
      <w:numPr>
        <w:numId w:val="1"/>
      </w:numPr>
      <w:spacing w:before="240" w:after="240"/>
      <w:jc w:val="both"/>
      <w:outlineLvl w:val="0"/>
    </w:pPr>
    <w:rPr>
      <w:b/>
      <w:smallCaps/>
      <w:szCs w:val="20"/>
      <w:lang w:eastAsia="en-US"/>
    </w:rPr>
  </w:style>
  <w:style w:type="paragraph" w:styleId="Heading2">
    <w:name w:val="heading 2"/>
    <w:basedOn w:val="Normal"/>
    <w:next w:val="Normal"/>
    <w:link w:val="Heading2Char"/>
    <w:uiPriority w:val="9"/>
    <w:qFormat/>
    <w:pPr>
      <w:keepNext/>
      <w:numPr>
        <w:ilvl w:val="1"/>
        <w:numId w:val="1"/>
      </w:numPr>
      <w:spacing w:after="240"/>
      <w:jc w:val="both"/>
      <w:outlineLvl w:val="1"/>
    </w:pPr>
    <w:rPr>
      <w:b/>
      <w:szCs w:val="20"/>
      <w:lang w:eastAsia="en-US"/>
    </w:rPr>
  </w:style>
  <w:style w:type="paragraph" w:styleId="Heading3">
    <w:name w:val="heading 3"/>
    <w:basedOn w:val="Normal"/>
    <w:next w:val="Normal"/>
    <w:link w:val="Heading3Char"/>
    <w:uiPriority w:val="9"/>
    <w:qFormat/>
    <w:pPr>
      <w:keepNext/>
      <w:numPr>
        <w:ilvl w:val="2"/>
        <w:numId w:val="1"/>
      </w:numPr>
      <w:spacing w:after="240"/>
      <w:jc w:val="both"/>
      <w:outlineLvl w:val="2"/>
    </w:pPr>
    <w:rPr>
      <w:i/>
      <w:szCs w:val="20"/>
      <w:lang w:eastAsia="en-US"/>
    </w:rPr>
  </w:style>
  <w:style w:type="paragraph" w:styleId="Heading4">
    <w:name w:val="heading 4"/>
    <w:basedOn w:val="Normal"/>
    <w:next w:val="Normal"/>
    <w:link w:val="Heading4Char"/>
    <w:uiPriority w:val="9"/>
    <w:qFormat/>
    <w:pPr>
      <w:keepNext/>
      <w:numPr>
        <w:ilvl w:val="3"/>
        <w:numId w:val="1"/>
      </w:numPr>
      <w:tabs>
        <w:tab w:val="num" w:pos="2880"/>
      </w:tabs>
      <w:spacing w:after="240"/>
      <w:jc w:val="both"/>
      <w:outlineLvl w:val="3"/>
    </w:pPr>
    <w:rPr>
      <w:szCs w:val="20"/>
      <w:lang w:eastAsia="en-US"/>
    </w:rPr>
  </w:style>
  <w:style w:type="paragraph" w:styleId="Heading5">
    <w:name w:val="heading 5"/>
    <w:basedOn w:val="Normal"/>
    <w:next w:val="Normal"/>
    <w:link w:val="Heading5Char"/>
    <w:uiPriority w:val="9"/>
    <w:semiHidden/>
    <w:unhideWhenUsed/>
    <w:qFormat/>
    <w:pPr>
      <w:keepNext/>
      <w:keepLines/>
      <w:spacing w:before="40" w:line="276" w:lineRule="auto"/>
      <w:ind w:left="1008" w:hanging="1008"/>
      <w:outlineLvl w:val="4"/>
    </w:pPr>
    <w:rPr>
      <w:rFonts w:asciiTheme="majorHAnsi" w:eastAsiaTheme="majorEastAsia" w:hAnsiTheme="majorHAnsi" w:cstheme="majorBidi"/>
      <w:color w:val="365F91" w:themeColor="accent1" w:themeShade="BF"/>
      <w:sz w:val="22"/>
      <w:szCs w:val="22"/>
      <w:lang w:eastAsia="en-US"/>
    </w:rPr>
  </w:style>
  <w:style w:type="paragraph" w:styleId="Heading6">
    <w:name w:val="heading 6"/>
    <w:basedOn w:val="Normal"/>
    <w:next w:val="Normal"/>
    <w:link w:val="Heading6Char"/>
    <w:uiPriority w:val="9"/>
    <w:semiHidden/>
    <w:unhideWhenUsed/>
    <w:qFormat/>
    <w:pPr>
      <w:keepNext/>
      <w:keepLines/>
      <w:spacing w:before="40" w:line="276" w:lineRule="auto"/>
      <w:ind w:left="1152" w:hanging="1152"/>
      <w:outlineLvl w:val="5"/>
    </w:pPr>
    <w:rPr>
      <w:rFonts w:asciiTheme="majorHAnsi" w:eastAsiaTheme="majorEastAsia" w:hAnsiTheme="majorHAnsi" w:cstheme="majorBidi"/>
      <w:color w:val="243F60" w:themeColor="accent1" w:themeShade="7F"/>
      <w:sz w:val="22"/>
      <w:szCs w:val="22"/>
      <w:lang w:eastAsia="en-US"/>
    </w:rPr>
  </w:style>
  <w:style w:type="paragraph" w:styleId="Heading7">
    <w:name w:val="heading 7"/>
    <w:basedOn w:val="Normal"/>
    <w:next w:val="Normal"/>
    <w:link w:val="Heading7Char"/>
    <w:uiPriority w:val="9"/>
    <w:semiHidden/>
    <w:unhideWhenUsed/>
    <w:qFormat/>
    <w:pPr>
      <w:keepNext/>
      <w:keepLines/>
      <w:spacing w:before="40" w:line="276" w:lineRule="auto"/>
      <w:ind w:left="1296" w:hanging="1296"/>
      <w:outlineLvl w:val="6"/>
    </w:pPr>
    <w:rPr>
      <w:rFonts w:asciiTheme="majorHAnsi" w:eastAsiaTheme="majorEastAsia" w:hAnsiTheme="majorHAnsi" w:cstheme="majorBidi"/>
      <w:i/>
      <w:iCs/>
      <w:color w:val="243F60" w:themeColor="accent1" w:themeShade="7F"/>
      <w:sz w:val="22"/>
      <w:szCs w:val="22"/>
      <w:lang w:eastAsia="en-US"/>
    </w:rPr>
  </w:style>
  <w:style w:type="paragraph" w:styleId="Heading8">
    <w:name w:val="heading 8"/>
    <w:basedOn w:val="Normal"/>
    <w:next w:val="Normal"/>
    <w:link w:val="Heading8Char"/>
    <w:uiPriority w:val="9"/>
    <w:semiHidden/>
    <w:unhideWhenUsed/>
    <w:qFormat/>
    <w:pPr>
      <w:keepNext/>
      <w:keepLines/>
      <w:spacing w:before="40" w:line="276" w:lineRule="auto"/>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Heading9">
    <w:name w:val="heading 9"/>
    <w:basedOn w:val="Normal"/>
    <w:next w:val="Normal"/>
    <w:link w:val="Heading9Char"/>
    <w:uiPriority w:val="9"/>
    <w:semiHidden/>
    <w:unhideWhenUsed/>
    <w:qFormat/>
    <w:pPr>
      <w:keepNext/>
      <w:keepLines/>
      <w:spacing w:before="40" w:line="276" w:lineRule="auto"/>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b/>
      <w:smallCaps/>
      <w:sz w:val="24"/>
      <w:lang w:val="ro-RO"/>
    </w:rPr>
  </w:style>
  <w:style w:type="character" w:customStyle="1" w:styleId="Heading2Char">
    <w:name w:val="Heading 2 Char"/>
    <w:basedOn w:val="DefaultParagraphFont"/>
    <w:link w:val="Heading2"/>
    <w:uiPriority w:val="9"/>
    <w:locked/>
    <w:rPr>
      <w:b/>
      <w:sz w:val="24"/>
      <w:lang w:val="ro-RO"/>
    </w:rPr>
  </w:style>
  <w:style w:type="character" w:customStyle="1" w:styleId="Heading3Char">
    <w:name w:val="Heading 3 Char"/>
    <w:basedOn w:val="DefaultParagraphFont"/>
    <w:link w:val="Heading3"/>
    <w:uiPriority w:val="9"/>
    <w:locked/>
    <w:rPr>
      <w:i/>
      <w:sz w:val="24"/>
      <w:lang w:val="ro-RO"/>
    </w:rPr>
  </w:style>
  <w:style w:type="character" w:customStyle="1" w:styleId="Heading4Char">
    <w:name w:val="Heading 4 Char"/>
    <w:basedOn w:val="DefaultParagraphFont"/>
    <w:link w:val="Heading4"/>
    <w:uiPriority w:val="9"/>
    <w:locked/>
    <w:rPr>
      <w:sz w:val="24"/>
      <w:lang w:val="ro-RO"/>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jc w:val="both"/>
    </w:pPr>
    <w:rPr>
      <w:lang w:eastAsia="en-US"/>
    </w:rPr>
  </w:style>
  <w:style w:type="paragraph" w:styleId="Header">
    <w:name w:val="header"/>
    <w:basedOn w:val="Normal"/>
    <w:link w:val="HeaderChar"/>
    <w:uiPriority w:val="99"/>
    <w:unhideWhenUsed/>
    <w:pPr>
      <w:tabs>
        <w:tab w:val="center" w:pos="4535"/>
        <w:tab w:val="right" w:pos="9071"/>
      </w:tabs>
      <w:spacing w:after="120"/>
      <w:jc w:val="both"/>
    </w:pPr>
    <w:rPr>
      <w:rFonts w:eastAsiaTheme="minorHAnsi"/>
      <w:szCs w:val="22"/>
      <w:lang w:eastAsia="en-US"/>
    </w:rPr>
  </w:style>
  <w:style w:type="character" w:customStyle="1" w:styleId="HeaderChar">
    <w:name w:val="Header Char"/>
    <w:basedOn w:val="DefaultParagraphFont"/>
    <w:link w:val="Header"/>
    <w:uiPriority w:val="99"/>
    <w:locked/>
    <w:rPr>
      <w:rFonts w:eastAsiaTheme="minorHAnsi"/>
      <w:sz w:val="24"/>
      <w:szCs w:val="22"/>
      <w:lang w:val="ro-RO"/>
    </w:rPr>
  </w:style>
  <w:style w:type="paragraph" w:styleId="Footer">
    <w:name w:val="footer"/>
    <w:basedOn w:val="Normal"/>
    <w:link w:val="FooterChar"/>
    <w:uiPriority w:val="99"/>
    <w:unhideWhenUsed/>
    <w:pPr>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locked/>
    <w:rPr>
      <w:rFonts w:eastAsiaTheme="minorHAnsi"/>
      <w:sz w:val="24"/>
      <w:szCs w:val="22"/>
      <w:lang w:val="ro-R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link w:val="FooterCoverPage"/>
    <w:locked/>
    <w:rPr>
      <w:sz w:val="24"/>
      <w:szCs w:val="24"/>
      <w:lang w:eastAsia="ko-KR"/>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link w:val="HeaderCoverPage"/>
    <w:locked/>
    <w:rPr>
      <w:sz w:val="24"/>
      <w:szCs w:val="24"/>
      <w:lang w:eastAsia="ko-KR"/>
    </w:rPr>
  </w:style>
  <w:style w:type="paragraph" w:customStyle="1" w:styleId="Typedudocument">
    <w:name w:val="Type du document"/>
    <w:basedOn w:val="Normal"/>
    <w:next w:val="Normal"/>
    <w:pPr>
      <w:spacing w:before="360"/>
      <w:jc w:val="center"/>
    </w:pPr>
    <w:rPr>
      <w:b/>
      <w:lang w:eastAsia="en-US"/>
    </w:rPr>
  </w:style>
  <w:style w:type="paragraph" w:customStyle="1" w:styleId="Titreobjet">
    <w:name w:val="Titre objet"/>
    <w:basedOn w:val="Normal"/>
    <w:next w:val="Normal"/>
    <w:pPr>
      <w:spacing w:before="360" w:after="360"/>
      <w:jc w:val="center"/>
    </w:pPr>
    <w:rPr>
      <w:b/>
      <w:lang w:eastAsia="en-US"/>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locked/>
    <w:rPr>
      <w:sz w:val="24"/>
      <w:lang w:val="ro-RO" w:eastAsia="ko-KR"/>
    </w:rPr>
  </w:style>
  <w:style w:type="paragraph" w:styleId="BodyTextFirstIndent">
    <w:name w:val="Body Text First Indent"/>
    <w:basedOn w:val="BodyText"/>
    <w:link w:val="BodyTextFirstIndentChar"/>
    <w:uiPriority w:val="99"/>
    <w:pPr>
      <w:ind w:firstLine="210"/>
      <w:jc w:val="both"/>
    </w:pPr>
    <w:rPr>
      <w:szCs w:val="20"/>
      <w:lang w:eastAsia="en-US"/>
    </w:rPr>
  </w:style>
  <w:style w:type="character" w:customStyle="1" w:styleId="BodyTextFirstIndentChar">
    <w:name w:val="Body Text First Indent Char"/>
    <w:basedOn w:val="BodyTextChar"/>
    <w:link w:val="BodyTextFirstIndent"/>
    <w:uiPriority w:val="99"/>
    <w:locked/>
    <w:rPr>
      <w:rFonts w:eastAsia="Times New Roman"/>
      <w:sz w:val="24"/>
      <w:lang w:val="ro-RO" w:eastAsia="en-US"/>
    </w:rPr>
  </w:style>
  <w:style w:type="character" w:customStyle="1" w:styleId="mediumtext1">
    <w:name w:val="medium_text1"/>
    <w:rPr>
      <w:sz w:val="24"/>
    </w:rPr>
  </w:style>
  <w:style w:type="paragraph" w:styleId="FootnoteText">
    <w:name w:val="footnote text"/>
    <w:basedOn w:val="Normal"/>
    <w:link w:val="FootnoteTextChar"/>
    <w:pPr>
      <w:ind w:left="720" w:hanging="720"/>
      <w:jc w:val="both"/>
    </w:pPr>
    <w:rPr>
      <w:sz w:val="20"/>
      <w:szCs w:val="20"/>
      <w:lang w:eastAsia="de-DE"/>
    </w:rPr>
  </w:style>
  <w:style w:type="character" w:customStyle="1" w:styleId="FootnoteTextChar">
    <w:name w:val="Footnote Text Char"/>
    <w:basedOn w:val="DefaultParagraphFont"/>
    <w:link w:val="FootnoteText"/>
    <w:locked/>
    <w:rPr>
      <w:rFonts w:eastAsia="Times New Roman"/>
      <w:lang w:val="ro-RO" w:eastAsia="de-DE"/>
    </w:rPr>
  </w:style>
  <w:style w:type="character" w:styleId="FootnoteReference">
    <w:name w:val="footnote reference"/>
    <w:basedOn w:val="DefaultParagraphFont"/>
    <w:rPr>
      <w:vertAlign w:val="superscript"/>
    </w:rPr>
  </w:style>
  <w:style w:type="paragraph" w:customStyle="1" w:styleId="Text1">
    <w:name w:val="Text 1"/>
    <w:basedOn w:val="Normal"/>
    <w:pPr>
      <w:spacing w:before="120" w:after="120"/>
      <w:ind w:left="850"/>
      <w:jc w:val="both"/>
    </w:pPr>
    <w:rPr>
      <w:lang w:eastAsia="de-DE"/>
    </w:rPr>
  </w:style>
  <w:style w:type="paragraph" w:customStyle="1" w:styleId="Text2">
    <w:name w:val="Text 2"/>
    <w:basedOn w:val="Normal"/>
    <w:pPr>
      <w:spacing w:before="120" w:after="120"/>
      <w:ind w:left="850"/>
      <w:jc w:val="both"/>
    </w:pPr>
    <w:rPr>
      <w:lang w:eastAsia="de-DE"/>
    </w:rPr>
  </w:style>
  <w:style w:type="paragraph" w:customStyle="1" w:styleId="Text3">
    <w:name w:val="Text 3"/>
    <w:basedOn w:val="Normal"/>
    <w:pPr>
      <w:spacing w:before="120" w:after="120"/>
      <w:ind w:left="850"/>
      <w:jc w:val="both"/>
    </w:pPr>
    <w:rPr>
      <w:lang w:eastAsia="de-DE"/>
    </w:rPr>
  </w:style>
  <w:style w:type="paragraph" w:customStyle="1" w:styleId="Text4">
    <w:name w:val="Text 4"/>
    <w:basedOn w:val="Normal"/>
    <w:pPr>
      <w:spacing w:before="120" w:after="120"/>
      <w:ind w:left="850"/>
      <w:jc w:val="both"/>
    </w:pPr>
    <w:rPr>
      <w:lang w:eastAsia="de-DE"/>
    </w:rPr>
  </w:style>
  <w:style w:type="paragraph" w:customStyle="1" w:styleId="ManualNumPar1">
    <w:name w:val="Manual NumPar 1"/>
    <w:basedOn w:val="Normal"/>
    <w:next w:val="Text1"/>
    <w:pPr>
      <w:spacing w:before="120" w:after="120"/>
      <w:ind w:left="850" w:hanging="850"/>
      <w:jc w:val="both"/>
    </w:pPr>
    <w:rPr>
      <w:lang w:eastAsia="de-DE"/>
    </w:rPr>
  </w:style>
  <w:style w:type="paragraph" w:customStyle="1" w:styleId="ManualHeading1">
    <w:name w:val="Manual Heading 1"/>
    <w:basedOn w:val="Normal"/>
    <w:next w:val="Text1"/>
    <w:pPr>
      <w:keepNext/>
      <w:tabs>
        <w:tab w:val="left" w:pos="850"/>
      </w:tabs>
      <w:spacing w:before="360" w:after="120"/>
      <w:ind w:left="850" w:hanging="850"/>
      <w:jc w:val="both"/>
      <w:outlineLvl w:val="0"/>
    </w:pPr>
    <w:rPr>
      <w:b/>
      <w:smallCaps/>
      <w:lang w:eastAsia="de-DE"/>
    </w:rPr>
  </w:style>
  <w:style w:type="paragraph" w:customStyle="1" w:styleId="ManualHeading2">
    <w:name w:val="Manual Heading 2"/>
    <w:basedOn w:val="Normal"/>
    <w:next w:val="Text2"/>
    <w:pPr>
      <w:keepNext/>
      <w:tabs>
        <w:tab w:val="left" w:pos="850"/>
      </w:tabs>
      <w:spacing w:before="120" w:after="120"/>
      <w:ind w:left="850" w:hanging="850"/>
      <w:jc w:val="both"/>
      <w:outlineLvl w:val="1"/>
    </w:pPr>
    <w:rPr>
      <w:b/>
      <w:lang w:eastAsia="de-DE"/>
    </w:rPr>
  </w:style>
  <w:style w:type="paragraph" w:customStyle="1" w:styleId="ManualHeading3">
    <w:name w:val="Manual Heading 3"/>
    <w:basedOn w:val="Normal"/>
    <w:next w:val="Text3"/>
    <w:pPr>
      <w:keepNext/>
      <w:tabs>
        <w:tab w:val="left" w:pos="850"/>
      </w:tabs>
      <w:spacing w:before="120" w:after="120"/>
      <w:ind w:left="850" w:hanging="850"/>
      <w:jc w:val="both"/>
      <w:outlineLvl w:val="2"/>
    </w:pPr>
    <w:rPr>
      <w:i/>
      <w:lang w:eastAsia="de-DE"/>
    </w:rPr>
  </w:style>
  <w:style w:type="character" w:styleId="CommentReference">
    <w:name w:val="annotation reference"/>
    <w:basedOn w:val="DefaultParagraphFont"/>
    <w:uiPriority w:val="99"/>
    <w:rPr>
      <w:sz w:val="16"/>
    </w:rPr>
  </w:style>
  <w:style w:type="paragraph" w:customStyle="1" w:styleId="Default">
    <w:name w:val="Default"/>
    <w:pPr>
      <w:autoSpaceDE w:val="0"/>
      <w:autoSpaceDN w:val="0"/>
      <w:adjustRightInd w:val="0"/>
    </w:pPr>
    <w:rPr>
      <w:rFonts w:ascii="EUAlbertina" w:hAnsi="EUAlbertina" w:cs="EUAlbertina"/>
      <w:color w:val="000000"/>
      <w:sz w:val="24"/>
      <w:szCs w:val="24"/>
      <w:lang w:eastAsia="en-GB"/>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locked/>
    <w:rPr>
      <w:rFonts w:ascii="Tahoma" w:hAnsi="Tahoma"/>
      <w:sz w:val="16"/>
      <w:lang w:val="ro-RO" w:eastAsia="ko-KR"/>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lang w:val="ro-RO" w:eastAsia="ko-KR"/>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locked/>
    <w:rPr>
      <w:b/>
      <w:lang w:val="ro-RO" w:eastAsia="ko-KR"/>
    </w:rPr>
  </w:style>
  <w:style w:type="paragraph" w:styleId="Revision">
    <w:name w:val="Revision"/>
    <w:hidden/>
    <w:uiPriority w:val="99"/>
    <w:semiHidden/>
    <w:rPr>
      <w:sz w:val="24"/>
      <w:szCs w:val="24"/>
      <w:lang w:eastAsia="ko-KR"/>
    </w:rPr>
  </w:style>
  <w:style w:type="character" w:customStyle="1" w:styleId="paracolourtext">
    <w:name w:val="paracolourtext"/>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Yellow Bullet,L"/>
    <w:basedOn w:val="Normal"/>
    <w:link w:val="ListParagraphChar"/>
    <w:uiPriority w:val="34"/>
    <w:qFormat/>
    <w:pPr>
      <w:ind w:left="720"/>
    </w:pPr>
    <w:rPr>
      <w:lang w:eastAsia="en-GB"/>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Yellow Bullet Char"/>
    <w:link w:val="ListParagraph"/>
    <w:uiPriority w:val="34"/>
    <w:qFormat/>
    <w:locked/>
    <w:rPr>
      <w:sz w:val="24"/>
      <w:szCs w:val="24"/>
      <w:lang w:val="ro-RO" w:eastAsia="en-GB"/>
    </w:rPr>
  </w:style>
  <w:style w:type="paragraph" w:customStyle="1" w:styleId="Declassification">
    <w:name w:val="Declassification"/>
    <w:basedOn w:val="Normal"/>
    <w:next w:val="Normal"/>
    <w:pPr>
      <w:jc w:val="both"/>
    </w:pPr>
    <w:rPr>
      <w:rFonts w:eastAsiaTheme="minorHAnsi"/>
      <w:szCs w:val="22"/>
      <w:lang w:eastAsia="en-US"/>
    </w:rPr>
  </w:style>
  <w:style w:type="paragraph" w:customStyle="1" w:styleId="HeaderLandscape">
    <w:name w:val="HeaderLandscape"/>
    <w:basedOn w:val="Normal"/>
    <w:pPr>
      <w:tabs>
        <w:tab w:val="center" w:pos="7285"/>
        <w:tab w:val="right" w:pos="14003"/>
      </w:tabs>
      <w:spacing w:after="120"/>
      <w:jc w:val="both"/>
    </w:pPr>
    <w:rPr>
      <w:rFonts w:eastAsiaTheme="minorHAnsi"/>
      <w:szCs w:val="22"/>
      <w:lang w:eastAsia="en-US"/>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ind w:left="-567" w:right="-567"/>
    </w:pPr>
    <w:rPr>
      <w:rFonts w:eastAsiaTheme="minorHAnsi"/>
      <w:szCs w:val="22"/>
      <w:lang w:eastAsia="en-US"/>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paragraph" w:styleId="PlainText">
    <w:name w:val="Plain Text"/>
    <w:basedOn w:val="Normal"/>
    <w:link w:val="PlainTextChar"/>
    <w:uiPriority w:val="99"/>
    <w:unhideWhenUsed/>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Pr>
      <w:rFonts w:ascii="Calibri" w:eastAsiaTheme="minorHAnsi" w:hAnsi="Calibri" w:cstheme="minorBidi"/>
      <w:sz w:val="22"/>
      <w:szCs w:val="21"/>
      <w:lang w:val="ro-RO"/>
    </w:rPr>
  </w:style>
  <w:style w:type="paragraph" w:styleId="NoSpacing">
    <w:name w:val="No Spacing"/>
    <w:uiPriority w:val="1"/>
    <w:qFormat/>
    <w:rPr>
      <w:sz w:val="24"/>
      <w:szCs w:val="24"/>
      <w:lang w:eastAsia="ko-KR"/>
    </w:rPr>
  </w:style>
  <w:style w:type="paragraph" w:customStyle="1" w:styleId="ListNumber1">
    <w:name w:val="List Number 1"/>
    <w:basedOn w:val="Text1"/>
    <w:pPr>
      <w:numPr>
        <w:numId w:val="2"/>
      </w:numPr>
    </w:pPr>
    <w:rPr>
      <w:rFonts w:eastAsiaTheme="minorHAnsi"/>
      <w:szCs w:val="22"/>
      <w:lang w:eastAsia="en-US"/>
    </w:rPr>
  </w:style>
  <w:style w:type="paragraph" w:customStyle="1" w:styleId="ListNumber1Level2">
    <w:name w:val="List Number 1 (Level 2)"/>
    <w:basedOn w:val="Text1"/>
    <w:pPr>
      <w:numPr>
        <w:ilvl w:val="1"/>
        <w:numId w:val="2"/>
      </w:numPr>
    </w:pPr>
    <w:rPr>
      <w:rFonts w:eastAsiaTheme="minorHAnsi"/>
      <w:szCs w:val="22"/>
      <w:lang w:eastAsia="en-US"/>
    </w:rPr>
  </w:style>
  <w:style w:type="paragraph" w:customStyle="1" w:styleId="ListNumber1Level3">
    <w:name w:val="List Number 1 (Level 3)"/>
    <w:basedOn w:val="Text1"/>
    <w:pPr>
      <w:numPr>
        <w:ilvl w:val="2"/>
        <w:numId w:val="2"/>
      </w:numPr>
    </w:pPr>
    <w:rPr>
      <w:rFonts w:eastAsiaTheme="minorHAnsi"/>
      <w:szCs w:val="22"/>
      <w:lang w:eastAsia="en-US"/>
    </w:rPr>
  </w:style>
  <w:style w:type="paragraph" w:customStyle="1" w:styleId="ListNumber1Level4">
    <w:name w:val="List Number 1 (Level 4)"/>
    <w:basedOn w:val="Text1"/>
    <w:pPr>
      <w:numPr>
        <w:ilvl w:val="3"/>
        <w:numId w:val="2"/>
      </w:numPr>
    </w:pPr>
    <w:rPr>
      <w:rFonts w:eastAsiaTheme="minorHAnsi"/>
      <w:szCs w:val="22"/>
      <w:lang w:eastAsia="en-US"/>
    </w:rPr>
  </w:style>
  <w:style w:type="paragraph" w:customStyle="1" w:styleId="Typedudocumentprliminaire">
    <w:name w:val="Type du document (préliminaire)"/>
    <w:basedOn w:val="Normal"/>
    <w:next w:val="Normal"/>
    <w:pPr>
      <w:spacing w:before="360"/>
      <w:jc w:val="center"/>
    </w:pPr>
    <w:rPr>
      <w:rFonts w:eastAsiaTheme="minorHAnsi"/>
      <w:b/>
      <w:bCs/>
      <w:szCs w:val="22"/>
      <w:lang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800080" w:themeColor="followedHyperlink"/>
      <w:u w:val="single"/>
    </w:rPr>
  </w:style>
  <w:style w:type="table" w:customStyle="1" w:styleId="TableGrid1">
    <w:name w:val="Table Grid1"/>
    <w:basedOn w:val="TableNormal"/>
    <w:next w:val="TableGrid"/>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
    <w:name w:val="hi"/>
    <w:basedOn w:val="DefaultParagraphFont"/>
  </w:style>
  <w:style w:type="paragraph" w:customStyle="1" w:styleId="SecurityMarking">
    <w:name w:val="SecurityMarking"/>
    <w:basedOn w:val="Normal"/>
    <w:pPr>
      <w:spacing w:line="276" w:lineRule="auto"/>
      <w:ind w:left="5103"/>
    </w:pPr>
    <w:rPr>
      <w:rFonts w:eastAsiaTheme="minorHAnsi"/>
      <w:sz w:val="28"/>
      <w:szCs w:val="22"/>
      <w:lang w:eastAsia="en-US"/>
    </w:rPr>
  </w:style>
  <w:style w:type="paragraph" w:customStyle="1" w:styleId="DateMarking">
    <w:name w:val="DateMarking"/>
    <w:basedOn w:val="Normal"/>
    <w:pPr>
      <w:spacing w:line="276" w:lineRule="auto"/>
      <w:ind w:left="5103"/>
    </w:pPr>
    <w:rPr>
      <w:rFonts w:eastAsiaTheme="minorHAnsi"/>
      <w:i/>
      <w:sz w:val="28"/>
      <w:szCs w:val="22"/>
      <w:lang w:eastAsia="en-US"/>
    </w:rPr>
  </w:style>
  <w:style w:type="paragraph" w:customStyle="1" w:styleId="ReleasableTo">
    <w:name w:val="ReleasableTo"/>
    <w:basedOn w:val="Normal"/>
    <w:pPr>
      <w:spacing w:line="276" w:lineRule="auto"/>
      <w:ind w:left="5103"/>
    </w:pPr>
    <w:rPr>
      <w:rFonts w:eastAsiaTheme="minorHAnsi"/>
      <w:i/>
      <w:sz w:val="28"/>
      <w:szCs w:val="22"/>
      <w:lang w:eastAsia="en-US"/>
    </w:rPr>
  </w:style>
  <w:style w:type="paragraph" w:customStyle="1" w:styleId="HeaderSensitivityRight">
    <w:name w:val="Header Sensitivity Right"/>
    <w:basedOn w:val="Normal"/>
    <w:pPr>
      <w:spacing w:after="120"/>
      <w:jc w:val="right"/>
    </w:pPr>
    <w:rPr>
      <w:sz w:val="28"/>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65F91" w:themeColor="accent1" w:themeShade="BF"/>
      <w:sz w:val="22"/>
      <w:szCs w:val="22"/>
      <w:lang w:val="ro-RO"/>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43F60" w:themeColor="accent1" w:themeShade="7F"/>
      <w:sz w:val="22"/>
      <w:szCs w:val="22"/>
      <w:lang w:val="ro-RO"/>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243F60" w:themeColor="accent1" w:themeShade="7F"/>
      <w:sz w:val="22"/>
      <w:szCs w:val="22"/>
      <w:lang w:val="ro-RO"/>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lang w:val="ro-RO"/>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lang w:val="ro-RO"/>
    </w:rPr>
  </w:style>
  <w:style w:type="paragraph" w:styleId="EndnoteText">
    <w:name w:val="endnote text"/>
    <w:basedOn w:val="Normal"/>
    <w:link w:val="EndnoteTextChar"/>
    <w:unhideWhenUsed/>
    <w:rPr>
      <w:rFonts w:asciiTheme="minorHAnsi" w:eastAsia="SimSun" w:hAnsiTheme="minorHAnsi" w:cstheme="minorBidi"/>
      <w:sz w:val="20"/>
      <w:szCs w:val="20"/>
      <w:lang w:eastAsia="en-US"/>
    </w:rPr>
  </w:style>
  <w:style w:type="character" w:customStyle="1" w:styleId="EndnoteTextChar">
    <w:name w:val="Endnote Text Char"/>
    <w:basedOn w:val="DefaultParagraphFont"/>
    <w:link w:val="EndnoteText"/>
    <w:rPr>
      <w:rFonts w:asciiTheme="minorHAnsi" w:eastAsia="SimSun" w:hAnsiTheme="minorHAnsi" w:cstheme="minorBidi"/>
      <w:lang w:val="ro-RO"/>
    </w:rPr>
  </w:style>
  <w:style w:type="character" w:styleId="EndnoteReference">
    <w:name w:val="endnote reference"/>
    <w:basedOn w:val="DefaultParagraphFont"/>
    <w:unhideWhenUsed/>
    <w:rPr>
      <w:vertAlign w:val="superscript"/>
    </w:rPr>
  </w:style>
  <w:style w:type="character" w:customStyle="1" w:styleId="Footnote1">
    <w:name w:val="Footnote|1_"/>
    <w:basedOn w:val="DefaultParagraphFont"/>
    <w:link w:val="Footnote10"/>
  </w:style>
  <w:style w:type="character" w:customStyle="1" w:styleId="Bodytext1">
    <w:name w:val="Body text|1_"/>
    <w:basedOn w:val="DefaultParagraphFont"/>
    <w:link w:val="Bodytext10"/>
  </w:style>
  <w:style w:type="paragraph" w:customStyle="1" w:styleId="Footnote10">
    <w:name w:val="Footnote|1"/>
    <w:basedOn w:val="Normal"/>
    <w:link w:val="Footnote1"/>
    <w:pPr>
      <w:widowControl w:val="0"/>
      <w:ind w:firstLine="740"/>
    </w:pPr>
    <w:rPr>
      <w:sz w:val="20"/>
      <w:szCs w:val="20"/>
      <w:lang w:eastAsia="en-US"/>
    </w:rPr>
  </w:style>
  <w:style w:type="paragraph" w:customStyle="1" w:styleId="Bodytext10">
    <w:name w:val="Body text|1"/>
    <w:basedOn w:val="Normal"/>
    <w:link w:val="Bodytext1"/>
    <w:pPr>
      <w:widowControl w:val="0"/>
      <w:spacing w:after="120" w:line="276" w:lineRule="auto"/>
    </w:pPr>
    <w:rPr>
      <w:sz w:val="20"/>
      <w:szCs w:val="20"/>
      <w:lang w:eastAsia="en-US"/>
    </w:rPr>
  </w:style>
  <w:style w:type="paragraph" w:customStyle="1" w:styleId="Body">
    <w:name w:val="Body"/>
    <w:pPr>
      <w:pBdr>
        <w:top w:val="nil"/>
        <w:left w:val="nil"/>
        <w:bottom w:val="nil"/>
        <w:right w:val="nil"/>
        <w:between w:val="nil"/>
        <w:bar w:val="nil"/>
      </w:pBdr>
      <w:spacing w:after="240"/>
      <w:jc w:val="both"/>
    </w:pPr>
    <w:rPr>
      <w:color w:val="000000"/>
      <w:sz w:val="24"/>
      <w:szCs w:val="24"/>
      <w:u w:color="000000"/>
      <w:bdr w:val="nil"/>
      <w:lang w:eastAsia="fr-BE"/>
    </w:rPr>
  </w:style>
  <w:style w:type="paragraph" w:styleId="NormalWeb">
    <w:name w:val="Normal (Web)"/>
    <w:basedOn w:val="Normal"/>
    <w:uiPriority w:val="99"/>
    <w:unhideWhenUsed/>
    <w:pPr>
      <w:spacing w:before="100" w:beforeAutospacing="1" w:after="100" w:afterAutospacing="1"/>
    </w:pPr>
    <w:rPr>
      <w:lang w:eastAsia="en-GB"/>
    </w:rPr>
  </w:style>
  <w:style w:type="paragraph" w:customStyle="1" w:styleId="LegalNumPar">
    <w:name w:val="LegalNumPar"/>
    <w:basedOn w:val="Normal"/>
    <w:pPr>
      <w:numPr>
        <w:numId w:val="3"/>
      </w:numPr>
      <w:spacing w:line="360" w:lineRule="auto"/>
    </w:pPr>
  </w:style>
  <w:style w:type="paragraph" w:customStyle="1" w:styleId="LegalNumPar2">
    <w:name w:val="LegalNumPar2"/>
    <w:basedOn w:val="Normal"/>
    <w:pPr>
      <w:numPr>
        <w:ilvl w:val="1"/>
        <w:numId w:val="3"/>
      </w:numPr>
      <w:spacing w:line="360" w:lineRule="auto"/>
    </w:pPr>
  </w:style>
  <w:style w:type="paragraph" w:customStyle="1" w:styleId="LegalNumPar3">
    <w:name w:val="LegalNumPar3"/>
    <w:basedOn w:val="Normal"/>
    <w:pPr>
      <w:numPr>
        <w:ilvl w:val="2"/>
        <w:numId w:val="3"/>
      </w:numPr>
      <w:spacing w:line="360" w:lineRule="auto"/>
    </w:pPr>
  </w:style>
  <w:style w:type="character" w:customStyle="1" w:styleId="normaltextrun">
    <w:name w:val="normaltextrun"/>
    <w:basedOn w:val="DefaultParagraphFont"/>
  </w:style>
  <w:style w:type="paragraph" w:customStyle="1" w:styleId="paragraph">
    <w:name w:val="paragraph"/>
    <w:basedOn w:val="Normal"/>
    <w:pPr>
      <w:spacing w:before="100" w:beforeAutospacing="1" w:after="100" w:afterAutospacing="1"/>
    </w:pPr>
    <w:rPr>
      <w:lang w:eastAsia="en-IE"/>
    </w:rPr>
  </w:style>
  <w:style w:type="character" w:customStyle="1" w:styleId="eop">
    <w:name w:val="eop"/>
    <w:basedOn w:val="DefaultParagraphFont"/>
  </w:style>
  <w:style w:type="paragraph" w:customStyle="1" w:styleId="ListDash1">
    <w:name w:val="List Dash 1"/>
    <w:basedOn w:val="Text1"/>
    <w:uiPriority w:val="1"/>
    <w:pPr>
      <w:numPr>
        <w:numId w:val="5"/>
      </w:numPr>
      <w:spacing w:before="0" w:after="240"/>
    </w:pPr>
    <w:rPr>
      <w:szCs w:val="20"/>
      <w:lang w:eastAsia="en-GB"/>
    </w:rPr>
  </w:style>
  <w:style w:type="paragraph" w:customStyle="1" w:styleId="ListDash1Level2">
    <w:name w:val="List Dash 1 (Level 2)"/>
    <w:basedOn w:val="Text1"/>
    <w:uiPriority w:val="1"/>
    <w:pPr>
      <w:numPr>
        <w:ilvl w:val="1"/>
        <w:numId w:val="5"/>
      </w:numPr>
      <w:spacing w:before="0" w:after="240"/>
    </w:pPr>
    <w:rPr>
      <w:szCs w:val="20"/>
      <w:lang w:eastAsia="en-GB"/>
    </w:rPr>
  </w:style>
  <w:style w:type="paragraph" w:customStyle="1" w:styleId="ListDash1Level3">
    <w:name w:val="List Dash 1 (Level 3)"/>
    <w:basedOn w:val="Text1"/>
    <w:uiPriority w:val="1"/>
    <w:semiHidden/>
    <w:unhideWhenUsed/>
    <w:pPr>
      <w:numPr>
        <w:ilvl w:val="2"/>
        <w:numId w:val="5"/>
      </w:numPr>
      <w:spacing w:before="0" w:after="240"/>
    </w:pPr>
    <w:rPr>
      <w:szCs w:val="20"/>
      <w:lang w:eastAsia="en-GB"/>
    </w:rPr>
  </w:style>
  <w:style w:type="paragraph" w:customStyle="1" w:styleId="ListDash1Level4">
    <w:name w:val="List Dash 1 (Level 4)"/>
    <w:basedOn w:val="Text1"/>
    <w:uiPriority w:val="1"/>
    <w:semiHidden/>
    <w:unhideWhenUsed/>
    <w:pPr>
      <w:numPr>
        <w:ilvl w:val="3"/>
        <w:numId w:val="5"/>
      </w:numPr>
      <w:spacing w:before="0" w:after="240"/>
    </w:pPr>
    <w:rPr>
      <w:szCs w:val="20"/>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cf01">
    <w:name w:val="cf01"/>
    <w:basedOn w:val="DefaultParagraphFont"/>
    <w:rPr>
      <w:rFonts w:ascii="Segoe UI" w:hAnsi="Segoe UI" w:cs="Segoe UI" w:hint="default"/>
      <w:sz w:val="18"/>
      <w:szCs w:val="18"/>
    </w:rPr>
  </w:style>
  <w:style w:type="paragraph" w:customStyle="1" w:styleId="1">
    <w:name w:val="일반 (웹)1"/>
    <w:basedOn w:val="Normal"/>
    <w:uiPriority w:val="99"/>
    <w:pPr>
      <w:snapToGrid w:val="0"/>
      <w:spacing w:after="200" w:line="276" w:lineRule="auto"/>
    </w:pPr>
    <w:rPr>
      <w:rFonts w:ascii="Malgun Gothic" w:eastAsia="Malgun Gothic" w:hAnsi="Malgun Gothic" w:cs="Gulim"/>
      <w:color w:val="000000"/>
      <w:sz w:val="22"/>
      <w:szCs w:val="22"/>
    </w:rPr>
  </w:style>
  <w:style w:type="paragraph" w:customStyle="1" w:styleId="Languesfaisantfoi">
    <w:name w:val="Langues faisant foi"/>
    <w:basedOn w:val="Normal"/>
    <w:next w:val="Normal"/>
    <w:pPr>
      <w:spacing w:before="360" w:after="240"/>
      <w:jc w:val="center"/>
    </w:pPr>
    <w:rPr>
      <w:rFonts w:eastAsiaTheme="minorHAnsi"/>
      <w:szCs w:val="22"/>
      <w:lang w:eastAsia="en-US"/>
    </w:rPr>
  </w:style>
  <w:style w:type="paragraph" w:customStyle="1" w:styleId="LanguesfaisantfoiPagedecouverture">
    <w:name w:val="Langues faisant foi (Page de couverture)"/>
    <w:basedOn w:val="Normal"/>
    <w:next w:val="Normal"/>
    <w:pPr>
      <w:spacing w:before="360" w:after="240"/>
      <w:jc w:val="center"/>
    </w:pPr>
    <w:rPr>
      <w:rFonts w:eastAsiaTheme="minorHAnsi"/>
      <w:szCs w:val="22"/>
      <w:lang w:eastAsia="en-US"/>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38291">
      <w:bodyDiv w:val="1"/>
      <w:marLeft w:val="0"/>
      <w:marRight w:val="0"/>
      <w:marTop w:val="0"/>
      <w:marBottom w:val="0"/>
      <w:divBdr>
        <w:top w:val="none" w:sz="0" w:space="0" w:color="auto"/>
        <w:left w:val="none" w:sz="0" w:space="0" w:color="auto"/>
        <w:bottom w:val="none" w:sz="0" w:space="0" w:color="auto"/>
        <w:right w:val="none" w:sz="0" w:space="0" w:color="auto"/>
      </w:divBdr>
    </w:div>
    <w:div w:id="66732020">
      <w:bodyDiv w:val="1"/>
      <w:marLeft w:val="0"/>
      <w:marRight w:val="0"/>
      <w:marTop w:val="0"/>
      <w:marBottom w:val="0"/>
      <w:divBdr>
        <w:top w:val="none" w:sz="0" w:space="0" w:color="auto"/>
        <w:left w:val="none" w:sz="0" w:space="0" w:color="auto"/>
        <w:bottom w:val="none" w:sz="0" w:space="0" w:color="auto"/>
        <w:right w:val="none" w:sz="0" w:space="0" w:color="auto"/>
      </w:divBdr>
      <w:divsChild>
        <w:div w:id="308559483">
          <w:marLeft w:val="0"/>
          <w:marRight w:val="0"/>
          <w:marTop w:val="0"/>
          <w:marBottom w:val="0"/>
          <w:divBdr>
            <w:top w:val="none" w:sz="0" w:space="0" w:color="auto"/>
            <w:left w:val="none" w:sz="0" w:space="0" w:color="auto"/>
            <w:bottom w:val="none" w:sz="0" w:space="0" w:color="auto"/>
            <w:right w:val="none" w:sz="0" w:space="0" w:color="auto"/>
          </w:divBdr>
          <w:divsChild>
            <w:div w:id="1999917726">
              <w:marLeft w:val="0"/>
              <w:marRight w:val="0"/>
              <w:marTop w:val="0"/>
              <w:marBottom w:val="0"/>
              <w:divBdr>
                <w:top w:val="none" w:sz="0" w:space="0" w:color="auto"/>
                <w:left w:val="none" w:sz="0" w:space="0" w:color="auto"/>
                <w:bottom w:val="none" w:sz="0" w:space="0" w:color="auto"/>
                <w:right w:val="none" w:sz="0" w:space="0" w:color="auto"/>
              </w:divBdr>
              <w:divsChild>
                <w:div w:id="1255363182">
                  <w:marLeft w:val="0"/>
                  <w:marRight w:val="0"/>
                  <w:marTop w:val="0"/>
                  <w:marBottom w:val="0"/>
                  <w:divBdr>
                    <w:top w:val="none" w:sz="0" w:space="0" w:color="auto"/>
                    <w:left w:val="none" w:sz="0" w:space="0" w:color="auto"/>
                    <w:bottom w:val="none" w:sz="0" w:space="0" w:color="auto"/>
                    <w:right w:val="none" w:sz="0" w:space="0" w:color="auto"/>
                  </w:divBdr>
                  <w:divsChild>
                    <w:div w:id="162608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37572">
      <w:marLeft w:val="0"/>
      <w:marRight w:val="0"/>
      <w:marTop w:val="0"/>
      <w:marBottom w:val="0"/>
      <w:divBdr>
        <w:top w:val="none" w:sz="0" w:space="0" w:color="auto"/>
        <w:left w:val="none" w:sz="0" w:space="0" w:color="auto"/>
        <w:bottom w:val="none" w:sz="0" w:space="0" w:color="auto"/>
        <w:right w:val="none" w:sz="0" w:space="0" w:color="auto"/>
      </w:divBdr>
    </w:div>
    <w:div w:id="103237573">
      <w:marLeft w:val="0"/>
      <w:marRight w:val="0"/>
      <w:marTop w:val="0"/>
      <w:marBottom w:val="0"/>
      <w:divBdr>
        <w:top w:val="none" w:sz="0" w:space="0" w:color="auto"/>
        <w:left w:val="none" w:sz="0" w:space="0" w:color="auto"/>
        <w:bottom w:val="none" w:sz="0" w:space="0" w:color="auto"/>
        <w:right w:val="none" w:sz="0" w:space="0" w:color="auto"/>
      </w:divBdr>
    </w:div>
    <w:div w:id="103237574">
      <w:marLeft w:val="0"/>
      <w:marRight w:val="0"/>
      <w:marTop w:val="0"/>
      <w:marBottom w:val="0"/>
      <w:divBdr>
        <w:top w:val="none" w:sz="0" w:space="0" w:color="auto"/>
        <w:left w:val="none" w:sz="0" w:space="0" w:color="auto"/>
        <w:bottom w:val="none" w:sz="0" w:space="0" w:color="auto"/>
        <w:right w:val="none" w:sz="0" w:space="0" w:color="auto"/>
      </w:divBdr>
    </w:div>
    <w:div w:id="136386829">
      <w:bodyDiv w:val="1"/>
      <w:marLeft w:val="0"/>
      <w:marRight w:val="0"/>
      <w:marTop w:val="0"/>
      <w:marBottom w:val="0"/>
      <w:divBdr>
        <w:top w:val="none" w:sz="0" w:space="0" w:color="auto"/>
        <w:left w:val="none" w:sz="0" w:space="0" w:color="auto"/>
        <w:bottom w:val="none" w:sz="0" w:space="0" w:color="auto"/>
        <w:right w:val="none" w:sz="0" w:space="0" w:color="auto"/>
      </w:divBdr>
    </w:div>
    <w:div w:id="147868142">
      <w:bodyDiv w:val="1"/>
      <w:marLeft w:val="0"/>
      <w:marRight w:val="0"/>
      <w:marTop w:val="0"/>
      <w:marBottom w:val="0"/>
      <w:divBdr>
        <w:top w:val="none" w:sz="0" w:space="0" w:color="auto"/>
        <w:left w:val="none" w:sz="0" w:space="0" w:color="auto"/>
        <w:bottom w:val="none" w:sz="0" w:space="0" w:color="auto"/>
        <w:right w:val="none" w:sz="0" w:space="0" w:color="auto"/>
      </w:divBdr>
    </w:div>
    <w:div w:id="155849680">
      <w:bodyDiv w:val="1"/>
      <w:marLeft w:val="0"/>
      <w:marRight w:val="0"/>
      <w:marTop w:val="0"/>
      <w:marBottom w:val="0"/>
      <w:divBdr>
        <w:top w:val="none" w:sz="0" w:space="0" w:color="auto"/>
        <w:left w:val="none" w:sz="0" w:space="0" w:color="auto"/>
        <w:bottom w:val="none" w:sz="0" w:space="0" w:color="auto"/>
        <w:right w:val="none" w:sz="0" w:space="0" w:color="auto"/>
      </w:divBdr>
      <w:divsChild>
        <w:div w:id="111748384">
          <w:marLeft w:val="547"/>
          <w:marRight w:val="0"/>
          <w:marTop w:val="0"/>
          <w:marBottom w:val="360"/>
          <w:divBdr>
            <w:top w:val="none" w:sz="0" w:space="0" w:color="auto"/>
            <w:left w:val="none" w:sz="0" w:space="0" w:color="auto"/>
            <w:bottom w:val="none" w:sz="0" w:space="0" w:color="auto"/>
            <w:right w:val="none" w:sz="0" w:space="0" w:color="auto"/>
          </w:divBdr>
        </w:div>
        <w:div w:id="665596992">
          <w:marLeft w:val="547"/>
          <w:marRight w:val="0"/>
          <w:marTop w:val="0"/>
          <w:marBottom w:val="360"/>
          <w:divBdr>
            <w:top w:val="none" w:sz="0" w:space="0" w:color="auto"/>
            <w:left w:val="none" w:sz="0" w:space="0" w:color="auto"/>
            <w:bottom w:val="none" w:sz="0" w:space="0" w:color="auto"/>
            <w:right w:val="none" w:sz="0" w:space="0" w:color="auto"/>
          </w:divBdr>
        </w:div>
        <w:div w:id="920527971">
          <w:marLeft w:val="547"/>
          <w:marRight w:val="0"/>
          <w:marTop w:val="0"/>
          <w:marBottom w:val="360"/>
          <w:divBdr>
            <w:top w:val="none" w:sz="0" w:space="0" w:color="auto"/>
            <w:left w:val="none" w:sz="0" w:space="0" w:color="auto"/>
            <w:bottom w:val="none" w:sz="0" w:space="0" w:color="auto"/>
            <w:right w:val="none" w:sz="0" w:space="0" w:color="auto"/>
          </w:divBdr>
        </w:div>
        <w:div w:id="1704750805">
          <w:marLeft w:val="547"/>
          <w:marRight w:val="0"/>
          <w:marTop w:val="0"/>
          <w:marBottom w:val="360"/>
          <w:divBdr>
            <w:top w:val="none" w:sz="0" w:space="0" w:color="auto"/>
            <w:left w:val="none" w:sz="0" w:space="0" w:color="auto"/>
            <w:bottom w:val="none" w:sz="0" w:space="0" w:color="auto"/>
            <w:right w:val="none" w:sz="0" w:space="0" w:color="auto"/>
          </w:divBdr>
        </w:div>
        <w:div w:id="1985427767">
          <w:marLeft w:val="547"/>
          <w:marRight w:val="0"/>
          <w:marTop w:val="0"/>
          <w:marBottom w:val="360"/>
          <w:divBdr>
            <w:top w:val="none" w:sz="0" w:space="0" w:color="auto"/>
            <w:left w:val="none" w:sz="0" w:space="0" w:color="auto"/>
            <w:bottom w:val="none" w:sz="0" w:space="0" w:color="auto"/>
            <w:right w:val="none" w:sz="0" w:space="0" w:color="auto"/>
          </w:divBdr>
        </w:div>
      </w:divsChild>
    </w:div>
    <w:div w:id="170688109">
      <w:bodyDiv w:val="1"/>
      <w:marLeft w:val="0"/>
      <w:marRight w:val="0"/>
      <w:marTop w:val="0"/>
      <w:marBottom w:val="0"/>
      <w:divBdr>
        <w:top w:val="none" w:sz="0" w:space="0" w:color="auto"/>
        <w:left w:val="none" w:sz="0" w:space="0" w:color="auto"/>
        <w:bottom w:val="none" w:sz="0" w:space="0" w:color="auto"/>
        <w:right w:val="none" w:sz="0" w:space="0" w:color="auto"/>
      </w:divBdr>
    </w:div>
    <w:div w:id="176578055">
      <w:bodyDiv w:val="1"/>
      <w:marLeft w:val="0"/>
      <w:marRight w:val="0"/>
      <w:marTop w:val="0"/>
      <w:marBottom w:val="0"/>
      <w:divBdr>
        <w:top w:val="none" w:sz="0" w:space="0" w:color="auto"/>
        <w:left w:val="none" w:sz="0" w:space="0" w:color="auto"/>
        <w:bottom w:val="none" w:sz="0" w:space="0" w:color="auto"/>
        <w:right w:val="none" w:sz="0" w:space="0" w:color="auto"/>
      </w:divBdr>
    </w:div>
    <w:div w:id="184709250">
      <w:bodyDiv w:val="1"/>
      <w:marLeft w:val="0"/>
      <w:marRight w:val="0"/>
      <w:marTop w:val="0"/>
      <w:marBottom w:val="0"/>
      <w:divBdr>
        <w:top w:val="none" w:sz="0" w:space="0" w:color="auto"/>
        <w:left w:val="none" w:sz="0" w:space="0" w:color="auto"/>
        <w:bottom w:val="none" w:sz="0" w:space="0" w:color="auto"/>
        <w:right w:val="none" w:sz="0" w:space="0" w:color="auto"/>
      </w:divBdr>
    </w:div>
    <w:div w:id="195775947">
      <w:bodyDiv w:val="1"/>
      <w:marLeft w:val="0"/>
      <w:marRight w:val="0"/>
      <w:marTop w:val="0"/>
      <w:marBottom w:val="0"/>
      <w:divBdr>
        <w:top w:val="none" w:sz="0" w:space="0" w:color="auto"/>
        <w:left w:val="none" w:sz="0" w:space="0" w:color="auto"/>
        <w:bottom w:val="none" w:sz="0" w:space="0" w:color="auto"/>
        <w:right w:val="none" w:sz="0" w:space="0" w:color="auto"/>
      </w:divBdr>
    </w:div>
    <w:div w:id="264963460">
      <w:bodyDiv w:val="1"/>
      <w:marLeft w:val="0"/>
      <w:marRight w:val="0"/>
      <w:marTop w:val="0"/>
      <w:marBottom w:val="0"/>
      <w:divBdr>
        <w:top w:val="none" w:sz="0" w:space="0" w:color="auto"/>
        <w:left w:val="none" w:sz="0" w:space="0" w:color="auto"/>
        <w:bottom w:val="none" w:sz="0" w:space="0" w:color="auto"/>
        <w:right w:val="none" w:sz="0" w:space="0" w:color="auto"/>
      </w:divBdr>
    </w:div>
    <w:div w:id="275256641">
      <w:bodyDiv w:val="1"/>
      <w:marLeft w:val="0"/>
      <w:marRight w:val="0"/>
      <w:marTop w:val="0"/>
      <w:marBottom w:val="0"/>
      <w:divBdr>
        <w:top w:val="none" w:sz="0" w:space="0" w:color="auto"/>
        <w:left w:val="none" w:sz="0" w:space="0" w:color="auto"/>
        <w:bottom w:val="none" w:sz="0" w:space="0" w:color="auto"/>
        <w:right w:val="none" w:sz="0" w:space="0" w:color="auto"/>
      </w:divBdr>
    </w:div>
    <w:div w:id="281546001">
      <w:bodyDiv w:val="1"/>
      <w:marLeft w:val="0"/>
      <w:marRight w:val="0"/>
      <w:marTop w:val="0"/>
      <w:marBottom w:val="0"/>
      <w:divBdr>
        <w:top w:val="none" w:sz="0" w:space="0" w:color="auto"/>
        <w:left w:val="none" w:sz="0" w:space="0" w:color="auto"/>
        <w:bottom w:val="none" w:sz="0" w:space="0" w:color="auto"/>
        <w:right w:val="none" w:sz="0" w:space="0" w:color="auto"/>
      </w:divBdr>
    </w:div>
    <w:div w:id="318120557">
      <w:bodyDiv w:val="1"/>
      <w:marLeft w:val="0"/>
      <w:marRight w:val="0"/>
      <w:marTop w:val="0"/>
      <w:marBottom w:val="0"/>
      <w:divBdr>
        <w:top w:val="none" w:sz="0" w:space="0" w:color="auto"/>
        <w:left w:val="none" w:sz="0" w:space="0" w:color="auto"/>
        <w:bottom w:val="none" w:sz="0" w:space="0" w:color="auto"/>
        <w:right w:val="none" w:sz="0" w:space="0" w:color="auto"/>
      </w:divBdr>
    </w:div>
    <w:div w:id="324481812">
      <w:bodyDiv w:val="1"/>
      <w:marLeft w:val="0"/>
      <w:marRight w:val="0"/>
      <w:marTop w:val="0"/>
      <w:marBottom w:val="0"/>
      <w:divBdr>
        <w:top w:val="none" w:sz="0" w:space="0" w:color="auto"/>
        <w:left w:val="none" w:sz="0" w:space="0" w:color="auto"/>
        <w:bottom w:val="none" w:sz="0" w:space="0" w:color="auto"/>
        <w:right w:val="none" w:sz="0" w:space="0" w:color="auto"/>
      </w:divBdr>
    </w:div>
    <w:div w:id="420298575">
      <w:bodyDiv w:val="1"/>
      <w:marLeft w:val="0"/>
      <w:marRight w:val="0"/>
      <w:marTop w:val="0"/>
      <w:marBottom w:val="0"/>
      <w:divBdr>
        <w:top w:val="none" w:sz="0" w:space="0" w:color="auto"/>
        <w:left w:val="none" w:sz="0" w:space="0" w:color="auto"/>
        <w:bottom w:val="none" w:sz="0" w:space="0" w:color="auto"/>
        <w:right w:val="none" w:sz="0" w:space="0" w:color="auto"/>
      </w:divBdr>
    </w:div>
    <w:div w:id="432408582">
      <w:bodyDiv w:val="1"/>
      <w:marLeft w:val="0"/>
      <w:marRight w:val="0"/>
      <w:marTop w:val="0"/>
      <w:marBottom w:val="0"/>
      <w:divBdr>
        <w:top w:val="none" w:sz="0" w:space="0" w:color="auto"/>
        <w:left w:val="none" w:sz="0" w:space="0" w:color="auto"/>
        <w:bottom w:val="none" w:sz="0" w:space="0" w:color="auto"/>
        <w:right w:val="none" w:sz="0" w:space="0" w:color="auto"/>
      </w:divBdr>
    </w:div>
    <w:div w:id="437216454">
      <w:bodyDiv w:val="1"/>
      <w:marLeft w:val="0"/>
      <w:marRight w:val="0"/>
      <w:marTop w:val="0"/>
      <w:marBottom w:val="0"/>
      <w:divBdr>
        <w:top w:val="none" w:sz="0" w:space="0" w:color="auto"/>
        <w:left w:val="none" w:sz="0" w:space="0" w:color="auto"/>
        <w:bottom w:val="none" w:sz="0" w:space="0" w:color="auto"/>
        <w:right w:val="none" w:sz="0" w:space="0" w:color="auto"/>
      </w:divBdr>
    </w:div>
    <w:div w:id="451479938">
      <w:bodyDiv w:val="1"/>
      <w:marLeft w:val="0"/>
      <w:marRight w:val="0"/>
      <w:marTop w:val="0"/>
      <w:marBottom w:val="0"/>
      <w:divBdr>
        <w:top w:val="none" w:sz="0" w:space="0" w:color="auto"/>
        <w:left w:val="none" w:sz="0" w:space="0" w:color="auto"/>
        <w:bottom w:val="none" w:sz="0" w:space="0" w:color="auto"/>
        <w:right w:val="none" w:sz="0" w:space="0" w:color="auto"/>
      </w:divBdr>
    </w:div>
    <w:div w:id="458256970">
      <w:bodyDiv w:val="1"/>
      <w:marLeft w:val="0"/>
      <w:marRight w:val="0"/>
      <w:marTop w:val="0"/>
      <w:marBottom w:val="0"/>
      <w:divBdr>
        <w:top w:val="none" w:sz="0" w:space="0" w:color="auto"/>
        <w:left w:val="none" w:sz="0" w:space="0" w:color="auto"/>
        <w:bottom w:val="none" w:sz="0" w:space="0" w:color="auto"/>
        <w:right w:val="none" w:sz="0" w:space="0" w:color="auto"/>
      </w:divBdr>
    </w:div>
    <w:div w:id="461850333">
      <w:bodyDiv w:val="1"/>
      <w:marLeft w:val="0"/>
      <w:marRight w:val="0"/>
      <w:marTop w:val="0"/>
      <w:marBottom w:val="0"/>
      <w:divBdr>
        <w:top w:val="none" w:sz="0" w:space="0" w:color="auto"/>
        <w:left w:val="none" w:sz="0" w:space="0" w:color="auto"/>
        <w:bottom w:val="none" w:sz="0" w:space="0" w:color="auto"/>
        <w:right w:val="none" w:sz="0" w:space="0" w:color="auto"/>
      </w:divBdr>
    </w:div>
    <w:div w:id="498010302">
      <w:bodyDiv w:val="1"/>
      <w:marLeft w:val="0"/>
      <w:marRight w:val="0"/>
      <w:marTop w:val="0"/>
      <w:marBottom w:val="0"/>
      <w:divBdr>
        <w:top w:val="none" w:sz="0" w:space="0" w:color="auto"/>
        <w:left w:val="none" w:sz="0" w:space="0" w:color="auto"/>
        <w:bottom w:val="none" w:sz="0" w:space="0" w:color="auto"/>
        <w:right w:val="none" w:sz="0" w:space="0" w:color="auto"/>
      </w:divBdr>
    </w:div>
    <w:div w:id="502480240">
      <w:bodyDiv w:val="1"/>
      <w:marLeft w:val="0"/>
      <w:marRight w:val="0"/>
      <w:marTop w:val="0"/>
      <w:marBottom w:val="0"/>
      <w:divBdr>
        <w:top w:val="none" w:sz="0" w:space="0" w:color="auto"/>
        <w:left w:val="none" w:sz="0" w:space="0" w:color="auto"/>
        <w:bottom w:val="none" w:sz="0" w:space="0" w:color="auto"/>
        <w:right w:val="none" w:sz="0" w:space="0" w:color="auto"/>
      </w:divBdr>
    </w:div>
    <w:div w:id="518159488">
      <w:bodyDiv w:val="1"/>
      <w:marLeft w:val="0"/>
      <w:marRight w:val="0"/>
      <w:marTop w:val="0"/>
      <w:marBottom w:val="0"/>
      <w:divBdr>
        <w:top w:val="none" w:sz="0" w:space="0" w:color="auto"/>
        <w:left w:val="none" w:sz="0" w:space="0" w:color="auto"/>
        <w:bottom w:val="none" w:sz="0" w:space="0" w:color="auto"/>
        <w:right w:val="none" w:sz="0" w:space="0" w:color="auto"/>
      </w:divBdr>
    </w:div>
    <w:div w:id="519973782">
      <w:bodyDiv w:val="1"/>
      <w:marLeft w:val="0"/>
      <w:marRight w:val="0"/>
      <w:marTop w:val="0"/>
      <w:marBottom w:val="0"/>
      <w:divBdr>
        <w:top w:val="none" w:sz="0" w:space="0" w:color="auto"/>
        <w:left w:val="none" w:sz="0" w:space="0" w:color="auto"/>
        <w:bottom w:val="none" w:sz="0" w:space="0" w:color="auto"/>
        <w:right w:val="none" w:sz="0" w:space="0" w:color="auto"/>
      </w:divBdr>
    </w:div>
    <w:div w:id="544216257">
      <w:bodyDiv w:val="1"/>
      <w:marLeft w:val="0"/>
      <w:marRight w:val="0"/>
      <w:marTop w:val="0"/>
      <w:marBottom w:val="0"/>
      <w:divBdr>
        <w:top w:val="none" w:sz="0" w:space="0" w:color="auto"/>
        <w:left w:val="none" w:sz="0" w:space="0" w:color="auto"/>
        <w:bottom w:val="none" w:sz="0" w:space="0" w:color="auto"/>
        <w:right w:val="none" w:sz="0" w:space="0" w:color="auto"/>
      </w:divBdr>
    </w:div>
    <w:div w:id="579221384">
      <w:bodyDiv w:val="1"/>
      <w:marLeft w:val="0"/>
      <w:marRight w:val="0"/>
      <w:marTop w:val="0"/>
      <w:marBottom w:val="0"/>
      <w:divBdr>
        <w:top w:val="none" w:sz="0" w:space="0" w:color="auto"/>
        <w:left w:val="none" w:sz="0" w:space="0" w:color="auto"/>
        <w:bottom w:val="none" w:sz="0" w:space="0" w:color="auto"/>
        <w:right w:val="none" w:sz="0" w:space="0" w:color="auto"/>
      </w:divBdr>
    </w:div>
    <w:div w:id="599870178">
      <w:bodyDiv w:val="1"/>
      <w:marLeft w:val="0"/>
      <w:marRight w:val="0"/>
      <w:marTop w:val="0"/>
      <w:marBottom w:val="0"/>
      <w:divBdr>
        <w:top w:val="none" w:sz="0" w:space="0" w:color="auto"/>
        <w:left w:val="none" w:sz="0" w:space="0" w:color="auto"/>
        <w:bottom w:val="none" w:sz="0" w:space="0" w:color="auto"/>
        <w:right w:val="none" w:sz="0" w:space="0" w:color="auto"/>
      </w:divBdr>
    </w:div>
    <w:div w:id="612444339">
      <w:bodyDiv w:val="1"/>
      <w:marLeft w:val="0"/>
      <w:marRight w:val="0"/>
      <w:marTop w:val="0"/>
      <w:marBottom w:val="0"/>
      <w:divBdr>
        <w:top w:val="none" w:sz="0" w:space="0" w:color="auto"/>
        <w:left w:val="none" w:sz="0" w:space="0" w:color="auto"/>
        <w:bottom w:val="none" w:sz="0" w:space="0" w:color="auto"/>
        <w:right w:val="none" w:sz="0" w:space="0" w:color="auto"/>
      </w:divBdr>
    </w:div>
    <w:div w:id="623315578">
      <w:bodyDiv w:val="1"/>
      <w:marLeft w:val="0"/>
      <w:marRight w:val="0"/>
      <w:marTop w:val="0"/>
      <w:marBottom w:val="0"/>
      <w:divBdr>
        <w:top w:val="none" w:sz="0" w:space="0" w:color="auto"/>
        <w:left w:val="none" w:sz="0" w:space="0" w:color="auto"/>
        <w:bottom w:val="none" w:sz="0" w:space="0" w:color="auto"/>
        <w:right w:val="none" w:sz="0" w:space="0" w:color="auto"/>
      </w:divBdr>
    </w:div>
    <w:div w:id="648822429">
      <w:bodyDiv w:val="1"/>
      <w:marLeft w:val="0"/>
      <w:marRight w:val="0"/>
      <w:marTop w:val="0"/>
      <w:marBottom w:val="0"/>
      <w:divBdr>
        <w:top w:val="none" w:sz="0" w:space="0" w:color="auto"/>
        <w:left w:val="none" w:sz="0" w:space="0" w:color="auto"/>
        <w:bottom w:val="none" w:sz="0" w:space="0" w:color="auto"/>
        <w:right w:val="none" w:sz="0" w:space="0" w:color="auto"/>
      </w:divBdr>
    </w:div>
    <w:div w:id="688876531">
      <w:bodyDiv w:val="1"/>
      <w:marLeft w:val="0"/>
      <w:marRight w:val="0"/>
      <w:marTop w:val="0"/>
      <w:marBottom w:val="0"/>
      <w:divBdr>
        <w:top w:val="none" w:sz="0" w:space="0" w:color="auto"/>
        <w:left w:val="none" w:sz="0" w:space="0" w:color="auto"/>
        <w:bottom w:val="none" w:sz="0" w:space="0" w:color="auto"/>
        <w:right w:val="none" w:sz="0" w:space="0" w:color="auto"/>
      </w:divBdr>
    </w:div>
    <w:div w:id="690029905">
      <w:bodyDiv w:val="1"/>
      <w:marLeft w:val="0"/>
      <w:marRight w:val="0"/>
      <w:marTop w:val="0"/>
      <w:marBottom w:val="0"/>
      <w:divBdr>
        <w:top w:val="none" w:sz="0" w:space="0" w:color="auto"/>
        <w:left w:val="none" w:sz="0" w:space="0" w:color="auto"/>
        <w:bottom w:val="none" w:sz="0" w:space="0" w:color="auto"/>
        <w:right w:val="none" w:sz="0" w:space="0" w:color="auto"/>
      </w:divBdr>
    </w:div>
    <w:div w:id="741492362">
      <w:bodyDiv w:val="1"/>
      <w:marLeft w:val="0"/>
      <w:marRight w:val="0"/>
      <w:marTop w:val="0"/>
      <w:marBottom w:val="0"/>
      <w:divBdr>
        <w:top w:val="none" w:sz="0" w:space="0" w:color="auto"/>
        <w:left w:val="none" w:sz="0" w:space="0" w:color="auto"/>
        <w:bottom w:val="none" w:sz="0" w:space="0" w:color="auto"/>
        <w:right w:val="none" w:sz="0" w:space="0" w:color="auto"/>
      </w:divBdr>
    </w:div>
    <w:div w:id="746074793">
      <w:bodyDiv w:val="1"/>
      <w:marLeft w:val="0"/>
      <w:marRight w:val="0"/>
      <w:marTop w:val="0"/>
      <w:marBottom w:val="0"/>
      <w:divBdr>
        <w:top w:val="none" w:sz="0" w:space="0" w:color="auto"/>
        <w:left w:val="none" w:sz="0" w:space="0" w:color="auto"/>
        <w:bottom w:val="none" w:sz="0" w:space="0" w:color="auto"/>
        <w:right w:val="none" w:sz="0" w:space="0" w:color="auto"/>
      </w:divBdr>
    </w:div>
    <w:div w:id="765002753">
      <w:bodyDiv w:val="1"/>
      <w:marLeft w:val="0"/>
      <w:marRight w:val="0"/>
      <w:marTop w:val="0"/>
      <w:marBottom w:val="0"/>
      <w:divBdr>
        <w:top w:val="none" w:sz="0" w:space="0" w:color="auto"/>
        <w:left w:val="none" w:sz="0" w:space="0" w:color="auto"/>
        <w:bottom w:val="none" w:sz="0" w:space="0" w:color="auto"/>
        <w:right w:val="none" w:sz="0" w:space="0" w:color="auto"/>
      </w:divBdr>
    </w:div>
    <w:div w:id="795561086">
      <w:bodyDiv w:val="1"/>
      <w:marLeft w:val="0"/>
      <w:marRight w:val="0"/>
      <w:marTop w:val="0"/>
      <w:marBottom w:val="0"/>
      <w:divBdr>
        <w:top w:val="none" w:sz="0" w:space="0" w:color="auto"/>
        <w:left w:val="none" w:sz="0" w:space="0" w:color="auto"/>
        <w:bottom w:val="none" w:sz="0" w:space="0" w:color="auto"/>
        <w:right w:val="none" w:sz="0" w:space="0" w:color="auto"/>
      </w:divBdr>
    </w:div>
    <w:div w:id="817112314">
      <w:bodyDiv w:val="1"/>
      <w:marLeft w:val="0"/>
      <w:marRight w:val="0"/>
      <w:marTop w:val="0"/>
      <w:marBottom w:val="0"/>
      <w:divBdr>
        <w:top w:val="none" w:sz="0" w:space="0" w:color="auto"/>
        <w:left w:val="none" w:sz="0" w:space="0" w:color="auto"/>
        <w:bottom w:val="none" w:sz="0" w:space="0" w:color="auto"/>
        <w:right w:val="none" w:sz="0" w:space="0" w:color="auto"/>
      </w:divBdr>
    </w:div>
    <w:div w:id="835725778">
      <w:bodyDiv w:val="1"/>
      <w:marLeft w:val="0"/>
      <w:marRight w:val="0"/>
      <w:marTop w:val="0"/>
      <w:marBottom w:val="0"/>
      <w:divBdr>
        <w:top w:val="none" w:sz="0" w:space="0" w:color="auto"/>
        <w:left w:val="none" w:sz="0" w:space="0" w:color="auto"/>
        <w:bottom w:val="none" w:sz="0" w:space="0" w:color="auto"/>
        <w:right w:val="none" w:sz="0" w:space="0" w:color="auto"/>
      </w:divBdr>
    </w:div>
    <w:div w:id="840463001">
      <w:bodyDiv w:val="1"/>
      <w:marLeft w:val="0"/>
      <w:marRight w:val="0"/>
      <w:marTop w:val="0"/>
      <w:marBottom w:val="0"/>
      <w:divBdr>
        <w:top w:val="none" w:sz="0" w:space="0" w:color="auto"/>
        <w:left w:val="none" w:sz="0" w:space="0" w:color="auto"/>
        <w:bottom w:val="none" w:sz="0" w:space="0" w:color="auto"/>
        <w:right w:val="none" w:sz="0" w:space="0" w:color="auto"/>
      </w:divBdr>
    </w:div>
    <w:div w:id="850492769">
      <w:bodyDiv w:val="1"/>
      <w:marLeft w:val="0"/>
      <w:marRight w:val="0"/>
      <w:marTop w:val="0"/>
      <w:marBottom w:val="0"/>
      <w:divBdr>
        <w:top w:val="none" w:sz="0" w:space="0" w:color="auto"/>
        <w:left w:val="none" w:sz="0" w:space="0" w:color="auto"/>
        <w:bottom w:val="none" w:sz="0" w:space="0" w:color="auto"/>
        <w:right w:val="none" w:sz="0" w:space="0" w:color="auto"/>
      </w:divBdr>
    </w:div>
    <w:div w:id="892158828">
      <w:bodyDiv w:val="1"/>
      <w:marLeft w:val="0"/>
      <w:marRight w:val="0"/>
      <w:marTop w:val="0"/>
      <w:marBottom w:val="0"/>
      <w:divBdr>
        <w:top w:val="none" w:sz="0" w:space="0" w:color="auto"/>
        <w:left w:val="none" w:sz="0" w:space="0" w:color="auto"/>
        <w:bottom w:val="none" w:sz="0" w:space="0" w:color="auto"/>
        <w:right w:val="none" w:sz="0" w:space="0" w:color="auto"/>
      </w:divBdr>
    </w:div>
    <w:div w:id="898396177">
      <w:bodyDiv w:val="1"/>
      <w:marLeft w:val="0"/>
      <w:marRight w:val="0"/>
      <w:marTop w:val="0"/>
      <w:marBottom w:val="0"/>
      <w:divBdr>
        <w:top w:val="none" w:sz="0" w:space="0" w:color="auto"/>
        <w:left w:val="none" w:sz="0" w:space="0" w:color="auto"/>
        <w:bottom w:val="none" w:sz="0" w:space="0" w:color="auto"/>
        <w:right w:val="none" w:sz="0" w:space="0" w:color="auto"/>
      </w:divBdr>
    </w:div>
    <w:div w:id="905453303">
      <w:bodyDiv w:val="1"/>
      <w:marLeft w:val="0"/>
      <w:marRight w:val="0"/>
      <w:marTop w:val="0"/>
      <w:marBottom w:val="0"/>
      <w:divBdr>
        <w:top w:val="none" w:sz="0" w:space="0" w:color="auto"/>
        <w:left w:val="none" w:sz="0" w:space="0" w:color="auto"/>
        <w:bottom w:val="none" w:sz="0" w:space="0" w:color="auto"/>
        <w:right w:val="none" w:sz="0" w:space="0" w:color="auto"/>
      </w:divBdr>
    </w:div>
    <w:div w:id="929897962">
      <w:bodyDiv w:val="1"/>
      <w:marLeft w:val="0"/>
      <w:marRight w:val="0"/>
      <w:marTop w:val="0"/>
      <w:marBottom w:val="0"/>
      <w:divBdr>
        <w:top w:val="none" w:sz="0" w:space="0" w:color="auto"/>
        <w:left w:val="none" w:sz="0" w:space="0" w:color="auto"/>
        <w:bottom w:val="none" w:sz="0" w:space="0" w:color="auto"/>
        <w:right w:val="none" w:sz="0" w:space="0" w:color="auto"/>
      </w:divBdr>
    </w:div>
    <w:div w:id="937718440">
      <w:bodyDiv w:val="1"/>
      <w:marLeft w:val="0"/>
      <w:marRight w:val="0"/>
      <w:marTop w:val="0"/>
      <w:marBottom w:val="0"/>
      <w:divBdr>
        <w:top w:val="none" w:sz="0" w:space="0" w:color="auto"/>
        <w:left w:val="none" w:sz="0" w:space="0" w:color="auto"/>
        <w:bottom w:val="none" w:sz="0" w:space="0" w:color="auto"/>
        <w:right w:val="none" w:sz="0" w:space="0" w:color="auto"/>
      </w:divBdr>
    </w:div>
    <w:div w:id="956255844">
      <w:bodyDiv w:val="1"/>
      <w:marLeft w:val="0"/>
      <w:marRight w:val="0"/>
      <w:marTop w:val="0"/>
      <w:marBottom w:val="0"/>
      <w:divBdr>
        <w:top w:val="none" w:sz="0" w:space="0" w:color="auto"/>
        <w:left w:val="none" w:sz="0" w:space="0" w:color="auto"/>
        <w:bottom w:val="none" w:sz="0" w:space="0" w:color="auto"/>
        <w:right w:val="none" w:sz="0" w:space="0" w:color="auto"/>
      </w:divBdr>
    </w:div>
    <w:div w:id="958410362">
      <w:bodyDiv w:val="1"/>
      <w:marLeft w:val="0"/>
      <w:marRight w:val="0"/>
      <w:marTop w:val="0"/>
      <w:marBottom w:val="0"/>
      <w:divBdr>
        <w:top w:val="none" w:sz="0" w:space="0" w:color="auto"/>
        <w:left w:val="none" w:sz="0" w:space="0" w:color="auto"/>
        <w:bottom w:val="none" w:sz="0" w:space="0" w:color="auto"/>
        <w:right w:val="none" w:sz="0" w:space="0" w:color="auto"/>
      </w:divBdr>
    </w:div>
    <w:div w:id="992874277">
      <w:bodyDiv w:val="1"/>
      <w:marLeft w:val="0"/>
      <w:marRight w:val="0"/>
      <w:marTop w:val="0"/>
      <w:marBottom w:val="0"/>
      <w:divBdr>
        <w:top w:val="none" w:sz="0" w:space="0" w:color="auto"/>
        <w:left w:val="none" w:sz="0" w:space="0" w:color="auto"/>
        <w:bottom w:val="none" w:sz="0" w:space="0" w:color="auto"/>
        <w:right w:val="none" w:sz="0" w:space="0" w:color="auto"/>
      </w:divBdr>
    </w:div>
    <w:div w:id="1021781230">
      <w:bodyDiv w:val="1"/>
      <w:marLeft w:val="0"/>
      <w:marRight w:val="0"/>
      <w:marTop w:val="0"/>
      <w:marBottom w:val="0"/>
      <w:divBdr>
        <w:top w:val="none" w:sz="0" w:space="0" w:color="auto"/>
        <w:left w:val="none" w:sz="0" w:space="0" w:color="auto"/>
        <w:bottom w:val="none" w:sz="0" w:space="0" w:color="auto"/>
        <w:right w:val="none" w:sz="0" w:space="0" w:color="auto"/>
      </w:divBdr>
    </w:div>
    <w:div w:id="1043094742">
      <w:bodyDiv w:val="1"/>
      <w:marLeft w:val="0"/>
      <w:marRight w:val="0"/>
      <w:marTop w:val="0"/>
      <w:marBottom w:val="0"/>
      <w:divBdr>
        <w:top w:val="none" w:sz="0" w:space="0" w:color="auto"/>
        <w:left w:val="none" w:sz="0" w:space="0" w:color="auto"/>
        <w:bottom w:val="none" w:sz="0" w:space="0" w:color="auto"/>
        <w:right w:val="none" w:sz="0" w:space="0" w:color="auto"/>
      </w:divBdr>
    </w:div>
    <w:div w:id="1117795143">
      <w:bodyDiv w:val="1"/>
      <w:marLeft w:val="0"/>
      <w:marRight w:val="0"/>
      <w:marTop w:val="0"/>
      <w:marBottom w:val="0"/>
      <w:divBdr>
        <w:top w:val="none" w:sz="0" w:space="0" w:color="auto"/>
        <w:left w:val="none" w:sz="0" w:space="0" w:color="auto"/>
        <w:bottom w:val="none" w:sz="0" w:space="0" w:color="auto"/>
        <w:right w:val="none" w:sz="0" w:space="0" w:color="auto"/>
      </w:divBdr>
    </w:div>
    <w:div w:id="1124930685">
      <w:bodyDiv w:val="1"/>
      <w:marLeft w:val="0"/>
      <w:marRight w:val="0"/>
      <w:marTop w:val="0"/>
      <w:marBottom w:val="0"/>
      <w:divBdr>
        <w:top w:val="none" w:sz="0" w:space="0" w:color="auto"/>
        <w:left w:val="none" w:sz="0" w:space="0" w:color="auto"/>
        <w:bottom w:val="none" w:sz="0" w:space="0" w:color="auto"/>
        <w:right w:val="none" w:sz="0" w:space="0" w:color="auto"/>
      </w:divBdr>
    </w:div>
    <w:div w:id="1133866551">
      <w:bodyDiv w:val="1"/>
      <w:marLeft w:val="0"/>
      <w:marRight w:val="0"/>
      <w:marTop w:val="0"/>
      <w:marBottom w:val="0"/>
      <w:divBdr>
        <w:top w:val="none" w:sz="0" w:space="0" w:color="auto"/>
        <w:left w:val="none" w:sz="0" w:space="0" w:color="auto"/>
        <w:bottom w:val="none" w:sz="0" w:space="0" w:color="auto"/>
        <w:right w:val="none" w:sz="0" w:space="0" w:color="auto"/>
      </w:divBdr>
    </w:div>
    <w:div w:id="1223103271">
      <w:bodyDiv w:val="1"/>
      <w:marLeft w:val="0"/>
      <w:marRight w:val="0"/>
      <w:marTop w:val="0"/>
      <w:marBottom w:val="0"/>
      <w:divBdr>
        <w:top w:val="none" w:sz="0" w:space="0" w:color="auto"/>
        <w:left w:val="none" w:sz="0" w:space="0" w:color="auto"/>
        <w:bottom w:val="none" w:sz="0" w:space="0" w:color="auto"/>
        <w:right w:val="none" w:sz="0" w:space="0" w:color="auto"/>
      </w:divBdr>
    </w:div>
    <w:div w:id="1288661808">
      <w:bodyDiv w:val="1"/>
      <w:marLeft w:val="0"/>
      <w:marRight w:val="0"/>
      <w:marTop w:val="0"/>
      <w:marBottom w:val="0"/>
      <w:divBdr>
        <w:top w:val="none" w:sz="0" w:space="0" w:color="auto"/>
        <w:left w:val="none" w:sz="0" w:space="0" w:color="auto"/>
        <w:bottom w:val="none" w:sz="0" w:space="0" w:color="auto"/>
        <w:right w:val="none" w:sz="0" w:space="0" w:color="auto"/>
      </w:divBdr>
    </w:div>
    <w:div w:id="1345547273">
      <w:bodyDiv w:val="1"/>
      <w:marLeft w:val="0"/>
      <w:marRight w:val="0"/>
      <w:marTop w:val="0"/>
      <w:marBottom w:val="0"/>
      <w:divBdr>
        <w:top w:val="none" w:sz="0" w:space="0" w:color="auto"/>
        <w:left w:val="none" w:sz="0" w:space="0" w:color="auto"/>
        <w:bottom w:val="none" w:sz="0" w:space="0" w:color="auto"/>
        <w:right w:val="none" w:sz="0" w:space="0" w:color="auto"/>
      </w:divBdr>
      <w:divsChild>
        <w:div w:id="921792972">
          <w:marLeft w:val="0"/>
          <w:marRight w:val="0"/>
          <w:marTop w:val="0"/>
          <w:marBottom w:val="0"/>
          <w:divBdr>
            <w:top w:val="none" w:sz="0" w:space="0" w:color="auto"/>
            <w:left w:val="none" w:sz="0" w:space="0" w:color="auto"/>
            <w:bottom w:val="none" w:sz="0" w:space="0" w:color="auto"/>
            <w:right w:val="none" w:sz="0" w:space="0" w:color="auto"/>
          </w:divBdr>
          <w:divsChild>
            <w:div w:id="322315375">
              <w:marLeft w:val="0"/>
              <w:marRight w:val="0"/>
              <w:marTop w:val="0"/>
              <w:marBottom w:val="0"/>
              <w:divBdr>
                <w:top w:val="none" w:sz="0" w:space="0" w:color="auto"/>
                <w:left w:val="none" w:sz="0" w:space="0" w:color="auto"/>
                <w:bottom w:val="none" w:sz="0" w:space="0" w:color="auto"/>
                <w:right w:val="none" w:sz="0" w:space="0" w:color="auto"/>
              </w:divBdr>
              <w:divsChild>
                <w:div w:id="813521787">
                  <w:marLeft w:val="0"/>
                  <w:marRight w:val="0"/>
                  <w:marTop w:val="0"/>
                  <w:marBottom w:val="0"/>
                  <w:divBdr>
                    <w:top w:val="none" w:sz="0" w:space="0" w:color="auto"/>
                    <w:left w:val="none" w:sz="0" w:space="0" w:color="auto"/>
                    <w:bottom w:val="none" w:sz="0" w:space="0" w:color="auto"/>
                    <w:right w:val="none" w:sz="0" w:space="0" w:color="auto"/>
                  </w:divBdr>
                  <w:divsChild>
                    <w:div w:id="44689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385168">
      <w:bodyDiv w:val="1"/>
      <w:marLeft w:val="0"/>
      <w:marRight w:val="0"/>
      <w:marTop w:val="0"/>
      <w:marBottom w:val="0"/>
      <w:divBdr>
        <w:top w:val="none" w:sz="0" w:space="0" w:color="auto"/>
        <w:left w:val="none" w:sz="0" w:space="0" w:color="auto"/>
        <w:bottom w:val="none" w:sz="0" w:space="0" w:color="auto"/>
        <w:right w:val="none" w:sz="0" w:space="0" w:color="auto"/>
      </w:divBdr>
    </w:div>
    <w:div w:id="1441103537">
      <w:bodyDiv w:val="1"/>
      <w:marLeft w:val="0"/>
      <w:marRight w:val="0"/>
      <w:marTop w:val="0"/>
      <w:marBottom w:val="0"/>
      <w:divBdr>
        <w:top w:val="none" w:sz="0" w:space="0" w:color="auto"/>
        <w:left w:val="none" w:sz="0" w:space="0" w:color="auto"/>
        <w:bottom w:val="none" w:sz="0" w:space="0" w:color="auto"/>
        <w:right w:val="none" w:sz="0" w:space="0" w:color="auto"/>
      </w:divBdr>
    </w:div>
    <w:div w:id="1486823791">
      <w:bodyDiv w:val="1"/>
      <w:marLeft w:val="0"/>
      <w:marRight w:val="0"/>
      <w:marTop w:val="0"/>
      <w:marBottom w:val="0"/>
      <w:divBdr>
        <w:top w:val="none" w:sz="0" w:space="0" w:color="auto"/>
        <w:left w:val="none" w:sz="0" w:space="0" w:color="auto"/>
        <w:bottom w:val="none" w:sz="0" w:space="0" w:color="auto"/>
        <w:right w:val="none" w:sz="0" w:space="0" w:color="auto"/>
      </w:divBdr>
    </w:div>
    <w:div w:id="1491364630">
      <w:bodyDiv w:val="1"/>
      <w:marLeft w:val="0"/>
      <w:marRight w:val="0"/>
      <w:marTop w:val="0"/>
      <w:marBottom w:val="0"/>
      <w:divBdr>
        <w:top w:val="none" w:sz="0" w:space="0" w:color="auto"/>
        <w:left w:val="none" w:sz="0" w:space="0" w:color="auto"/>
        <w:bottom w:val="none" w:sz="0" w:space="0" w:color="auto"/>
        <w:right w:val="none" w:sz="0" w:space="0" w:color="auto"/>
      </w:divBdr>
    </w:div>
    <w:div w:id="1509978842">
      <w:bodyDiv w:val="1"/>
      <w:marLeft w:val="0"/>
      <w:marRight w:val="0"/>
      <w:marTop w:val="0"/>
      <w:marBottom w:val="0"/>
      <w:divBdr>
        <w:top w:val="none" w:sz="0" w:space="0" w:color="auto"/>
        <w:left w:val="none" w:sz="0" w:space="0" w:color="auto"/>
        <w:bottom w:val="none" w:sz="0" w:space="0" w:color="auto"/>
        <w:right w:val="none" w:sz="0" w:space="0" w:color="auto"/>
      </w:divBdr>
    </w:div>
    <w:div w:id="1530291717">
      <w:bodyDiv w:val="1"/>
      <w:marLeft w:val="0"/>
      <w:marRight w:val="0"/>
      <w:marTop w:val="0"/>
      <w:marBottom w:val="0"/>
      <w:divBdr>
        <w:top w:val="none" w:sz="0" w:space="0" w:color="auto"/>
        <w:left w:val="none" w:sz="0" w:space="0" w:color="auto"/>
        <w:bottom w:val="none" w:sz="0" w:space="0" w:color="auto"/>
        <w:right w:val="none" w:sz="0" w:space="0" w:color="auto"/>
      </w:divBdr>
    </w:div>
    <w:div w:id="1643925556">
      <w:bodyDiv w:val="1"/>
      <w:marLeft w:val="0"/>
      <w:marRight w:val="0"/>
      <w:marTop w:val="0"/>
      <w:marBottom w:val="0"/>
      <w:divBdr>
        <w:top w:val="none" w:sz="0" w:space="0" w:color="auto"/>
        <w:left w:val="none" w:sz="0" w:space="0" w:color="auto"/>
        <w:bottom w:val="none" w:sz="0" w:space="0" w:color="auto"/>
        <w:right w:val="none" w:sz="0" w:space="0" w:color="auto"/>
      </w:divBdr>
    </w:div>
    <w:div w:id="1769228352">
      <w:bodyDiv w:val="1"/>
      <w:marLeft w:val="0"/>
      <w:marRight w:val="0"/>
      <w:marTop w:val="0"/>
      <w:marBottom w:val="0"/>
      <w:divBdr>
        <w:top w:val="none" w:sz="0" w:space="0" w:color="auto"/>
        <w:left w:val="none" w:sz="0" w:space="0" w:color="auto"/>
        <w:bottom w:val="none" w:sz="0" w:space="0" w:color="auto"/>
        <w:right w:val="none" w:sz="0" w:space="0" w:color="auto"/>
      </w:divBdr>
    </w:div>
    <w:div w:id="1776245541">
      <w:bodyDiv w:val="1"/>
      <w:marLeft w:val="0"/>
      <w:marRight w:val="0"/>
      <w:marTop w:val="0"/>
      <w:marBottom w:val="0"/>
      <w:divBdr>
        <w:top w:val="none" w:sz="0" w:space="0" w:color="auto"/>
        <w:left w:val="none" w:sz="0" w:space="0" w:color="auto"/>
        <w:bottom w:val="none" w:sz="0" w:space="0" w:color="auto"/>
        <w:right w:val="none" w:sz="0" w:space="0" w:color="auto"/>
      </w:divBdr>
    </w:div>
    <w:div w:id="1847594497">
      <w:bodyDiv w:val="1"/>
      <w:marLeft w:val="0"/>
      <w:marRight w:val="0"/>
      <w:marTop w:val="0"/>
      <w:marBottom w:val="0"/>
      <w:divBdr>
        <w:top w:val="none" w:sz="0" w:space="0" w:color="auto"/>
        <w:left w:val="none" w:sz="0" w:space="0" w:color="auto"/>
        <w:bottom w:val="none" w:sz="0" w:space="0" w:color="auto"/>
        <w:right w:val="none" w:sz="0" w:space="0" w:color="auto"/>
      </w:divBdr>
    </w:div>
    <w:div w:id="1873611362">
      <w:bodyDiv w:val="1"/>
      <w:marLeft w:val="0"/>
      <w:marRight w:val="0"/>
      <w:marTop w:val="0"/>
      <w:marBottom w:val="0"/>
      <w:divBdr>
        <w:top w:val="none" w:sz="0" w:space="0" w:color="auto"/>
        <w:left w:val="none" w:sz="0" w:space="0" w:color="auto"/>
        <w:bottom w:val="none" w:sz="0" w:space="0" w:color="auto"/>
        <w:right w:val="none" w:sz="0" w:space="0" w:color="auto"/>
      </w:divBdr>
    </w:div>
    <w:div w:id="1896816838">
      <w:bodyDiv w:val="1"/>
      <w:marLeft w:val="0"/>
      <w:marRight w:val="0"/>
      <w:marTop w:val="0"/>
      <w:marBottom w:val="0"/>
      <w:divBdr>
        <w:top w:val="none" w:sz="0" w:space="0" w:color="auto"/>
        <w:left w:val="none" w:sz="0" w:space="0" w:color="auto"/>
        <w:bottom w:val="none" w:sz="0" w:space="0" w:color="auto"/>
        <w:right w:val="none" w:sz="0" w:space="0" w:color="auto"/>
      </w:divBdr>
    </w:div>
    <w:div w:id="1898392245">
      <w:marLeft w:val="0"/>
      <w:marRight w:val="0"/>
      <w:marTop w:val="0"/>
      <w:marBottom w:val="0"/>
      <w:divBdr>
        <w:top w:val="none" w:sz="0" w:space="0" w:color="auto"/>
        <w:left w:val="none" w:sz="0" w:space="0" w:color="auto"/>
        <w:bottom w:val="none" w:sz="0" w:space="0" w:color="auto"/>
        <w:right w:val="none" w:sz="0" w:space="0" w:color="auto"/>
      </w:divBdr>
    </w:div>
    <w:div w:id="1898392246">
      <w:marLeft w:val="0"/>
      <w:marRight w:val="0"/>
      <w:marTop w:val="0"/>
      <w:marBottom w:val="0"/>
      <w:divBdr>
        <w:top w:val="none" w:sz="0" w:space="0" w:color="auto"/>
        <w:left w:val="none" w:sz="0" w:space="0" w:color="auto"/>
        <w:bottom w:val="none" w:sz="0" w:space="0" w:color="auto"/>
        <w:right w:val="none" w:sz="0" w:space="0" w:color="auto"/>
      </w:divBdr>
    </w:div>
    <w:div w:id="1898392247">
      <w:marLeft w:val="0"/>
      <w:marRight w:val="0"/>
      <w:marTop w:val="0"/>
      <w:marBottom w:val="0"/>
      <w:divBdr>
        <w:top w:val="none" w:sz="0" w:space="0" w:color="auto"/>
        <w:left w:val="none" w:sz="0" w:space="0" w:color="auto"/>
        <w:bottom w:val="none" w:sz="0" w:space="0" w:color="auto"/>
        <w:right w:val="none" w:sz="0" w:space="0" w:color="auto"/>
      </w:divBdr>
    </w:div>
    <w:div w:id="1898392248">
      <w:marLeft w:val="0"/>
      <w:marRight w:val="0"/>
      <w:marTop w:val="0"/>
      <w:marBottom w:val="0"/>
      <w:divBdr>
        <w:top w:val="none" w:sz="0" w:space="0" w:color="auto"/>
        <w:left w:val="none" w:sz="0" w:space="0" w:color="auto"/>
        <w:bottom w:val="none" w:sz="0" w:space="0" w:color="auto"/>
        <w:right w:val="none" w:sz="0" w:space="0" w:color="auto"/>
      </w:divBdr>
    </w:div>
    <w:div w:id="1898392249">
      <w:marLeft w:val="0"/>
      <w:marRight w:val="0"/>
      <w:marTop w:val="0"/>
      <w:marBottom w:val="0"/>
      <w:divBdr>
        <w:top w:val="none" w:sz="0" w:space="0" w:color="auto"/>
        <w:left w:val="none" w:sz="0" w:space="0" w:color="auto"/>
        <w:bottom w:val="none" w:sz="0" w:space="0" w:color="auto"/>
        <w:right w:val="none" w:sz="0" w:space="0" w:color="auto"/>
      </w:divBdr>
    </w:div>
    <w:div w:id="1898392250">
      <w:marLeft w:val="0"/>
      <w:marRight w:val="0"/>
      <w:marTop w:val="0"/>
      <w:marBottom w:val="0"/>
      <w:divBdr>
        <w:top w:val="none" w:sz="0" w:space="0" w:color="auto"/>
        <w:left w:val="none" w:sz="0" w:space="0" w:color="auto"/>
        <w:bottom w:val="none" w:sz="0" w:space="0" w:color="auto"/>
        <w:right w:val="none" w:sz="0" w:space="0" w:color="auto"/>
      </w:divBdr>
    </w:div>
    <w:div w:id="1898392251">
      <w:marLeft w:val="0"/>
      <w:marRight w:val="0"/>
      <w:marTop w:val="0"/>
      <w:marBottom w:val="0"/>
      <w:divBdr>
        <w:top w:val="none" w:sz="0" w:space="0" w:color="auto"/>
        <w:left w:val="none" w:sz="0" w:space="0" w:color="auto"/>
        <w:bottom w:val="none" w:sz="0" w:space="0" w:color="auto"/>
        <w:right w:val="none" w:sz="0" w:space="0" w:color="auto"/>
      </w:divBdr>
    </w:div>
    <w:div w:id="1898392252">
      <w:marLeft w:val="0"/>
      <w:marRight w:val="0"/>
      <w:marTop w:val="0"/>
      <w:marBottom w:val="0"/>
      <w:divBdr>
        <w:top w:val="none" w:sz="0" w:space="0" w:color="auto"/>
        <w:left w:val="none" w:sz="0" w:space="0" w:color="auto"/>
        <w:bottom w:val="none" w:sz="0" w:space="0" w:color="auto"/>
        <w:right w:val="none" w:sz="0" w:space="0" w:color="auto"/>
      </w:divBdr>
    </w:div>
    <w:div w:id="1991786468">
      <w:bodyDiv w:val="1"/>
      <w:marLeft w:val="0"/>
      <w:marRight w:val="0"/>
      <w:marTop w:val="0"/>
      <w:marBottom w:val="0"/>
      <w:divBdr>
        <w:top w:val="none" w:sz="0" w:space="0" w:color="auto"/>
        <w:left w:val="none" w:sz="0" w:space="0" w:color="auto"/>
        <w:bottom w:val="none" w:sz="0" w:space="0" w:color="auto"/>
        <w:right w:val="none" w:sz="0" w:space="0" w:color="auto"/>
      </w:divBdr>
    </w:div>
    <w:div w:id="2001153990">
      <w:bodyDiv w:val="1"/>
      <w:marLeft w:val="0"/>
      <w:marRight w:val="0"/>
      <w:marTop w:val="0"/>
      <w:marBottom w:val="0"/>
      <w:divBdr>
        <w:top w:val="none" w:sz="0" w:space="0" w:color="auto"/>
        <w:left w:val="none" w:sz="0" w:space="0" w:color="auto"/>
        <w:bottom w:val="none" w:sz="0" w:space="0" w:color="auto"/>
        <w:right w:val="none" w:sz="0" w:space="0" w:color="auto"/>
      </w:divBdr>
    </w:div>
    <w:div w:id="2002391486">
      <w:bodyDiv w:val="1"/>
      <w:marLeft w:val="0"/>
      <w:marRight w:val="0"/>
      <w:marTop w:val="0"/>
      <w:marBottom w:val="0"/>
      <w:divBdr>
        <w:top w:val="none" w:sz="0" w:space="0" w:color="auto"/>
        <w:left w:val="none" w:sz="0" w:space="0" w:color="auto"/>
        <w:bottom w:val="none" w:sz="0" w:space="0" w:color="auto"/>
        <w:right w:val="none" w:sz="0" w:space="0" w:color="auto"/>
      </w:divBdr>
    </w:div>
    <w:div w:id="2017533934">
      <w:bodyDiv w:val="1"/>
      <w:marLeft w:val="0"/>
      <w:marRight w:val="0"/>
      <w:marTop w:val="0"/>
      <w:marBottom w:val="0"/>
      <w:divBdr>
        <w:top w:val="none" w:sz="0" w:space="0" w:color="auto"/>
        <w:left w:val="none" w:sz="0" w:space="0" w:color="auto"/>
        <w:bottom w:val="none" w:sz="0" w:space="0" w:color="auto"/>
        <w:right w:val="none" w:sz="0" w:space="0" w:color="auto"/>
      </w:divBdr>
    </w:div>
    <w:div w:id="2021662365">
      <w:bodyDiv w:val="1"/>
      <w:marLeft w:val="0"/>
      <w:marRight w:val="0"/>
      <w:marTop w:val="0"/>
      <w:marBottom w:val="0"/>
      <w:divBdr>
        <w:top w:val="none" w:sz="0" w:space="0" w:color="auto"/>
        <w:left w:val="none" w:sz="0" w:space="0" w:color="auto"/>
        <w:bottom w:val="none" w:sz="0" w:space="0" w:color="auto"/>
        <w:right w:val="none" w:sz="0" w:space="0" w:color="auto"/>
      </w:divBdr>
    </w:div>
    <w:div w:id="2056662064">
      <w:bodyDiv w:val="1"/>
      <w:marLeft w:val="0"/>
      <w:marRight w:val="0"/>
      <w:marTop w:val="0"/>
      <w:marBottom w:val="0"/>
      <w:divBdr>
        <w:top w:val="none" w:sz="0" w:space="0" w:color="auto"/>
        <w:left w:val="none" w:sz="0" w:space="0" w:color="auto"/>
        <w:bottom w:val="none" w:sz="0" w:space="0" w:color="auto"/>
        <w:right w:val="none" w:sz="0" w:space="0" w:color="auto"/>
      </w:divBdr>
    </w:div>
    <w:div w:id="2062093164">
      <w:bodyDiv w:val="1"/>
      <w:marLeft w:val="0"/>
      <w:marRight w:val="0"/>
      <w:marTop w:val="0"/>
      <w:marBottom w:val="0"/>
      <w:divBdr>
        <w:top w:val="none" w:sz="0" w:space="0" w:color="auto"/>
        <w:left w:val="none" w:sz="0" w:space="0" w:color="auto"/>
        <w:bottom w:val="none" w:sz="0" w:space="0" w:color="auto"/>
        <w:right w:val="none" w:sz="0" w:space="0" w:color="auto"/>
      </w:divBdr>
    </w:div>
    <w:div w:id="2082096963">
      <w:bodyDiv w:val="1"/>
      <w:marLeft w:val="0"/>
      <w:marRight w:val="0"/>
      <w:marTop w:val="0"/>
      <w:marBottom w:val="0"/>
      <w:divBdr>
        <w:top w:val="none" w:sz="0" w:space="0" w:color="auto"/>
        <w:left w:val="none" w:sz="0" w:space="0" w:color="auto"/>
        <w:bottom w:val="none" w:sz="0" w:space="0" w:color="auto"/>
        <w:right w:val="none" w:sz="0" w:space="0" w:color="auto"/>
      </w:divBdr>
    </w:div>
    <w:div w:id="2122455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s://circabc.europa.eu/ui/group/2e3865ad-3886-4131-92bb-a71754fffec6/library/dd482c0f-7891-4ec6-bf5c-15750b761d1d/details?download=tru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circabc.europa.eu/ui/group/2e3865ad-3886-4131-92bb-a71754fffec6/library/55e5c0b2-4ddb-4850-9397-ab9ce7cafdb1?p=1&amp;n=10&amp;sort=name_ASC"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ec.europa.eu/commission/presscorner/api/files/document/print/en/statement_25_996/STATEMENT_25_996_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TRADE-IMPORT-MONITORING@ec.europa.emailbox" TargetMode="External"/><Relationship Id="rId27" Type="http://schemas.openxmlformats.org/officeDocument/2006/relationships/header" Target="head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CC72D17F356504284F0994271ED4F61" ma:contentTypeVersion="4" ma:contentTypeDescription="Create a new document." ma:contentTypeScope="" ma:versionID="feaab79cbe663be8a269bac04de6e4d3">
  <xsd:schema xmlns:xsd="http://www.w3.org/2001/XMLSchema" xmlns:xs="http://www.w3.org/2001/XMLSchema" xmlns:p="http://schemas.microsoft.com/office/2006/metadata/properties" xmlns:ns3="0dd83f37-0352-417e-bfae-1ed18b8bad1d" targetNamespace="http://schemas.microsoft.com/office/2006/metadata/properties" ma:root="true" ma:fieldsID="4f07be6a895e387cb3175c40d8e862e3" ns3:_="">
    <xsd:import namespace="0dd83f37-0352-417e-bfae-1ed18b8bad1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d83f37-0352-417e-bfae-1ed18b8bad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7F0993-6E89-47EA-A2A0-BDA9591DBC91}">
  <ds:schemaRefs>
    <ds:schemaRef ds:uri="http://schemas.openxmlformats.org/officeDocument/2006/bibliography"/>
  </ds:schemaRefs>
</ds:datastoreItem>
</file>

<file path=customXml/itemProps2.xml><?xml version="1.0" encoding="utf-8"?>
<ds:datastoreItem xmlns:ds="http://schemas.openxmlformats.org/officeDocument/2006/customXml" ds:itemID="{6E13C97D-CD7F-40F7-BD05-07233E2BEFA4}">
  <ds:schemaRefs>
    <ds:schemaRef ds:uri="http://schemas.microsoft.com/sharepoint/v3/contenttype/forms"/>
  </ds:schemaRefs>
</ds:datastoreItem>
</file>

<file path=customXml/itemProps3.xml><?xml version="1.0" encoding="utf-8"?>
<ds:datastoreItem xmlns:ds="http://schemas.openxmlformats.org/officeDocument/2006/customXml" ds:itemID="{5C523984-82EA-40AB-85B9-7042DA39A79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607CAB7-8991-4EAE-B720-4F378D15B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d83f37-0352-417e-bfae-1ed18b8ba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Pages>
  <Words>9825</Words>
  <Characters>56003</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9</cp:revision>
  <cp:lastPrinted>2024-05-16T13:09:00Z</cp:lastPrinted>
  <dcterms:created xsi:type="dcterms:W3CDTF">2026-09-01T05:38:00Z</dcterms:created>
  <dcterms:modified xsi:type="dcterms:W3CDTF">2026-09-10T12:37:00Z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9.2, Build 20250828</vt:lpwstr>
  </property>
  <property fmtid="{D5CDD505-2E9C-101B-9397-08002B2CF9AE}" pid="7" name="Created using">
    <vt:lpwstr>LW 6.0.1, Build 20180503</vt:lpwstr>
  </property>
  <property fmtid="{D5CDD505-2E9C-101B-9397-08002B2CF9AE}" pid="8" name="CPTemplateID">
    <vt:lpwstr>CP-006</vt:lpwstr>
  </property>
  <property fmtid="{D5CDD505-2E9C-101B-9397-08002B2CF9AE}" pid="9" name="MSIP_Label_6bd9ddd1-4d20-43f6-abfa-fc3c07406f94_Enabled">
    <vt:lpwstr>true</vt:lpwstr>
  </property>
  <property fmtid="{D5CDD505-2E9C-101B-9397-08002B2CF9AE}" pid="10" name="MSIP_Label_6bd9ddd1-4d20-43f6-abfa-fc3c07406f94_SetDate">
    <vt:lpwstr>2022-04-27T12:25:01Z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05bd7d4d-21a6-4764-94f4-66e93ccbe602</vt:lpwstr>
  </property>
  <property fmtid="{D5CDD505-2E9C-101B-9397-08002B2CF9AE}" pid="15" name="MSIP_Label_6bd9ddd1-4d20-43f6-abfa-fc3c07406f94_ContentBits">
    <vt:lpwstr>0</vt:lpwstr>
  </property>
  <property fmtid="{D5CDD505-2E9C-101B-9397-08002B2CF9AE}" pid="16" name="ContentTypeId">
    <vt:lpwstr>0x0101003CC72D17F356504284F0994271ED4F61</vt:lpwstr>
  </property>
</Properties>
</file>