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ABB630B-ABED-4EC2-98D2-C92C81DD7D3D" style="width:455.25pt;height:286.5pt">
            <v:imagedata r:id="rId11" o:title=""/>
          </v:shape>
        </w:pict>
      </w:r>
    </w:p>
    <w:bookmarkEnd w:id="0"/>
    <w:p>
      <w:pPr>
        <w:pStyle w:val="Pagedecouverture"/>
        <w:rPr>
          <w:noProof/>
        </w:rPr>
        <w:sectPr>
          <w:headerReference w:type="even" r:id="rId12"/>
          <w:headerReference w:type="default" r:id="rId13"/>
          <w:footerReference w:type="even" r:id="rId14"/>
          <w:footerReference w:type="default" r:id="rId15"/>
          <w:headerReference w:type="first" r:id="rId16"/>
          <w:footerReference w:type="first" r:id="rId17"/>
          <w:pgSz w:w="11906" w:h="16838" w:code="9"/>
          <w:pgMar w:top="1134" w:right="1417" w:bottom="1134" w:left="1417" w:header="709" w:footer="709" w:gutter="0"/>
          <w:pgNumType w:start="0"/>
          <w:cols w:space="720"/>
          <w:docGrid w:linePitch="360"/>
        </w:sectPr>
      </w:pPr>
    </w:p>
    <w:p>
      <w:pPr>
        <w:pStyle w:val="TOCHeading"/>
        <w:jc w:val="center"/>
        <w:rPr>
          <w:rFonts w:ascii="Times New Roman" w:hAnsi="Times New Roman"/>
          <w:b/>
          <w:color w:val="auto"/>
          <w:sz w:val="24"/>
          <w:szCs w:val="24"/>
          <w:lang w:val="en-GB"/>
        </w:rPr>
      </w:pPr>
      <w:r>
        <w:rPr>
          <w:rFonts w:ascii="Times New Roman" w:hAnsi="Times New Roman"/>
          <w:b/>
          <w:color w:val="auto"/>
          <w:sz w:val="24"/>
          <w:szCs w:val="24"/>
          <w:lang w:val="en-GB"/>
        </w:rPr>
        <w:lastRenderedPageBreak/>
        <w:t>REPORT FROM THE COMMISSION</w:t>
      </w:r>
    </w:p>
    <w:p>
      <w:pPr>
        <w:jc w:val="center"/>
        <w:rPr>
          <w:rFonts w:ascii="Times New Roman" w:hAnsi="Times New Roman"/>
          <w:b/>
          <w:bCs/>
          <w:noProof/>
          <w:sz w:val="24"/>
          <w:szCs w:val="24"/>
        </w:rPr>
      </w:pPr>
      <w:r>
        <w:rPr>
          <w:rFonts w:ascii="Times New Roman" w:hAnsi="Times New Roman"/>
          <w:b/>
          <w:bCs/>
          <w:noProof/>
          <w:sz w:val="24"/>
          <w:szCs w:val="24"/>
        </w:rPr>
        <w:t>Annual Report from the European Commission on the Safety of Offshore Oil and Gas Operations for the Year 2024</w:t>
      </w:r>
    </w:p>
    <w:p>
      <w:pPr>
        <w:spacing w:after="0" w:line="240" w:lineRule="auto"/>
        <w:jc w:val="center"/>
        <w:rPr>
          <w:rFonts w:ascii="Times New Roman" w:eastAsia="Times New Roman" w:hAnsi="Times New Roman"/>
          <w:b/>
          <w:noProof/>
          <w:color w:val="365F91"/>
          <w:sz w:val="32"/>
          <w:szCs w:val="32"/>
        </w:rPr>
      </w:pPr>
    </w:p>
    <w:p>
      <w:pPr>
        <w:pStyle w:val="TOCHeading"/>
        <w:jc w:val="center"/>
        <w:rPr>
          <w:rFonts w:ascii="Times New Roman" w:hAnsi="Times New Roman"/>
          <w:b/>
          <w:color w:val="auto"/>
          <w:sz w:val="24"/>
          <w:szCs w:val="24"/>
          <w:lang w:val="en-GB"/>
        </w:rPr>
      </w:pPr>
      <w:r>
        <w:rPr>
          <w:rFonts w:ascii="Times New Roman" w:hAnsi="Times New Roman"/>
          <w:b/>
          <w:color w:val="auto"/>
          <w:sz w:val="24"/>
          <w:szCs w:val="24"/>
          <w:lang w:val="en-GB"/>
        </w:rPr>
        <w:t>Table of contents</w:t>
      </w:r>
    </w:p>
    <w:p>
      <w:pPr>
        <w:pStyle w:val="TOC1"/>
        <w:rPr>
          <w:rFonts w:asciiTheme="minorHAnsi" w:eastAsiaTheme="minorEastAsia" w:hAnsiTheme="minorHAnsi" w:cstheme="minorBidi"/>
          <w:noProof/>
          <w:lang w:val="en-GB" w:eastAsia="en-IE"/>
        </w:rPr>
      </w:pPr>
      <w:r>
        <w:rPr>
          <w:rFonts w:ascii="Times New Roman" w:hAnsi="Times New Roman"/>
          <w:noProof/>
          <w:sz w:val="24"/>
          <w:szCs w:val="24"/>
          <w:lang w:val="en-GB"/>
        </w:rPr>
        <w:fldChar w:fldCharType="begin"/>
      </w:r>
      <w:r>
        <w:rPr>
          <w:rFonts w:ascii="Times New Roman" w:hAnsi="Times New Roman"/>
          <w:noProof/>
          <w:sz w:val="24"/>
          <w:szCs w:val="24"/>
          <w:lang w:val="en-GB"/>
        </w:rPr>
        <w:instrText xml:space="preserve"> TOC \o "1-3" \h \z \u </w:instrText>
      </w:r>
      <w:r>
        <w:rPr>
          <w:rFonts w:ascii="Times New Roman" w:hAnsi="Times New Roman"/>
          <w:noProof/>
          <w:sz w:val="24"/>
          <w:szCs w:val="24"/>
          <w:lang w:val="en-GB"/>
        </w:rPr>
        <w:fldChar w:fldCharType="separate"/>
      </w:r>
      <w:hyperlink w:anchor="_Toc116313748" w:history="1">
        <w:r>
          <w:rPr>
            <w:rStyle w:val="Hyperlink"/>
            <w:rFonts w:ascii="Times New Roman" w:hAnsi="Times New Roman"/>
            <w:noProof/>
            <w:lang w:val="en-GB"/>
          </w:rPr>
          <w:t>1.</w:t>
        </w:r>
        <w:r>
          <w:rPr>
            <w:rFonts w:asciiTheme="minorHAnsi" w:eastAsiaTheme="minorEastAsia" w:hAnsiTheme="minorHAnsi" w:cstheme="minorBidi"/>
            <w:noProof/>
            <w:lang w:val="en-GB" w:eastAsia="en-IE"/>
          </w:rPr>
          <w:tab/>
        </w:r>
        <w:r>
          <w:rPr>
            <w:rStyle w:val="Hyperlink"/>
            <w:rFonts w:ascii="Times New Roman" w:hAnsi="Times New Roman"/>
            <w:noProof/>
            <w:lang w:val="en-GB"/>
          </w:rPr>
          <w:t>INTRODUCTION</w:t>
        </w:r>
        <w:r>
          <w:rPr>
            <w:noProof/>
            <w:webHidden/>
            <w:lang w:val="en-GB"/>
          </w:rPr>
          <w:tab/>
        </w:r>
        <w:r>
          <w:rPr>
            <w:noProof/>
            <w:webHidden/>
            <w:lang w:val="en-GB"/>
          </w:rPr>
          <w:fldChar w:fldCharType="begin"/>
        </w:r>
        <w:r>
          <w:rPr>
            <w:noProof/>
            <w:webHidden/>
            <w:lang w:val="en-GB"/>
          </w:rPr>
          <w:instrText xml:space="preserve"> PAGEREF _Toc116313748 \h </w:instrText>
        </w:r>
        <w:r>
          <w:rPr>
            <w:noProof/>
            <w:webHidden/>
            <w:lang w:val="en-GB"/>
          </w:rPr>
        </w:r>
        <w:r>
          <w:rPr>
            <w:noProof/>
            <w:webHidden/>
            <w:lang w:val="en-GB"/>
          </w:rPr>
          <w:fldChar w:fldCharType="separate"/>
        </w:r>
        <w:r>
          <w:rPr>
            <w:noProof/>
            <w:webHidden/>
            <w:lang w:val="en-GB"/>
          </w:rPr>
          <w:t>2</w:t>
        </w:r>
        <w:r>
          <w:rPr>
            <w:noProof/>
            <w:webHidden/>
            <w:lang w:val="en-GB"/>
          </w:rPr>
          <w:fldChar w:fldCharType="end"/>
        </w:r>
      </w:hyperlink>
    </w:p>
    <w:p>
      <w:pPr>
        <w:pStyle w:val="TOC1"/>
        <w:rPr>
          <w:rFonts w:asciiTheme="minorHAnsi" w:eastAsiaTheme="minorEastAsia" w:hAnsiTheme="minorHAnsi" w:cstheme="minorBidi"/>
          <w:noProof/>
          <w:lang w:val="en-GB" w:eastAsia="en-IE"/>
        </w:rPr>
      </w:pPr>
      <w:hyperlink w:anchor="_Toc116313749" w:history="1">
        <w:r>
          <w:rPr>
            <w:rStyle w:val="Hyperlink"/>
            <w:rFonts w:ascii="Times New Roman" w:hAnsi="Times New Roman"/>
            <w:noProof/>
            <w:lang w:val="en-GB"/>
          </w:rPr>
          <w:t>2.</w:t>
        </w:r>
        <w:r>
          <w:rPr>
            <w:rFonts w:asciiTheme="minorHAnsi" w:eastAsiaTheme="minorEastAsia" w:hAnsiTheme="minorHAnsi" w:cstheme="minorBidi"/>
            <w:noProof/>
            <w:lang w:val="en-GB" w:eastAsia="en-IE"/>
          </w:rPr>
          <w:tab/>
        </w:r>
        <w:r>
          <w:rPr>
            <w:rStyle w:val="Hyperlink"/>
            <w:rFonts w:ascii="Times New Roman" w:hAnsi="Times New Roman"/>
            <w:noProof/>
            <w:lang w:val="en-GB"/>
          </w:rPr>
          <w:t>LEGAL BASIS</w:t>
        </w:r>
        <w:r>
          <w:rPr>
            <w:noProof/>
            <w:webHidden/>
            <w:lang w:val="en-GB"/>
          </w:rPr>
          <w:tab/>
        </w:r>
        <w:r>
          <w:rPr>
            <w:noProof/>
            <w:webHidden/>
            <w:lang w:val="en-GB"/>
          </w:rPr>
          <w:fldChar w:fldCharType="begin"/>
        </w:r>
        <w:r>
          <w:rPr>
            <w:noProof/>
            <w:webHidden/>
            <w:lang w:val="en-GB"/>
          </w:rPr>
          <w:instrText xml:space="preserve"> PAGEREF _Toc116313749 \h </w:instrText>
        </w:r>
        <w:r>
          <w:rPr>
            <w:noProof/>
            <w:webHidden/>
            <w:lang w:val="en-GB"/>
          </w:rPr>
        </w:r>
        <w:r>
          <w:rPr>
            <w:noProof/>
            <w:webHidden/>
            <w:lang w:val="en-GB"/>
          </w:rPr>
          <w:fldChar w:fldCharType="separate"/>
        </w:r>
        <w:r>
          <w:rPr>
            <w:noProof/>
            <w:webHidden/>
            <w:lang w:val="en-GB"/>
          </w:rPr>
          <w:t>3</w:t>
        </w:r>
        <w:r>
          <w:rPr>
            <w:noProof/>
            <w:webHidden/>
            <w:lang w:val="en-GB"/>
          </w:rPr>
          <w:fldChar w:fldCharType="end"/>
        </w:r>
      </w:hyperlink>
    </w:p>
    <w:p>
      <w:pPr>
        <w:pStyle w:val="TOC1"/>
        <w:rPr>
          <w:rFonts w:asciiTheme="minorHAnsi" w:eastAsiaTheme="minorEastAsia" w:hAnsiTheme="minorHAnsi" w:cstheme="minorBidi"/>
          <w:noProof/>
          <w:lang w:val="en-GB" w:eastAsia="en-IE"/>
        </w:rPr>
      </w:pPr>
      <w:hyperlink w:anchor="_Toc116313750" w:history="1">
        <w:r>
          <w:rPr>
            <w:rStyle w:val="Hyperlink"/>
            <w:rFonts w:ascii="Times New Roman" w:hAnsi="Times New Roman"/>
            <w:noProof/>
            <w:lang w:val="en-GB"/>
          </w:rPr>
          <w:t>3.</w:t>
        </w:r>
        <w:r>
          <w:rPr>
            <w:rFonts w:asciiTheme="minorHAnsi" w:eastAsiaTheme="minorEastAsia" w:hAnsiTheme="minorHAnsi" w:cstheme="minorBidi"/>
            <w:noProof/>
            <w:lang w:val="en-GB" w:eastAsia="en-IE"/>
          </w:rPr>
          <w:tab/>
        </w:r>
        <w:r>
          <w:rPr>
            <w:rStyle w:val="Hyperlink"/>
            <w:rFonts w:ascii="Times New Roman" w:hAnsi="Times New Roman"/>
            <w:noProof/>
            <w:lang w:val="en-GB"/>
          </w:rPr>
          <w:t>METHODOLOGY AND INFORMATION RECEIVED</w:t>
        </w:r>
        <w:r>
          <w:rPr>
            <w:noProof/>
            <w:webHidden/>
            <w:lang w:val="en-GB"/>
          </w:rPr>
          <w:tab/>
        </w:r>
        <w:r>
          <w:rPr>
            <w:noProof/>
            <w:webHidden/>
            <w:lang w:val="en-GB"/>
          </w:rPr>
          <w:fldChar w:fldCharType="begin"/>
        </w:r>
        <w:r>
          <w:rPr>
            <w:noProof/>
            <w:webHidden/>
            <w:lang w:val="en-GB"/>
          </w:rPr>
          <w:instrText xml:space="preserve"> PAGEREF _Toc116313750 \h </w:instrText>
        </w:r>
        <w:r>
          <w:rPr>
            <w:noProof/>
            <w:webHidden/>
            <w:lang w:val="en-GB"/>
          </w:rPr>
        </w:r>
        <w:r>
          <w:rPr>
            <w:noProof/>
            <w:webHidden/>
            <w:lang w:val="en-GB"/>
          </w:rPr>
          <w:fldChar w:fldCharType="separate"/>
        </w:r>
        <w:r>
          <w:rPr>
            <w:noProof/>
            <w:webHidden/>
            <w:lang w:val="en-GB"/>
          </w:rPr>
          <w:t>3</w:t>
        </w:r>
        <w:r>
          <w:rPr>
            <w:noProof/>
            <w:webHidden/>
            <w:lang w:val="en-GB"/>
          </w:rPr>
          <w:fldChar w:fldCharType="end"/>
        </w:r>
      </w:hyperlink>
    </w:p>
    <w:p>
      <w:pPr>
        <w:pStyle w:val="TOC1"/>
        <w:rPr>
          <w:rFonts w:asciiTheme="minorHAnsi" w:eastAsiaTheme="minorEastAsia" w:hAnsiTheme="minorHAnsi" w:cstheme="minorBidi"/>
          <w:noProof/>
          <w:lang w:val="en-GB" w:eastAsia="en-IE"/>
        </w:rPr>
      </w:pPr>
      <w:hyperlink w:anchor="_Toc116313751" w:history="1">
        <w:r>
          <w:rPr>
            <w:rStyle w:val="Hyperlink"/>
            <w:rFonts w:ascii="Times New Roman" w:hAnsi="Times New Roman"/>
            <w:noProof/>
            <w:lang w:val="en-GB"/>
          </w:rPr>
          <w:t>4.</w:t>
        </w:r>
        <w:r>
          <w:rPr>
            <w:rFonts w:asciiTheme="minorHAnsi" w:eastAsiaTheme="minorEastAsia" w:hAnsiTheme="minorHAnsi" w:cstheme="minorBidi"/>
            <w:noProof/>
            <w:lang w:val="en-GB" w:eastAsia="en-IE"/>
          </w:rPr>
          <w:tab/>
        </w:r>
        <w:r>
          <w:rPr>
            <w:rStyle w:val="Hyperlink"/>
            <w:rFonts w:ascii="Times New Roman" w:hAnsi="Times New Roman"/>
            <w:noProof/>
            <w:lang w:val="en-GB"/>
          </w:rPr>
          <w:t>THE EU OFFSHORE OIL AND GAS SECTOR</w:t>
        </w:r>
        <w:r>
          <w:rPr>
            <w:noProof/>
            <w:webHidden/>
            <w:lang w:val="en-GB"/>
          </w:rPr>
          <w:tab/>
        </w:r>
        <w:r>
          <w:rPr>
            <w:noProof/>
            <w:webHidden/>
            <w:lang w:val="en-GB"/>
          </w:rPr>
          <w:fldChar w:fldCharType="begin"/>
        </w:r>
        <w:r>
          <w:rPr>
            <w:noProof/>
            <w:webHidden/>
            <w:lang w:val="en-GB"/>
          </w:rPr>
          <w:instrText xml:space="preserve"> PAGEREF _Toc116313751 \h </w:instrText>
        </w:r>
        <w:r>
          <w:rPr>
            <w:noProof/>
            <w:webHidden/>
            <w:lang w:val="en-GB"/>
          </w:rPr>
        </w:r>
        <w:r>
          <w:rPr>
            <w:noProof/>
            <w:webHidden/>
            <w:lang w:val="en-GB"/>
          </w:rPr>
          <w:fldChar w:fldCharType="separate"/>
        </w:r>
        <w:r>
          <w:rPr>
            <w:noProof/>
            <w:webHidden/>
            <w:lang w:val="en-GB"/>
          </w:rPr>
          <w:t>4</w:t>
        </w:r>
        <w:r>
          <w:rPr>
            <w:noProof/>
            <w:webHidden/>
            <w:lang w:val="en-GB"/>
          </w:rPr>
          <w:fldChar w:fldCharType="end"/>
        </w:r>
      </w:hyperlink>
    </w:p>
    <w:p>
      <w:pPr>
        <w:pStyle w:val="TOC2"/>
        <w:tabs>
          <w:tab w:val="right" w:leader="dot" w:pos="9736"/>
        </w:tabs>
        <w:rPr>
          <w:rFonts w:asciiTheme="minorHAnsi" w:eastAsiaTheme="minorEastAsia" w:hAnsiTheme="minorHAnsi" w:cstheme="minorBidi"/>
          <w:noProof/>
          <w:lang w:val="en-GB" w:eastAsia="en-IE"/>
        </w:rPr>
      </w:pPr>
      <w:hyperlink w:anchor="_Toc116313752" w:history="1">
        <w:r>
          <w:rPr>
            <w:rStyle w:val="Hyperlink"/>
            <w:rFonts w:ascii="Times New Roman" w:hAnsi="Times New Roman"/>
            <w:noProof/>
            <w:lang w:val="en-GB"/>
          </w:rPr>
          <w:t>4.1 Installations and production</w:t>
        </w:r>
        <w:r>
          <w:rPr>
            <w:noProof/>
            <w:webHidden/>
            <w:lang w:val="en-GB"/>
          </w:rPr>
          <w:tab/>
        </w:r>
        <w:r>
          <w:rPr>
            <w:noProof/>
            <w:webHidden/>
            <w:lang w:val="en-GB"/>
          </w:rPr>
          <w:fldChar w:fldCharType="begin"/>
        </w:r>
        <w:r>
          <w:rPr>
            <w:noProof/>
            <w:webHidden/>
            <w:lang w:val="en-GB"/>
          </w:rPr>
          <w:instrText xml:space="preserve"> PAGEREF _Toc116313752 \h </w:instrText>
        </w:r>
        <w:r>
          <w:rPr>
            <w:noProof/>
            <w:webHidden/>
            <w:lang w:val="en-GB"/>
          </w:rPr>
        </w:r>
        <w:r>
          <w:rPr>
            <w:noProof/>
            <w:webHidden/>
            <w:lang w:val="en-GB"/>
          </w:rPr>
          <w:fldChar w:fldCharType="separate"/>
        </w:r>
        <w:r>
          <w:rPr>
            <w:noProof/>
            <w:webHidden/>
            <w:lang w:val="en-GB"/>
          </w:rPr>
          <w:t>4</w:t>
        </w:r>
        <w:r>
          <w:rPr>
            <w:noProof/>
            <w:webHidden/>
            <w:lang w:val="en-GB"/>
          </w:rPr>
          <w:fldChar w:fldCharType="end"/>
        </w:r>
      </w:hyperlink>
    </w:p>
    <w:p>
      <w:pPr>
        <w:pStyle w:val="TOC2"/>
        <w:tabs>
          <w:tab w:val="right" w:leader="dot" w:pos="9736"/>
        </w:tabs>
        <w:rPr>
          <w:rFonts w:asciiTheme="minorHAnsi" w:eastAsiaTheme="minorEastAsia" w:hAnsiTheme="minorHAnsi" w:cstheme="minorBidi"/>
          <w:noProof/>
          <w:lang w:val="en-GB" w:eastAsia="en-IE"/>
        </w:rPr>
      </w:pPr>
      <w:hyperlink w:anchor="_Toc116313753" w:history="1">
        <w:r>
          <w:rPr>
            <w:rStyle w:val="Hyperlink"/>
            <w:rFonts w:ascii="Times New Roman" w:hAnsi="Times New Roman"/>
            <w:noProof/>
            <w:lang w:val="en-GB"/>
          </w:rPr>
          <w:t>4.2 Offshore inspections, investigations, enforcement actions and regulatory framework</w:t>
        </w:r>
        <w:r>
          <w:rPr>
            <w:noProof/>
            <w:webHidden/>
            <w:lang w:val="en-GB"/>
          </w:rPr>
          <w:tab/>
        </w:r>
        <w:r>
          <w:rPr>
            <w:noProof/>
            <w:webHidden/>
            <w:lang w:val="en-GB"/>
          </w:rPr>
          <w:fldChar w:fldCharType="begin"/>
        </w:r>
        <w:r>
          <w:rPr>
            <w:noProof/>
            <w:webHidden/>
            <w:lang w:val="en-GB"/>
          </w:rPr>
          <w:instrText xml:space="preserve"> PAGEREF _Toc116313753 \h </w:instrText>
        </w:r>
        <w:r>
          <w:rPr>
            <w:noProof/>
            <w:webHidden/>
            <w:lang w:val="en-GB"/>
          </w:rPr>
        </w:r>
        <w:r>
          <w:rPr>
            <w:noProof/>
            <w:webHidden/>
            <w:lang w:val="en-GB"/>
          </w:rPr>
          <w:fldChar w:fldCharType="separate"/>
        </w:r>
        <w:r>
          <w:rPr>
            <w:noProof/>
            <w:webHidden/>
            <w:lang w:val="en-GB"/>
          </w:rPr>
          <w:t>6</w:t>
        </w:r>
        <w:r>
          <w:rPr>
            <w:noProof/>
            <w:webHidden/>
            <w:lang w:val="en-GB"/>
          </w:rPr>
          <w:fldChar w:fldCharType="end"/>
        </w:r>
      </w:hyperlink>
    </w:p>
    <w:p>
      <w:pPr>
        <w:pStyle w:val="TOC1"/>
        <w:rPr>
          <w:rFonts w:asciiTheme="minorHAnsi" w:eastAsiaTheme="minorEastAsia" w:hAnsiTheme="minorHAnsi" w:cstheme="minorBidi"/>
          <w:noProof/>
          <w:lang w:val="en-GB" w:eastAsia="en-IE"/>
        </w:rPr>
      </w:pPr>
      <w:hyperlink w:anchor="_Toc116313754" w:history="1">
        <w:r>
          <w:rPr>
            <w:rStyle w:val="Hyperlink"/>
            <w:rFonts w:ascii="Times New Roman" w:hAnsi="Times New Roman"/>
            <w:noProof/>
            <w:lang w:val="en-GB"/>
          </w:rPr>
          <w:t>5.</w:t>
        </w:r>
        <w:r>
          <w:rPr>
            <w:rFonts w:asciiTheme="minorHAnsi" w:eastAsiaTheme="minorEastAsia" w:hAnsiTheme="minorHAnsi" w:cstheme="minorBidi"/>
            <w:noProof/>
            <w:lang w:val="en-GB" w:eastAsia="en-IE"/>
          </w:rPr>
          <w:tab/>
        </w:r>
        <w:r>
          <w:rPr>
            <w:rStyle w:val="Hyperlink"/>
            <w:rFonts w:ascii="Times New Roman" w:hAnsi="Times New Roman"/>
            <w:noProof/>
            <w:lang w:val="en-GB"/>
          </w:rPr>
          <w:t>INCIDENTS AND SAFETY PERFORMANCE</w:t>
        </w:r>
        <w:r>
          <w:rPr>
            <w:noProof/>
            <w:webHidden/>
            <w:lang w:val="en-GB"/>
          </w:rPr>
          <w:tab/>
        </w:r>
        <w:r>
          <w:rPr>
            <w:noProof/>
            <w:webHidden/>
            <w:lang w:val="en-GB"/>
          </w:rPr>
          <w:fldChar w:fldCharType="begin"/>
        </w:r>
        <w:r>
          <w:rPr>
            <w:noProof/>
            <w:webHidden/>
            <w:lang w:val="en-GB"/>
          </w:rPr>
          <w:instrText xml:space="preserve"> PAGEREF _Toc116313754 \h </w:instrText>
        </w:r>
        <w:r>
          <w:rPr>
            <w:noProof/>
            <w:webHidden/>
            <w:lang w:val="en-GB"/>
          </w:rPr>
        </w:r>
        <w:r>
          <w:rPr>
            <w:noProof/>
            <w:webHidden/>
            <w:lang w:val="en-GB"/>
          </w:rPr>
          <w:fldChar w:fldCharType="separate"/>
        </w:r>
        <w:r>
          <w:rPr>
            <w:noProof/>
            <w:webHidden/>
            <w:lang w:val="en-GB"/>
          </w:rPr>
          <w:t>7</w:t>
        </w:r>
        <w:r>
          <w:rPr>
            <w:noProof/>
            <w:webHidden/>
            <w:lang w:val="en-GB"/>
          </w:rPr>
          <w:fldChar w:fldCharType="end"/>
        </w:r>
      </w:hyperlink>
    </w:p>
    <w:p>
      <w:pPr>
        <w:pStyle w:val="TOC1"/>
        <w:rPr>
          <w:rFonts w:asciiTheme="minorHAnsi" w:eastAsiaTheme="minorEastAsia" w:hAnsiTheme="minorHAnsi" w:cstheme="minorBidi"/>
          <w:noProof/>
          <w:lang w:val="en-GB" w:eastAsia="en-IE"/>
        </w:rPr>
      </w:pPr>
      <w:hyperlink w:anchor="_Toc116313755" w:history="1">
        <w:r>
          <w:rPr>
            <w:rStyle w:val="Hyperlink"/>
            <w:rFonts w:ascii="Times New Roman" w:hAnsi="Times New Roman"/>
            <w:noProof/>
            <w:lang w:val="en-GB"/>
          </w:rPr>
          <w:t>6.</w:t>
        </w:r>
        <w:r>
          <w:rPr>
            <w:rFonts w:asciiTheme="minorHAnsi" w:eastAsiaTheme="minorEastAsia" w:hAnsiTheme="minorHAnsi" w:cstheme="minorBidi"/>
            <w:noProof/>
            <w:lang w:val="en-GB" w:eastAsia="en-IE"/>
          </w:rPr>
          <w:tab/>
        </w:r>
        <w:r>
          <w:rPr>
            <w:rStyle w:val="Hyperlink"/>
            <w:rFonts w:ascii="Times New Roman" w:hAnsi="Times New Roman"/>
            <w:noProof/>
            <w:lang w:val="en-GB"/>
          </w:rPr>
          <w:t>CONCLUSIONS</w:t>
        </w:r>
        <w:r>
          <w:rPr>
            <w:noProof/>
            <w:webHidden/>
            <w:lang w:val="en-GB"/>
          </w:rPr>
          <w:tab/>
        </w:r>
        <w:r>
          <w:rPr>
            <w:noProof/>
            <w:webHidden/>
            <w:lang w:val="en-GB"/>
          </w:rPr>
          <w:fldChar w:fldCharType="begin"/>
        </w:r>
        <w:r>
          <w:rPr>
            <w:noProof/>
            <w:webHidden/>
            <w:lang w:val="en-GB"/>
          </w:rPr>
          <w:instrText xml:space="preserve"> PAGEREF _Toc116313755 \h </w:instrText>
        </w:r>
        <w:r>
          <w:rPr>
            <w:noProof/>
            <w:webHidden/>
            <w:lang w:val="en-GB"/>
          </w:rPr>
        </w:r>
        <w:r>
          <w:rPr>
            <w:noProof/>
            <w:webHidden/>
            <w:lang w:val="en-GB"/>
          </w:rPr>
          <w:fldChar w:fldCharType="separate"/>
        </w:r>
        <w:r>
          <w:rPr>
            <w:noProof/>
            <w:webHidden/>
            <w:lang w:val="en-GB"/>
          </w:rPr>
          <w:t>8</w:t>
        </w:r>
        <w:r>
          <w:rPr>
            <w:noProof/>
            <w:webHidden/>
            <w:lang w:val="en-GB"/>
          </w:rPr>
          <w:fldChar w:fldCharType="end"/>
        </w:r>
      </w:hyperlink>
    </w:p>
    <w:p>
      <w:pPr>
        <w:pStyle w:val="TOC1"/>
        <w:rPr>
          <w:rFonts w:ascii="Times New Roman" w:hAnsi="Times New Roman"/>
          <w:noProof/>
          <w:sz w:val="24"/>
          <w:szCs w:val="24"/>
          <w:lang w:val="en-GB"/>
        </w:rPr>
        <w:sectPr>
          <w:headerReference w:type="even" r:id="rId18"/>
          <w:headerReference w:type="default" r:id="rId19"/>
          <w:footerReference w:type="even" r:id="rId20"/>
          <w:footerReference w:type="default" r:id="rId21"/>
          <w:headerReference w:type="first" r:id="rId22"/>
          <w:footerReference w:type="first" r:id="rId23"/>
          <w:pgSz w:w="11906" w:h="16838" w:code="9"/>
          <w:pgMar w:top="1440" w:right="1080" w:bottom="1440" w:left="1080" w:header="720" w:footer="720" w:gutter="0"/>
          <w:cols w:space="720"/>
          <w:docGrid w:linePitch="360"/>
        </w:sectPr>
      </w:pPr>
      <w:r>
        <w:rPr>
          <w:rFonts w:ascii="Times New Roman" w:hAnsi="Times New Roman"/>
          <w:b/>
          <w:bCs/>
          <w:noProof/>
          <w:sz w:val="24"/>
          <w:szCs w:val="24"/>
          <w:lang w:val="en-GB"/>
        </w:rPr>
        <w:fldChar w:fldCharType="end"/>
      </w:r>
    </w:p>
    <w:p>
      <w:pPr>
        <w:pStyle w:val="Heading1"/>
        <w:rPr>
          <w:rFonts w:ascii="Times New Roman" w:hAnsi="Times New Roman"/>
          <w:color w:val="auto"/>
        </w:rPr>
      </w:pPr>
      <w:bookmarkStart w:id="1" w:name="_Toc116313748"/>
      <w:r>
        <w:rPr>
          <w:rFonts w:ascii="Times New Roman" w:hAnsi="Times New Roman"/>
          <w:color w:val="auto"/>
        </w:rPr>
        <w:lastRenderedPageBreak/>
        <w:t>1.</w:t>
      </w:r>
      <w:r>
        <w:rPr>
          <w:rFonts w:ascii="Times New Roman" w:hAnsi="Times New Roman"/>
          <w:color w:val="auto"/>
        </w:rPr>
        <w:tab/>
        <w:t>INTRODUCTION</w:t>
      </w:r>
      <w:bookmarkEnd w:id="1"/>
    </w:p>
    <w:p>
      <w:pPr>
        <w:jc w:val="both"/>
        <w:rPr>
          <w:rFonts w:ascii="Times New Roman" w:hAnsi="Times New Roman"/>
          <w:noProof/>
          <w:sz w:val="24"/>
          <w:szCs w:val="24"/>
        </w:rPr>
      </w:pPr>
      <w:r>
        <w:rPr>
          <w:rFonts w:ascii="Times New Roman" w:hAnsi="Times New Roman"/>
          <w:noProof/>
          <w:sz w:val="24"/>
          <w:szCs w:val="24"/>
        </w:rPr>
        <w:t>Since 2016, the European Commission has published an annual report on the safety of EU offshore oil and gas operations.</w:t>
      </w:r>
    </w:p>
    <w:p>
      <w:pPr>
        <w:jc w:val="both"/>
        <w:rPr>
          <w:rFonts w:ascii="Times New Roman" w:hAnsi="Times New Roman"/>
          <w:noProof/>
          <w:sz w:val="24"/>
          <w:szCs w:val="24"/>
        </w:rPr>
      </w:pPr>
      <w:r>
        <w:rPr>
          <w:rFonts w:ascii="Times New Roman" w:hAnsi="Times New Roman"/>
          <w:noProof/>
          <w:sz w:val="24"/>
          <w:szCs w:val="24"/>
        </w:rPr>
        <w:t>The legal basis for this report is Article 25(3 of  Directive 2013/30/EU</w:t>
      </w:r>
      <w:r>
        <w:rPr>
          <w:rStyle w:val="FootnoteReference"/>
          <w:rFonts w:ascii="Times New Roman" w:hAnsi="Times New Roman"/>
          <w:noProof/>
          <w:sz w:val="24"/>
          <w:szCs w:val="24"/>
        </w:rPr>
        <w:footnoteReference w:id="1"/>
      </w:r>
      <w:r>
        <w:rPr>
          <w:rFonts w:ascii="Times New Roman" w:hAnsi="Times New Roman"/>
          <w:noProof/>
          <w:sz w:val="24"/>
          <w:szCs w:val="24"/>
        </w:rPr>
        <w:t xml:space="preserve"> of the European Parliament and of the Council of 12 June 2013</w:t>
      </w:r>
      <w:r>
        <w:rPr>
          <w:rFonts w:ascii="Times New Roman" w:hAnsi="Times New Roman"/>
          <w:noProof/>
        </w:rPr>
        <w:t xml:space="preserve"> </w:t>
      </w:r>
      <w:r>
        <w:rPr>
          <w:rFonts w:ascii="Times New Roman" w:hAnsi="Times New Roman"/>
          <w:noProof/>
          <w:sz w:val="24"/>
          <w:szCs w:val="24"/>
        </w:rPr>
        <w:t>on safety of offshore oil and gas operations and amending Directive 2004/35/EC (hereinafter: the ‘Offshore Safety Directive’). The Offshore Safety Directive aims to achieve a high level of safety in offshore oil and gas operations, for the benefit of:</w:t>
      </w:r>
    </w:p>
    <w:p>
      <w:pPr>
        <w:pStyle w:val="ListParagraph"/>
        <w:numPr>
          <w:ilvl w:val="0"/>
          <w:numId w:val="25"/>
        </w:numPr>
        <w:jc w:val="both"/>
        <w:rPr>
          <w:rFonts w:ascii="Times New Roman" w:hAnsi="Times New Roman"/>
          <w:noProof/>
          <w:sz w:val="24"/>
          <w:szCs w:val="24"/>
        </w:rPr>
      </w:pPr>
      <w:r>
        <w:rPr>
          <w:rFonts w:ascii="Times New Roman" w:hAnsi="Times New Roman"/>
          <w:noProof/>
          <w:sz w:val="24"/>
          <w:szCs w:val="24"/>
        </w:rPr>
        <w:t>workers;</w:t>
      </w:r>
    </w:p>
    <w:p>
      <w:pPr>
        <w:pStyle w:val="ListParagraph"/>
        <w:numPr>
          <w:ilvl w:val="0"/>
          <w:numId w:val="25"/>
        </w:numPr>
        <w:jc w:val="both"/>
        <w:rPr>
          <w:rFonts w:ascii="Times New Roman" w:hAnsi="Times New Roman"/>
          <w:noProof/>
          <w:sz w:val="24"/>
          <w:szCs w:val="24"/>
        </w:rPr>
      </w:pPr>
      <w:r>
        <w:rPr>
          <w:rFonts w:ascii="Times New Roman" w:hAnsi="Times New Roman"/>
          <w:noProof/>
          <w:sz w:val="24"/>
          <w:szCs w:val="24"/>
        </w:rPr>
        <w:t>the environment;</w:t>
      </w:r>
    </w:p>
    <w:p>
      <w:pPr>
        <w:pStyle w:val="ListParagraph"/>
        <w:numPr>
          <w:ilvl w:val="0"/>
          <w:numId w:val="25"/>
        </w:numPr>
        <w:jc w:val="both"/>
        <w:rPr>
          <w:rFonts w:ascii="Times New Roman" w:hAnsi="Times New Roman"/>
          <w:noProof/>
          <w:sz w:val="24"/>
          <w:szCs w:val="24"/>
        </w:rPr>
      </w:pPr>
      <w:r>
        <w:rPr>
          <w:rFonts w:ascii="Times New Roman" w:hAnsi="Times New Roman"/>
          <w:noProof/>
          <w:sz w:val="24"/>
          <w:szCs w:val="24"/>
        </w:rPr>
        <w:t>offshore platforms and equipment;</w:t>
      </w:r>
    </w:p>
    <w:p>
      <w:pPr>
        <w:pStyle w:val="ListParagraph"/>
        <w:numPr>
          <w:ilvl w:val="0"/>
          <w:numId w:val="25"/>
        </w:numPr>
        <w:jc w:val="both"/>
        <w:rPr>
          <w:rFonts w:ascii="Times New Roman" w:hAnsi="Times New Roman"/>
          <w:noProof/>
          <w:sz w:val="24"/>
          <w:szCs w:val="24"/>
        </w:rPr>
      </w:pPr>
      <w:r>
        <w:rPr>
          <w:rFonts w:ascii="Times New Roman" w:hAnsi="Times New Roman"/>
          <w:noProof/>
          <w:sz w:val="24"/>
          <w:szCs w:val="24"/>
        </w:rPr>
        <w:t>economic activities, such as fishing and tourism.</w:t>
      </w:r>
    </w:p>
    <w:p>
      <w:pPr>
        <w:jc w:val="both"/>
        <w:rPr>
          <w:rFonts w:ascii="Times New Roman" w:hAnsi="Times New Roman"/>
          <w:noProof/>
          <w:sz w:val="24"/>
          <w:szCs w:val="24"/>
        </w:rPr>
      </w:pPr>
      <w:r>
        <w:rPr>
          <w:rFonts w:ascii="Times New Roman" w:hAnsi="Times New Roman"/>
          <w:noProof/>
          <w:sz w:val="24"/>
          <w:szCs w:val="24"/>
        </w:rPr>
        <w:t>The Directive, as implemented by Member States, helps to:</w:t>
      </w:r>
    </w:p>
    <w:p>
      <w:pPr>
        <w:pStyle w:val="ListParagraph"/>
        <w:numPr>
          <w:ilvl w:val="0"/>
          <w:numId w:val="26"/>
        </w:numPr>
        <w:jc w:val="both"/>
        <w:rPr>
          <w:rFonts w:ascii="Times New Roman" w:hAnsi="Times New Roman"/>
          <w:noProof/>
          <w:sz w:val="24"/>
          <w:szCs w:val="24"/>
        </w:rPr>
      </w:pPr>
      <w:r>
        <w:rPr>
          <w:rFonts w:ascii="Times New Roman" w:hAnsi="Times New Roman"/>
          <w:noProof/>
          <w:sz w:val="24"/>
          <w:szCs w:val="24"/>
        </w:rPr>
        <w:t>prevent major accidents and incidents;</w:t>
      </w:r>
    </w:p>
    <w:p>
      <w:pPr>
        <w:pStyle w:val="ListParagraph"/>
        <w:numPr>
          <w:ilvl w:val="0"/>
          <w:numId w:val="26"/>
        </w:numPr>
        <w:jc w:val="both"/>
        <w:rPr>
          <w:rFonts w:ascii="Times New Roman" w:hAnsi="Times New Roman"/>
          <w:noProof/>
          <w:sz w:val="24"/>
          <w:szCs w:val="24"/>
        </w:rPr>
      </w:pPr>
      <w:r>
        <w:rPr>
          <w:rFonts w:ascii="Times New Roman" w:hAnsi="Times New Roman"/>
          <w:noProof/>
          <w:sz w:val="24"/>
          <w:szCs w:val="24"/>
        </w:rPr>
        <w:t>reduce the number of incidents;</w:t>
      </w:r>
    </w:p>
    <w:p>
      <w:pPr>
        <w:pStyle w:val="ListParagraph"/>
        <w:numPr>
          <w:ilvl w:val="0"/>
          <w:numId w:val="26"/>
        </w:numPr>
        <w:jc w:val="both"/>
        <w:rPr>
          <w:rFonts w:ascii="Times New Roman" w:hAnsi="Times New Roman"/>
          <w:noProof/>
          <w:sz w:val="24"/>
          <w:szCs w:val="24"/>
        </w:rPr>
      </w:pPr>
      <w:r>
        <w:rPr>
          <w:rFonts w:ascii="Times New Roman" w:hAnsi="Times New Roman"/>
          <w:noProof/>
          <w:sz w:val="24"/>
          <w:szCs w:val="24"/>
        </w:rPr>
        <w:t>ensure effective follow-up of accidents and incidents to reduce the severity of their consequences.</w:t>
      </w:r>
    </w:p>
    <w:p>
      <w:pPr>
        <w:jc w:val="both"/>
        <w:rPr>
          <w:rFonts w:ascii="Times New Roman" w:hAnsi="Times New Roman"/>
          <w:noProof/>
          <w:sz w:val="24"/>
          <w:szCs w:val="24"/>
        </w:rPr>
      </w:pPr>
      <w:r>
        <w:rPr>
          <w:rFonts w:ascii="Times New Roman" w:hAnsi="Times New Roman"/>
          <w:noProof/>
          <w:sz w:val="24"/>
          <w:szCs w:val="24"/>
        </w:rPr>
        <w:t>As past reports do, this annual report:</w:t>
      </w:r>
    </w:p>
    <w:p>
      <w:pPr>
        <w:pStyle w:val="ListParagraph"/>
        <w:numPr>
          <w:ilvl w:val="0"/>
          <w:numId w:val="27"/>
        </w:numPr>
        <w:jc w:val="both"/>
        <w:rPr>
          <w:rFonts w:ascii="Times New Roman" w:hAnsi="Times New Roman"/>
          <w:noProof/>
          <w:sz w:val="24"/>
          <w:szCs w:val="24"/>
        </w:rPr>
      </w:pPr>
      <w:r>
        <w:rPr>
          <w:rFonts w:ascii="Times New Roman" w:hAnsi="Times New Roman"/>
          <w:noProof/>
          <w:sz w:val="24"/>
          <w:szCs w:val="24"/>
        </w:rPr>
        <w:t>gives the number and type of installations in the EU;</w:t>
      </w:r>
    </w:p>
    <w:p>
      <w:pPr>
        <w:pStyle w:val="ListParagraph"/>
        <w:numPr>
          <w:ilvl w:val="0"/>
          <w:numId w:val="27"/>
        </w:numPr>
        <w:jc w:val="both"/>
        <w:rPr>
          <w:rFonts w:ascii="Times New Roman" w:hAnsi="Times New Roman"/>
          <w:noProof/>
          <w:sz w:val="24"/>
          <w:szCs w:val="24"/>
        </w:rPr>
      </w:pPr>
      <w:r>
        <w:rPr>
          <w:rFonts w:ascii="Times New Roman" w:hAnsi="Times New Roman"/>
          <w:noProof/>
          <w:sz w:val="24"/>
          <w:szCs w:val="24"/>
        </w:rPr>
        <w:t>provides information on safety incidents in these installations;</w:t>
      </w:r>
    </w:p>
    <w:p>
      <w:pPr>
        <w:pStyle w:val="ListParagraph"/>
        <w:numPr>
          <w:ilvl w:val="0"/>
          <w:numId w:val="27"/>
        </w:numPr>
        <w:jc w:val="both"/>
        <w:rPr>
          <w:rFonts w:ascii="Times New Roman" w:hAnsi="Times New Roman"/>
          <w:noProof/>
          <w:sz w:val="24"/>
          <w:szCs w:val="24"/>
        </w:rPr>
      </w:pPr>
      <w:r>
        <w:rPr>
          <w:rFonts w:ascii="Times New Roman" w:hAnsi="Times New Roman"/>
          <w:noProof/>
          <w:sz w:val="24"/>
          <w:szCs w:val="24"/>
        </w:rPr>
        <w:t>assesses the safety performance of offshore oil and gas operations.</w:t>
      </w:r>
    </w:p>
    <w:p>
      <w:pPr>
        <w:jc w:val="both"/>
        <w:rPr>
          <w:rFonts w:ascii="Times New Roman" w:hAnsi="Times New Roman"/>
          <w:noProof/>
          <w:sz w:val="24"/>
          <w:szCs w:val="24"/>
        </w:rPr>
      </w:pPr>
      <w:r>
        <w:rPr>
          <w:rFonts w:ascii="Times New Roman" w:hAnsi="Times New Roman"/>
          <w:noProof/>
          <w:sz w:val="24"/>
          <w:szCs w:val="24"/>
        </w:rPr>
        <w:t>The report now covers a period of nine years, and it serves as a record of the safety performance in Member States’ offshore oil and gas activities.</w:t>
      </w:r>
    </w:p>
    <w:p>
      <w:pPr>
        <w:jc w:val="both"/>
        <w:rPr>
          <w:rFonts w:ascii="Times New Roman" w:hAnsi="Times New Roman"/>
          <w:noProof/>
          <w:sz w:val="24"/>
          <w:szCs w:val="24"/>
        </w:rPr>
      </w:pPr>
      <w:r>
        <w:rPr>
          <w:rFonts w:ascii="Times New Roman" w:hAnsi="Times New Roman"/>
          <w:noProof/>
          <w:sz w:val="24"/>
          <w:szCs w:val="24"/>
        </w:rPr>
        <w:t>This report is based on the annual reports and data submitted by Member States as required by Article 25(3) of, and point 3 of Annex IX to, the Offshore Safety Directive.</w:t>
      </w:r>
    </w:p>
    <w:p>
      <w:pPr>
        <w:jc w:val="both"/>
        <w:rPr>
          <w:rFonts w:ascii="Times New Roman" w:hAnsi="Times New Roman"/>
          <w:noProof/>
          <w:sz w:val="24"/>
          <w:szCs w:val="24"/>
        </w:rPr>
      </w:pPr>
      <w:r>
        <w:rPr>
          <w:rFonts w:ascii="Times New Roman" w:hAnsi="Times New Roman"/>
          <w:noProof/>
          <w:sz w:val="24"/>
          <w:szCs w:val="24"/>
        </w:rPr>
        <w:t>There are 164 offshore oil and gas installations located in the Mediterranean Sea, 147 in the North Sea and Atlantic Ocean, 9 in the Black Sea and 4 in the Baltic Sea. In 2024, the competent Member State authorities inspected the safety of 299 offshore installations in their jurisdiction. The competent Member States authorities reported two major accidents in 2024.</w:t>
      </w:r>
    </w:p>
    <w:p>
      <w:pPr>
        <w:jc w:val="both"/>
        <w:rPr>
          <w:rFonts w:ascii="Times New Roman" w:hAnsi="Times New Roman"/>
          <w:noProof/>
          <w:sz w:val="24"/>
          <w:szCs w:val="24"/>
        </w:rPr>
      </w:pPr>
      <w:r>
        <w:rPr>
          <w:rFonts w:ascii="Times New Roman" w:hAnsi="Times New Roman"/>
          <w:noProof/>
          <w:sz w:val="24"/>
          <w:szCs w:val="24"/>
        </w:rPr>
        <w:t>The number of incidents increased from 44 in 2023 to 72 in 2024.</w:t>
      </w:r>
    </w:p>
    <w:p>
      <w:pPr>
        <w:jc w:val="both"/>
        <w:rPr>
          <w:rFonts w:ascii="Times New Roman" w:hAnsi="Times New Roman"/>
          <w:noProof/>
          <w:sz w:val="24"/>
          <w:szCs w:val="24"/>
          <w:lang w:val="en-IE"/>
        </w:rPr>
      </w:pPr>
    </w:p>
    <w:p>
      <w:pPr>
        <w:pStyle w:val="Heading1"/>
        <w:rPr>
          <w:rFonts w:ascii="Times New Roman" w:hAnsi="Times New Roman"/>
          <w:color w:val="auto"/>
        </w:rPr>
      </w:pPr>
      <w:bookmarkStart w:id="2" w:name="_Toc116313749"/>
      <w:r>
        <w:rPr>
          <w:rFonts w:ascii="Times New Roman" w:hAnsi="Times New Roman"/>
          <w:color w:val="auto"/>
        </w:rPr>
        <w:lastRenderedPageBreak/>
        <w:t>2.</w:t>
      </w:r>
      <w:r>
        <w:rPr>
          <w:rFonts w:ascii="Times New Roman" w:hAnsi="Times New Roman"/>
          <w:color w:val="auto"/>
        </w:rPr>
        <w:tab/>
        <w:t>LEGAL BASIS</w:t>
      </w:r>
      <w:bookmarkEnd w:id="2"/>
    </w:p>
    <w:p>
      <w:pPr>
        <w:jc w:val="both"/>
        <w:rPr>
          <w:rFonts w:ascii="Times New Roman" w:hAnsi="Times New Roman"/>
          <w:noProof/>
          <w:sz w:val="24"/>
          <w:szCs w:val="24"/>
        </w:rPr>
      </w:pPr>
      <w:r>
        <w:rPr>
          <w:rFonts w:ascii="Times New Roman" w:hAnsi="Times New Roman"/>
          <w:noProof/>
          <w:sz w:val="24"/>
          <w:szCs w:val="24"/>
        </w:rPr>
        <w:t>In line with Article 25(3) of the Offshore Safety Directive, the Commission must publish an annual report on the safety and environmental impact of offshore oil and gas operations. This report is based on individual annual reports that Member States must submit to the Commission. Point 3 of Annex IX  to the Directive sets out the minimum information the annual reports must contain:</w:t>
      </w:r>
    </w:p>
    <w:p>
      <w:pPr>
        <w:pStyle w:val="ListParagraph"/>
        <w:numPr>
          <w:ilvl w:val="0"/>
          <w:numId w:val="32"/>
        </w:numPr>
        <w:jc w:val="both"/>
        <w:rPr>
          <w:rFonts w:ascii="Times New Roman" w:hAnsi="Times New Roman"/>
          <w:noProof/>
          <w:sz w:val="24"/>
          <w:szCs w:val="24"/>
        </w:rPr>
      </w:pPr>
      <w:r>
        <w:rPr>
          <w:rFonts w:ascii="Times New Roman" w:hAnsi="Times New Roman"/>
          <w:noProof/>
          <w:sz w:val="24"/>
          <w:szCs w:val="24"/>
        </w:rPr>
        <w:t>the number, age, and location of installations;</w:t>
      </w:r>
    </w:p>
    <w:p>
      <w:pPr>
        <w:pStyle w:val="ListParagraph"/>
        <w:numPr>
          <w:ilvl w:val="0"/>
          <w:numId w:val="32"/>
        </w:numPr>
        <w:jc w:val="both"/>
        <w:rPr>
          <w:rFonts w:ascii="Times New Roman" w:hAnsi="Times New Roman"/>
          <w:noProof/>
          <w:sz w:val="24"/>
          <w:szCs w:val="24"/>
        </w:rPr>
      </w:pPr>
      <w:r>
        <w:rPr>
          <w:rFonts w:ascii="Times New Roman" w:hAnsi="Times New Roman"/>
          <w:noProof/>
          <w:sz w:val="24"/>
          <w:szCs w:val="24"/>
        </w:rPr>
        <w:t>the number and type of inspections and investigations carried out, in addition to any enforcement action or convictions;</w:t>
      </w:r>
    </w:p>
    <w:p>
      <w:pPr>
        <w:pStyle w:val="ListParagraph"/>
        <w:numPr>
          <w:ilvl w:val="0"/>
          <w:numId w:val="32"/>
        </w:numPr>
        <w:jc w:val="both"/>
        <w:rPr>
          <w:rFonts w:ascii="Times New Roman" w:hAnsi="Times New Roman"/>
          <w:noProof/>
          <w:sz w:val="24"/>
          <w:szCs w:val="24"/>
        </w:rPr>
      </w:pPr>
      <w:r>
        <w:rPr>
          <w:rFonts w:ascii="Times New Roman" w:hAnsi="Times New Roman"/>
          <w:noProof/>
          <w:sz w:val="24"/>
          <w:szCs w:val="24"/>
        </w:rPr>
        <w:t>incidents that have occurred;</w:t>
      </w:r>
    </w:p>
    <w:p>
      <w:pPr>
        <w:pStyle w:val="ListParagraph"/>
        <w:numPr>
          <w:ilvl w:val="0"/>
          <w:numId w:val="32"/>
        </w:numPr>
        <w:jc w:val="both"/>
        <w:rPr>
          <w:rFonts w:ascii="Times New Roman" w:hAnsi="Times New Roman"/>
          <w:noProof/>
          <w:sz w:val="24"/>
          <w:szCs w:val="24"/>
        </w:rPr>
      </w:pPr>
      <w:r>
        <w:rPr>
          <w:rFonts w:ascii="Times New Roman" w:hAnsi="Times New Roman"/>
          <w:noProof/>
          <w:sz w:val="24"/>
          <w:szCs w:val="24"/>
        </w:rPr>
        <w:t>any major change in the offshore regulatory framework;</w:t>
      </w:r>
    </w:p>
    <w:p>
      <w:pPr>
        <w:pStyle w:val="ListParagraph"/>
        <w:numPr>
          <w:ilvl w:val="0"/>
          <w:numId w:val="32"/>
        </w:numPr>
        <w:jc w:val="both"/>
        <w:rPr>
          <w:rFonts w:ascii="Times New Roman" w:hAnsi="Times New Roman"/>
          <w:noProof/>
          <w:sz w:val="24"/>
          <w:szCs w:val="24"/>
        </w:rPr>
      </w:pPr>
      <w:r>
        <w:rPr>
          <w:rFonts w:ascii="Times New Roman" w:hAnsi="Times New Roman"/>
          <w:noProof/>
          <w:sz w:val="24"/>
          <w:szCs w:val="24"/>
        </w:rPr>
        <w:t>the performance of offshore oil and gas operations.</w:t>
      </w:r>
    </w:p>
    <w:p>
      <w:pPr>
        <w:jc w:val="both"/>
        <w:rPr>
          <w:rFonts w:ascii="Times New Roman" w:hAnsi="Times New Roman"/>
          <w:noProof/>
          <w:sz w:val="24"/>
          <w:szCs w:val="24"/>
        </w:rPr>
      </w:pPr>
      <w:r>
        <w:rPr>
          <w:rFonts w:ascii="Times New Roman" w:hAnsi="Times New Roman"/>
          <w:noProof/>
          <w:sz w:val="24"/>
          <w:szCs w:val="24"/>
          <w:lang w:val="en-IE"/>
        </w:rPr>
        <w:t>Pursuant to Article 2(2) of Commission Implementing Regulation (EU) No 1112/2014 of 13 October 2014</w:t>
      </w:r>
      <w:r>
        <w:rPr>
          <w:rStyle w:val="FootnoteReference"/>
          <w:rFonts w:ascii="Times New Roman" w:hAnsi="Times New Roman"/>
          <w:noProof/>
          <w:sz w:val="24"/>
          <w:szCs w:val="24"/>
          <w:lang w:val="en-IE"/>
        </w:rPr>
        <w:footnoteReference w:id="2"/>
      </w:r>
      <w:r>
        <w:rPr>
          <w:rFonts w:ascii="Times New Roman" w:hAnsi="Times New Roman"/>
          <w:noProof/>
          <w:sz w:val="24"/>
          <w:szCs w:val="24"/>
          <w:lang w:val="en-IE"/>
        </w:rPr>
        <w:t xml:space="preserve"> (hereinafter, the “Implementing Regulation”), </w:t>
      </w:r>
      <w:r>
        <w:rPr>
          <w:rFonts w:ascii="Times New Roman" w:hAnsi="Times New Roman"/>
          <w:noProof/>
          <w:sz w:val="24"/>
          <w:szCs w:val="24"/>
        </w:rPr>
        <w:t>the deadline for Member States to publish and submit the required information is 1 June following the reporting period (e.g. 1 June 2025 for 2024).</w:t>
      </w:r>
    </w:p>
    <w:p>
      <w:pPr>
        <w:jc w:val="both"/>
        <w:rPr>
          <w:rFonts w:ascii="Times New Roman" w:hAnsi="Times New Roman"/>
          <w:noProof/>
          <w:sz w:val="24"/>
          <w:szCs w:val="24"/>
          <w:lang w:val="en-IE"/>
        </w:rPr>
      </w:pPr>
      <w:r>
        <w:rPr>
          <w:rFonts w:ascii="Times New Roman" w:hAnsi="Times New Roman"/>
          <w:noProof/>
          <w:sz w:val="24"/>
          <w:szCs w:val="24"/>
          <w:lang w:val="en-IE"/>
        </w:rPr>
        <w:t>Member States must submit the information using the templates provided in Annex II to the Implementing Regulation. The templates provide for:</w:t>
      </w:r>
    </w:p>
    <w:p>
      <w:pPr>
        <w:pStyle w:val="ListParagraph"/>
        <w:numPr>
          <w:ilvl w:val="0"/>
          <w:numId w:val="28"/>
        </w:numPr>
        <w:jc w:val="both"/>
        <w:rPr>
          <w:rFonts w:ascii="Times New Roman" w:hAnsi="Times New Roman"/>
          <w:noProof/>
          <w:sz w:val="24"/>
          <w:szCs w:val="24"/>
        </w:rPr>
      </w:pPr>
      <w:r>
        <w:rPr>
          <w:rFonts w:ascii="Times New Roman" w:hAnsi="Times New Roman"/>
          <w:noProof/>
          <w:sz w:val="24"/>
          <w:szCs w:val="24"/>
        </w:rPr>
        <w:t>operators and owners of offshore oil and gas installations to share information on major hazard indicators;</w:t>
      </w:r>
    </w:p>
    <w:p>
      <w:pPr>
        <w:pStyle w:val="ListParagraph"/>
        <w:numPr>
          <w:ilvl w:val="0"/>
          <w:numId w:val="28"/>
        </w:numPr>
        <w:jc w:val="both"/>
        <w:rPr>
          <w:rFonts w:ascii="Times New Roman" w:hAnsi="Times New Roman"/>
          <w:noProof/>
          <w:sz w:val="24"/>
          <w:szCs w:val="24"/>
        </w:rPr>
      </w:pPr>
      <w:r>
        <w:rPr>
          <w:rFonts w:ascii="Times New Roman" w:hAnsi="Times New Roman"/>
          <w:noProof/>
          <w:sz w:val="24"/>
          <w:szCs w:val="24"/>
        </w:rPr>
        <w:t>Member States to publish information on major hazard indicators.</w:t>
      </w:r>
    </w:p>
    <w:p>
      <w:pPr>
        <w:jc w:val="both"/>
        <w:rPr>
          <w:rFonts w:ascii="Times New Roman" w:hAnsi="Times New Roman"/>
          <w:noProof/>
          <w:sz w:val="24"/>
          <w:szCs w:val="24"/>
          <w:lang w:val="en-IE"/>
        </w:rPr>
      </w:pPr>
      <w:r>
        <w:rPr>
          <w:rFonts w:ascii="Times New Roman" w:hAnsi="Times New Roman"/>
          <w:noProof/>
          <w:sz w:val="24"/>
          <w:szCs w:val="24"/>
          <w:lang w:val="en-IE"/>
        </w:rPr>
        <w:t>A Commission services guidance</w:t>
      </w:r>
      <w:r>
        <w:rPr>
          <w:rStyle w:val="FootnoteReference"/>
          <w:rFonts w:ascii="Times New Roman" w:hAnsi="Times New Roman"/>
          <w:noProof/>
          <w:sz w:val="24"/>
          <w:szCs w:val="24"/>
          <w:lang w:val="en-IE"/>
        </w:rPr>
        <w:footnoteReference w:id="3"/>
      </w:r>
      <w:r>
        <w:rPr>
          <w:rFonts w:ascii="Times New Roman" w:hAnsi="Times New Roman"/>
          <w:noProof/>
          <w:sz w:val="24"/>
          <w:szCs w:val="24"/>
          <w:lang w:val="en-IE"/>
        </w:rPr>
        <w:t xml:space="preserve"> provides competent Member State authorities, operators and owners with supporting information and examples to promote consistent interpretation of the reporting requirements in the Implementing Regulation.</w:t>
      </w:r>
    </w:p>
    <w:p>
      <w:pPr>
        <w:pStyle w:val="Heading1"/>
        <w:ind w:left="720" w:hanging="720"/>
        <w:rPr>
          <w:rFonts w:ascii="Times New Roman" w:hAnsi="Times New Roman"/>
          <w:color w:val="auto"/>
        </w:rPr>
      </w:pPr>
      <w:bookmarkStart w:id="3" w:name="_Toc116313750"/>
      <w:r>
        <w:rPr>
          <w:rFonts w:ascii="Times New Roman" w:hAnsi="Times New Roman"/>
          <w:color w:val="auto"/>
        </w:rPr>
        <w:t>3.</w:t>
      </w:r>
      <w:r>
        <w:rPr>
          <w:rFonts w:ascii="Times New Roman" w:hAnsi="Times New Roman"/>
          <w:color w:val="auto"/>
        </w:rPr>
        <w:tab/>
        <w:t>METHODOLOGY AND INFORMATION RECEIVED</w:t>
      </w:r>
      <w:bookmarkEnd w:id="3"/>
    </w:p>
    <w:p>
      <w:pPr>
        <w:jc w:val="both"/>
        <w:rPr>
          <w:rFonts w:ascii="Times New Roman" w:hAnsi="Times New Roman"/>
          <w:noProof/>
          <w:sz w:val="24"/>
          <w:szCs w:val="24"/>
        </w:rPr>
      </w:pPr>
      <w:r>
        <w:rPr>
          <w:rFonts w:ascii="Times New Roman" w:hAnsi="Times New Roman"/>
          <w:noProof/>
          <w:sz w:val="24"/>
          <w:szCs w:val="24"/>
          <w:lang w:val="en-IE"/>
        </w:rPr>
        <w:t xml:space="preserve">Member States must submit annual reports on safety incidents in the offshore oil and gas sector using the templates. Those annual reports </w:t>
      </w:r>
      <w:r>
        <w:rPr>
          <w:rFonts w:ascii="Times New Roman" w:hAnsi="Times New Roman"/>
          <w:noProof/>
          <w:sz w:val="24"/>
          <w:szCs w:val="24"/>
        </w:rPr>
        <w:t>must include information on the offshore oil and gas installations in the EU, such as number, type, location and age. Reports from Member States must also provide information on the number of (i) offshore inspections, investigations and enforcement actions taken; (ii) incidents by category, according to Article 25(3) of the Offshore Safety Directive; and (iii) injuries, according to Reporting requirement H of the Implementing Regulation No 1112/2014.</w:t>
      </w:r>
    </w:p>
    <w:p>
      <w:pPr>
        <w:jc w:val="both"/>
        <w:rPr>
          <w:rFonts w:ascii="Times New Roman" w:hAnsi="Times New Roman"/>
          <w:noProof/>
          <w:sz w:val="24"/>
          <w:szCs w:val="24"/>
        </w:rPr>
      </w:pPr>
      <w:r>
        <w:rPr>
          <w:rFonts w:ascii="Times New Roman" w:hAnsi="Times New Roman"/>
          <w:noProof/>
          <w:sz w:val="24"/>
          <w:szCs w:val="24"/>
        </w:rPr>
        <w:t xml:space="preserve">For this annual report, the Commission has used information provided by Bulgaria, Croatia, Cyprus, Denmark, Germany, Greece, Ireland, Italy, Malta, the Netherlands, Poland, Portugal, Romania and </w:t>
      </w:r>
      <w:r>
        <w:rPr>
          <w:rFonts w:ascii="Times New Roman" w:hAnsi="Times New Roman"/>
          <w:noProof/>
          <w:sz w:val="24"/>
          <w:szCs w:val="24"/>
        </w:rPr>
        <w:lastRenderedPageBreak/>
        <w:t xml:space="preserve">Spain. All these Member States declared they had submitted all the required information on all installations. Other Member States were not active in the offshore oil and gas sector. </w:t>
      </w:r>
    </w:p>
    <w:p>
      <w:pPr>
        <w:pStyle w:val="Heading1"/>
        <w:ind w:left="720" w:hanging="720"/>
        <w:rPr>
          <w:rFonts w:ascii="Times New Roman" w:hAnsi="Times New Roman"/>
          <w:color w:val="auto"/>
        </w:rPr>
      </w:pPr>
      <w:bookmarkStart w:id="4" w:name="_Toc116313751"/>
      <w:r>
        <w:rPr>
          <w:rFonts w:ascii="Times New Roman" w:hAnsi="Times New Roman"/>
          <w:color w:val="auto"/>
        </w:rPr>
        <w:t>4.</w:t>
      </w:r>
      <w:r>
        <w:rPr>
          <w:rFonts w:ascii="Times New Roman" w:hAnsi="Times New Roman"/>
          <w:color w:val="auto"/>
        </w:rPr>
        <w:tab/>
        <w:t>THE EU OFFSHORE OIL AND GAS SECTOR</w:t>
      </w:r>
      <w:bookmarkEnd w:id="4"/>
    </w:p>
    <w:p>
      <w:pPr>
        <w:pStyle w:val="Heading2"/>
        <w:spacing w:after="120"/>
        <w:rPr>
          <w:rFonts w:ascii="Times New Roman" w:hAnsi="Times New Roman"/>
          <w:noProof/>
          <w:color w:val="auto"/>
        </w:rPr>
      </w:pPr>
      <w:bookmarkStart w:id="5" w:name="_Toc116313752"/>
      <w:r>
        <w:rPr>
          <w:rFonts w:ascii="Times New Roman" w:hAnsi="Times New Roman"/>
          <w:noProof/>
          <w:color w:val="auto"/>
        </w:rPr>
        <w:t>4.1 Installations and production</w:t>
      </w:r>
      <w:bookmarkEnd w:id="5"/>
    </w:p>
    <w:p>
      <w:pPr>
        <w:jc w:val="both"/>
        <w:rPr>
          <w:rFonts w:ascii="Times New Roman" w:hAnsi="Times New Roman"/>
          <w:noProof/>
          <w:sz w:val="24"/>
          <w:szCs w:val="24"/>
        </w:rPr>
      </w:pPr>
      <w:r>
        <w:rPr>
          <w:rFonts w:ascii="Times New Roman" w:hAnsi="Times New Roman"/>
          <w:noProof/>
          <w:sz w:val="24"/>
          <w:szCs w:val="24"/>
        </w:rPr>
        <w:t>Member States reported 324 installations in EU waters in 2024 (see Table 1):</w:t>
      </w:r>
    </w:p>
    <w:p>
      <w:pPr>
        <w:pStyle w:val="ListParagraph"/>
        <w:numPr>
          <w:ilvl w:val="0"/>
          <w:numId w:val="29"/>
        </w:numPr>
        <w:jc w:val="both"/>
        <w:rPr>
          <w:rFonts w:ascii="Times New Roman" w:hAnsi="Times New Roman"/>
          <w:noProof/>
          <w:sz w:val="24"/>
          <w:szCs w:val="24"/>
        </w:rPr>
      </w:pPr>
      <w:r>
        <w:rPr>
          <w:rFonts w:ascii="Times New Roman" w:hAnsi="Times New Roman"/>
          <w:noProof/>
          <w:sz w:val="24"/>
          <w:szCs w:val="24"/>
        </w:rPr>
        <w:t>Most offshore installations</w:t>
      </w:r>
      <w:r>
        <w:rPr>
          <w:rStyle w:val="FootnoteReference"/>
          <w:rFonts w:ascii="Times New Roman" w:hAnsi="Times New Roman"/>
          <w:noProof/>
          <w:sz w:val="24"/>
          <w:szCs w:val="24"/>
        </w:rPr>
        <w:footnoteReference w:id="4"/>
      </w:r>
      <w:r>
        <w:rPr>
          <w:rFonts w:ascii="Times New Roman" w:hAnsi="Times New Roman"/>
          <w:noProof/>
          <w:sz w:val="24"/>
          <w:szCs w:val="24"/>
        </w:rPr>
        <w:t xml:space="preserve"> were in the Mediterranean Sea. Italy is the most active (with 43% </w:t>
      </w:r>
      <w:bookmarkStart w:id="6" w:name="_Hlk147743046"/>
      <w:r>
        <w:rPr>
          <w:rFonts w:ascii="Times New Roman" w:hAnsi="Times New Roman"/>
          <w:noProof/>
          <w:sz w:val="24"/>
          <w:szCs w:val="24"/>
        </w:rPr>
        <w:t>of all installations in EU waters</w:t>
      </w:r>
      <w:bookmarkEnd w:id="6"/>
      <w:r>
        <w:rPr>
          <w:rFonts w:ascii="Times New Roman" w:hAnsi="Times New Roman"/>
          <w:noProof/>
          <w:sz w:val="24"/>
          <w:szCs w:val="24"/>
        </w:rPr>
        <w:t>) followed by Croatia.</w:t>
      </w:r>
    </w:p>
    <w:p>
      <w:pPr>
        <w:pStyle w:val="ListParagraph"/>
        <w:numPr>
          <w:ilvl w:val="0"/>
          <w:numId w:val="29"/>
        </w:numPr>
        <w:jc w:val="both"/>
        <w:rPr>
          <w:rFonts w:ascii="Times New Roman" w:hAnsi="Times New Roman"/>
          <w:noProof/>
          <w:sz w:val="24"/>
          <w:szCs w:val="24"/>
          <w:lang w:val="en-IE"/>
        </w:rPr>
      </w:pPr>
      <w:r>
        <w:rPr>
          <w:rFonts w:ascii="Times New Roman" w:hAnsi="Times New Roman"/>
          <w:noProof/>
          <w:sz w:val="24"/>
          <w:szCs w:val="24"/>
          <w:lang w:val="en-IE"/>
        </w:rPr>
        <w:t>In the North Sea and Atlantic, most installations (approximately 42% of all installations in EU waters) were in the exclusive economic zone of the Netherlands in the North Sea.</w:t>
      </w:r>
    </w:p>
    <w:p>
      <w:pPr>
        <w:pStyle w:val="ListParagraph"/>
        <w:numPr>
          <w:ilvl w:val="0"/>
          <w:numId w:val="29"/>
        </w:numPr>
        <w:jc w:val="both"/>
        <w:rPr>
          <w:rFonts w:ascii="Times New Roman" w:hAnsi="Times New Roman"/>
          <w:noProof/>
          <w:sz w:val="24"/>
          <w:szCs w:val="24"/>
        </w:rPr>
      </w:pPr>
      <w:r>
        <w:rPr>
          <w:rFonts w:ascii="Times New Roman" w:hAnsi="Times New Roman"/>
          <w:noProof/>
          <w:sz w:val="24"/>
          <w:szCs w:val="24"/>
        </w:rPr>
        <w:t>In the Black Sea, Romania has a well-established offshore oil and gas industry. Bulgaria has continued offshore hydrocarbon exploration but only had one installation and is producing small quantities of oil and gas.</w:t>
      </w:r>
    </w:p>
    <w:p>
      <w:pPr>
        <w:pStyle w:val="ListParagraph"/>
        <w:numPr>
          <w:ilvl w:val="0"/>
          <w:numId w:val="29"/>
        </w:numPr>
        <w:jc w:val="both"/>
        <w:rPr>
          <w:noProof/>
        </w:rPr>
      </w:pPr>
      <w:r>
        <w:rPr>
          <w:rFonts w:ascii="Times New Roman" w:hAnsi="Times New Roman"/>
          <w:noProof/>
          <w:sz w:val="24"/>
          <w:szCs w:val="24"/>
        </w:rPr>
        <w:t>In the Baltic Sea, only Poland has offshore installations.</w:t>
      </w:r>
    </w:p>
    <w:p>
      <w:pPr>
        <w:pStyle w:val="Caption"/>
        <w:rPr>
          <w:noProof/>
          <w:lang w:val="en-GB"/>
        </w:rPr>
      </w:pPr>
      <w:r>
        <w:rPr>
          <w:noProof/>
          <w:lang w:val="en-GB"/>
        </w:rPr>
        <w:t>Table 1: Installations on 1 January 2024: type of installation by region and Member State</w:t>
      </w:r>
    </w:p>
    <w:tbl>
      <w:tblPr>
        <w:tblStyle w:val="TableGrid"/>
        <w:tblW w:w="10031" w:type="dxa"/>
        <w:tblLook w:val="04A0" w:firstRow="1" w:lastRow="0" w:firstColumn="1" w:lastColumn="0" w:noHBand="0" w:noVBand="1"/>
      </w:tblPr>
      <w:tblGrid>
        <w:gridCol w:w="2336"/>
        <w:gridCol w:w="1356"/>
        <w:gridCol w:w="923"/>
        <w:gridCol w:w="923"/>
        <w:gridCol w:w="923"/>
        <w:gridCol w:w="923"/>
        <w:gridCol w:w="1562"/>
        <w:gridCol w:w="1085"/>
      </w:tblGrid>
      <w:tr>
        <w:trPr>
          <w:trHeight w:val="292"/>
        </w:trPr>
        <w:tc>
          <w:tcPr>
            <w:tcW w:w="2336" w:type="dxa"/>
            <w:noWrap/>
            <w:hideMark/>
          </w:tcPr>
          <w:p>
            <w:pPr>
              <w:rPr>
                <w:b/>
                <w:bCs/>
                <w:noProof/>
                <w:lang w:val="en-GB"/>
              </w:rPr>
            </w:pPr>
            <w:r>
              <w:rPr>
                <w:b/>
                <w:noProof/>
                <w:lang w:val="en-GB"/>
              </w:rPr>
              <w:t>Region</w:t>
            </w:r>
          </w:p>
        </w:tc>
        <w:tc>
          <w:tcPr>
            <w:tcW w:w="1356" w:type="dxa"/>
            <w:noWrap/>
          </w:tcPr>
          <w:p>
            <w:pPr>
              <w:rPr>
                <w:b/>
                <w:bCs/>
                <w:noProof/>
                <w:lang w:val="en-GB"/>
              </w:rPr>
            </w:pPr>
            <w:r>
              <w:rPr>
                <w:b/>
                <w:bCs/>
                <w:noProof/>
                <w:lang w:val="en-GB"/>
              </w:rPr>
              <w:t>Country</w:t>
            </w:r>
          </w:p>
        </w:tc>
        <w:tc>
          <w:tcPr>
            <w:tcW w:w="5254" w:type="dxa"/>
            <w:gridSpan w:val="5"/>
            <w:noWrap/>
          </w:tcPr>
          <w:p>
            <w:pPr>
              <w:rPr>
                <w:b/>
                <w:noProof/>
                <w:lang w:val="en-GB"/>
              </w:rPr>
            </w:pPr>
            <w:r>
              <w:rPr>
                <w:b/>
                <w:noProof/>
                <w:lang w:val="en-GB"/>
              </w:rPr>
              <w:t>Type of installation (*)</w:t>
            </w:r>
          </w:p>
        </w:tc>
        <w:tc>
          <w:tcPr>
            <w:tcW w:w="1085" w:type="dxa"/>
          </w:tcPr>
          <w:p>
            <w:pPr>
              <w:rPr>
                <w:b/>
                <w:noProof/>
                <w:lang w:val="en-GB"/>
              </w:rPr>
            </w:pPr>
          </w:p>
        </w:tc>
      </w:tr>
      <w:tr>
        <w:trPr>
          <w:trHeight w:val="292"/>
        </w:trPr>
        <w:tc>
          <w:tcPr>
            <w:tcW w:w="2336" w:type="dxa"/>
            <w:noWrap/>
          </w:tcPr>
          <w:p>
            <w:pPr>
              <w:rPr>
                <w:b/>
                <w:noProof/>
                <w:lang w:val="en-GB"/>
              </w:rPr>
            </w:pPr>
          </w:p>
        </w:tc>
        <w:tc>
          <w:tcPr>
            <w:tcW w:w="1356" w:type="dxa"/>
            <w:noWrap/>
          </w:tcPr>
          <w:p>
            <w:pPr>
              <w:rPr>
                <w:noProof/>
                <w:lang w:val="en-GB"/>
              </w:rPr>
            </w:pPr>
          </w:p>
        </w:tc>
        <w:tc>
          <w:tcPr>
            <w:tcW w:w="923" w:type="dxa"/>
            <w:noWrap/>
          </w:tcPr>
          <w:p>
            <w:pPr>
              <w:rPr>
                <w:noProof/>
                <w:lang w:val="en-GB"/>
              </w:rPr>
            </w:pPr>
            <w:r>
              <w:rPr>
                <w:noProof/>
                <w:lang w:val="en-GB"/>
              </w:rPr>
              <w:t>FMI</w:t>
            </w:r>
          </w:p>
        </w:tc>
        <w:tc>
          <w:tcPr>
            <w:tcW w:w="923" w:type="dxa"/>
            <w:noWrap/>
          </w:tcPr>
          <w:p>
            <w:pPr>
              <w:rPr>
                <w:noProof/>
                <w:lang w:val="en-GB"/>
              </w:rPr>
            </w:pPr>
            <w:r>
              <w:rPr>
                <w:noProof/>
                <w:lang w:val="en-GB"/>
              </w:rPr>
              <w:t>NUI</w:t>
            </w:r>
          </w:p>
        </w:tc>
        <w:tc>
          <w:tcPr>
            <w:tcW w:w="923" w:type="dxa"/>
            <w:noWrap/>
          </w:tcPr>
          <w:p>
            <w:pPr>
              <w:rPr>
                <w:noProof/>
                <w:lang w:val="en-GB"/>
              </w:rPr>
            </w:pPr>
            <w:r>
              <w:rPr>
                <w:noProof/>
                <w:lang w:val="en-GB"/>
              </w:rPr>
              <w:t>FNP</w:t>
            </w:r>
          </w:p>
        </w:tc>
        <w:tc>
          <w:tcPr>
            <w:tcW w:w="923" w:type="dxa"/>
            <w:noWrap/>
          </w:tcPr>
          <w:p>
            <w:pPr>
              <w:rPr>
                <w:noProof/>
                <w:lang w:val="en-GB"/>
              </w:rPr>
            </w:pPr>
            <w:r>
              <w:rPr>
                <w:noProof/>
                <w:lang w:val="en-GB"/>
              </w:rPr>
              <w:t>FPI</w:t>
            </w:r>
          </w:p>
        </w:tc>
        <w:tc>
          <w:tcPr>
            <w:tcW w:w="1562" w:type="dxa"/>
            <w:noWrap/>
          </w:tcPr>
          <w:p>
            <w:pPr>
              <w:rPr>
                <w:noProof/>
                <w:lang w:val="en-GB"/>
              </w:rPr>
            </w:pPr>
            <w:r>
              <w:rPr>
                <w:noProof/>
                <w:lang w:val="en-GB"/>
              </w:rPr>
              <w:t>Total (region/country)</w:t>
            </w:r>
          </w:p>
        </w:tc>
        <w:tc>
          <w:tcPr>
            <w:tcW w:w="1085" w:type="dxa"/>
          </w:tcPr>
          <w:p>
            <w:pPr>
              <w:rPr>
                <w:noProof/>
                <w:lang w:val="en-GB"/>
              </w:rPr>
            </w:pPr>
            <w:r>
              <w:rPr>
                <w:noProof/>
                <w:lang w:val="en-GB"/>
              </w:rPr>
              <w:t>Change compared to 2023</w:t>
            </w:r>
          </w:p>
        </w:tc>
      </w:tr>
      <w:tr>
        <w:trPr>
          <w:trHeight w:val="292"/>
        </w:trPr>
        <w:tc>
          <w:tcPr>
            <w:tcW w:w="2336" w:type="dxa"/>
            <w:vMerge w:val="restart"/>
            <w:noWrap/>
            <w:hideMark/>
          </w:tcPr>
          <w:p>
            <w:pPr>
              <w:rPr>
                <w:b/>
                <w:noProof/>
                <w:lang w:val="en-GB"/>
              </w:rPr>
            </w:pPr>
            <w:r>
              <w:rPr>
                <w:b/>
                <w:noProof/>
                <w:lang w:val="en-GB"/>
              </w:rPr>
              <w:t>Baltic Sea</w:t>
            </w:r>
          </w:p>
          <w:p>
            <w:pPr>
              <w:rPr>
                <w:b/>
                <w:noProof/>
                <w:lang w:val="en-GB"/>
              </w:rPr>
            </w:pPr>
          </w:p>
        </w:tc>
        <w:tc>
          <w:tcPr>
            <w:tcW w:w="1356" w:type="dxa"/>
            <w:noWrap/>
            <w:hideMark/>
          </w:tcPr>
          <w:p>
            <w:pPr>
              <w:rPr>
                <w:noProof/>
                <w:lang w:val="en-GB"/>
              </w:rPr>
            </w:pPr>
          </w:p>
        </w:tc>
        <w:tc>
          <w:tcPr>
            <w:tcW w:w="923" w:type="dxa"/>
            <w:noWrap/>
            <w:hideMark/>
          </w:tcPr>
          <w:p>
            <w:pPr>
              <w:rPr>
                <w:b/>
                <w:bCs/>
                <w:noProof/>
                <w:lang w:val="en-GB"/>
              </w:rPr>
            </w:pPr>
            <w:r>
              <w:rPr>
                <w:b/>
                <w:bCs/>
                <w:noProof/>
                <w:lang w:val="en-GB"/>
              </w:rPr>
              <w:t>3</w:t>
            </w:r>
          </w:p>
        </w:tc>
        <w:tc>
          <w:tcPr>
            <w:tcW w:w="923" w:type="dxa"/>
            <w:noWrap/>
            <w:hideMark/>
          </w:tcPr>
          <w:p>
            <w:pPr>
              <w:rPr>
                <w:b/>
                <w:bCs/>
                <w:noProof/>
                <w:lang w:val="en-GB"/>
              </w:rPr>
            </w:pPr>
            <w:r>
              <w:rPr>
                <w:b/>
                <w:bCs/>
                <w:noProof/>
                <w:lang w:val="en-GB"/>
              </w:rPr>
              <w:t>1</w:t>
            </w:r>
          </w:p>
        </w:tc>
        <w:tc>
          <w:tcPr>
            <w:tcW w:w="923" w:type="dxa"/>
            <w:noWrap/>
            <w:hideMark/>
          </w:tcPr>
          <w:p>
            <w:pPr>
              <w:rPr>
                <w:b/>
                <w:bCs/>
                <w:noProof/>
                <w:lang w:val="en-GB"/>
              </w:rPr>
            </w:pPr>
            <w:r>
              <w:rPr>
                <w:b/>
                <w:bCs/>
                <w:noProof/>
                <w:lang w:val="en-GB"/>
              </w:rPr>
              <w:t>0</w:t>
            </w:r>
          </w:p>
        </w:tc>
        <w:tc>
          <w:tcPr>
            <w:tcW w:w="923" w:type="dxa"/>
            <w:noWrap/>
            <w:hideMark/>
          </w:tcPr>
          <w:p>
            <w:pPr>
              <w:rPr>
                <w:b/>
                <w:bCs/>
                <w:noProof/>
                <w:lang w:val="en-GB"/>
              </w:rPr>
            </w:pPr>
            <w:r>
              <w:rPr>
                <w:b/>
                <w:bCs/>
                <w:noProof/>
                <w:lang w:val="en-GB"/>
              </w:rPr>
              <w:t>0</w:t>
            </w:r>
          </w:p>
        </w:tc>
        <w:tc>
          <w:tcPr>
            <w:tcW w:w="1562" w:type="dxa"/>
            <w:noWrap/>
            <w:hideMark/>
          </w:tcPr>
          <w:p>
            <w:pPr>
              <w:rPr>
                <w:b/>
                <w:bCs/>
                <w:noProof/>
                <w:lang w:val="en-GB"/>
              </w:rPr>
            </w:pPr>
            <w:r>
              <w:rPr>
                <w:b/>
                <w:bCs/>
                <w:noProof/>
                <w:lang w:val="en-GB"/>
              </w:rPr>
              <w:t>4</w:t>
            </w:r>
          </w:p>
        </w:tc>
        <w:tc>
          <w:tcPr>
            <w:tcW w:w="1085" w:type="dxa"/>
          </w:tcPr>
          <w:p>
            <w:pPr>
              <w:rPr>
                <w:b/>
                <w:bCs/>
                <w:noProof/>
                <w:lang w:val="en-GB"/>
              </w:rPr>
            </w:pPr>
            <w:r>
              <w:rPr>
                <w:b/>
                <w:bCs/>
                <w:noProof/>
                <w:lang w:val="en-GB"/>
              </w:rPr>
              <w:t>--</w:t>
            </w:r>
          </w:p>
        </w:tc>
      </w:tr>
      <w:tr>
        <w:trPr>
          <w:trHeight w:val="292"/>
        </w:trPr>
        <w:tc>
          <w:tcPr>
            <w:tcW w:w="2336" w:type="dxa"/>
            <w:vMerge/>
            <w:noWrap/>
            <w:hideMark/>
          </w:tcPr>
          <w:p>
            <w:pPr>
              <w:rPr>
                <w:b/>
                <w:noProof/>
                <w:lang w:val="en-GB"/>
              </w:rPr>
            </w:pPr>
          </w:p>
        </w:tc>
        <w:tc>
          <w:tcPr>
            <w:tcW w:w="1356" w:type="dxa"/>
            <w:noWrap/>
            <w:hideMark/>
          </w:tcPr>
          <w:p>
            <w:pPr>
              <w:rPr>
                <w:noProof/>
                <w:lang w:val="en-GB"/>
              </w:rPr>
            </w:pPr>
            <w:r>
              <w:rPr>
                <w:noProof/>
                <w:lang w:val="en-GB"/>
              </w:rPr>
              <w:t>Poland</w:t>
            </w:r>
          </w:p>
        </w:tc>
        <w:tc>
          <w:tcPr>
            <w:tcW w:w="923" w:type="dxa"/>
            <w:noWrap/>
            <w:hideMark/>
          </w:tcPr>
          <w:p>
            <w:pPr>
              <w:rPr>
                <w:noProof/>
                <w:lang w:val="en-GB"/>
              </w:rPr>
            </w:pPr>
            <w:r>
              <w:rPr>
                <w:noProof/>
                <w:lang w:val="en-GB"/>
              </w:rPr>
              <w:t>3</w:t>
            </w:r>
          </w:p>
        </w:tc>
        <w:tc>
          <w:tcPr>
            <w:tcW w:w="923" w:type="dxa"/>
            <w:noWrap/>
            <w:hideMark/>
          </w:tcPr>
          <w:p>
            <w:pPr>
              <w:rPr>
                <w:noProof/>
                <w:lang w:val="en-GB"/>
              </w:rPr>
            </w:pPr>
            <w:r>
              <w:rPr>
                <w:noProof/>
                <w:lang w:val="en-GB"/>
              </w:rPr>
              <w:t>1</w:t>
            </w:r>
          </w:p>
        </w:tc>
        <w:tc>
          <w:tcPr>
            <w:tcW w:w="923" w:type="dxa"/>
            <w:noWrap/>
            <w:hideMark/>
          </w:tcPr>
          <w:p>
            <w:pPr>
              <w:rPr>
                <w:noProof/>
                <w:lang w:val="en-GB"/>
              </w:rPr>
            </w:pPr>
            <w:r>
              <w:rPr>
                <w:noProof/>
                <w:lang w:val="en-GB"/>
              </w:rPr>
              <w:t>0</w:t>
            </w:r>
          </w:p>
        </w:tc>
        <w:tc>
          <w:tcPr>
            <w:tcW w:w="923" w:type="dxa"/>
            <w:noWrap/>
            <w:hideMark/>
          </w:tcPr>
          <w:p>
            <w:pPr>
              <w:rPr>
                <w:noProof/>
                <w:lang w:val="en-GB"/>
              </w:rPr>
            </w:pPr>
            <w:r>
              <w:rPr>
                <w:noProof/>
                <w:lang w:val="en-GB"/>
              </w:rPr>
              <w:t>0</w:t>
            </w:r>
          </w:p>
        </w:tc>
        <w:tc>
          <w:tcPr>
            <w:tcW w:w="1562" w:type="dxa"/>
            <w:noWrap/>
            <w:hideMark/>
          </w:tcPr>
          <w:p>
            <w:pPr>
              <w:rPr>
                <w:noProof/>
                <w:lang w:val="en-GB"/>
              </w:rPr>
            </w:pPr>
            <w:r>
              <w:rPr>
                <w:noProof/>
                <w:lang w:val="en-GB"/>
              </w:rPr>
              <w:t>4</w:t>
            </w:r>
          </w:p>
        </w:tc>
        <w:tc>
          <w:tcPr>
            <w:tcW w:w="1085" w:type="dxa"/>
          </w:tcPr>
          <w:p>
            <w:pPr>
              <w:rPr>
                <w:noProof/>
                <w:lang w:val="en-GB"/>
              </w:rPr>
            </w:pPr>
            <w:r>
              <w:rPr>
                <w:noProof/>
                <w:lang w:val="en-GB"/>
              </w:rPr>
              <w:t>--</w:t>
            </w:r>
          </w:p>
        </w:tc>
      </w:tr>
      <w:tr>
        <w:trPr>
          <w:trHeight w:val="292"/>
        </w:trPr>
        <w:tc>
          <w:tcPr>
            <w:tcW w:w="2336" w:type="dxa"/>
            <w:vMerge w:val="restart"/>
            <w:noWrap/>
            <w:hideMark/>
          </w:tcPr>
          <w:p>
            <w:pPr>
              <w:rPr>
                <w:b/>
                <w:noProof/>
                <w:lang w:val="en-GB"/>
              </w:rPr>
            </w:pPr>
            <w:r>
              <w:rPr>
                <w:b/>
                <w:noProof/>
                <w:lang w:val="en-GB"/>
              </w:rPr>
              <w:t>Black Sea</w:t>
            </w:r>
          </w:p>
          <w:p>
            <w:pPr>
              <w:rPr>
                <w:b/>
                <w:noProof/>
                <w:highlight w:val="yellow"/>
                <w:lang w:val="en-GB"/>
              </w:rPr>
            </w:pPr>
          </w:p>
          <w:p>
            <w:pPr>
              <w:rPr>
                <w:b/>
                <w:noProof/>
                <w:highlight w:val="yellow"/>
                <w:lang w:val="en-GB"/>
              </w:rPr>
            </w:pPr>
          </w:p>
        </w:tc>
        <w:tc>
          <w:tcPr>
            <w:tcW w:w="1356" w:type="dxa"/>
            <w:noWrap/>
            <w:hideMark/>
          </w:tcPr>
          <w:p>
            <w:pPr>
              <w:rPr>
                <w:noProof/>
                <w:lang w:val="en-GB"/>
              </w:rPr>
            </w:pPr>
          </w:p>
        </w:tc>
        <w:tc>
          <w:tcPr>
            <w:tcW w:w="923" w:type="dxa"/>
            <w:noWrap/>
            <w:hideMark/>
          </w:tcPr>
          <w:p>
            <w:pPr>
              <w:rPr>
                <w:b/>
                <w:bCs/>
                <w:noProof/>
                <w:lang w:val="en-GB"/>
              </w:rPr>
            </w:pPr>
            <w:r>
              <w:rPr>
                <w:b/>
                <w:bCs/>
                <w:noProof/>
                <w:lang w:val="en-GB"/>
              </w:rPr>
              <w:t>5</w:t>
            </w:r>
          </w:p>
        </w:tc>
        <w:tc>
          <w:tcPr>
            <w:tcW w:w="923" w:type="dxa"/>
            <w:noWrap/>
            <w:hideMark/>
          </w:tcPr>
          <w:p>
            <w:pPr>
              <w:rPr>
                <w:b/>
                <w:bCs/>
                <w:noProof/>
                <w:lang w:val="en-GB"/>
              </w:rPr>
            </w:pPr>
            <w:r>
              <w:rPr>
                <w:b/>
                <w:bCs/>
                <w:noProof/>
                <w:lang w:val="en-GB"/>
              </w:rPr>
              <w:t>4</w:t>
            </w:r>
          </w:p>
        </w:tc>
        <w:tc>
          <w:tcPr>
            <w:tcW w:w="923" w:type="dxa"/>
            <w:noWrap/>
            <w:hideMark/>
          </w:tcPr>
          <w:p>
            <w:pPr>
              <w:rPr>
                <w:b/>
                <w:bCs/>
                <w:noProof/>
                <w:lang w:val="en-GB"/>
              </w:rPr>
            </w:pPr>
            <w:r>
              <w:rPr>
                <w:b/>
                <w:bCs/>
                <w:noProof/>
                <w:lang w:val="en-GB"/>
              </w:rPr>
              <w:t>0</w:t>
            </w:r>
          </w:p>
        </w:tc>
        <w:tc>
          <w:tcPr>
            <w:tcW w:w="923" w:type="dxa"/>
            <w:noWrap/>
            <w:hideMark/>
          </w:tcPr>
          <w:p>
            <w:pPr>
              <w:rPr>
                <w:b/>
                <w:bCs/>
                <w:noProof/>
                <w:lang w:val="en-GB"/>
              </w:rPr>
            </w:pPr>
            <w:r>
              <w:rPr>
                <w:b/>
                <w:bCs/>
                <w:noProof/>
                <w:lang w:val="en-GB"/>
              </w:rPr>
              <w:t>0</w:t>
            </w:r>
          </w:p>
        </w:tc>
        <w:tc>
          <w:tcPr>
            <w:tcW w:w="1562" w:type="dxa"/>
            <w:noWrap/>
            <w:hideMark/>
          </w:tcPr>
          <w:p>
            <w:pPr>
              <w:rPr>
                <w:b/>
                <w:bCs/>
                <w:noProof/>
                <w:lang w:val="en-GB"/>
              </w:rPr>
            </w:pPr>
            <w:r>
              <w:rPr>
                <w:b/>
                <w:bCs/>
                <w:noProof/>
                <w:lang w:val="en-GB"/>
              </w:rPr>
              <w:t>9</w:t>
            </w:r>
          </w:p>
        </w:tc>
        <w:tc>
          <w:tcPr>
            <w:tcW w:w="1085" w:type="dxa"/>
          </w:tcPr>
          <w:p>
            <w:pPr>
              <w:rPr>
                <w:b/>
                <w:bCs/>
                <w:noProof/>
                <w:lang w:val="en-GB"/>
              </w:rPr>
            </w:pPr>
            <w:r>
              <w:rPr>
                <w:b/>
                <w:bCs/>
                <w:noProof/>
                <w:lang w:val="en-GB"/>
              </w:rPr>
              <w:t>--</w:t>
            </w:r>
          </w:p>
        </w:tc>
      </w:tr>
      <w:tr>
        <w:trPr>
          <w:trHeight w:val="292"/>
        </w:trPr>
        <w:tc>
          <w:tcPr>
            <w:tcW w:w="2336" w:type="dxa"/>
            <w:vMerge/>
            <w:noWrap/>
            <w:hideMark/>
          </w:tcPr>
          <w:p>
            <w:pPr>
              <w:rPr>
                <w:b/>
                <w:noProof/>
                <w:highlight w:val="yellow"/>
                <w:lang w:val="en-GB"/>
              </w:rPr>
            </w:pPr>
          </w:p>
        </w:tc>
        <w:tc>
          <w:tcPr>
            <w:tcW w:w="1356" w:type="dxa"/>
            <w:noWrap/>
            <w:hideMark/>
          </w:tcPr>
          <w:p>
            <w:pPr>
              <w:rPr>
                <w:noProof/>
                <w:lang w:val="en-GB"/>
              </w:rPr>
            </w:pPr>
            <w:r>
              <w:rPr>
                <w:noProof/>
                <w:lang w:val="en-GB"/>
              </w:rPr>
              <w:t>Bulgaria</w:t>
            </w:r>
          </w:p>
        </w:tc>
        <w:tc>
          <w:tcPr>
            <w:tcW w:w="923" w:type="dxa"/>
            <w:noWrap/>
            <w:hideMark/>
          </w:tcPr>
          <w:p>
            <w:pPr>
              <w:rPr>
                <w:noProof/>
                <w:lang w:val="en-GB"/>
              </w:rPr>
            </w:pPr>
            <w:r>
              <w:rPr>
                <w:noProof/>
                <w:lang w:val="en-GB"/>
              </w:rPr>
              <w:t>0</w:t>
            </w:r>
          </w:p>
        </w:tc>
        <w:tc>
          <w:tcPr>
            <w:tcW w:w="923" w:type="dxa"/>
            <w:noWrap/>
            <w:hideMark/>
          </w:tcPr>
          <w:p>
            <w:pPr>
              <w:rPr>
                <w:noProof/>
                <w:lang w:val="en-GB"/>
              </w:rPr>
            </w:pPr>
            <w:r>
              <w:rPr>
                <w:noProof/>
                <w:lang w:val="en-GB"/>
              </w:rPr>
              <w:t>1</w:t>
            </w:r>
          </w:p>
        </w:tc>
        <w:tc>
          <w:tcPr>
            <w:tcW w:w="923" w:type="dxa"/>
            <w:noWrap/>
            <w:hideMark/>
          </w:tcPr>
          <w:p>
            <w:pPr>
              <w:rPr>
                <w:noProof/>
                <w:lang w:val="en-GB"/>
              </w:rPr>
            </w:pPr>
            <w:r>
              <w:rPr>
                <w:noProof/>
                <w:lang w:val="en-GB"/>
              </w:rPr>
              <w:t>0</w:t>
            </w:r>
          </w:p>
        </w:tc>
        <w:tc>
          <w:tcPr>
            <w:tcW w:w="923" w:type="dxa"/>
            <w:noWrap/>
            <w:hideMark/>
          </w:tcPr>
          <w:p>
            <w:pPr>
              <w:rPr>
                <w:noProof/>
                <w:lang w:val="en-GB"/>
              </w:rPr>
            </w:pPr>
            <w:r>
              <w:rPr>
                <w:noProof/>
                <w:lang w:val="en-GB"/>
              </w:rPr>
              <w:t>0</w:t>
            </w:r>
          </w:p>
        </w:tc>
        <w:tc>
          <w:tcPr>
            <w:tcW w:w="1562" w:type="dxa"/>
            <w:noWrap/>
            <w:hideMark/>
          </w:tcPr>
          <w:p>
            <w:pPr>
              <w:rPr>
                <w:noProof/>
                <w:lang w:val="en-GB"/>
              </w:rPr>
            </w:pPr>
            <w:r>
              <w:rPr>
                <w:noProof/>
                <w:lang w:val="en-GB"/>
              </w:rPr>
              <w:t>1</w:t>
            </w:r>
          </w:p>
        </w:tc>
        <w:tc>
          <w:tcPr>
            <w:tcW w:w="1085" w:type="dxa"/>
          </w:tcPr>
          <w:p>
            <w:pPr>
              <w:rPr>
                <w:noProof/>
                <w:lang w:val="en-GB"/>
              </w:rPr>
            </w:pPr>
            <w:r>
              <w:rPr>
                <w:noProof/>
                <w:lang w:val="en-GB"/>
              </w:rPr>
              <w:t>--</w:t>
            </w:r>
          </w:p>
        </w:tc>
      </w:tr>
      <w:tr>
        <w:trPr>
          <w:trHeight w:val="292"/>
        </w:trPr>
        <w:tc>
          <w:tcPr>
            <w:tcW w:w="2336" w:type="dxa"/>
            <w:vMerge/>
            <w:noWrap/>
            <w:hideMark/>
          </w:tcPr>
          <w:p>
            <w:pPr>
              <w:rPr>
                <w:b/>
                <w:noProof/>
                <w:highlight w:val="yellow"/>
                <w:lang w:val="en-GB"/>
              </w:rPr>
            </w:pPr>
          </w:p>
        </w:tc>
        <w:tc>
          <w:tcPr>
            <w:tcW w:w="1356" w:type="dxa"/>
            <w:noWrap/>
            <w:hideMark/>
          </w:tcPr>
          <w:p>
            <w:pPr>
              <w:rPr>
                <w:noProof/>
                <w:lang w:val="en-GB"/>
              </w:rPr>
            </w:pPr>
            <w:r>
              <w:rPr>
                <w:noProof/>
                <w:lang w:val="en-GB"/>
              </w:rPr>
              <w:t>Romania</w:t>
            </w:r>
          </w:p>
        </w:tc>
        <w:tc>
          <w:tcPr>
            <w:tcW w:w="923" w:type="dxa"/>
            <w:noWrap/>
            <w:hideMark/>
          </w:tcPr>
          <w:p>
            <w:pPr>
              <w:rPr>
                <w:noProof/>
                <w:lang w:val="en-GB"/>
              </w:rPr>
            </w:pPr>
            <w:r>
              <w:rPr>
                <w:noProof/>
                <w:lang w:val="en-GB"/>
              </w:rPr>
              <w:t>5</w:t>
            </w:r>
          </w:p>
        </w:tc>
        <w:tc>
          <w:tcPr>
            <w:tcW w:w="923" w:type="dxa"/>
            <w:noWrap/>
            <w:hideMark/>
          </w:tcPr>
          <w:p>
            <w:pPr>
              <w:rPr>
                <w:noProof/>
                <w:lang w:val="en-GB"/>
              </w:rPr>
            </w:pPr>
            <w:r>
              <w:rPr>
                <w:noProof/>
                <w:lang w:val="en-GB"/>
              </w:rPr>
              <w:t>3</w:t>
            </w:r>
          </w:p>
        </w:tc>
        <w:tc>
          <w:tcPr>
            <w:tcW w:w="923" w:type="dxa"/>
            <w:noWrap/>
            <w:hideMark/>
          </w:tcPr>
          <w:p>
            <w:pPr>
              <w:rPr>
                <w:noProof/>
                <w:lang w:val="en-GB"/>
              </w:rPr>
            </w:pPr>
            <w:r>
              <w:rPr>
                <w:noProof/>
                <w:lang w:val="en-GB"/>
              </w:rPr>
              <w:t>0</w:t>
            </w:r>
          </w:p>
        </w:tc>
        <w:tc>
          <w:tcPr>
            <w:tcW w:w="923" w:type="dxa"/>
            <w:noWrap/>
            <w:hideMark/>
          </w:tcPr>
          <w:p>
            <w:pPr>
              <w:rPr>
                <w:noProof/>
                <w:lang w:val="en-GB"/>
              </w:rPr>
            </w:pPr>
            <w:r>
              <w:rPr>
                <w:noProof/>
                <w:lang w:val="en-GB"/>
              </w:rPr>
              <w:t>0</w:t>
            </w:r>
          </w:p>
        </w:tc>
        <w:tc>
          <w:tcPr>
            <w:tcW w:w="1562" w:type="dxa"/>
            <w:noWrap/>
            <w:hideMark/>
          </w:tcPr>
          <w:p>
            <w:pPr>
              <w:rPr>
                <w:noProof/>
                <w:lang w:val="en-GB"/>
              </w:rPr>
            </w:pPr>
            <w:r>
              <w:rPr>
                <w:noProof/>
                <w:lang w:val="en-GB"/>
              </w:rPr>
              <w:t>8</w:t>
            </w:r>
          </w:p>
        </w:tc>
        <w:tc>
          <w:tcPr>
            <w:tcW w:w="1085" w:type="dxa"/>
          </w:tcPr>
          <w:p>
            <w:pPr>
              <w:rPr>
                <w:noProof/>
                <w:lang w:val="en-GB"/>
              </w:rPr>
            </w:pPr>
            <w:r>
              <w:rPr>
                <w:noProof/>
                <w:lang w:val="en-GB"/>
              </w:rPr>
              <w:t>--</w:t>
            </w:r>
          </w:p>
        </w:tc>
      </w:tr>
      <w:tr>
        <w:trPr>
          <w:trHeight w:val="292"/>
        </w:trPr>
        <w:tc>
          <w:tcPr>
            <w:tcW w:w="2336" w:type="dxa"/>
            <w:vMerge w:val="restart"/>
            <w:noWrap/>
            <w:hideMark/>
          </w:tcPr>
          <w:p>
            <w:pPr>
              <w:rPr>
                <w:b/>
                <w:noProof/>
                <w:lang w:val="en-GB"/>
              </w:rPr>
            </w:pPr>
            <w:r>
              <w:rPr>
                <w:b/>
                <w:noProof/>
                <w:lang w:val="en-GB"/>
              </w:rPr>
              <w:t>Mediterranean Sea</w:t>
            </w:r>
          </w:p>
        </w:tc>
        <w:tc>
          <w:tcPr>
            <w:tcW w:w="1356" w:type="dxa"/>
            <w:noWrap/>
            <w:hideMark/>
          </w:tcPr>
          <w:p>
            <w:pPr>
              <w:rPr>
                <w:noProof/>
                <w:lang w:val="en-GB"/>
              </w:rPr>
            </w:pPr>
          </w:p>
        </w:tc>
        <w:tc>
          <w:tcPr>
            <w:tcW w:w="923" w:type="dxa"/>
            <w:noWrap/>
            <w:hideMark/>
          </w:tcPr>
          <w:p>
            <w:pPr>
              <w:rPr>
                <w:b/>
                <w:bCs/>
                <w:noProof/>
                <w:lang w:val="en-GB"/>
              </w:rPr>
            </w:pPr>
            <w:r>
              <w:rPr>
                <w:b/>
                <w:bCs/>
                <w:noProof/>
                <w:lang w:val="en-GB"/>
              </w:rPr>
              <w:t>15</w:t>
            </w:r>
          </w:p>
        </w:tc>
        <w:tc>
          <w:tcPr>
            <w:tcW w:w="923" w:type="dxa"/>
            <w:noWrap/>
            <w:hideMark/>
          </w:tcPr>
          <w:p>
            <w:pPr>
              <w:rPr>
                <w:b/>
                <w:bCs/>
                <w:noProof/>
                <w:lang w:val="en-GB"/>
              </w:rPr>
            </w:pPr>
            <w:r>
              <w:rPr>
                <w:b/>
                <w:bCs/>
                <w:noProof/>
                <w:lang w:val="en-GB"/>
              </w:rPr>
              <w:t>147</w:t>
            </w:r>
          </w:p>
        </w:tc>
        <w:tc>
          <w:tcPr>
            <w:tcW w:w="923" w:type="dxa"/>
            <w:noWrap/>
            <w:hideMark/>
          </w:tcPr>
          <w:p>
            <w:pPr>
              <w:rPr>
                <w:b/>
                <w:bCs/>
                <w:noProof/>
                <w:lang w:val="en-GB"/>
              </w:rPr>
            </w:pPr>
            <w:r>
              <w:rPr>
                <w:b/>
                <w:bCs/>
                <w:noProof/>
                <w:lang w:val="en-GB"/>
              </w:rPr>
              <w:t>0</w:t>
            </w:r>
          </w:p>
        </w:tc>
        <w:tc>
          <w:tcPr>
            <w:tcW w:w="923" w:type="dxa"/>
            <w:noWrap/>
            <w:hideMark/>
          </w:tcPr>
          <w:p>
            <w:pPr>
              <w:rPr>
                <w:b/>
                <w:bCs/>
                <w:noProof/>
                <w:lang w:val="en-GB"/>
              </w:rPr>
            </w:pPr>
            <w:r>
              <w:rPr>
                <w:b/>
                <w:bCs/>
                <w:noProof/>
                <w:lang w:val="en-GB"/>
              </w:rPr>
              <w:t>2</w:t>
            </w:r>
          </w:p>
        </w:tc>
        <w:tc>
          <w:tcPr>
            <w:tcW w:w="1562" w:type="dxa"/>
            <w:noWrap/>
            <w:hideMark/>
          </w:tcPr>
          <w:p>
            <w:pPr>
              <w:rPr>
                <w:b/>
                <w:bCs/>
                <w:noProof/>
                <w:lang w:val="en-GB"/>
              </w:rPr>
            </w:pPr>
            <w:r>
              <w:rPr>
                <w:b/>
                <w:bCs/>
                <w:noProof/>
                <w:lang w:val="en-GB"/>
              </w:rPr>
              <w:t>164</w:t>
            </w:r>
          </w:p>
        </w:tc>
        <w:tc>
          <w:tcPr>
            <w:tcW w:w="1085" w:type="dxa"/>
          </w:tcPr>
          <w:p>
            <w:pPr>
              <w:rPr>
                <w:b/>
                <w:bCs/>
                <w:noProof/>
                <w:lang w:val="en-GB"/>
              </w:rPr>
            </w:pPr>
            <w:r>
              <w:rPr>
                <w:b/>
                <w:bCs/>
                <w:noProof/>
                <w:lang w:val="en-GB"/>
              </w:rPr>
              <w:t>--</w:t>
            </w:r>
          </w:p>
        </w:tc>
      </w:tr>
      <w:tr>
        <w:trPr>
          <w:trHeight w:val="292"/>
        </w:trPr>
        <w:tc>
          <w:tcPr>
            <w:tcW w:w="2336" w:type="dxa"/>
            <w:vMerge/>
            <w:noWrap/>
            <w:hideMark/>
          </w:tcPr>
          <w:p>
            <w:pPr>
              <w:rPr>
                <w:b/>
                <w:noProof/>
                <w:highlight w:val="yellow"/>
                <w:lang w:val="en-GB"/>
              </w:rPr>
            </w:pPr>
          </w:p>
        </w:tc>
        <w:tc>
          <w:tcPr>
            <w:tcW w:w="1356" w:type="dxa"/>
            <w:noWrap/>
            <w:hideMark/>
          </w:tcPr>
          <w:p>
            <w:pPr>
              <w:rPr>
                <w:noProof/>
                <w:lang w:val="en-GB"/>
              </w:rPr>
            </w:pPr>
            <w:r>
              <w:rPr>
                <w:noProof/>
                <w:lang w:val="en-GB"/>
              </w:rPr>
              <w:t>Croatia</w:t>
            </w:r>
          </w:p>
        </w:tc>
        <w:tc>
          <w:tcPr>
            <w:tcW w:w="923" w:type="dxa"/>
            <w:noWrap/>
            <w:hideMark/>
          </w:tcPr>
          <w:p>
            <w:pPr>
              <w:rPr>
                <w:noProof/>
                <w:lang w:val="en-GB"/>
              </w:rPr>
            </w:pPr>
            <w:r>
              <w:rPr>
                <w:noProof/>
                <w:lang w:val="en-GB"/>
              </w:rPr>
              <w:t>2</w:t>
            </w:r>
          </w:p>
        </w:tc>
        <w:tc>
          <w:tcPr>
            <w:tcW w:w="923" w:type="dxa"/>
            <w:noWrap/>
            <w:hideMark/>
          </w:tcPr>
          <w:p>
            <w:pPr>
              <w:rPr>
                <w:noProof/>
                <w:lang w:val="en-GB"/>
              </w:rPr>
            </w:pPr>
            <w:r>
              <w:rPr>
                <w:noProof/>
                <w:lang w:val="en-GB"/>
              </w:rPr>
              <w:t>17</w:t>
            </w:r>
          </w:p>
        </w:tc>
        <w:tc>
          <w:tcPr>
            <w:tcW w:w="923" w:type="dxa"/>
            <w:noWrap/>
            <w:hideMark/>
          </w:tcPr>
          <w:p>
            <w:pPr>
              <w:rPr>
                <w:noProof/>
                <w:lang w:val="en-GB"/>
              </w:rPr>
            </w:pPr>
            <w:r>
              <w:rPr>
                <w:noProof/>
                <w:lang w:val="en-GB"/>
              </w:rPr>
              <w:t>0</w:t>
            </w:r>
          </w:p>
        </w:tc>
        <w:tc>
          <w:tcPr>
            <w:tcW w:w="923" w:type="dxa"/>
            <w:noWrap/>
            <w:hideMark/>
          </w:tcPr>
          <w:p>
            <w:pPr>
              <w:rPr>
                <w:noProof/>
                <w:lang w:val="en-GB"/>
              </w:rPr>
            </w:pPr>
            <w:r>
              <w:rPr>
                <w:noProof/>
                <w:lang w:val="en-GB"/>
              </w:rPr>
              <w:t>0</w:t>
            </w:r>
          </w:p>
        </w:tc>
        <w:tc>
          <w:tcPr>
            <w:tcW w:w="1562" w:type="dxa"/>
            <w:noWrap/>
            <w:hideMark/>
          </w:tcPr>
          <w:p>
            <w:pPr>
              <w:rPr>
                <w:noProof/>
                <w:lang w:val="en-GB"/>
              </w:rPr>
            </w:pPr>
            <w:r>
              <w:rPr>
                <w:noProof/>
                <w:lang w:val="en-GB"/>
              </w:rPr>
              <w:t>19</w:t>
            </w:r>
          </w:p>
        </w:tc>
        <w:tc>
          <w:tcPr>
            <w:tcW w:w="1085" w:type="dxa"/>
          </w:tcPr>
          <w:p>
            <w:pPr>
              <w:rPr>
                <w:noProof/>
                <w:lang w:val="en-GB"/>
              </w:rPr>
            </w:pPr>
            <w:r>
              <w:rPr>
                <w:noProof/>
                <w:lang w:val="en-GB"/>
              </w:rPr>
              <w:t>--</w:t>
            </w:r>
          </w:p>
        </w:tc>
      </w:tr>
      <w:tr>
        <w:trPr>
          <w:trHeight w:val="292"/>
        </w:trPr>
        <w:tc>
          <w:tcPr>
            <w:tcW w:w="2336" w:type="dxa"/>
            <w:vMerge/>
            <w:noWrap/>
            <w:hideMark/>
          </w:tcPr>
          <w:p>
            <w:pPr>
              <w:rPr>
                <w:b/>
                <w:noProof/>
                <w:highlight w:val="yellow"/>
                <w:lang w:val="en-GB"/>
              </w:rPr>
            </w:pPr>
          </w:p>
        </w:tc>
        <w:tc>
          <w:tcPr>
            <w:tcW w:w="1356" w:type="dxa"/>
            <w:noWrap/>
            <w:hideMark/>
          </w:tcPr>
          <w:p>
            <w:pPr>
              <w:rPr>
                <w:noProof/>
                <w:lang w:val="en-GB"/>
              </w:rPr>
            </w:pPr>
            <w:r>
              <w:rPr>
                <w:noProof/>
                <w:lang w:val="en-GB"/>
              </w:rPr>
              <w:t>Greece</w:t>
            </w:r>
          </w:p>
        </w:tc>
        <w:tc>
          <w:tcPr>
            <w:tcW w:w="923" w:type="dxa"/>
            <w:noWrap/>
            <w:hideMark/>
          </w:tcPr>
          <w:p>
            <w:pPr>
              <w:rPr>
                <w:noProof/>
                <w:lang w:val="en-GB"/>
              </w:rPr>
            </w:pPr>
            <w:r>
              <w:rPr>
                <w:noProof/>
                <w:lang w:val="en-GB"/>
              </w:rPr>
              <w:t>1</w:t>
            </w:r>
          </w:p>
        </w:tc>
        <w:tc>
          <w:tcPr>
            <w:tcW w:w="923" w:type="dxa"/>
            <w:noWrap/>
            <w:hideMark/>
          </w:tcPr>
          <w:p>
            <w:pPr>
              <w:rPr>
                <w:noProof/>
                <w:lang w:val="en-GB"/>
              </w:rPr>
            </w:pPr>
            <w:r>
              <w:rPr>
                <w:noProof/>
                <w:lang w:val="en-GB"/>
              </w:rPr>
              <w:t>1</w:t>
            </w:r>
          </w:p>
        </w:tc>
        <w:tc>
          <w:tcPr>
            <w:tcW w:w="923" w:type="dxa"/>
            <w:noWrap/>
            <w:hideMark/>
          </w:tcPr>
          <w:p>
            <w:pPr>
              <w:rPr>
                <w:noProof/>
                <w:lang w:val="en-GB"/>
              </w:rPr>
            </w:pPr>
            <w:r>
              <w:rPr>
                <w:noProof/>
                <w:lang w:val="en-GB"/>
              </w:rPr>
              <w:t>0</w:t>
            </w:r>
          </w:p>
        </w:tc>
        <w:tc>
          <w:tcPr>
            <w:tcW w:w="923" w:type="dxa"/>
            <w:noWrap/>
            <w:hideMark/>
          </w:tcPr>
          <w:p>
            <w:pPr>
              <w:rPr>
                <w:noProof/>
                <w:lang w:val="en-GB"/>
              </w:rPr>
            </w:pPr>
            <w:r>
              <w:rPr>
                <w:noProof/>
                <w:lang w:val="en-GB"/>
              </w:rPr>
              <w:t>0</w:t>
            </w:r>
          </w:p>
        </w:tc>
        <w:tc>
          <w:tcPr>
            <w:tcW w:w="1562" w:type="dxa"/>
            <w:noWrap/>
            <w:hideMark/>
          </w:tcPr>
          <w:p>
            <w:pPr>
              <w:rPr>
                <w:noProof/>
                <w:lang w:val="en-GB"/>
              </w:rPr>
            </w:pPr>
            <w:r>
              <w:rPr>
                <w:noProof/>
                <w:lang w:val="en-GB"/>
              </w:rPr>
              <w:t>2</w:t>
            </w:r>
          </w:p>
        </w:tc>
        <w:tc>
          <w:tcPr>
            <w:tcW w:w="1085" w:type="dxa"/>
          </w:tcPr>
          <w:p>
            <w:pPr>
              <w:rPr>
                <w:noProof/>
                <w:lang w:val="en-GB"/>
              </w:rPr>
            </w:pPr>
            <w:r>
              <w:rPr>
                <w:noProof/>
                <w:lang w:val="en-GB"/>
              </w:rPr>
              <w:t>--</w:t>
            </w:r>
          </w:p>
        </w:tc>
      </w:tr>
      <w:tr>
        <w:trPr>
          <w:trHeight w:val="292"/>
        </w:trPr>
        <w:tc>
          <w:tcPr>
            <w:tcW w:w="2336" w:type="dxa"/>
            <w:vMerge/>
            <w:noWrap/>
            <w:hideMark/>
          </w:tcPr>
          <w:p>
            <w:pPr>
              <w:rPr>
                <w:b/>
                <w:noProof/>
                <w:highlight w:val="yellow"/>
                <w:lang w:val="en-GB"/>
              </w:rPr>
            </w:pPr>
          </w:p>
        </w:tc>
        <w:tc>
          <w:tcPr>
            <w:tcW w:w="1356" w:type="dxa"/>
            <w:noWrap/>
            <w:hideMark/>
          </w:tcPr>
          <w:p>
            <w:pPr>
              <w:rPr>
                <w:noProof/>
                <w:lang w:val="en-GB"/>
              </w:rPr>
            </w:pPr>
            <w:r>
              <w:rPr>
                <w:noProof/>
                <w:lang w:val="en-GB"/>
              </w:rPr>
              <w:t>Italy</w:t>
            </w:r>
          </w:p>
        </w:tc>
        <w:tc>
          <w:tcPr>
            <w:tcW w:w="923" w:type="dxa"/>
            <w:noWrap/>
            <w:hideMark/>
          </w:tcPr>
          <w:p>
            <w:pPr>
              <w:rPr>
                <w:noProof/>
                <w:lang w:val="en-GB"/>
              </w:rPr>
            </w:pPr>
            <w:r>
              <w:rPr>
                <w:noProof/>
                <w:lang w:val="en-GB"/>
              </w:rPr>
              <w:t>11</w:t>
            </w:r>
          </w:p>
        </w:tc>
        <w:tc>
          <w:tcPr>
            <w:tcW w:w="923" w:type="dxa"/>
            <w:noWrap/>
            <w:hideMark/>
          </w:tcPr>
          <w:p>
            <w:pPr>
              <w:rPr>
                <w:noProof/>
                <w:lang w:val="en-GB"/>
              </w:rPr>
            </w:pPr>
            <w:r>
              <w:rPr>
                <w:noProof/>
                <w:lang w:val="en-GB"/>
              </w:rPr>
              <w:t>127</w:t>
            </w:r>
          </w:p>
        </w:tc>
        <w:tc>
          <w:tcPr>
            <w:tcW w:w="923" w:type="dxa"/>
            <w:noWrap/>
            <w:hideMark/>
          </w:tcPr>
          <w:p>
            <w:pPr>
              <w:rPr>
                <w:noProof/>
                <w:lang w:val="en-GB"/>
              </w:rPr>
            </w:pPr>
            <w:r>
              <w:rPr>
                <w:noProof/>
                <w:lang w:val="en-GB"/>
              </w:rPr>
              <w:t>0</w:t>
            </w:r>
          </w:p>
        </w:tc>
        <w:tc>
          <w:tcPr>
            <w:tcW w:w="923" w:type="dxa"/>
            <w:noWrap/>
            <w:hideMark/>
          </w:tcPr>
          <w:p>
            <w:pPr>
              <w:rPr>
                <w:noProof/>
                <w:lang w:val="en-GB"/>
              </w:rPr>
            </w:pPr>
            <w:r>
              <w:rPr>
                <w:noProof/>
                <w:lang w:val="en-GB"/>
              </w:rPr>
              <w:t>2</w:t>
            </w:r>
          </w:p>
        </w:tc>
        <w:tc>
          <w:tcPr>
            <w:tcW w:w="1562" w:type="dxa"/>
            <w:noWrap/>
            <w:hideMark/>
          </w:tcPr>
          <w:p>
            <w:pPr>
              <w:rPr>
                <w:noProof/>
                <w:lang w:val="en-GB"/>
              </w:rPr>
            </w:pPr>
            <w:r>
              <w:rPr>
                <w:noProof/>
                <w:lang w:val="en-GB"/>
              </w:rPr>
              <w:t>140</w:t>
            </w:r>
          </w:p>
        </w:tc>
        <w:tc>
          <w:tcPr>
            <w:tcW w:w="1085" w:type="dxa"/>
          </w:tcPr>
          <w:p>
            <w:pPr>
              <w:rPr>
                <w:noProof/>
                <w:lang w:val="en-GB"/>
              </w:rPr>
            </w:pPr>
            <w:r>
              <w:rPr>
                <w:noProof/>
                <w:lang w:val="en-GB"/>
              </w:rPr>
              <w:t>--</w:t>
            </w:r>
          </w:p>
        </w:tc>
      </w:tr>
      <w:tr>
        <w:trPr>
          <w:trHeight w:val="292"/>
        </w:trPr>
        <w:tc>
          <w:tcPr>
            <w:tcW w:w="2336" w:type="dxa"/>
            <w:vMerge/>
            <w:tcBorders>
              <w:bottom w:val="single" w:sz="4" w:space="0" w:color="auto"/>
            </w:tcBorders>
            <w:noWrap/>
            <w:hideMark/>
          </w:tcPr>
          <w:p>
            <w:pPr>
              <w:rPr>
                <w:b/>
                <w:noProof/>
                <w:highlight w:val="yellow"/>
                <w:lang w:val="en-GB"/>
              </w:rPr>
            </w:pPr>
          </w:p>
        </w:tc>
        <w:tc>
          <w:tcPr>
            <w:tcW w:w="1356" w:type="dxa"/>
            <w:tcBorders>
              <w:bottom w:val="single" w:sz="4" w:space="0" w:color="auto"/>
            </w:tcBorders>
            <w:noWrap/>
            <w:hideMark/>
          </w:tcPr>
          <w:p>
            <w:pPr>
              <w:rPr>
                <w:noProof/>
                <w:lang w:val="en-GB"/>
              </w:rPr>
            </w:pPr>
            <w:r>
              <w:rPr>
                <w:noProof/>
                <w:lang w:val="en-GB"/>
              </w:rPr>
              <w:t>Spain</w:t>
            </w:r>
          </w:p>
        </w:tc>
        <w:tc>
          <w:tcPr>
            <w:tcW w:w="923" w:type="dxa"/>
            <w:tcBorders>
              <w:bottom w:val="single" w:sz="4" w:space="0" w:color="auto"/>
            </w:tcBorders>
            <w:noWrap/>
            <w:hideMark/>
          </w:tcPr>
          <w:p>
            <w:pPr>
              <w:rPr>
                <w:noProof/>
                <w:lang w:val="en-GB"/>
              </w:rPr>
            </w:pPr>
            <w:r>
              <w:rPr>
                <w:noProof/>
                <w:lang w:val="en-GB"/>
              </w:rPr>
              <w:t>1</w:t>
            </w:r>
          </w:p>
        </w:tc>
        <w:tc>
          <w:tcPr>
            <w:tcW w:w="923" w:type="dxa"/>
            <w:tcBorders>
              <w:bottom w:val="single" w:sz="4" w:space="0" w:color="auto"/>
            </w:tcBorders>
            <w:noWrap/>
            <w:hideMark/>
          </w:tcPr>
          <w:p>
            <w:pPr>
              <w:rPr>
                <w:noProof/>
                <w:lang w:val="en-GB"/>
              </w:rPr>
            </w:pPr>
            <w:r>
              <w:rPr>
                <w:noProof/>
                <w:lang w:val="en-GB"/>
              </w:rPr>
              <w:t>2</w:t>
            </w:r>
          </w:p>
        </w:tc>
        <w:tc>
          <w:tcPr>
            <w:tcW w:w="923" w:type="dxa"/>
            <w:tcBorders>
              <w:bottom w:val="single" w:sz="4" w:space="0" w:color="auto"/>
            </w:tcBorders>
            <w:noWrap/>
            <w:hideMark/>
          </w:tcPr>
          <w:p>
            <w:pPr>
              <w:rPr>
                <w:noProof/>
                <w:lang w:val="en-GB"/>
              </w:rPr>
            </w:pPr>
            <w:r>
              <w:rPr>
                <w:noProof/>
                <w:lang w:val="en-GB"/>
              </w:rPr>
              <w:t>0</w:t>
            </w:r>
          </w:p>
        </w:tc>
        <w:tc>
          <w:tcPr>
            <w:tcW w:w="923" w:type="dxa"/>
            <w:tcBorders>
              <w:bottom w:val="single" w:sz="4" w:space="0" w:color="auto"/>
            </w:tcBorders>
            <w:noWrap/>
            <w:hideMark/>
          </w:tcPr>
          <w:p>
            <w:pPr>
              <w:rPr>
                <w:noProof/>
                <w:lang w:val="en-GB"/>
              </w:rPr>
            </w:pPr>
            <w:r>
              <w:rPr>
                <w:noProof/>
                <w:lang w:val="en-GB"/>
              </w:rPr>
              <w:t>0</w:t>
            </w:r>
          </w:p>
        </w:tc>
        <w:tc>
          <w:tcPr>
            <w:tcW w:w="1562" w:type="dxa"/>
            <w:tcBorders>
              <w:bottom w:val="single" w:sz="4" w:space="0" w:color="auto"/>
            </w:tcBorders>
            <w:noWrap/>
            <w:hideMark/>
          </w:tcPr>
          <w:p>
            <w:pPr>
              <w:rPr>
                <w:noProof/>
                <w:lang w:val="en-GB"/>
              </w:rPr>
            </w:pPr>
            <w:r>
              <w:rPr>
                <w:noProof/>
                <w:lang w:val="en-GB"/>
              </w:rPr>
              <w:t>3</w:t>
            </w:r>
          </w:p>
        </w:tc>
        <w:tc>
          <w:tcPr>
            <w:tcW w:w="1085" w:type="dxa"/>
            <w:tcBorders>
              <w:bottom w:val="single" w:sz="4" w:space="0" w:color="auto"/>
            </w:tcBorders>
          </w:tcPr>
          <w:p>
            <w:pPr>
              <w:rPr>
                <w:noProof/>
                <w:lang w:val="en-GB"/>
              </w:rPr>
            </w:pPr>
            <w:r>
              <w:rPr>
                <w:noProof/>
                <w:lang w:val="en-GB"/>
              </w:rPr>
              <w:t>--</w:t>
            </w:r>
          </w:p>
        </w:tc>
      </w:tr>
      <w:tr>
        <w:trPr>
          <w:trHeight w:val="292"/>
        </w:trPr>
        <w:tc>
          <w:tcPr>
            <w:tcW w:w="2336" w:type="dxa"/>
            <w:vMerge w:val="restart"/>
            <w:noWrap/>
            <w:hideMark/>
          </w:tcPr>
          <w:p>
            <w:pPr>
              <w:rPr>
                <w:b/>
                <w:noProof/>
                <w:highlight w:val="yellow"/>
                <w:lang w:val="en-GB"/>
              </w:rPr>
            </w:pPr>
            <w:r>
              <w:rPr>
                <w:b/>
                <w:noProof/>
                <w:lang w:val="en-GB"/>
              </w:rPr>
              <w:t>North Sea and Atlantic</w:t>
            </w:r>
          </w:p>
        </w:tc>
        <w:tc>
          <w:tcPr>
            <w:tcW w:w="1356" w:type="dxa"/>
            <w:noWrap/>
            <w:hideMark/>
          </w:tcPr>
          <w:p>
            <w:pPr>
              <w:rPr>
                <w:noProof/>
                <w:highlight w:val="yellow"/>
                <w:lang w:val="en-GB"/>
              </w:rPr>
            </w:pPr>
          </w:p>
        </w:tc>
        <w:tc>
          <w:tcPr>
            <w:tcW w:w="923" w:type="dxa"/>
            <w:noWrap/>
            <w:hideMark/>
          </w:tcPr>
          <w:p>
            <w:pPr>
              <w:rPr>
                <w:b/>
                <w:bCs/>
                <w:noProof/>
                <w:lang w:val="en-GB"/>
              </w:rPr>
            </w:pPr>
            <w:r>
              <w:rPr>
                <w:b/>
                <w:bCs/>
                <w:noProof/>
                <w:lang w:val="en-GB"/>
              </w:rPr>
              <w:t>42</w:t>
            </w:r>
          </w:p>
        </w:tc>
        <w:tc>
          <w:tcPr>
            <w:tcW w:w="923" w:type="dxa"/>
            <w:noWrap/>
            <w:hideMark/>
          </w:tcPr>
          <w:p>
            <w:pPr>
              <w:rPr>
                <w:b/>
                <w:bCs/>
                <w:noProof/>
                <w:lang w:val="en-GB"/>
              </w:rPr>
            </w:pPr>
            <w:r>
              <w:rPr>
                <w:b/>
                <w:bCs/>
                <w:noProof/>
                <w:lang w:val="en-GB"/>
              </w:rPr>
              <w:t>100</w:t>
            </w:r>
          </w:p>
        </w:tc>
        <w:tc>
          <w:tcPr>
            <w:tcW w:w="923" w:type="dxa"/>
            <w:noWrap/>
            <w:hideMark/>
          </w:tcPr>
          <w:p>
            <w:pPr>
              <w:rPr>
                <w:b/>
                <w:bCs/>
                <w:noProof/>
                <w:lang w:val="en-GB"/>
              </w:rPr>
            </w:pPr>
            <w:r>
              <w:rPr>
                <w:b/>
                <w:bCs/>
                <w:noProof/>
                <w:lang w:val="en-GB"/>
              </w:rPr>
              <w:t>5</w:t>
            </w:r>
          </w:p>
        </w:tc>
        <w:tc>
          <w:tcPr>
            <w:tcW w:w="923" w:type="dxa"/>
            <w:noWrap/>
            <w:hideMark/>
          </w:tcPr>
          <w:p>
            <w:pPr>
              <w:rPr>
                <w:b/>
                <w:bCs/>
                <w:noProof/>
                <w:lang w:val="en-GB"/>
              </w:rPr>
            </w:pPr>
            <w:r>
              <w:rPr>
                <w:b/>
                <w:bCs/>
                <w:noProof/>
                <w:lang w:val="en-GB"/>
              </w:rPr>
              <w:t>0</w:t>
            </w:r>
          </w:p>
        </w:tc>
        <w:tc>
          <w:tcPr>
            <w:tcW w:w="1562" w:type="dxa"/>
            <w:noWrap/>
            <w:hideMark/>
          </w:tcPr>
          <w:p>
            <w:pPr>
              <w:rPr>
                <w:b/>
                <w:bCs/>
                <w:noProof/>
                <w:lang w:val="en-GB"/>
              </w:rPr>
            </w:pPr>
            <w:r>
              <w:rPr>
                <w:b/>
                <w:bCs/>
                <w:noProof/>
                <w:lang w:val="en-GB"/>
              </w:rPr>
              <w:t>147</w:t>
            </w:r>
          </w:p>
        </w:tc>
        <w:tc>
          <w:tcPr>
            <w:tcW w:w="1085" w:type="dxa"/>
          </w:tcPr>
          <w:p>
            <w:pPr>
              <w:rPr>
                <w:b/>
                <w:bCs/>
                <w:noProof/>
                <w:lang w:val="en-GB"/>
              </w:rPr>
            </w:pPr>
            <w:r>
              <w:rPr>
                <w:b/>
                <w:bCs/>
                <w:noProof/>
                <w:lang w:val="en-GB"/>
              </w:rPr>
              <w:t>--</w:t>
            </w:r>
          </w:p>
        </w:tc>
      </w:tr>
      <w:tr>
        <w:trPr>
          <w:trHeight w:val="292"/>
        </w:trPr>
        <w:tc>
          <w:tcPr>
            <w:tcW w:w="2336" w:type="dxa"/>
            <w:vMerge/>
            <w:noWrap/>
            <w:hideMark/>
          </w:tcPr>
          <w:p>
            <w:pPr>
              <w:rPr>
                <w:b/>
                <w:noProof/>
                <w:highlight w:val="yellow"/>
                <w:lang w:val="en-GB"/>
              </w:rPr>
            </w:pPr>
          </w:p>
        </w:tc>
        <w:tc>
          <w:tcPr>
            <w:tcW w:w="1356" w:type="dxa"/>
            <w:noWrap/>
            <w:hideMark/>
          </w:tcPr>
          <w:p>
            <w:pPr>
              <w:rPr>
                <w:noProof/>
                <w:lang w:val="en-GB"/>
              </w:rPr>
            </w:pPr>
            <w:r>
              <w:rPr>
                <w:noProof/>
                <w:lang w:val="en-GB"/>
              </w:rPr>
              <w:t>Denmark</w:t>
            </w:r>
          </w:p>
        </w:tc>
        <w:tc>
          <w:tcPr>
            <w:tcW w:w="923" w:type="dxa"/>
            <w:noWrap/>
            <w:hideMark/>
          </w:tcPr>
          <w:p>
            <w:pPr>
              <w:rPr>
                <w:noProof/>
                <w:lang w:val="en-GB"/>
              </w:rPr>
            </w:pPr>
            <w:r>
              <w:rPr>
                <w:noProof/>
                <w:lang w:val="en-GB"/>
              </w:rPr>
              <w:t>10</w:t>
            </w:r>
          </w:p>
        </w:tc>
        <w:tc>
          <w:tcPr>
            <w:tcW w:w="923" w:type="dxa"/>
            <w:noWrap/>
            <w:hideMark/>
          </w:tcPr>
          <w:p>
            <w:pPr>
              <w:rPr>
                <w:noProof/>
                <w:lang w:val="en-GB"/>
              </w:rPr>
            </w:pPr>
            <w:r>
              <w:rPr>
                <w:noProof/>
                <w:lang w:val="en-GB"/>
              </w:rPr>
              <w:t>19</w:t>
            </w:r>
          </w:p>
        </w:tc>
        <w:tc>
          <w:tcPr>
            <w:tcW w:w="923" w:type="dxa"/>
            <w:noWrap/>
            <w:hideMark/>
          </w:tcPr>
          <w:p>
            <w:pPr>
              <w:rPr>
                <w:noProof/>
                <w:lang w:val="en-GB"/>
              </w:rPr>
            </w:pPr>
            <w:r>
              <w:rPr>
                <w:noProof/>
                <w:lang w:val="en-GB"/>
              </w:rPr>
              <w:t>1</w:t>
            </w:r>
          </w:p>
        </w:tc>
        <w:tc>
          <w:tcPr>
            <w:tcW w:w="923" w:type="dxa"/>
            <w:noWrap/>
            <w:hideMark/>
          </w:tcPr>
          <w:p>
            <w:pPr>
              <w:rPr>
                <w:noProof/>
                <w:lang w:val="en-GB"/>
              </w:rPr>
            </w:pPr>
            <w:r>
              <w:rPr>
                <w:noProof/>
                <w:lang w:val="en-GB"/>
              </w:rPr>
              <w:t>0</w:t>
            </w:r>
          </w:p>
        </w:tc>
        <w:tc>
          <w:tcPr>
            <w:tcW w:w="1562" w:type="dxa"/>
            <w:noWrap/>
            <w:hideMark/>
          </w:tcPr>
          <w:p>
            <w:pPr>
              <w:rPr>
                <w:noProof/>
                <w:lang w:val="en-GB"/>
              </w:rPr>
            </w:pPr>
            <w:r>
              <w:rPr>
                <w:noProof/>
                <w:lang w:val="en-GB"/>
              </w:rPr>
              <w:t>30</w:t>
            </w:r>
          </w:p>
        </w:tc>
        <w:tc>
          <w:tcPr>
            <w:tcW w:w="1085" w:type="dxa"/>
          </w:tcPr>
          <w:p>
            <w:pPr>
              <w:rPr>
                <w:noProof/>
                <w:lang w:val="en-GB"/>
              </w:rPr>
            </w:pPr>
            <w:r>
              <w:rPr>
                <w:noProof/>
                <w:lang w:val="en-GB"/>
              </w:rPr>
              <w:t>--</w:t>
            </w:r>
          </w:p>
        </w:tc>
      </w:tr>
      <w:tr>
        <w:trPr>
          <w:trHeight w:val="292"/>
        </w:trPr>
        <w:tc>
          <w:tcPr>
            <w:tcW w:w="2336" w:type="dxa"/>
            <w:vMerge/>
            <w:noWrap/>
            <w:hideMark/>
          </w:tcPr>
          <w:p>
            <w:pPr>
              <w:rPr>
                <w:b/>
                <w:noProof/>
                <w:highlight w:val="yellow"/>
                <w:lang w:val="en-GB"/>
              </w:rPr>
            </w:pPr>
          </w:p>
        </w:tc>
        <w:tc>
          <w:tcPr>
            <w:tcW w:w="1356" w:type="dxa"/>
            <w:noWrap/>
            <w:hideMark/>
          </w:tcPr>
          <w:p>
            <w:pPr>
              <w:rPr>
                <w:noProof/>
                <w:lang w:val="en-GB"/>
              </w:rPr>
            </w:pPr>
            <w:r>
              <w:rPr>
                <w:noProof/>
                <w:lang w:val="en-GB"/>
              </w:rPr>
              <w:t>Germany</w:t>
            </w:r>
          </w:p>
        </w:tc>
        <w:tc>
          <w:tcPr>
            <w:tcW w:w="923" w:type="dxa"/>
            <w:noWrap/>
            <w:hideMark/>
          </w:tcPr>
          <w:p>
            <w:pPr>
              <w:rPr>
                <w:noProof/>
                <w:lang w:val="en-GB"/>
              </w:rPr>
            </w:pPr>
            <w:r>
              <w:rPr>
                <w:noProof/>
                <w:lang w:val="en-GB"/>
              </w:rPr>
              <w:t>1</w:t>
            </w:r>
          </w:p>
        </w:tc>
        <w:tc>
          <w:tcPr>
            <w:tcW w:w="923" w:type="dxa"/>
            <w:noWrap/>
            <w:hideMark/>
          </w:tcPr>
          <w:p>
            <w:pPr>
              <w:rPr>
                <w:noProof/>
                <w:lang w:val="en-GB"/>
              </w:rPr>
            </w:pPr>
            <w:r>
              <w:rPr>
                <w:noProof/>
                <w:lang w:val="en-GB"/>
              </w:rPr>
              <w:t>1</w:t>
            </w:r>
          </w:p>
        </w:tc>
        <w:tc>
          <w:tcPr>
            <w:tcW w:w="923" w:type="dxa"/>
            <w:noWrap/>
            <w:hideMark/>
          </w:tcPr>
          <w:p>
            <w:pPr>
              <w:rPr>
                <w:noProof/>
                <w:lang w:val="en-GB"/>
              </w:rPr>
            </w:pPr>
            <w:r>
              <w:rPr>
                <w:noProof/>
                <w:lang w:val="en-GB"/>
              </w:rPr>
              <w:t>0</w:t>
            </w:r>
          </w:p>
        </w:tc>
        <w:tc>
          <w:tcPr>
            <w:tcW w:w="923" w:type="dxa"/>
            <w:noWrap/>
            <w:hideMark/>
          </w:tcPr>
          <w:p>
            <w:pPr>
              <w:rPr>
                <w:noProof/>
                <w:lang w:val="en-GB"/>
              </w:rPr>
            </w:pPr>
            <w:r>
              <w:rPr>
                <w:noProof/>
                <w:lang w:val="en-GB"/>
              </w:rPr>
              <w:t>0</w:t>
            </w:r>
          </w:p>
        </w:tc>
        <w:tc>
          <w:tcPr>
            <w:tcW w:w="1562" w:type="dxa"/>
            <w:noWrap/>
            <w:hideMark/>
          </w:tcPr>
          <w:p>
            <w:pPr>
              <w:rPr>
                <w:noProof/>
                <w:lang w:val="en-GB"/>
              </w:rPr>
            </w:pPr>
            <w:r>
              <w:rPr>
                <w:noProof/>
                <w:lang w:val="en-GB"/>
              </w:rPr>
              <w:t>2</w:t>
            </w:r>
          </w:p>
        </w:tc>
        <w:tc>
          <w:tcPr>
            <w:tcW w:w="1085" w:type="dxa"/>
          </w:tcPr>
          <w:p>
            <w:pPr>
              <w:rPr>
                <w:noProof/>
                <w:lang w:val="en-GB"/>
              </w:rPr>
            </w:pPr>
            <w:r>
              <w:rPr>
                <w:noProof/>
                <w:lang w:val="en-GB"/>
              </w:rPr>
              <w:t>--</w:t>
            </w:r>
          </w:p>
        </w:tc>
      </w:tr>
      <w:tr>
        <w:trPr>
          <w:trHeight w:val="292"/>
        </w:trPr>
        <w:tc>
          <w:tcPr>
            <w:tcW w:w="2336" w:type="dxa"/>
            <w:vMerge/>
            <w:noWrap/>
            <w:hideMark/>
          </w:tcPr>
          <w:p>
            <w:pPr>
              <w:rPr>
                <w:b/>
                <w:noProof/>
                <w:highlight w:val="yellow"/>
                <w:lang w:val="en-GB"/>
              </w:rPr>
            </w:pPr>
          </w:p>
        </w:tc>
        <w:tc>
          <w:tcPr>
            <w:tcW w:w="1356" w:type="dxa"/>
            <w:noWrap/>
            <w:hideMark/>
          </w:tcPr>
          <w:p>
            <w:pPr>
              <w:rPr>
                <w:noProof/>
                <w:lang w:val="en-GB"/>
              </w:rPr>
            </w:pPr>
            <w:r>
              <w:rPr>
                <w:noProof/>
                <w:lang w:val="en-GB"/>
              </w:rPr>
              <w:t>Ireland</w:t>
            </w:r>
          </w:p>
        </w:tc>
        <w:tc>
          <w:tcPr>
            <w:tcW w:w="923" w:type="dxa"/>
            <w:noWrap/>
            <w:hideMark/>
          </w:tcPr>
          <w:p>
            <w:pPr>
              <w:rPr>
                <w:noProof/>
                <w:lang w:val="en-GB"/>
              </w:rPr>
            </w:pPr>
            <w:r>
              <w:rPr>
                <w:noProof/>
                <w:lang w:val="en-GB"/>
              </w:rPr>
              <w:t>0</w:t>
            </w:r>
          </w:p>
        </w:tc>
        <w:tc>
          <w:tcPr>
            <w:tcW w:w="923" w:type="dxa"/>
            <w:noWrap/>
            <w:hideMark/>
          </w:tcPr>
          <w:p>
            <w:pPr>
              <w:rPr>
                <w:noProof/>
                <w:lang w:val="en-GB"/>
              </w:rPr>
            </w:pPr>
            <w:r>
              <w:rPr>
                <w:noProof/>
                <w:lang w:val="en-GB"/>
              </w:rPr>
              <w:t>0</w:t>
            </w:r>
          </w:p>
        </w:tc>
        <w:tc>
          <w:tcPr>
            <w:tcW w:w="923" w:type="dxa"/>
            <w:noWrap/>
            <w:hideMark/>
          </w:tcPr>
          <w:p>
            <w:pPr>
              <w:rPr>
                <w:noProof/>
                <w:lang w:val="en-GB"/>
              </w:rPr>
            </w:pPr>
            <w:r>
              <w:rPr>
                <w:noProof/>
                <w:lang w:val="en-GB"/>
              </w:rPr>
              <w:t>0</w:t>
            </w:r>
          </w:p>
        </w:tc>
        <w:tc>
          <w:tcPr>
            <w:tcW w:w="923" w:type="dxa"/>
            <w:noWrap/>
            <w:hideMark/>
          </w:tcPr>
          <w:p>
            <w:pPr>
              <w:rPr>
                <w:noProof/>
                <w:lang w:val="en-GB"/>
              </w:rPr>
            </w:pPr>
            <w:r>
              <w:rPr>
                <w:noProof/>
                <w:lang w:val="en-GB"/>
              </w:rPr>
              <w:t>0</w:t>
            </w:r>
          </w:p>
        </w:tc>
        <w:tc>
          <w:tcPr>
            <w:tcW w:w="1562" w:type="dxa"/>
            <w:noWrap/>
            <w:hideMark/>
          </w:tcPr>
          <w:p>
            <w:pPr>
              <w:rPr>
                <w:noProof/>
                <w:lang w:val="en-GB"/>
              </w:rPr>
            </w:pPr>
            <w:r>
              <w:rPr>
                <w:noProof/>
                <w:lang w:val="en-GB"/>
              </w:rPr>
              <w:t>0</w:t>
            </w:r>
          </w:p>
        </w:tc>
        <w:tc>
          <w:tcPr>
            <w:tcW w:w="1085" w:type="dxa"/>
          </w:tcPr>
          <w:p>
            <w:pPr>
              <w:rPr>
                <w:noProof/>
                <w:lang w:val="en-GB"/>
              </w:rPr>
            </w:pPr>
            <w:r>
              <w:rPr>
                <w:noProof/>
                <w:lang w:val="en-GB"/>
              </w:rPr>
              <w:t>--</w:t>
            </w:r>
          </w:p>
        </w:tc>
      </w:tr>
      <w:tr>
        <w:trPr>
          <w:trHeight w:val="292"/>
        </w:trPr>
        <w:tc>
          <w:tcPr>
            <w:tcW w:w="2336" w:type="dxa"/>
            <w:vMerge/>
            <w:noWrap/>
            <w:hideMark/>
          </w:tcPr>
          <w:p>
            <w:pPr>
              <w:rPr>
                <w:b/>
                <w:noProof/>
                <w:highlight w:val="yellow"/>
                <w:lang w:val="en-GB"/>
              </w:rPr>
            </w:pPr>
          </w:p>
        </w:tc>
        <w:tc>
          <w:tcPr>
            <w:tcW w:w="1356" w:type="dxa"/>
            <w:noWrap/>
            <w:hideMark/>
          </w:tcPr>
          <w:p>
            <w:pPr>
              <w:rPr>
                <w:noProof/>
                <w:lang w:val="en-GB"/>
              </w:rPr>
            </w:pPr>
            <w:r>
              <w:rPr>
                <w:noProof/>
                <w:lang w:val="en-GB"/>
              </w:rPr>
              <w:t>The Netherlands</w:t>
            </w:r>
          </w:p>
        </w:tc>
        <w:tc>
          <w:tcPr>
            <w:tcW w:w="923" w:type="dxa"/>
            <w:noWrap/>
            <w:hideMark/>
          </w:tcPr>
          <w:p>
            <w:pPr>
              <w:rPr>
                <w:noProof/>
                <w:lang w:val="en-GB"/>
              </w:rPr>
            </w:pPr>
            <w:r>
              <w:rPr>
                <w:noProof/>
                <w:lang w:val="en-GB"/>
              </w:rPr>
              <w:t>31</w:t>
            </w:r>
          </w:p>
        </w:tc>
        <w:tc>
          <w:tcPr>
            <w:tcW w:w="923" w:type="dxa"/>
            <w:noWrap/>
            <w:hideMark/>
          </w:tcPr>
          <w:p>
            <w:pPr>
              <w:rPr>
                <w:noProof/>
                <w:lang w:val="en-GB"/>
              </w:rPr>
            </w:pPr>
            <w:r>
              <w:rPr>
                <w:noProof/>
                <w:lang w:val="en-GB"/>
              </w:rPr>
              <w:t>80</w:t>
            </w:r>
          </w:p>
        </w:tc>
        <w:tc>
          <w:tcPr>
            <w:tcW w:w="923" w:type="dxa"/>
            <w:noWrap/>
            <w:hideMark/>
          </w:tcPr>
          <w:p>
            <w:pPr>
              <w:rPr>
                <w:noProof/>
                <w:lang w:val="en-GB"/>
              </w:rPr>
            </w:pPr>
            <w:r>
              <w:rPr>
                <w:noProof/>
                <w:lang w:val="en-GB"/>
              </w:rPr>
              <w:t>4</w:t>
            </w:r>
          </w:p>
        </w:tc>
        <w:tc>
          <w:tcPr>
            <w:tcW w:w="923" w:type="dxa"/>
            <w:noWrap/>
            <w:hideMark/>
          </w:tcPr>
          <w:p>
            <w:pPr>
              <w:rPr>
                <w:noProof/>
                <w:lang w:val="en-GB"/>
              </w:rPr>
            </w:pPr>
            <w:r>
              <w:rPr>
                <w:noProof/>
                <w:lang w:val="en-GB"/>
              </w:rPr>
              <w:t>0</w:t>
            </w:r>
          </w:p>
        </w:tc>
        <w:tc>
          <w:tcPr>
            <w:tcW w:w="1562" w:type="dxa"/>
            <w:noWrap/>
            <w:hideMark/>
          </w:tcPr>
          <w:p>
            <w:pPr>
              <w:rPr>
                <w:noProof/>
                <w:lang w:val="en-GB"/>
              </w:rPr>
            </w:pPr>
            <w:r>
              <w:rPr>
                <w:noProof/>
                <w:lang w:val="en-GB"/>
              </w:rPr>
              <w:t>115</w:t>
            </w:r>
          </w:p>
        </w:tc>
        <w:tc>
          <w:tcPr>
            <w:tcW w:w="1085" w:type="dxa"/>
          </w:tcPr>
          <w:p>
            <w:pPr>
              <w:rPr>
                <w:noProof/>
                <w:lang w:val="en-GB"/>
              </w:rPr>
            </w:pPr>
            <w:r>
              <w:rPr>
                <w:noProof/>
                <w:lang w:val="en-GB"/>
              </w:rPr>
              <w:t>--</w:t>
            </w:r>
          </w:p>
        </w:tc>
      </w:tr>
      <w:tr>
        <w:trPr>
          <w:trHeight w:val="292"/>
        </w:trPr>
        <w:tc>
          <w:tcPr>
            <w:tcW w:w="2336" w:type="dxa"/>
            <w:tcBorders>
              <w:bottom w:val="single" w:sz="4" w:space="0" w:color="auto"/>
            </w:tcBorders>
            <w:noWrap/>
            <w:hideMark/>
          </w:tcPr>
          <w:p>
            <w:pPr>
              <w:rPr>
                <w:b/>
                <w:noProof/>
                <w:lang w:val="en-GB"/>
              </w:rPr>
            </w:pPr>
            <w:r>
              <w:rPr>
                <w:b/>
                <w:noProof/>
                <w:lang w:val="en-GB"/>
              </w:rPr>
              <w:t>Total (type of installation)</w:t>
            </w:r>
          </w:p>
        </w:tc>
        <w:tc>
          <w:tcPr>
            <w:tcW w:w="1356" w:type="dxa"/>
            <w:tcBorders>
              <w:bottom w:val="single" w:sz="4" w:space="0" w:color="auto"/>
            </w:tcBorders>
            <w:noWrap/>
            <w:hideMark/>
          </w:tcPr>
          <w:p>
            <w:pPr>
              <w:rPr>
                <w:noProof/>
                <w:lang w:val="en-GB"/>
              </w:rPr>
            </w:pPr>
          </w:p>
        </w:tc>
        <w:tc>
          <w:tcPr>
            <w:tcW w:w="923" w:type="dxa"/>
            <w:tcBorders>
              <w:bottom w:val="single" w:sz="4" w:space="0" w:color="auto"/>
            </w:tcBorders>
            <w:noWrap/>
            <w:hideMark/>
          </w:tcPr>
          <w:p>
            <w:pPr>
              <w:rPr>
                <w:b/>
                <w:bCs/>
                <w:noProof/>
                <w:lang w:val="en-GB"/>
              </w:rPr>
            </w:pPr>
            <w:r>
              <w:rPr>
                <w:b/>
                <w:bCs/>
                <w:noProof/>
                <w:lang w:val="en-GB"/>
              </w:rPr>
              <w:t>65</w:t>
            </w:r>
          </w:p>
        </w:tc>
        <w:tc>
          <w:tcPr>
            <w:tcW w:w="923" w:type="dxa"/>
            <w:tcBorders>
              <w:bottom w:val="single" w:sz="4" w:space="0" w:color="auto"/>
            </w:tcBorders>
            <w:noWrap/>
            <w:hideMark/>
          </w:tcPr>
          <w:p>
            <w:pPr>
              <w:rPr>
                <w:b/>
                <w:bCs/>
                <w:noProof/>
                <w:lang w:val="en-GB"/>
              </w:rPr>
            </w:pPr>
            <w:r>
              <w:rPr>
                <w:b/>
                <w:bCs/>
                <w:noProof/>
                <w:lang w:val="en-GB"/>
              </w:rPr>
              <w:t>252</w:t>
            </w:r>
          </w:p>
        </w:tc>
        <w:tc>
          <w:tcPr>
            <w:tcW w:w="923" w:type="dxa"/>
            <w:tcBorders>
              <w:bottom w:val="single" w:sz="4" w:space="0" w:color="auto"/>
            </w:tcBorders>
            <w:noWrap/>
            <w:hideMark/>
          </w:tcPr>
          <w:p>
            <w:pPr>
              <w:rPr>
                <w:b/>
                <w:bCs/>
                <w:noProof/>
                <w:lang w:val="en-GB"/>
              </w:rPr>
            </w:pPr>
            <w:r>
              <w:rPr>
                <w:b/>
                <w:bCs/>
                <w:noProof/>
                <w:lang w:val="en-GB"/>
              </w:rPr>
              <w:t>5</w:t>
            </w:r>
          </w:p>
        </w:tc>
        <w:tc>
          <w:tcPr>
            <w:tcW w:w="923" w:type="dxa"/>
            <w:tcBorders>
              <w:bottom w:val="single" w:sz="4" w:space="0" w:color="auto"/>
            </w:tcBorders>
            <w:noWrap/>
            <w:hideMark/>
          </w:tcPr>
          <w:p>
            <w:pPr>
              <w:rPr>
                <w:b/>
                <w:bCs/>
                <w:noProof/>
                <w:lang w:val="en-GB"/>
              </w:rPr>
            </w:pPr>
            <w:r>
              <w:rPr>
                <w:b/>
                <w:bCs/>
                <w:noProof/>
                <w:lang w:val="en-GB"/>
              </w:rPr>
              <w:t>2</w:t>
            </w:r>
          </w:p>
        </w:tc>
        <w:tc>
          <w:tcPr>
            <w:tcW w:w="1562" w:type="dxa"/>
            <w:tcBorders>
              <w:bottom w:val="single" w:sz="4" w:space="0" w:color="auto"/>
            </w:tcBorders>
            <w:noWrap/>
            <w:hideMark/>
          </w:tcPr>
          <w:p>
            <w:pPr>
              <w:rPr>
                <w:b/>
                <w:bCs/>
                <w:noProof/>
                <w:lang w:val="en-GB"/>
              </w:rPr>
            </w:pPr>
            <w:r>
              <w:rPr>
                <w:b/>
                <w:bCs/>
                <w:noProof/>
                <w:lang w:val="en-GB"/>
              </w:rPr>
              <w:t>324</w:t>
            </w:r>
          </w:p>
        </w:tc>
        <w:tc>
          <w:tcPr>
            <w:tcW w:w="1085" w:type="dxa"/>
            <w:tcBorders>
              <w:bottom w:val="single" w:sz="4" w:space="0" w:color="auto"/>
            </w:tcBorders>
          </w:tcPr>
          <w:p>
            <w:pPr>
              <w:rPr>
                <w:b/>
                <w:bCs/>
                <w:noProof/>
                <w:lang w:val="en-GB"/>
              </w:rPr>
            </w:pPr>
            <w:r>
              <w:rPr>
                <w:b/>
                <w:bCs/>
                <w:noProof/>
                <w:lang w:val="en-GB"/>
              </w:rPr>
              <w:t>--</w:t>
            </w:r>
          </w:p>
        </w:tc>
      </w:tr>
    </w:tbl>
    <w:tbl>
      <w:tblPr>
        <w:tblW w:w="52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08"/>
        <w:gridCol w:w="1525"/>
      </w:tblGrid>
      <w:tr>
        <w:trPr>
          <w:trHeight w:val="353"/>
        </w:trPr>
        <w:tc>
          <w:tcPr>
            <w:tcW w:w="4255" w:type="pct"/>
            <w:tcBorders>
              <w:left w:val="nil"/>
              <w:bottom w:val="nil"/>
              <w:right w:val="nil"/>
            </w:tcBorders>
            <w:noWrap/>
          </w:tcPr>
          <w:p>
            <w:pPr>
              <w:spacing w:before="60" w:after="60" w:line="240" w:lineRule="auto"/>
              <w:rPr>
                <w:rFonts w:ascii="Times New Roman" w:hAnsi="Times New Roman"/>
                <w:bCs/>
                <w:noProof/>
              </w:rPr>
            </w:pPr>
            <w:r>
              <w:rPr>
                <w:rFonts w:ascii="Times New Roman" w:hAnsi="Times New Roman"/>
                <w:bCs/>
                <w:noProof/>
              </w:rPr>
              <w:t>(*) FMI: Fixed, manned installation; FNP: Fixed, non-production installation; FPI: Floating production installation; NUI: Normally unattended installation.</w:t>
            </w:r>
          </w:p>
        </w:tc>
        <w:tc>
          <w:tcPr>
            <w:tcW w:w="745" w:type="pct"/>
            <w:tcBorders>
              <w:left w:val="nil"/>
              <w:bottom w:val="nil"/>
              <w:right w:val="nil"/>
            </w:tcBorders>
          </w:tcPr>
          <w:p>
            <w:pPr>
              <w:spacing w:before="60" w:after="60" w:line="240" w:lineRule="auto"/>
              <w:rPr>
                <w:rFonts w:ascii="Times New Roman" w:hAnsi="Times New Roman"/>
                <w:b/>
                <w:bCs/>
                <w:noProof/>
              </w:rPr>
            </w:pPr>
          </w:p>
        </w:tc>
      </w:tr>
    </w:tbl>
    <w:p>
      <w:pPr>
        <w:spacing w:after="0" w:line="240" w:lineRule="auto"/>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More than half of offshore installations came into operation between 1980 and 2000. In 2024, five new fixed installations came into operation</w:t>
      </w:r>
      <w:r>
        <w:rPr>
          <w:rStyle w:val="FootnoteReference"/>
          <w:rFonts w:ascii="Times New Roman" w:hAnsi="Times New Roman"/>
          <w:noProof/>
          <w:sz w:val="24"/>
          <w:szCs w:val="24"/>
        </w:rPr>
        <w:footnoteReference w:id="5"/>
      </w:r>
      <w:r>
        <w:rPr>
          <w:rFonts w:ascii="Times New Roman" w:hAnsi="Times New Roman"/>
          <w:noProof/>
          <w:sz w:val="24"/>
          <w:szCs w:val="24"/>
        </w:rPr>
        <w:t>. Since 2010, the development of new production installations has dropped noticeably in the North Sea and Atlantic.</w:t>
      </w:r>
    </w:p>
    <w:p>
      <w:pPr>
        <w:jc w:val="both"/>
        <w:rPr>
          <w:rFonts w:ascii="Times New Roman" w:hAnsi="Times New Roman"/>
          <w:noProof/>
          <w:sz w:val="24"/>
          <w:szCs w:val="24"/>
        </w:rPr>
      </w:pPr>
      <w:r>
        <w:rPr>
          <w:rFonts w:ascii="Times New Roman" w:hAnsi="Times New Roman"/>
          <w:noProof/>
          <w:sz w:val="24"/>
          <w:szCs w:val="24"/>
          <w:lang w:val="en-IE"/>
        </w:rPr>
        <w:t>Approximately 76% of the oil and gas produced in the European Union (12 254 kilotons of oil equivalent - hereinafter: “ktoe”) is produced in the North Sea and Atlantic (see Table 2). The biggest producers in the North Sea and Atlantic are the Netherlands and Denmark. Italy and Croatia are the biggest producers in the Mediterranean Sea, followed by Greece. Spain had no production. In the Black Sea, only Romania’s production is significant.</w:t>
      </w:r>
    </w:p>
    <w:p>
      <w:pPr>
        <w:pStyle w:val="Caption"/>
        <w:rPr>
          <w:noProof/>
          <w:lang w:val="en-GB"/>
        </w:rPr>
      </w:pPr>
      <w:r>
        <w:rPr>
          <w:noProof/>
          <w:lang w:val="en-GB"/>
        </w:rPr>
        <w:t>Table 2: Offshore oil and gas production in the EU in ktoe in 2024</w:t>
      </w:r>
    </w:p>
    <w:tbl>
      <w:tblPr>
        <w:tblStyle w:val="TableGrid"/>
        <w:tblW w:w="9072" w:type="dxa"/>
        <w:tblInd w:w="250" w:type="dxa"/>
        <w:tblLook w:val="04A0" w:firstRow="1" w:lastRow="0" w:firstColumn="1" w:lastColumn="0" w:noHBand="0" w:noVBand="1"/>
      </w:tblPr>
      <w:tblGrid>
        <w:gridCol w:w="2974"/>
        <w:gridCol w:w="1316"/>
        <w:gridCol w:w="1661"/>
        <w:gridCol w:w="1418"/>
        <w:gridCol w:w="1703"/>
      </w:tblGrid>
      <w:tr>
        <w:trPr>
          <w:trHeight w:val="300"/>
        </w:trPr>
        <w:tc>
          <w:tcPr>
            <w:tcW w:w="2974" w:type="dxa"/>
            <w:tcBorders>
              <w:top w:val="single" w:sz="4" w:space="0" w:color="auto"/>
              <w:left w:val="single" w:sz="4" w:space="0" w:color="auto"/>
              <w:bottom w:val="single" w:sz="4" w:space="0" w:color="auto"/>
              <w:right w:val="single" w:sz="4" w:space="0" w:color="auto"/>
            </w:tcBorders>
            <w:noWrap/>
            <w:hideMark/>
          </w:tcPr>
          <w:p>
            <w:pPr>
              <w:rPr>
                <w:b/>
                <w:noProof/>
                <w:lang w:val="en-GB"/>
              </w:rPr>
            </w:pPr>
            <w:r>
              <w:rPr>
                <w:b/>
                <w:noProof/>
                <w:lang w:val="en-GB"/>
              </w:rPr>
              <w:t>Region</w:t>
            </w:r>
          </w:p>
        </w:tc>
        <w:tc>
          <w:tcPr>
            <w:tcW w:w="1316" w:type="dxa"/>
            <w:tcBorders>
              <w:left w:val="single" w:sz="4" w:space="0" w:color="auto"/>
            </w:tcBorders>
            <w:noWrap/>
            <w:hideMark/>
          </w:tcPr>
          <w:p>
            <w:pPr>
              <w:rPr>
                <w:b/>
                <w:noProof/>
                <w:lang w:val="en-GB"/>
              </w:rPr>
            </w:pPr>
            <w:r>
              <w:rPr>
                <w:b/>
                <w:noProof/>
                <w:lang w:val="en-GB"/>
              </w:rPr>
              <w:t>Country</w:t>
            </w:r>
          </w:p>
        </w:tc>
        <w:tc>
          <w:tcPr>
            <w:tcW w:w="1661" w:type="dxa"/>
            <w:noWrap/>
            <w:hideMark/>
          </w:tcPr>
          <w:p>
            <w:pPr>
              <w:rPr>
                <w:b/>
                <w:noProof/>
                <w:lang w:val="en-GB"/>
              </w:rPr>
            </w:pPr>
            <w:r>
              <w:rPr>
                <w:b/>
                <w:noProof/>
                <w:lang w:val="en-GB"/>
              </w:rPr>
              <w:t>ktoe</w:t>
            </w:r>
          </w:p>
        </w:tc>
        <w:tc>
          <w:tcPr>
            <w:tcW w:w="1418" w:type="dxa"/>
            <w:noWrap/>
            <w:hideMark/>
          </w:tcPr>
          <w:p>
            <w:pPr>
              <w:rPr>
                <w:b/>
                <w:noProof/>
                <w:lang w:val="en-GB"/>
              </w:rPr>
            </w:pPr>
            <w:r>
              <w:rPr>
                <w:b/>
                <w:noProof/>
                <w:lang w:val="en-GB"/>
              </w:rPr>
              <w:t>% of EU total</w:t>
            </w:r>
          </w:p>
        </w:tc>
        <w:tc>
          <w:tcPr>
            <w:tcW w:w="1703" w:type="dxa"/>
          </w:tcPr>
          <w:p>
            <w:pPr>
              <w:rPr>
                <w:b/>
                <w:noProof/>
                <w:lang w:val="en-GB"/>
              </w:rPr>
            </w:pPr>
            <w:r>
              <w:rPr>
                <w:b/>
                <w:noProof/>
                <w:lang w:val="en-GB"/>
              </w:rPr>
              <w:t>% change compared to 2023</w:t>
            </w:r>
          </w:p>
        </w:tc>
      </w:tr>
      <w:tr>
        <w:trPr>
          <w:trHeight w:val="300"/>
        </w:trPr>
        <w:tc>
          <w:tcPr>
            <w:tcW w:w="2974" w:type="dxa"/>
            <w:tcBorders>
              <w:top w:val="single" w:sz="4" w:space="0" w:color="auto"/>
              <w:left w:val="single" w:sz="4" w:space="0" w:color="auto"/>
              <w:bottom w:val="nil"/>
              <w:right w:val="single" w:sz="4" w:space="0" w:color="auto"/>
            </w:tcBorders>
            <w:noWrap/>
            <w:hideMark/>
          </w:tcPr>
          <w:p>
            <w:pPr>
              <w:rPr>
                <w:b/>
                <w:noProof/>
                <w:lang w:val="en-GB"/>
              </w:rPr>
            </w:pPr>
            <w:r>
              <w:rPr>
                <w:b/>
                <w:noProof/>
                <w:lang w:val="en-GB"/>
              </w:rPr>
              <w:t>Baltic Sea</w:t>
            </w:r>
          </w:p>
        </w:tc>
        <w:tc>
          <w:tcPr>
            <w:tcW w:w="1316" w:type="dxa"/>
            <w:tcBorders>
              <w:left w:val="single" w:sz="4" w:space="0" w:color="auto"/>
            </w:tcBorders>
            <w:noWrap/>
            <w:hideMark/>
          </w:tcPr>
          <w:p>
            <w:pPr>
              <w:rPr>
                <w:b/>
                <w:noProof/>
                <w:lang w:val="en-GB"/>
              </w:rPr>
            </w:pPr>
          </w:p>
        </w:tc>
        <w:tc>
          <w:tcPr>
            <w:tcW w:w="1661" w:type="dxa"/>
            <w:noWrap/>
            <w:hideMark/>
          </w:tcPr>
          <w:p>
            <w:pPr>
              <w:jc w:val="center"/>
              <w:rPr>
                <w:b/>
                <w:bCs/>
                <w:noProof/>
                <w:lang w:val="en-GB"/>
              </w:rPr>
            </w:pPr>
            <w:r>
              <w:rPr>
                <w:noProof/>
                <w:lang w:val="en-GB"/>
              </w:rPr>
              <w:t>301.29</w:t>
            </w:r>
          </w:p>
        </w:tc>
        <w:tc>
          <w:tcPr>
            <w:tcW w:w="1418" w:type="dxa"/>
            <w:noWrap/>
            <w:hideMark/>
          </w:tcPr>
          <w:p>
            <w:pPr>
              <w:jc w:val="center"/>
              <w:rPr>
                <w:b/>
                <w:bCs/>
                <w:noProof/>
                <w:lang w:val="en-GB"/>
              </w:rPr>
            </w:pPr>
            <w:r>
              <w:rPr>
                <w:noProof/>
                <w:lang w:val="en-GB"/>
              </w:rPr>
              <w:t>1.87%</w:t>
            </w:r>
          </w:p>
        </w:tc>
        <w:tc>
          <w:tcPr>
            <w:tcW w:w="1703" w:type="dxa"/>
          </w:tcPr>
          <w:p>
            <w:pPr>
              <w:jc w:val="center"/>
              <w:rPr>
                <w:b/>
                <w:bCs/>
                <w:noProof/>
                <w:lang w:val="en-GB"/>
              </w:rPr>
            </w:pPr>
            <w:r>
              <w:rPr>
                <w:noProof/>
                <w:lang w:val="en-GB"/>
              </w:rPr>
              <w:t>6.09%</w:t>
            </w:r>
          </w:p>
        </w:tc>
      </w:tr>
      <w:tr>
        <w:trPr>
          <w:trHeight w:val="300"/>
        </w:trPr>
        <w:tc>
          <w:tcPr>
            <w:tcW w:w="2974" w:type="dxa"/>
            <w:tcBorders>
              <w:top w:val="nil"/>
              <w:left w:val="single" w:sz="4" w:space="0" w:color="auto"/>
              <w:bottom w:val="single" w:sz="4" w:space="0" w:color="auto"/>
              <w:right w:val="single" w:sz="4" w:space="0" w:color="auto"/>
            </w:tcBorders>
            <w:noWrap/>
          </w:tcPr>
          <w:p>
            <w:pPr>
              <w:rPr>
                <w:b/>
                <w:noProof/>
                <w:lang w:val="en-GB"/>
              </w:rPr>
            </w:pPr>
          </w:p>
        </w:tc>
        <w:tc>
          <w:tcPr>
            <w:tcW w:w="1316" w:type="dxa"/>
            <w:tcBorders>
              <w:left w:val="single" w:sz="4" w:space="0" w:color="auto"/>
            </w:tcBorders>
            <w:noWrap/>
            <w:hideMark/>
          </w:tcPr>
          <w:p>
            <w:pPr>
              <w:rPr>
                <w:noProof/>
                <w:lang w:val="en-GB"/>
              </w:rPr>
            </w:pPr>
            <w:r>
              <w:rPr>
                <w:noProof/>
                <w:lang w:val="en-GB"/>
              </w:rPr>
              <w:t>Poland</w:t>
            </w:r>
          </w:p>
        </w:tc>
        <w:tc>
          <w:tcPr>
            <w:tcW w:w="1661" w:type="dxa"/>
            <w:noWrap/>
            <w:hideMark/>
          </w:tcPr>
          <w:p>
            <w:pPr>
              <w:jc w:val="center"/>
              <w:rPr>
                <w:noProof/>
                <w:lang w:val="en-GB"/>
              </w:rPr>
            </w:pPr>
            <w:r>
              <w:rPr>
                <w:noProof/>
                <w:lang w:val="en-GB"/>
              </w:rPr>
              <w:t>301.29</w:t>
            </w:r>
          </w:p>
        </w:tc>
        <w:tc>
          <w:tcPr>
            <w:tcW w:w="1418" w:type="dxa"/>
            <w:noWrap/>
            <w:hideMark/>
          </w:tcPr>
          <w:p>
            <w:pPr>
              <w:jc w:val="center"/>
              <w:rPr>
                <w:noProof/>
                <w:lang w:val="en-GB"/>
              </w:rPr>
            </w:pPr>
            <w:r>
              <w:rPr>
                <w:noProof/>
                <w:lang w:val="en-GB"/>
              </w:rPr>
              <w:t>1.87%</w:t>
            </w:r>
          </w:p>
        </w:tc>
        <w:tc>
          <w:tcPr>
            <w:tcW w:w="1703" w:type="dxa"/>
          </w:tcPr>
          <w:p>
            <w:pPr>
              <w:jc w:val="center"/>
              <w:rPr>
                <w:rFonts w:eastAsia="Times New Roman" w:cs="Calibri"/>
                <w:noProof/>
                <w:color w:val="000000"/>
                <w:lang w:val="en-GB"/>
              </w:rPr>
            </w:pPr>
            <w:r>
              <w:rPr>
                <w:noProof/>
                <w:lang w:val="en-GB"/>
              </w:rPr>
              <w:t>6.09%</w:t>
            </w:r>
          </w:p>
        </w:tc>
      </w:tr>
      <w:tr>
        <w:trPr>
          <w:trHeight w:val="300"/>
        </w:trPr>
        <w:tc>
          <w:tcPr>
            <w:tcW w:w="2974" w:type="dxa"/>
            <w:tcBorders>
              <w:top w:val="single" w:sz="4" w:space="0" w:color="auto"/>
              <w:left w:val="single" w:sz="4" w:space="0" w:color="auto"/>
              <w:bottom w:val="nil"/>
              <w:right w:val="single" w:sz="4" w:space="0" w:color="auto"/>
            </w:tcBorders>
            <w:noWrap/>
            <w:hideMark/>
          </w:tcPr>
          <w:p>
            <w:pPr>
              <w:rPr>
                <w:b/>
                <w:noProof/>
                <w:lang w:val="en-GB"/>
              </w:rPr>
            </w:pPr>
            <w:r>
              <w:rPr>
                <w:b/>
                <w:noProof/>
                <w:lang w:val="en-GB"/>
              </w:rPr>
              <w:t>Black Sea</w:t>
            </w:r>
          </w:p>
        </w:tc>
        <w:tc>
          <w:tcPr>
            <w:tcW w:w="1316" w:type="dxa"/>
            <w:tcBorders>
              <w:left w:val="single" w:sz="4" w:space="0" w:color="auto"/>
            </w:tcBorders>
            <w:noWrap/>
            <w:hideMark/>
          </w:tcPr>
          <w:p>
            <w:pPr>
              <w:rPr>
                <w:noProof/>
                <w:lang w:val="en-GB"/>
              </w:rPr>
            </w:pPr>
          </w:p>
        </w:tc>
        <w:tc>
          <w:tcPr>
            <w:tcW w:w="1661" w:type="dxa"/>
            <w:noWrap/>
            <w:hideMark/>
          </w:tcPr>
          <w:p>
            <w:pPr>
              <w:jc w:val="center"/>
              <w:rPr>
                <w:b/>
                <w:bCs/>
                <w:noProof/>
                <w:lang w:val="en-GB"/>
              </w:rPr>
            </w:pPr>
            <w:r>
              <w:rPr>
                <w:noProof/>
                <w:lang w:val="en-GB"/>
              </w:rPr>
              <w:t>1709.131</w:t>
            </w:r>
          </w:p>
        </w:tc>
        <w:tc>
          <w:tcPr>
            <w:tcW w:w="1418" w:type="dxa"/>
            <w:noWrap/>
            <w:hideMark/>
          </w:tcPr>
          <w:p>
            <w:pPr>
              <w:jc w:val="center"/>
              <w:rPr>
                <w:b/>
                <w:bCs/>
                <w:noProof/>
                <w:lang w:val="en-GB"/>
              </w:rPr>
            </w:pPr>
            <w:r>
              <w:rPr>
                <w:noProof/>
                <w:lang w:val="en-GB"/>
              </w:rPr>
              <w:t>10.63%</w:t>
            </w:r>
          </w:p>
        </w:tc>
        <w:tc>
          <w:tcPr>
            <w:tcW w:w="1703" w:type="dxa"/>
          </w:tcPr>
          <w:p>
            <w:pPr>
              <w:jc w:val="center"/>
              <w:rPr>
                <w:rFonts w:eastAsia="Times New Roman" w:cs="Calibri"/>
                <w:b/>
                <w:bCs/>
                <w:noProof/>
                <w:color w:val="000000"/>
                <w:lang w:val="en-GB"/>
              </w:rPr>
            </w:pPr>
            <w:r>
              <w:rPr>
                <w:noProof/>
                <w:lang w:val="en-GB"/>
              </w:rPr>
              <w:t>-4.30%</w:t>
            </w:r>
          </w:p>
        </w:tc>
      </w:tr>
      <w:tr>
        <w:trPr>
          <w:trHeight w:val="300"/>
        </w:trPr>
        <w:tc>
          <w:tcPr>
            <w:tcW w:w="2974" w:type="dxa"/>
            <w:tcBorders>
              <w:top w:val="nil"/>
              <w:left w:val="single" w:sz="4" w:space="0" w:color="auto"/>
              <w:bottom w:val="nil"/>
              <w:right w:val="single" w:sz="4" w:space="0" w:color="auto"/>
            </w:tcBorders>
            <w:noWrap/>
          </w:tcPr>
          <w:p>
            <w:pPr>
              <w:rPr>
                <w:b/>
                <w:noProof/>
                <w:lang w:val="en-GB"/>
              </w:rPr>
            </w:pPr>
          </w:p>
        </w:tc>
        <w:tc>
          <w:tcPr>
            <w:tcW w:w="1316" w:type="dxa"/>
            <w:tcBorders>
              <w:left w:val="single" w:sz="4" w:space="0" w:color="auto"/>
            </w:tcBorders>
            <w:noWrap/>
            <w:hideMark/>
          </w:tcPr>
          <w:p>
            <w:pPr>
              <w:rPr>
                <w:noProof/>
                <w:lang w:val="en-GB"/>
              </w:rPr>
            </w:pPr>
            <w:r>
              <w:rPr>
                <w:noProof/>
                <w:lang w:val="en-GB"/>
              </w:rPr>
              <w:t>Bulgaria</w:t>
            </w:r>
          </w:p>
        </w:tc>
        <w:tc>
          <w:tcPr>
            <w:tcW w:w="1661" w:type="dxa"/>
            <w:noWrap/>
            <w:hideMark/>
          </w:tcPr>
          <w:p>
            <w:pPr>
              <w:jc w:val="center"/>
              <w:rPr>
                <w:noProof/>
                <w:lang w:val="en-GB"/>
              </w:rPr>
            </w:pPr>
            <w:r>
              <w:rPr>
                <w:noProof/>
                <w:lang w:val="en-GB"/>
              </w:rPr>
              <w:t>4.667</w:t>
            </w:r>
          </w:p>
        </w:tc>
        <w:tc>
          <w:tcPr>
            <w:tcW w:w="1418" w:type="dxa"/>
            <w:noWrap/>
            <w:hideMark/>
          </w:tcPr>
          <w:p>
            <w:pPr>
              <w:jc w:val="center"/>
              <w:rPr>
                <w:noProof/>
                <w:lang w:val="en-GB"/>
              </w:rPr>
            </w:pPr>
            <w:r>
              <w:rPr>
                <w:noProof/>
                <w:lang w:val="en-GB"/>
              </w:rPr>
              <w:t>0.03%</w:t>
            </w:r>
          </w:p>
        </w:tc>
        <w:tc>
          <w:tcPr>
            <w:tcW w:w="1703" w:type="dxa"/>
          </w:tcPr>
          <w:p>
            <w:pPr>
              <w:jc w:val="center"/>
              <w:rPr>
                <w:rFonts w:eastAsia="Times New Roman" w:cs="Calibri"/>
                <w:noProof/>
                <w:color w:val="000000"/>
                <w:lang w:val="en-GB"/>
              </w:rPr>
            </w:pPr>
            <w:r>
              <w:rPr>
                <w:noProof/>
                <w:lang w:val="en-GB"/>
              </w:rPr>
              <w:t>-33.33%</w:t>
            </w:r>
          </w:p>
        </w:tc>
      </w:tr>
      <w:tr>
        <w:trPr>
          <w:trHeight w:val="300"/>
        </w:trPr>
        <w:tc>
          <w:tcPr>
            <w:tcW w:w="2974" w:type="dxa"/>
            <w:tcBorders>
              <w:top w:val="nil"/>
              <w:left w:val="single" w:sz="4" w:space="0" w:color="auto"/>
              <w:bottom w:val="single" w:sz="4" w:space="0" w:color="auto"/>
              <w:right w:val="single" w:sz="4" w:space="0" w:color="auto"/>
            </w:tcBorders>
            <w:noWrap/>
          </w:tcPr>
          <w:p>
            <w:pPr>
              <w:rPr>
                <w:b/>
                <w:noProof/>
                <w:lang w:val="en-GB"/>
              </w:rPr>
            </w:pPr>
          </w:p>
        </w:tc>
        <w:tc>
          <w:tcPr>
            <w:tcW w:w="1316" w:type="dxa"/>
            <w:tcBorders>
              <w:left w:val="single" w:sz="4" w:space="0" w:color="auto"/>
              <w:bottom w:val="single" w:sz="4" w:space="0" w:color="auto"/>
            </w:tcBorders>
            <w:noWrap/>
          </w:tcPr>
          <w:p>
            <w:pPr>
              <w:rPr>
                <w:noProof/>
                <w:lang w:val="en-GB"/>
              </w:rPr>
            </w:pPr>
            <w:r>
              <w:rPr>
                <w:noProof/>
                <w:lang w:val="en-GB"/>
              </w:rPr>
              <w:t>Romania</w:t>
            </w:r>
          </w:p>
        </w:tc>
        <w:tc>
          <w:tcPr>
            <w:tcW w:w="1661" w:type="dxa"/>
            <w:noWrap/>
          </w:tcPr>
          <w:p>
            <w:pPr>
              <w:jc w:val="center"/>
              <w:rPr>
                <w:noProof/>
                <w:lang w:val="en-GB"/>
              </w:rPr>
            </w:pPr>
            <w:r>
              <w:rPr>
                <w:noProof/>
                <w:lang w:val="en-GB"/>
              </w:rPr>
              <w:t>1704.464</w:t>
            </w:r>
          </w:p>
        </w:tc>
        <w:tc>
          <w:tcPr>
            <w:tcW w:w="1418" w:type="dxa"/>
            <w:noWrap/>
          </w:tcPr>
          <w:p>
            <w:pPr>
              <w:jc w:val="center"/>
              <w:rPr>
                <w:rFonts w:eastAsia="Times New Roman" w:cs="Calibri"/>
                <w:noProof/>
                <w:color w:val="000000"/>
                <w:lang w:val="en-GB"/>
              </w:rPr>
            </w:pPr>
            <w:r>
              <w:rPr>
                <w:noProof/>
                <w:lang w:val="en-GB"/>
              </w:rPr>
              <w:t>10.60%</w:t>
            </w:r>
          </w:p>
        </w:tc>
        <w:tc>
          <w:tcPr>
            <w:tcW w:w="1703" w:type="dxa"/>
          </w:tcPr>
          <w:p>
            <w:pPr>
              <w:jc w:val="center"/>
              <w:rPr>
                <w:rFonts w:eastAsia="Times New Roman" w:cs="Calibri"/>
                <w:noProof/>
                <w:color w:val="000000"/>
                <w:lang w:val="en-GB"/>
              </w:rPr>
            </w:pPr>
            <w:r>
              <w:rPr>
                <w:noProof/>
                <w:lang w:val="en-GB"/>
              </w:rPr>
              <w:t>-4.14%</w:t>
            </w:r>
          </w:p>
        </w:tc>
      </w:tr>
      <w:tr>
        <w:trPr>
          <w:trHeight w:val="300"/>
        </w:trPr>
        <w:tc>
          <w:tcPr>
            <w:tcW w:w="2974" w:type="dxa"/>
            <w:tcBorders>
              <w:top w:val="single" w:sz="4" w:space="0" w:color="auto"/>
              <w:left w:val="single" w:sz="4" w:space="0" w:color="auto"/>
              <w:bottom w:val="nil"/>
              <w:right w:val="single" w:sz="4" w:space="0" w:color="auto"/>
            </w:tcBorders>
            <w:noWrap/>
          </w:tcPr>
          <w:p>
            <w:pPr>
              <w:rPr>
                <w:b/>
                <w:noProof/>
                <w:lang w:val="en-GB"/>
              </w:rPr>
            </w:pPr>
            <w:r>
              <w:rPr>
                <w:b/>
                <w:noProof/>
                <w:lang w:val="en-GB"/>
              </w:rPr>
              <w:t>Mediterranean Sea</w:t>
            </w:r>
          </w:p>
        </w:tc>
        <w:tc>
          <w:tcPr>
            <w:tcW w:w="1316" w:type="dxa"/>
            <w:tcBorders>
              <w:left w:val="single" w:sz="4" w:space="0" w:color="auto"/>
              <w:right w:val="single" w:sz="4" w:space="0" w:color="auto"/>
            </w:tcBorders>
            <w:noWrap/>
          </w:tcPr>
          <w:p>
            <w:pPr>
              <w:rPr>
                <w:noProof/>
                <w:lang w:val="en-GB"/>
              </w:rPr>
            </w:pPr>
          </w:p>
        </w:tc>
        <w:tc>
          <w:tcPr>
            <w:tcW w:w="1661" w:type="dxa"/>
            <w:tcBorders>
              <w:left w:val="single" w:sz="4" w:space="0" w:color="auto"/>
            </w:tcBorders>
            <w:noWrap/>
          </w:tcPr>
          <w:p>
            <w:pPr>
              <w:jc w:val="center"/>
              <w:rPr>
                <w:rFonts w:eastAsia="Times New Roman" w:cs="Calibri"/>
                <w:b/>
                <w:bCs/>
                <w:noProof/>
                <w:color w:val="000000"/>
                <w:lang w:val="en-GB"/>
              </w:rPr>
            </w:pPr>
            <w:r>
              <w:rPr>
                <w:noProof/>
                <w:lang w:val="en-GB"/>
              </w:rPr>
              <w:t>1817.17</w:t>
            </w:r>
          </w:p>
        </w:tc>
        <w:tc>
          <w:tcPr>
            <w:tcW w:w="1418" w:type="dxa"/>
            <w:noWrap/>
          </w:tcPr>
          <w:p>
            <w:pPr>
              <w:jc w:val="center"/>
              <w:rPr>
                <w:rFonts w:eastAsia="Times New Roman" w:cs="Calibri"/>
                <w:b/>
                <w:bCs/>
                <w:noProof/>
                <w:color w:val="000000"/>
                <w:lang w:val="en-GB"/>
              </w:rPr>
            </w:pPr>
            <w:r>
              <w:rPr>
                <w:noProof/>
                <w:lang w:val="en-GB"/>
              </w:rPr>
              <w:t>11.30%</w:t>
            </w:r>
          </w:p>
        </w:tc>
        <w:tc>
          <w:tcPr>
            <w:tcW w:w="1703" w:type="dxa"/>
          </w:tcPr>
          <w:p>
            <w:pPr>
              <w:jc w:val="center"/>
              <w:rPr>
                <w:rFonts w:eastAsia="Times New Roman" w:cs="Calibri"/>
                <w:b/>
                <w:bCs/>
                <w:noProof/>
                <w:color w:val="000000"/>
                <w:lang w:val="en-GB"/>
              </w:rPr>
            </w:pPr>
            <w:r>
              <w:rPr>
                <w:noProof/>
                <w:lang w:val="en-GB"/>
              </w:rPr>
              <w:t>-4.21%</w:t>
            </w:r>
          </w:p>
        </w:tc>
      </w:tr>
      <w:tr>
        <w:trPr>
          <w:trHeight w:val="300"/>
        </w:trPr>
        <w:tc>
          <w:tcPr>
            <w:tcW w:w="2974" w:type="dxa"/>
            <w:tcBorders>
              <w:top w:val="nil"/>
              <w:left w:val="single" w:sz="4" w:space="0" w:color="auto"/>
              <w:bottom w:val="nil"/>
              <w:right w:val="single" w:sz="4" w:space="0" w:color="auto"/>
            </w:tcBorders>
            <w:noWrap/>
          </w:tcPr>
          <w:p>
            <w:pPr>
              <w:rPr>
                <w:b/>
                <w:noProof/>
                <w:lang w:val="en-GB"/>
              </w:rPr>
            </w:pPr>
          </w:p>
        </w:tc>
        <w:tc>
          <w:tcPr>
            <w:tcW w:w="1316" w:type="dxa"/>
            <w:tcBorders>
              <w:left w:val="single" w:sz="4" w:space="0" w:color="auto"/>
            </w:tcBorders>
            <w:noWrap/>
            <w:vAlign w:val="bottom"/>
          </w:tcPr>
          <w:p>
            <w:pPr>
              <w:rPr>
                <w:noProof/>
                <w:lang w:val="en-GB"/>
              </w:rPr>
            </w:pPr>
            <w:r>
              <w:rPr>
                <w:rFonts w:eastAsia="Times New Roman" w:cs="Calibri"/>
                <w:noProof/>
                <w:color w:val="000000"/>
                <w:lang w:val="en-GB"/>
              </w:rPr>
              <w:t>Croatia</w:t>
            </w:r>
          </w:p>
        </w:tc>
        <w:tc>
          <w:tcPr>
            <w:tcW w:w="1661" w:type="dxa"/>
            <w:noWrap/>
          </w:tcPr>
          <w:p>
            <w:pPr>
              <w:jc w:val="center"/>
              <w:rPr>
                <w:noProof/>
                <w:lang w:val="en-GB"/>
              </w:rPr>
            </w:pPr>
            <w:r>
              <w:rPr>
                <w:noProof/>
                <w:lang w:val="en-GB"/>
              </w:rPr>
              <w:t>157.53</w:t>
            </w:r>
          </w:p>
        </w:tc>
        <w:tc>
          <w:tcPr>
            <w:tcW w:w="1418" w:type="dxa"/>
            <w:noWrap/>
          </w:tcPr>
          <w:p>
            <w:pPr>
              <w:jc w:val="center"/>
              <w:rPr>
                <w:noProof/>
                <w:lang w:val="en-GB"/>
              </w:rPr>
            </w:pPr>
            <w:r>
              <w:rPr>
                <w:noProof/>
                <w:lang w:val="en-GB"/>
              </w:rPr>
              <w:t>0.98%</w:t>
            </w:r>
          </w:p>
        </w:tc>
        <w:tc>
          <w:tcPr>
            <w:tcW w:w="1703" w:type="dxa"/>
          </w:tcPr>
          <w:p>
            <w:pPr>
              <w:jc w:val="center"/>
              <w:rPr>
                <w:rFonts w:eastAsia="Times New Roman" w:cs="Calibri"/>
                <w:noProof/>
                <w:color w:val="000000"/>
                <w:lang w:val="en-GB"/>
              </w:rPr>
            </w:pPr>
            <w:r>
              <w:rPr>
                <w:noProof/>
                <w:lang w:val="en-GB"/>
              </w:rPr>
              <w:t>-18.38%</w:t>
            </w:r>
          </w:p>
        </w:tc>
      </w:tr>
      <w:tr>
        <w:trPr>
          <w:trHeight w:val="300"/>
        </w:trPr>
        <w:tc>
          <w:tcPr>
            <w:tcW w:w="2974" w:type="dxa"/>
            <w:tcBorders>
              <w:top w:val="nil"/>
              <w:left w:val="single" w:sz="4" w:space="0" w:color="auto"/>
              <w:bottom w:val="nil"/>
              <w:right w:val="single" w:sz="4" w:space="0" w:color="auto"/>
            </w:tcBorders>
            <w:noWrap/>
          </w:tcPr>
          <w:p>
            <w:pPr>
              <w:rPr>
                <w:b/>
                <w:noProof/>
                <w:lang w:val="en-GB"/>
              </w:rPr>
            </w:pPr>
          </w:p>
        </w:tc>
        <w:tc>
          <w:tcPr>
            <w:tcW w:w="1316" w:type="dxa"/>
            <w:tcBorders>
              <w:left w:val="single" w:sz="4" w:space="0" w:color="auto"/>
            </w:tcBorders>
            <w:noWrap/>
            <w:vAlign w:val="bottom"/>
          </w:tcPr>
          <w:p>
            <w:pPr>
              <w:rPr>
                <w:noProof/>
                <w:lang w:val="en-GB"/>
              </w:rPr>
            </w:pPr>
            <w:r>
              <w:rPr>
                <w:rFonts w:eastAsia="Times New Roman" w:cs="Calibri"/>
                <w:noProof/>
                <w:color w:val="000000"/>
                <w:lang w:val="en-GB"/>
              </w:rPr>
              <w:t>Greece</w:t>
            </w:r>
          </w:p>
        </w:tc>
        <w:tc>
          <w:tcPr>
            <w:tcW w:w="1661" w:type="dxa"/>
            <w:noWrap/>
          </w:tcPr>
          <w:p>
            <w:pPr>
              <w:jc w:val="center"/>
              <w:rPr>
                <w:noProof/>
                <w:lang w:val="en-GB"/>
              </w:rPr>
            </w:pPr>
            <w:r>
              <w:rPr>
                <w:noProof/>
                <w:lang w:val="en-GB"/>
              </w:rPr>
              <w:t>53.64</w:t>
            </w:r>
          </w:p>
        </w:tc>
        <w:tc>
          <w:tcPr>
            <w:tcW w:w="1418" w:type="dxa"/>
            <w:noWrap/>
          </w:tcPr>
          <w:p>
            <w:pPr>
              <w:jc w:val="center"/>
              <w:rPr>
                <w:noProof/>
                <w:lang w:val="en-GB"/>
              </w:rPr>
            </w:pPr>
            <w:r>
              <w:rPr>
                <w:noProof/>
                <w:lang w:val="en-GB"/>
              </w:rPr>
              <w:t>0.33%</w:t>
            </w:r>
          </w:p>
        </w:tc>
        <w:tc>
          <w:tcPr>
            <w:tcW w:w="1703" w:type="dxa"/>
          </w:tcPr>
          <w:p>
            <w:pPr>
              <w:jc w:val="center"/>
              <w:rPr>
                <w:rFonts w:eastAsia="Times New Roman" w:cs="Calibri"/>
                <w:noProof/>
                <w:color w:val="000000"/>
                <w:lang w:val="en-GB"/>
              </w:rPr>
            </w:pPr>
            <w:r>
              <w:rPr>
                <w:noProof/>
                <w:lang w:val="en-GB"/>
              </w:rPr>
              <w:t>-10.60%</w:t>
            </w:r>
          </w:p>
        </w:tc>
      </w:tr>
      <w:tr>
        <w:trPr>
          <w:trHeight w:val="300"/>
        </w:trPr>
        <w:tc>
          <w:tcPr>
            <w:tcW w:w="2974" w:type="dxa"/>
            <w:tcBorders>
              <w:top w:val="nil"/>
              <w:left w:val="single" w:sz="4" w:space="0" w:color="auto"/>
              <w:bottom w:val="nil"/>
              <w:right w:val="single" w:sz="4" w:space="0" w:color="auto"/>
            </w:tcBorders>
            <w:noWrap/>
          </w:tcPr>
          <w:p>
            <w:pPr>
              <w:rPr>
                <w:b/>
                <w:noProof/>
                <w:lang w:val="en-GB"/>
              </w:rPr>
            </w:pPr>
          </w:p>
        </w:tc>
        <w:tc>
          <w:tcPr>
            <w:tcW w:w="1316" w:type="dxa"/>
            <w:tcBorders>
              <w:left w:val="single" w:sz="4" w:space="0" w:color="auto"/>
            </w:tcBorders>
            <w:noWrap/>
            <w:vAlign w:val="bottom"/>
          </w:tcPr>
          <w:p>
            <w:pPr>
              <w:rPr>
                <w:rFonts w:eastAsia="Times New Roman" w:cs="Calibri"/>
                <w:noProof/>
                <w:color w:val="000000"/>
                <w:lang w:val="en-GB"/>
              </w:rPr>
            </w:pPr>
            <w:r>
              <w:rPr>
                <w:rFonts w:eastAsia="Times New Roman" w:cs="Calibri"/>
                <w:noProof/>
                <w:color w:val="000000"/>
                <w:lang w:val="en-GB"/>
              </w:rPr>
              <w:t>Italy</w:t>
            </w:r>
          </w:p>
        </w:tc>
        <w:tc>
          <w:tcPr>
            <w:tcW w:w="1661" w:type="dxa"/>
            <w:noWrap/>
          </w:tcPr>
          <w:p>
            <w:pPr>
              <w:jc w:val="center"/>
              <w:rPr>
                <w:noProof/>
                <w:lang w:val="en-GB"/>
              </w:rPr>
            </w:pPr>
            <w:r>
              <w:rPr>
                <w:noProof/>
                <w:lang w:val="en-GB"/>
              </w:rPr>
              <w:t>1606</w:t>
            </w:r>
          </w:p>
        </w:tc>
        <w:tc>
          <w:tcPr>
            <w:tcW w:w="1418" w:type="dxa"/>
            <w:noWrap/>
          </w:tcPr>
          <w:p>
            <w:pPr>
              <w:jc w:val="center"/>
              <w:rPr>
                <w:rFonts w:eastAsia="Times New Roman" w:cs="Calibri"/>
                <w:noProof/>
                <w:color w:val="000000"/>
                <w:lang w:val="en-GB"/>
              </w:rPr>
            </w:pPr>
            <w:r>
              <w:rPr>
                <w:noProof/>
                <w:lang w:val="en-GB"/>
              </w:rPr>
              <w:t>9.99%</w:t>
            </w:r>
          </w:p>
        </w:tc>
        <w:tc>
          <w:tcPr>
            <w:tcW w:w="1703" w:type="dxa"/>
          </w:tcPr>
          <w:p>
            <w:pPr>
              <w:jc w:val="center"/>
              <w:rPr>
                <w:rFonts w:eastAsia="Times New Roman" w:cs="Calibri"/>
                <w:noProof/>
                <w:color w:val="000000"/>
                <w:lang w:val="en-GB"/>
              </w:rPr>
            </w:pPr>
            <w:r>
              <w:rPr>
                <w:noProof/>
                <w:lang w:val="en-GB"/>
              </w:rPr>
              <w:t>-2.37%</w:t>
            </w:r>
          </w:p>
        </w:tc>
      </w:tr>
      <w:tr>
        <w:trPr>
          <w:trHeight w:val="300"/>
        </w:trPr>
        <w:tc>
          <w:tcPr>
            <w:tcW w:w="2974" w:type="dxa"/>
            <w:tcBorders>
              <w:top w:val="nil"/>
              <w:left w:val="single" w:sz="4" w:space="0" w:color="auto"/>
              <w:bottom w:val="single" w:sz="4" w:space="0" w:color="auto"/>
              <w:right w:val="single" w:sz="4" w:space="0" w:color="auto"/>
            </w:tcBorders>
            <w:noWrap/>
          </w:tcPr>
          <w:p>
            <w:pPr>
              <w:rPr>
                <w:b/>
                <w:noProof/>
                <w:lang w:val="en-GB"/>
              </w:rPr>
            </w:pPr>
          </w:p>
        </w:tc>
        <w:tc>
          <w:tcPr>
            <w:tcW w:w="1316" w:type="dxa"/>
            <w:tcBorders>
              <w:left w:val="single" w:sz="4" w:space="0" w:color="auto"/>
            </w:tcBorders>
            <w:noWrap/>
            <w:vAlign w:val="bottom"/>
          </w:tcPr>
          <w:p>
            <w:pPr>
              <w:rPr>
                <w:noProof/>
                <w:lang w:val="en-GB"/>
              </w:rPr>
            </w:pPr>
            <w:r>
              <w:rPr>
                <w:rFonts w:eastAsia="Times New Roman" w:cs="Calibri"/>
                <w:noProof/>
                <w:color w:val="000000"/>
                <w:lang w:val="en-GB"/>
              </w:rPr>
              <w:t>Spain</w:t>
            </w:r>
          </w:p>
        </w:tc>
        <w:tc>
          <w:tcPr>
            <w:tcW w:w="1661" w:type="dxa"/>
            <w:noWrap/>
          </w:tcPr>
          <w:p>
            <w:pPr>
              <w:jc w:val="center"/>
              <w:rPr>
                <w:noProof/>
                <w:lang w:val="en-GB"/>
              </w:rPr>
            </w:pPr>
            <w:r>
              <w:rPr>
                <w:noProof/>
                <w:lang w:val="en-GB"/>
              </w:rPr>
              <w:t>0</w:t>
            </w:r>
          </w:p>
        </w:tc>
        <w:tc>
          <w:tcPr>
            <w:tcW w:w="1418" w:type="dxa"/>
            <w:noWrap/>
          </w:tcPr>
          <w:p>
            <w:pPr>
              <w:jc w:val="center"/>
              <w:rPr>
                <w:noProof/>
                <w:lang w:val="en-GB"/>
              </w:rPr>
            </w:pPr>
            <w:r>
              <w:rPr>
                <w:noProof/>
                <w:lang w:val="en-GB"/>
              </w:rPr>
              <w:t>0.0%</w:t>
            </w:r>
          </w:p>
        </w:tc>
        <w:tc>
          <w:tcPr>
            <w:tcW w:w="1703" w:type="dxa"/>
          </w:tcPr>
          <w:p>
            <w:pPr>
              <w:jc w:val="center"/>
              <w:rPr>
                <w:rFonts w:eastAsia="Times New Roman" w:cs="Calibri"/>
                <w:noProof/>
                <w:color w:val="000000"/>
                <w:lang w:val="en-GB"/>
              </w:rPr>
            </w:pPr>
            <w:r>
              <w:rPr>
                <w:noProof/>
                <w:lang w:val="en-GB"/>
              </w:rPr>
              <w:t>--</w:t>
            </w:r>
          </w:p>
        </w:tc>
      </w:tr>
      <w:tr>
        <w:trPr>
          <w:trHeight w:val="300"/>
        </w:trPr>
        <w:tc>
          <w:tcPr>
            <w:tcW w:w="2974" w:type="dxa"/>
            <w:tcBorders>
              <w:top w:val="single" w:sz="4" w:space="0" w:color="auto"/>
              <w:left w:val="single" w:sz="4" w:space="0" w:color="auto"/>
              <w:bottom w:val="nil"/>
              <w:right w:val="single" w:sz="4" w:space="0" w:color="auto"/>
            </w:tcBorders>
            <w:noWrap/>
          </w:tcPr>
          <w:p>
            <w:pPr>
              <w:rPr>
                <w:b/>
                <w:noProof/>
                <w:lang w:val="en-GB"/>
              </w:rPr>
            </w:pPr>
            <w:r>
              <w:rPr>
                <w:b/>
                <w:noProof/>
                <w:lang w:val="en-GB"/>
              </w:rPr>
              <w:t>North Sea and Atlantic</w:t>
            </w:r>
          </w:p>
        </w:tc>
        <w:tc>
          <w:tcPr>
            <w:tcW w:w="1316" w:type="dxa"/>
            <w:tcBorders>
              <w:left w:val="single" w:sz="4" w:space="0" w:color="auto"/>
            </w:tcBorders>
            <w:noWrap/>
          </w:tcPr>
          <w:p>
            <w:pPr>
              <w:rPr>
                <w:noProof/>
                <w:lang w:val="en-GB"/>
              </w:rPr>
            </w:pPr>
          </w:p>
        </w:tc>
        <w:tc>
          <w:tcPr>
            <w:tcW w:w="1661" w:type="dxa"/>
            <w:noWrap/>
          </w:tcPr>
          <w:p>
            <w:pPr>
              <w:jc w:val="center"/>
              <w:rPr>
                <w:rFonts w:eastAsia="Times New Roman" w:cs="Calibri"/>
                <w:b/>
                <w:bCs/>
                <w:noProof/>
                <w:color w:val="000000"/>
                <w:lang w:val="en-GB"/>
              </w:rPr>
            </w:pPr>
            <w:r>
              <w:rPr>
                <w:noProof/>
                <w:lang w:val="en-GB"/>
              </w:rPr>
              <w:t>12254</w:t>
            </w:r>
          </w:p>
        </w:tc>
        <w:tc>
          <w:tcPr>
            <w:tcW w:w="1418" w:type="dxa"/>
            <w:noWrap/>
          </w:tcPr>
          <w:p>
            <w:pPr>
              <w:jc w:val="center"/>
              <w:rPr>
                <w:rFonts w:eastAsia="Times New Roman" w:cs="Calibri"/>
                <w:b/>
                <w:bCs/>
                <w:noProof/>
                <w:color w:val="000000"/>
                <w:lang w:val="en-GB"/>
              </w:rPr>
            </w:pPr>
            <w:r>
              <w:rPr>
                <w:noProof/>
                <w:lang w:val="en-GB"/>
              </w:rPr>
              <w:t>76.20%</w:t>
            </w:r>
          </w:p>
        </w:tc>
        <w:tc>
          <w:tcPr>
            <w:tcW w:w="1703" w:type="dxa"/>
          </w:tcPr>
          <w:p>
            <w:pPr>
              <w:jc w:val="center"/>
              <w:rPr>
                <w:rFonts w:eastAsia="Times New Roman" w:cs="Calibri"/>
                <w:b/>
                <w:bCs/>
                <w:noProof/>
                <w:color w:val="000000"/>
                <w:lang w:val="en-GB"/>
              </w:rPr>
            </w:pPr>
            <w:r>
              <w:rPr>
                <w:noProof/>
                <w:lang w:val="en-GB"/>
              </w:rPr>
              <w:t>6.08%</w:t>
            </w:r>
          </w:p>
        </w:tc>
      </w:tr>
      <w:tr>
        <w:trPr>
          <w:trHeight w:val="300"/>
        </w:trPr>
        <w:tc>
          <w:tcPr>
            <w:tcW w:w="2974" w:type="dxa"/>
            <w:tcBorders>
              <w:top w:val="nil"/>
              <w:left w:val="single" w:sz="4" w:space="0" w:color="auto"/>
              <w:bottom w:val="nil"/>
              <w:right w:val="single" w:sz="4" w:space="0" w:color="auto"/>
            </w:tcBorders>
            <w:noWrap/>
          </w:tcPr>
          <w:p>
            <w:pPr>
              <w:rPr>
                <w:b/>
                <w:noProof/>
                <w:lang w:val="en-GB"/>
              </w:rPr>
            </w:pPr>
          </w:p>
        </w:tc>
        <w:tc>
          <w:tcPr>
            <w:tcW w:w="1316" w:type="dxa"/>
            <w:tcBorders>
              <w:left w:val="single" w:sz="4" w:space="0" w:color="auto"/>
            </w:tcBorders>
            <w:noWrap/>
            <w:vAlign w:val="bottom"/>
          </w:tcPr>
          <w:p>
            <w:pPr>
              <w:rPr>
                <w:noProof/>
                <w:lang w:val="en-GB"/>
              </w:rPr>
            </w:pPr>
            <w:r>
              <w:rPr>
                <w:rFonts w:eastAsia="Times New Roman" w:cs="Calibri"/>
                <w:noProof/>
                <w:color w:val="000000"/>
                <w:lang w:val="en-GB"/>
              </w:rPr>
              <w:t>Denmark</w:t>
            </w:r>
          </w:p>
        </w:tc>
        <w:tc>
          <w:tcPr>
            <w:tcW w:w="1661" w:type="dxa"/>
            <w:noWrap/>
            <w:hideMark/>
          </w:tcPr>
          <w:p>
            <w:pPr>
              <w:jc w:val="center"/>
              <w:rPr>
                <w:noProof/>
                <w:lang w:val="en-GB"/>
              </w:rPr>
            </w:pPr>
            <w:r>
              <w:rPr>
                <w:noProof/>
                <w:lang w:val="en-GB"/>
              </w:rPr>
              <w:t>4534</w:t>
            </w:r>
          </w:p>
        </w:tc>
        <w:tc>
          <w:tcPr>
            <w:tcW w:w="1418" w:type="dxa"/>
            <w:noWrap/>
            <w:hideMark/>
          </w:tcPr>
          <w:p>
            <w:pPr>
              <w:jc w:val="center"/>
              <w:rPr>
                <w:noProof/>
                <w:lang w:val="en-GB"/>
              </w:rPr>
            </w:pPr>
            <w:r>
              <w:rPr>
                <w:noProof/>
                <w:lang w:val="en-GB"/>
              </w:rPr>
              <w:t>28.19%</w:t>
            </w:r>
          </w:p>
        </w:tc>
        <w:tc>
          <w:tcPr>
            <w:tcW w:w="1703" w:type="dxa"/>
          </w:tcPr>
          <w:p>
            <w:pPr>
              <w:jc w:val="center"/>
              <w:rPr>
                <w:rFonts w:eastAsia="Times New Roman" w:cs="Calibri"/>
                <w:noProof/>
                <w:color w:val="000000"/>
                <w:lang w:val="en-GB"/>
              </w:rPr>
            </w:pPr>
            <w:r>
              <w:rPr>
                <w:noProof/>
                <w:lang w:val="en-GB"/>
              </w:rPr>
              <w:t>-3.53%</w:t>
            </w:r>
          </w:p>
        </w:tc>
      </w:tr>
      <w:tr>
        <w:trPr>
          <w:trHeight w:val="300"/>
        </w:trPr>
        <w:tc>
          <w:tcPr>
            <w:tcW w:w="2974" w:type="dxa"/>
            <w:tcBorders>
              <w:top w:val="nil"/>
              <w:left w:val="single" w:sz="4" w:space="0" w:color="auto"/>
              <w:bottom w:val="nil"/>
              <w:right w:val="single" w:sz="4" w:space="0" w:color="auto"/>
            </w:tcBorders>
            <w:noWrap/>
          </w:tcPr>
          <w:p>
            <w:pPr>
              <w:rPr>
                <w:b/>
                <w:noProof/>
                <w:lang w:val="en-GB"/>
              </w:rPr>
            </w:pPr>
          </w:p>
        </w:tc>
        <w:tc>
          <w:tcPr>
            <w:tcW w:w="1316" w:type="dxa"/>
            <w:tcBorders>
              <w:left w:val="single" w:sz="4" w:space="0" w:color="auto"/>
            </w:tcBorders>
            <w:noWrap/>
          </w:tcPr>
          <w:p>
            <w:pPr>
              <w:rPr>
                <w:rFonts w:eastAsia="Times New Roman" w:cs="Calibri"/>
                <w:noProof/>
                <w:color w:val="000000"/>
                <w:lang w:val="en-GB"/>
              </w:rPr>
            </w:pPr>
            <w:r>
              <w:rPr>
                <w:rFonts w:eastAsia="Times New Roman" w:cs="Calibri"/>
                <w:noProof/>
                <w:color w:val="000000"/>
                <w:lang w:val="en-GB"/>
              </w:rPr>
              <w:t>Germany</w:t>
            </w:r>
          </w:p>
        </w:tc>
        <w:tc>
          <w:tcPr>
            <w:tcW w:w="1661" w:type="dxa"/>
            <w:noWrap/>
          </w:tcPr>
          <w:p>
            <w:pPr>
              <w:jc w:val="center"/>
              <w:rPr>
                <w:noProof/>
                <w:lang w:val="en-GB"/>
              </w:rPr>
            </w:pPr>
            <w:r>
              <w:rPr>
                <w:noProof/>
                <w:lang w:val="en-GB"/>
              </w:rPr>
              <w:t>730</w:t>
            </w:r>
          </w:p>
        </w:tc>
        <w:tc>
          <w:tcPr>
            <w:tcW w:w="1418" w:type="dxa"/>
            <w:noWrap/>
          </w:tcPr>
          <w:p>
            <w:pPr>
              <w:jc w:val="center"/>
              <w:rPr>
                <w:rFonts w:eastAsia="Times New Roman" w:cs="Calibri"/>
                <w:noProof/>
                <w:color w:val="000000"/>
                <w:lang w:val="en-GB"/>
              </w:rPr>
            </w:pPr>
            <w:r>
              <w:rPr>
                <w:noProof/>
                <w:lang w:val="en-GB"/>
              </w:rPr>
              <w:t>4.54%</w:t>
            </w:r>
          </w:p>
        </w:tc>
        <w:tc>
          <w:tcPr>
            <w:tcW w:w="1703" w:type="dxa"/>
          </w:tcPr>
          <w:p>
            <w:pPr>
              <w:jc w:val="center"/>
              <w:rPr>
                <w:rFonts w:eastAsia="Times New Roman" w:cs="Calibri"/>
                <w:noProof/>
                <w:color w:val="000000"/>
                <w:lang w:val="en-GB"/>
              </w:rPr>
            </w:pPr>
            <w:r>
              <w:rPr>
                <w:noProof/>
                <w:lang w:val="en-GB"/>
              </w:rPr>
              <w:t>3.40%</w:t>
            </w:r>
          </w:p>
        </w:tc>
      </w:tr>
      <w:tr>
        <w:trPr>
          <w:trHeight w:val="300"/>
        </w:trPr>
        <w:tc>
          <w:tcPr>
            <w:tcW w:w="2974" w:type="dxa"/>
            <w:tcBorders>
              <w:top w:val="nil"/>
              <w:left w:val="single" w:sz="4" w:space="0" w:color="auto"/>
              <w:bottom w:val="single" w:sz="4" w:space="0" w:color="auto"/>
              <w:right w:val="single" w:sz="4" w:space="0" w:color="auto"/>
            </w:tcBorders>
            <w:noWrap/>
          </w:tcPr>
          <w:p>
            <w:pPr>
              <w:rPr>
                <w:b/>
                <w:noProof/>
                <w:lang w:val="en-GB"/>
              </w:rPr>
            </w:pPr>
          </w:p>
        </w:tc>
        <w:tc>
          <w:tcPr>
            <w:tcW w:w="1316" w:type="dxa"/>
            <w:tcBorders>
              <w:left w:val="single" w:sz="4" w:space="0" w:color="auto"/>
            </w:tcBorders>
            <w:noWrap/>
          </w:tcPr>
          <w:p>
            <w:pPr>
              <w:rPr>
                <w:rFonts w:eastAsia="Times New Roman" w:cs="Calibri"/>
                <w:noProof/>
                <w:color w:val="000000"/>
                <w:lang w:val="en-GB"/>
              </w:rPr>
            </w:pPr>
            <w:r>
              <w:rPr>
                <w:rFonts w:eastAsia="Times New Roman" w:cs="Calibri"/>
                <w:noProof/>
                <w:color w:val="000000"/>
                <w:lang w:val="en-GB"/>
              </w:rPr>
              <w:t>The Netherlands</w:t>
            </w:r>
          </w:p>
        </w:tc>
        <w:tc>
          <w:tcPr>
            <w:tcW w:w="1661" w:type="dxa"/>
            <w:noWrap/>
          </w:tcPr>
          <w:p>
            <w:pPr>
              <w:spacing w:line="720" w:lineRule="auto"/>
              <w:jc w:val="center"/>
              <w:rPr>
                <w:rFonts w:eastAsia="Times New Roman" w:cs="Calibri"/>
                <w:noProof/>
                <w:color w:val="000000"/>
                <w:lang w:val="en-GB"/>
              </w:rPr>
            </w:pPr>
            <w:r>
              <w:rPr>
                <w:noProof/>
                <w:lang w:val="en-GB"/>
              </w:rPr>
              <w:t>6990</w:t>
            </w:r>
          </w:p>
        </w:tc>
        <w:tc>
          <w:tcPr>
            <w:tcW w:w="1418" w:type="dxa"/>
            <w:noWrap/>
          </w:tcPr>
          <w:p>
            <w:pPr>
              <w:jc w:val="center"/>
              <w:rPr>
                <w:noProof/>
                <w:lang w:val="en-GB"/>
              </w:rPr>
            </w:pPr>
            <w:r>
              <w:rPr>
                <w:noProof/>
                <w:lang w:val="en-GB"/>
              </w:rPr>
              <w:t>43.47%</w:t>
            </w:r>
          </w:p>
        </w:tc>
        <w:tc>
          <w:tcPr>
            <w:tcW w:w="1703" w:type="dxa"/>
          </w:tcPr>
          <w:p>
            <w:pPr>
              <w:jc w:val="center"/>
              <w:rPr>
                <w:rFonts w:eastAsia="Times New Roman" w:cs="Calibri"/>
                <w:noProof/>
                <w:color w:val="000000"/>
                <w:lang w:val="en-GB"/>
              </w:rPr>
            </w:pPr>
            <w:r>
              <w:rPr>
                <w:noProof/>
                <w:lang w:val="en-GB"/>
              </w:rPr>
              <w:t>13.73%</w:t>
            </w:r>
          </w:p>
        </w:tc>
      </w:tr>
      <w:tr>
        <w:trPr>
          <w:trHeight w:val="512"/>
        </w:trPr>
        <w:tc>
          <w:tcPr>
            <w:tcW w:w="2974" w:type="dxa"/>
            <w:tcBorders>
              <w:top w:val="single" w:sz="4" w:space="0" w:color="auto"/>
              <w:left w:val="single" w:sz="4" w:space="0" w:color="auto"/>
              <w:bottom w:val="single" w:sz="4" w:space="0" w:color="auto"/>
              <w:right w:val="single" w:sz="4" w:space="0" w:color="auto"/>
            </w:tcBorders>
            <w:noWrap/>
          </w:tcPr>
          <w:p>
            <w:pPr>
              <w:rPr>
                <w:b/>
                <w:noProof/>
                <w:lang w:val="en-GB"/>
              </w:rPr>
            </w:pPr>
            <w:r>
              <w:rPr>
                <w:b/>
                <w:noProof/>
                <w:lang w:val="en-GB"/>
              </w:rPr>
              <w:t>Total</w:t>
            </w:r>
          </w:p>
        </w:tc>
        <w:tc>
          <w:tcPr>
            <w:tcW w:w="1316" w:type="dxa"/>
            <w:tcBorders>
              <w:left w:val="single" w:sz="4" w:space="0" w:color="auto"/>
            </w:tcBorders>
            <w:noWrap/>
          </w:tcPr>
          <w:p>
            <w:pPr>
              <w:rPr>
                <w:noProof/>
                <w:lang w:val="en-GB"/>
              </w:rPr>
            </w:pPr>
          </w:p>
        </w:tc>
        <w:tc>
          <w:tcPr>
            <w:tcW w:w="1661" w:type="dxa"/>
            <w:noWrap/>
          </w:tcPr>
          <w:p>
            <w:pPr>
              <w:jc w:val="center"/>
              <w:rPr>
                <w:b/>
                <w:bCs/>
                <w:noProof/>
                <w:lang w:val="en-GB"/>
              </w:rPr>
            </w:pPr>
            <w:r>
              <w:rPr>
                <w:noProof/>
                <w:lang w:val="en-GB"/>
              </w:rPr>
              <w:t>16081.591</w:t>
            </w:r>
          </w:p>
        </w:tc>
        <w:tc>
          <w:tcPr>
            <w:tcW w:w="1418" w:type="dxa"/>
            <w:noWrap/>
          </w:tcPr>
          <w:p>
            <w:pPr>
              <w:jc w:val="center"/>
              <w:rPr>
                <w:b/>
                <w:bCs/>
                <w:noProof/>
                <w:lang w:val="en-GB"/>
              </w:rPr>
            </w:pPr>
            <w:r>
              <w:rPr>
                <w:noProof/>
                <w:lang w:val="en-GB"/>
              </w:rPr>
              <w:t>100.00%</w:t>
            </w:r>
          </w:p>
        </w:tc>
        <w:tc>
          <w:tcPr>
            <w:tcW w:w="1703" w:type="dxa"/>
          </w:tcPr>
          <w:p>
            <w:pPr>
              <w:jc w:val="center"/>
              <w:rPr>
                <w:b/>
                <w:bCs/>
                <w:noProof/>
                <w:lang w:val="en-GB"/>
              </w:rPr>
            </w:pPr>
            <w:r>
              <w:rPr>
                <w:noProof/>
                <w:lang w:val="en-GB"/>
              </w:rPr>
              <w:t>3.63%</w:t>
            </w:r>
          </w:p>
        </w:tc>
      </w:tr>
    </w:tbl>
    <w:p>
      <w:pPr>
        <w:spacing w:after="0"/>
        <w:jc w:val="both"/>
        <w:rPr>
          <w:rFonts w:ascii="Times New Roman" w:hAnsi="Times New Roman"/>
          <w:noProof/>
          <w:sz w:val="24"/>
          <w:szCs w:val="24"/>
        </w:rPr>
      </w:pPr>
    </w:p>
    <w:p>
      <w:pPr>
        <w:spacing w:after="0"/>
        <w:jc w:val="both"/>
        <w:rPr>
          <w:rFonts w:ascii="Times New Roman" w:hAnsi="Times New Roman"/>
          <w:noProof/>
          <w:sz w:val="24"/>
          <w:szCs w:val="24"/>
          <w:lang w:val="en-IE"/>
        </w:rPr>
      </w:pPr>
      <w:r>
        <w:rPr>
          <w:rFonts w:ascii="Times New Roman" w:hAnsi="Times New Roman"/>
          <w:noProof/>
          <w:sz w:val="24"/>
          <w:szCs w:val="24"/>
          <w:lang w:val="en-IE"/>
        </w:rPr>
        <w:t>At the EU level, production of gas and oil in 2024 increased by 3.63% (cca. 563.6 ktoe), compared with 2023. While production declined in most countries, the overall increase is mainly due to a +13.8% production increase in the Netherlands, the major producer in the EU.</w:t>
      </w:r>
    </w:p>
    <w:p>
      <w:pPr>
        <w:spacing w:after="0"/>
        <w:jc w:val="both"/>
        <w:rPr>
          <w:rFonts w:ascii="Times New Roman" w:hAnsi="Times New Roman"/>
          <w:noProof/>
          <w:sz w:val="24"/>
          <w:szCs w:val="24"/>
          <w:lang w:val="en-IE"/>
        </w:rPr>
      </w:pPr>
    </w:p>
    <w:p>
      <w:pPr>
        <w:spacing w:after="0"/>
        <w:jc w:val="both"/>
        <w:rPr>
          <w:rFonts w:ascii="Times New Roman" w:hAnsi="Times New Roman"/>
          <w:noProof/>
          <w:sz w:val="24"/>
          <w:szCs w:val="24"/>
          <w:lang w:val="en-IE"/>
        </w:rPr>
      </w:pPr>
      <w:r>
        <w:rPr>
          <w:rFonts w:ascii="Times New Roman" w:hAnsi="Times New Roman"/>
          <w:noProof/>
          <w:sz w:val="24"/>
          <w:szCs w:val="24"/>
          <w:lang w:val="en-IE"/>
        </w:rPr>
        <w:t xml:space="preserve">In 2024, 69 % of overall production in the EU measured in ktoe was gas and 31 % was oil. </w:t>
      </w:r>
    </w:p>
    <w:p>
      <w:pPr>
        <w:spacing w:after="0"/>
        <w:jc w:val="both"/>
        <w:rPr>
          <w:rFonts w:ascii="Times New Roman" w:hAnsi="Times New Roman"/>
          <w:noProof/>
          <w:sz w:val="24"/>
          <w:szCs w:val="24"/>
        </w:rPr>
      </w:pPr>
      <w:r>
        <w:rPr>
          <w:rFonts w:ascii="Times New Roman" w:hAnsi="Times New Roman"/>
          <w:noProof/>
          <w:sz w:val="24"/>
          <w:szCs w:val="24"/>
        </w:rPr>
        <w:t xml:space="preserve">Denmark (3143 ktoe) remained the most important producer of oil, followed by Germany (719 ktoe), Italy (389 ktoe), the Netherlands (298 ktoe), Poland (275 ktoe), and Greece (51 ktoe). For gas, the </w:t>
      </w:r>
      <w:r>
        <w:rPr>
          <w:rFonts w:ascii="Times New Roman" w:hAnsi="Times New Roman"/>
          <w:noProof/>
          <w:sz w:val="24"/>
          <w:szCs w:val="24"/>
        </w:rPr>
        <w:lastRenderedPageBreak/>
        <w:t>Netherlands remained the most important producer (6692 ktoe), followed by Romania (1613 ktoe), Denmark (1391 ktoe) and Italy (1217 ktoe).</w:t>
      </w:r>
    </w:p>
    <w:p>
      <w:pPr>
        <w:spacing w:after="0"/>
        <w:jc w:val="both"/>
        <w:rPr>
          <w:rFonts w:ascii="Times New Roman" w:hAnsi="Times New Roman"/>
          <w:noProof/>
          <w:sz w:val="24"/>
          <w:szCs w:val="24"/>
        </w:rPr>
      </w:pPr>
    </w:p>
    <w:p>
      <w:pPr>
        <w:pStyle w:val="Heading2"/>
        <w:spacing w:after="120"/>
        <w:rPr>
          <w:rFonts w:ascii="Times New Roman" w:hAnsi="Times New Roman"/>
          <w:noProof/>
          <w:color w:val="auto"/>
        </w:rPr>
      </w:pPr>
      <w:bookmarkStart w:id="7" w:name="_Toc116313753"/>
      <w:r>
        <w:rPr>
          <w:rFonts w:ascii="Times New Roman" w:hAnsi="Times New Roman"/>
          <w:noProof/>
          <w:color w:val="auto"/>
        </w:rPr>
        <w:t>4.2 Offshore inspections, investigations, enforcement actions and regulatory framework</w:t>
      </w:r>
      <w:bookmarkEnd w:id="7"/>
    </w:p>
    <w:p>
      <w:pPr>
        <w:jc w:val="both"/>
        <w:rPr>
          <w:rFonts w:ascii="Times New Roman" w:hAnsi="Times New Roman"/>
          <w:noProof/>
          <w:sz w:val="24"/>
          <w:szCs w:val="24"/>
          <w:lang w:val="en-IE"/>
        </w:rPr>
      </w:pPr>
      <w:r>
        <w:rPr>
          <w:rFonts w:ascii="Times New Roman" w:hAnsi="Times New Roman"/>
          <w:noProof/>
          <w:sz w:val="24"/>
          <w:szCs w:val="24"/>
          <w:lang w:val="en-IE"/>
        </w:rPr>
        <w:t>The competent</w:t>
      </w:r>
      <w:r>
        <w:rPr>
          <w:rFonts w:ascii="Times New Roman" w:hAnsi="Times New Roman"/>
          <w:noProof/>
          <w:sz w:val="24"/>
          <w:szCs w:val="24"/>
        </w:rPr>
        <w:t xml:space="preserve"> Member State</w:t>
      </w:r>
      <w:r>
        <w:rPr>
          <w:rFonts w:ascii="Times New Roman" w:hAnsi="Times New Roman"/>
          <w:noProof/>
          <w:sz w:val="24"/>
          <w:szCs w:val="24"/>
          <w:lang w:val="en-IE"/>
        </w:rPr>
        <w:t xml:space="preserve"> authorities regularly inspected the offshore installations under their jurisdiction in 2024 (see Table 3). The more installations a country had, the more inspections it usually carried out.</w:t>
      </w:r>
    </w:p>
    <w:p>
      <w:pPr>
        <w:jc w:val="both"/>
        <w:rPr>
          <w:rFonts w:ascii="Times New Roman" w:hAnsi="Times New Roman"/>
          <w:noProof/>
          <w:sz w:val="24"/>
          <w:szCs w:val="24"/>
          <w:lang w:val="en-IE"/>
        </w:rPr>
      </w:pPr>
      <w:r>
        <w:rPr>
          <w:rFonts w:ascii="Times New Roman" w:hAnsi="Times New Roman"/>
          <w:noProof/>
          <w:sz w:val="24"/>
          <w:szCs w:val="24"/>
          <w:lang w:val="en-IE"/>
        </w:rPr>
        <w:t xml:space="preserve">Compared to 2023, the overall number of inspections in the EU decreased (from 435 to 371). In most Member States, the number declined. </w:t>
      </w:r>
    </w:p>
    <w:p>
      <w:pPr>
        <w:pStyle w:val="Caption"/>
        <w:rPr>
          <w:noProof/>
          <w:lang w:val="en-GB"/>
        </w:rPr>
      </w:pPr>
      <w:r>
        <w:rPr>
          <w:noProof/>
          <w:lang w:val="en-GB"/>
        </w:rPr>
        <w:t>Table 3: Offshore inspections by region and Member State in 2024</w:t>
      </w:r>
    </w:p>
    <w:tbl>
      <w:tblPr>
        <w:tblStyle w:val="TableGrid"/>
        <w:tblW w:w="10065" w:type="dxa"/>
        <w:tblInd w:w="108" w:type="dxa"/>
        <w:tblLook w:val="04A0" w:firstRow="1" w:lastRow="0" w:firstColumn="1" w:lastColumn="0" w:noHBand="0" w:noVBand="1"/>
      </w:tblPr>
      <w:tblGrid>
        <w:gridCol w:w="2391"/>
        <w:gridCol w:w="2673"/>
        <w:gridCol w:w="1451"/>
        <w:gridCol w:w="2274"/>
        <w:gridCol w:w="1276"/>
      </w:tblGrid>
      <w:tr>
        <w:trPr>
          <w:trHeight w:val="300"/>
        </w:trPr>
        <w:tc>
          <w:tcPr>
            <w:tcW w:w="2391" w:type="dxa"/>
            <w:noWrap/>
            <w:hideMark/>
          </w:tcPr>
          <w:p>
            <w:pPr>
              <w:rPr>
                <w:b/>
                <w:noProof/>
                <w:lang w:val="en-GB"/>
              </w:rPr>
            </w:pPr>
            <w:r>
              <w:rPr>
                <w:b/>
                <w:noProof/>
                <w:lang w:val="en-GB"/>
              </w:rPr>
              <w:t>Region</w:t>
            </w:r>
          </w:p>
        </w:tc>
        <w:tc>
          <w:tcPr>
            <w:tcW w:w="2673" w:type="dxa"/>
            <w:noWrap/>
            <w:hideMark/>
          </w:tcPr>
          <w:p>
            <w:pPr>
              <w:rPr>
                <w:b/>
                <w:noProof/>
                <w:lang w:val="en-GB"/>
              </w:rPr>
            </w:pPr>
            <w:r>
              <w:rPr>
                <w:b/>
                <w:noProof/>
                <w:lang w:val="en-GB"/>
              </w:rPr>
              <w:t>Country</w:t>
            </w:r>
          </w:p>
        </w:tc>
        <w:tc>
          <w:tcPr>
            <w:tcW w:w="1451" w:type="dxa"/>
            <w:noWrap/>
            <w:hideMark/>
          </w:tcPr>
          <w:p>
            <w:pPr>
              <w:rPr>
                <w:b/>
                <w:noProof/>
                <w:lang w:val="en-GB"/>
              </w:rPr>
            </w:pPr>
            <w:r>
              <w:rPr>
                <w:b/>
                <w:noProof/>
                <w:lang w:val="en-GB"/>
              </w:rPr>
              <w:t>Inspections</w:t>
            </w:r>
          </w:p>
        </w:tc>
        <w:tc>
          <w:tcPr>
            <w:tcW w:w="2274" w:type="dxa"/>
            <w:noWrap/>
            <w:hideMark/>
          </w:tcPr>
          <w:p>
            <w:pPr>
              <w:rPr>
                <w:b/>
                <w:noProof/>
                <w:lang w:val="en-GB"/>
              </w:rPr>
            </w:pPr>
            <w:r>
              <w:rPr>
                <w:b/>
                <w:noProof/>
                <w:lang w:val="en-GB"/>
              </w:rPr>
              <w:t>Working days spent on installation (travel time not included)</w:t>
            </w:r>
          </w:p>
        </w:tc>
        <w:tc>
          <w:tcPr>
            <w:tcW w:w="1276" w:type="dxa"/>
            <w:noWrap/>
            <w:hideMark/>
          </w:tcPr>
          <w:p>
            <w:pPr>
              <w:rPr>
                <w:b/>
                <w:noProof/>
                <w:lang w:val="en-GB"/>
              </w:rPr>
            </w:pPr>
            <w:r>
              <w:rPr>
                <w:b/>
                <w:noProof/>
                <w:lang w:val="en-GB"/>
              </w:rPr>
              <w:t>Number of installations inspected</w:t>
            </w:r>
          </w:p>
        </w:tc>
      </w:tr>
      <w:tr>
        <w:trPr>
          <w:trHeight w:val="300"/>
        </w:trPr>
        <w:tc>
          <w:tcPr>
            <w:tcW w:w="2391" w:type="dxa"/>
            <w:tcBorders>
              <w:bottom w:val="single" w:sz="4" w:space="0" w:color="FFFFFF" w:themeColor="background1"/>
              <w:right w:val="single" w:sz="4" w:space="0" w:color="FFFFFF" w:themeColor="background1"/>
            </w:tcBorders>
            <w:noWrap/>
            <w:hideMark/>
          </w:tcPr>
          <w:p>
            <w:pPr>
              <w:rPr>
                <w:b/>
                <w:noProof/>
                <w:lang w:val="en-GB"/>
              </w:rPr>
            </w:pPr>
            <w:r>
              <w:rPr>
                <w:b/>
                <w:noProof/>
                <w:lang w:val="en-GB"/>
              </w:rPr>
              <w:t>Baltic Sea</w:t>
            </w:r>
          </w:p>
        </w:tc>
        <w:tc>
          <w:tcPr>
            <w:tcW w:w="2673" w:type="dxa"/>
            <w:tcBorders>
              <w:left w:val="single" w:sz="4" w:space="0" w:color="FFFFFF" w:themeColor="background1"/>
            </w:tcBorders>
            <w:noWrap/>
            <w:hideMark/>
          </w:tcPr>
          <w:p>
            <w:pPr>
              <w:rPr>
                <w:b/>
                <w:noProof/>
                <w:lang w:val="en-GB"/>
              </w:rPr>
            </w:pPr>
          </w:p>
        </w:tc>
        <w:tc>
          <w:tcPr>
            <w:tcW w:w="1451" w:type="dxa"/>
            <w:noWrap/>
            <w:hideMark/>
          </w:tcPr>
          <w:p>
            <w:pPr>
              <w:rPr>
                <w:b/>
                <w:bCs/>
                <w:noProof/>
                <w:lang w:val="en-GB"/>
              </w:rPr>
            </w:pPr>
            <w:r>
              <w:rPr>
                <w:b/>
                <w:bCs/>
                <w:noProof/>
                <w:lang w:val="en-GB"/>
              </w:rPr>
              <w:t>2</w:t>
            </w:r>
          </w:p>
        </w:tc>
        <w:tc>
          <w:tcPr>
            <w:tcW w:w="2274" w:type="dxa"/>
            <w:noWrap/>
            <w:hideMark/>
          </w:tcPr>
          <w:p>
            <w:pPr>
              <w:rPr>
                <w:b/>
                <w:bCs/>
                <w:noProof/>
                <w:lang w:val="en-GB"/>
              </w:rPr>
            </w:pPr>
            <w:r>
              <w:rPr>
                <w:b/>
                <w:bCs/>
                <w:noProof/>
                <w:lang w:val="en-GB"/>
              </w:rPr>
              <w:t>4</w:t>
            </w:r>
          </w:p>
        </w:tc>
        <w:tc>
          <w:tcPr>
            <w:tcW w:w="1276" w:type="dxa"/>
            <w:noWrap/>
            <w:hideMark/>
          </w:tcPr>
          <w:p>
            <w:pPr>
              <w:rPr>
                <w:b/>
                <w:bCs/>
                <w:noProof/>
                <w:lang w:val="en-GB"/>
              </w:rPr>
            </w:pPr>
            <w:r>
              <w:rPr>
                <w:b/>
                <w:bCs/>
                <w:noProof/>
                <w:lang w:val="en-GB"/>
              </w:rPr>
              <w:t>3</w:t>
            </w:r>
          </w:p>
        </w:tc>
      </w:tr>
      <w:tr>
        <w:trPr>
          <w:trHeight w:val="300"/>
        </w:trPr>
        <w:tc>
          <w:tcPr>
            <w:tcW w:w="2391" w:type="dxa"/>
            <w:tcBorders>
              <w:top w:val="single" w:sz="4" w:space="0" w:color="FFFFFF" w:themeColor="background1"/>
            </w:tcBorders>
            <w:noWrap/>
          </w:tcPr>
          <w:p>
            <w:pPr>
              <w:rPr>
                <w:b/>
                <w:noProof/>
                <w:lang w:val="en-GB"/>
              </w:rPr>
            </w:pPr>
          </w:p>
        </w:tc>
        <w:tc>
          <w:tcPr>
            <w:tcW w:w="2673" w:type="dxa"/>
            <w:noWrap/>
            <w:hideMark/>
          </w:tcPr>
          <w:p>
            <w:pPr>
              <w:rPr>
                <w:noProof/>
                <w:lang w:val="en-GB"/>
              </w:rPr>
            </w:pPr>
            <w:r>
              <w:rPr>
                <w:noProof/>
                <w:lang w:val="en-GB"/>
              </w:rPr>
              <w:t>Poland</w:t>
            </w:r>
          </w:p>
        </w:tc>
        <w:tc>
          <w:tcPr>
            <w:tcW w:w="1451" w:type="dxa"/>
            <w:noWrap/>
            <w:hideMark/>
          </w:tcPr>
          <w:p>
            <w:pPr>
              <w:rPr>
                <w:noProof/>
                <w:lang w:val="en-GB"/>
              </w:rPr>
            </w:pPr>
            <w:r>
              <w:rPr>
                <w:noProof/>
                <w:lang w:val="en-GB"/>
              </w:rPr>
              <w:t>2</w:t>
            </w:r>
          </w:p>
        </w:tc>
        <w:tc>
          <w:tcPr>
            <w:tcW w:w="2274" w:type="dxa"/>
            <w:noWrap/>
            <w:hideMark/>
          </w:tcPr>
          <w:p>
            <w:pPr>
              <w:rPr>
                <w:noProof/>
                <w:lang w:val="en-GB"/>
              </w:rPr>
            </w:pPr>
            <w:r>
              <w:rPr>
                <w:noProof/>
                <w:lang w:val="en-GB"/>
              </w:rPr>
              <w:t>4</w:t>
            </w:r>
          </w:p>
        </w:tc>
        <w:tc>
          <w:tcPr>
            <w:tcW w:w="1276" w:type="dxa"/>
            <w:noWrap/>
            <w:hideMark/>
          </w:tcPr>
          <w:p>
            <w:pPr>
              <w:rPr>
                <w:noProof/>
                <w:lang w:val="en-GB"/>
              </w:rPr>
            </w:pPr>
            <w:r>
              <w:rPr>
                <w:noProof/>
                <w:lang w:val="en-GB"/>
              </w:rPr>
              <w:t>3</w:t>
            </w:r>
          </w:p>
        </w:tc>
      </w:tr>
      <w:tr>
        <w:trPr>
          <w:trHeight w:val="300"/>
        </w:trPr>
        <w:tc>
          <w:tcPr>
            <w:tcW w:w="2391" w:type="dxa"/>
            <w:tcBorders>
              <w:bottom w:val="single" w:sz="4" w:space="0" w:color="FFFFFF" w:themeColor="background1"/>
              <w:right w:val="single" w:sz="4" w:space="0" w:color="FFFFFF" w:themeColor="background1"/>
            </w:tcBorders>
            <w:noWrap/>
            <w:hideMark/>
          </w:tcPr>
          <w:p>
            <w:pPr>
              <w:rPr>
                <w:b/>
                <w:noProof/>
                <w:lang w:val="en-GB"/>
              </w:rPr>
            </w:pPr>
            <w:r>
              <w:rPr>
                <w:b/>
                <w:noProof/>
                <w:lang w:val="en-GB"/>
              </w:rPr>
              <w:t>Black Sea</w:t>
            </w:r>
          </w:p>
        </w:tc>
        <w:tc>
          <w:tcPr>
            <w:tcW w:w="2673" w:type="dxa"/>
            <w:tcBorders>
              <w:left w:val="single" w:sz="4" w:space="0" w:color="FFFFFF" w:themeColor="background1"/>
            </w:tcBorders>
            <w:noWrap/>
            <w:hideMark/>
          </w:tcPr>
          <w:p>
            <w:pPr>
              <w:rPr>
                <w:b/>
                <w:noProof/>
                <w:lang w:val="en-GB"/>
              </w:rPr>
            </w:pPr>
          </w:p>
        </w:tc>
        <w:tc>
          <w:tcPr>
            <w:tcW w:w="1451" w:type="dxa"/>
            <w:noWrap/>
            <w:hideMark/>
          </w:tcPr>
          <w:p>
            <w:pPr>
              <w:rPr>
                <w:b/>
                <w:bCs/>
                <w:noProof/>
                <w:lang w:val="en-GB"/>
              </w:rPr>
            </w:pPr>
            <w:r>
              <w:rPr>
                <w:b/>
                <w:bCs/>
                <w:noProof/>
                <w:lang w:val="en-GB"/>
              </w:rPr>
              <w:t>28</w:t>
            </w:r>
          </w:p>
        </w:tc>
        <w:tc>
          <w:tcPr>
            <w:tcW w:w="2274" w:type="dxa"/>
            <w:noWrap/>
            <w:hideMark/>
          </w:tcPr>
          <w:p>
            <w:pPr>
              <w:rPr>
                <w:b/>
                <w:bCs/>
                <w:noProof/>
                <w:lang w:val="en-GB"/>
              </w:rPr>
            </w:pPr>
            <w:r>
              <w:rPr>
                <w:b/>
                <w:bCs/>
                <w:noProof/>
                <w:lang w:val="en-GB"/>
              </w:rPr>
              <w:t>204</w:t>
            </w:r>
          </w:p>
        </w:tc>
        <w:tc>
          <w:tcPr>
            <w:tcW w:w="1276" w:type="dxa"/>
            <w:noWrap/>
            <w:hideMark/>
          </w:tcPr>
          <w:p>
            <w:pPr>
              <w:rPr>
                <w:b/>
                <w:bCs/>
                <w:noProof/>
                <w:lang w:val="en-GB"/>
              </w:rPr>
            </w:pPr>
            <w:r>
              <w:rPr>
                <w:b/>
                <w:bCs/>
                <w:noProof/>
                <w:lang w:val="en-GB"/>
              </w:rPr>
              <w:t>11</w:t>
            </w:r>
          </w:p>
        </w:tc>
      </w:tr>
      <w:tr>
        <w:trPr>
          <w:trHeight w:val="300"/>
        </w:trPr>
        <w:tc>
          <w:tcPr>
            <w:tcW w:w="2391" w:type="dxa"/>
            <w:tcBorders>
              <w:bottom w:val="single" w:sz="4" w:space="0" w:color="FFFFFF" w:themeColor="background1"/>
              <w:right w:val="single" w:sz="4" w:space="0" w:color="FFFFFF" w:themeColor="background1"/>
            </w:tcBorders>
            <w:noWrap/>
          </w:tcPr>
          <w:p>
            <w:pPr>
              <w:rPr>
                <w:b/>
                <w:noProof/>
                <w:lang w:val="en-GB"/>
              </w:rPr>
            </w:pPr>
          </w:p>
        </w:tc>
        <w:tc>
          <w:tcPr>
            <w:tcW w:w="2673" w:type="dxa"/>
            <w:noWrap/>
          </w:tcPr>
          <w:p>
            <w:pPr>
              <w:rPr>
                <w:b/>
                <w:noProof/>
                <w:lang w:val="en-GB"/>
              </w:rPr>
            </w:pPr>
            <w:r>
              <w:rPr>
                <w:noProof/>
                <w:lang w:val="en-GB"/>
              </w:rPr>
              <w:t>Bulgaria</w:t>
            </w:r>
          </w:p>
        </w:tc>
        <w:tc>
          <w:tcPr>
            <w:tcW w:w="1451" w:type="dxa"/>
            <w:noWrap/>
          </w:tcPr>
          <w:p>
            <w:pPr>
              <w:rPr>
                <w:rFonts w:cs="Calibri"/>
                <w:b/>
                <w:bCs/>
                <w:noProof/>
                <w:color w:val="000000"/>
                <w:lang w:val="en-GB"/>
              </w:rPr>
            </w:pPr>
            <w:r>
              <w:rPr>
                <w:noProof/>
                <w:lang w:val="en-GB"/>
              </w:rPr>
              <w:t>0</w:t>
            </w:r>
          </w:p>
        </w:tc>
        <w:tc>
          <w:tcPr>
            <w:tcW w:w="2274" w:type="dxa"/>
            <w:noWrap/>
          </w:tcPr>
          <w:p>
            <w:pPr>
              <w:rPr>
                <w:rFonts w:cs="Calibri"/>
                <w:bCs/>
                <w:noProof/>
                <w:color w:val="000000"/>
                <w:lang w:val="en-GB"/>
              </w:rPr>
            </w:pPr>
            <w:r>
              <w:rPr>
                <w:noProof/>
                <w:lang w:val="en-GB"/>
              </w:rPr>
              <w:t>0</w:t>
            </w:r>
          </w:p>
        </w:tc>
        <w:tc>
          <w:tcPr>
            <w:tcW w:w="1276" w:type="dxa"/>
            <w:noWrap/>
          </w:tcPr>
          <w:p>
            <w:pPr>
              <w:rPr>
                <w:rFonts w:cs="Calibri"/>
                <w:bCs/>
                <w:noProof/>
                <w:color w:val="000000"/>
                <w:lang w:val="en-GB"/>
              </w:rPr>
            </w:pPr>
            <w:r>
              <w:rPr>
                <w:noProof/>
                <w:lang w:val="en-GB"/>
              </w:rPr>
              <w:t>0</w:t>
            </w:r>
          </w:p>
        </w:tc>
      </w:tr>
      <w:tr>
        <w:trPr>
          <w:trHeight w:val="300"/>
        </w:trPr>
        <w:tc>
          <w:tcPr>
            <w:tcW w:w="2391" w:type="dxa"/>
            <w:tcBorders>
              <w:top w:val="single" w:sz="4" w:space="0" w:color="FFFFFF" w:themeColor="background1"/>
            </w:tcBorders>
            <w:noWrap/>
          </w:tcPr>
          <w:p>
            <w:pPr>
              <w:rPr>
                <w:b/>
                <w:noProof/>
                <w:lang w:val="en-GB"/>
              </w:rPr>
            </w:pPr>
          </w:p>
        </w:tc>
        <w:tc>
          <w:tcPr>
            <w:tcW w:w="2673" w:type="dxa"/>
            <w:noWrap/>
          </w:tcPr>
          <w:p>
            <w:pPr>
              <w:rPr>
                <w:noProof/>
                <w:lang w:val="en-GB"/>
              </w:rPr>
            </w:pPr>
            <w:r>
              <w:rPr>
                <w:noProof/>
                <w:lang w:val="en-GB"/>
              </w:rPr>
              <w:t>Romania</w:t>
            </w:r>
          </w:p>
        </w:tc>
        <w:tc>
          <w:tcPr>
            <w:tcW w:w="1451" w:type="dxa"/>
            <w:noWrap/>
          </w:tcPr>
          <w:p>
            <w:pPr>
              <w:rPr>
                <w:rFonts w:cs="Calibri"/>
                <w:noProof/>
                <w:color w:val="000000"/>
                <w:lang w:val="en-GB"/>
              </w:rPr>
            </w:pPr>
            <w:r>
              <w:rPr>
                <w:noProof/>
                <w:lang w:val="en-GB"/>
              </w:rPr>
              <w:t>28</w:t>
            </w:r>
          </w:p>
        </w:tc>
        <w:tc>
          <w:tcPr>
            <w:tcW w:w="2274" w:type="dxa"/>
            <w:noWrap/>
          </w:tcPr>
          <w:p>
            <w:pPr>
              <w:rPr>
                <w:rFonts w:cs="Calibri"/>
                <w:noProof/>
                <w:color w:val="000000"/>
                <w:lang w:val="en-GB"/>
              </w:rPr>
            </w:pPr>
            <w:r>
              <w:rPr>
                <w:noProof/>
                <w:lang w:val="en-GB"/>
              </w:rPr>
              <w:t>204</w:t>
            </w:r>
          </w:p>
        </w:tc>
        <w:tc>
          <w:tcPr>
            <w:tcW w:w="1276" w:type="dxa"/>
            <w:noWrap/>
          </w:tcPr>
          <w:p>
            <w:pPr>
              <w:rPr>
                <w:rFonts w:cs="Calibri"/>
                <w:noProof/>
                <w:color w:val="000000"/>
                <w:lang w:val="en-GB"/>
              </w:rPr>
            </w:pPr>
            <w:r>
              <w:rPr>
                <w:noProof/>
                <w:lang w:val="en-GB"/>
              </w:rPr>
              <w:t>11</w:t>
            </w:r>
          </w:p>
        </w:tc>
      </w:tr>
      <w:tr>
        <w:trPr>
          <w:trHeight w:val="300"/>
        </w:trPr>
        <w:tc>
          <w:tcPr>
            <w:tcW w:w="2391" w:type="dxa"/>
            <w:tcBorders>
              <w:bottom w:val="single" w:sz="4" w:space="0" w:color="FFFFFF" w:themeColor="background1"/>
              <w:right w:val="single" w:sz="4" w:space="0" w:color="FFFFFF" w:themeColor="background1"/>
            </w:tcBorders>
            <w:noWrap/>
            <w:hideMark/>
          </w:tcPr>
          <w:p>
            <w:pPr>
              <w:rPr>
                <w:b/>
                <w:noProof/>
                <w:lang w:val="en-GB"/>
              </w:rPr>
            </w:pPr>
            <w:r>
              <w:rPr>
                <w:b/>
                <w:noProof/>
                <w:lang w:val="en-GB"/>
              </w:rPr>
              <w:t>Mediterranean Sea</w:t>
            </w:r>
          </w:p>
        </w:tc>
        <w:tc>
          <w:tcPr>
            <w:tcW w:w="2673" w:type="dxa"/>
            <w:tcBorders>
              <w:left w:val="single" w:sz="4" w:space="0" w:color="FFFFFF" w:themeColor="background1"/>
            </w:tcBorders>
            <w:noWrap/>
            <w:hideMark/>
          </w:tcPr>
          <w:p>
            <w:pPr>
              <w:rPr>
                <w:b/>
                <w:noProof/>
                <w:lang w:val="en-GB"/>
              </w:rPr>
            </w:pPr>
          </w:p>
        </w:tc>
        <w:tc>
          <w:tcPr>
            <w:tcW w:w="1451" w:type="dxa"/>
            <w:noWrap/>
            <w:hideMark/>
          </w:tcPr>
          <w:p>
            <w:pPr>
              <w:rPr>
                <w:b/>
                <w:bCs/>
                <w:noProof/>
                <w:lang w:val="en-GB"/>
              </w:rPr>
            </w:pPr>
            <w:r>
              <w:rPr>
                <w:b/>
                <w:bCs/>
                <w:noProof/>
                <w:lang w:val="en-GB"/>
              </w:rPr>
              <w:t>216</w:t>
            </w:r>
          </w:p>
        </w:tc>
        <w:tc>
          <w:tcPr>
            <w:tcW w:w="2274" w:type="dxa"/>
            <w:noWrap/>
            <w:hideMark/>
          </w:tcPr>
          <w:p>
            <w:pPr>
              <w:rPr>
                <w:b/>
                <w:bCs/>
                <w:noProof/>
                <w:lang w:val="en-GB"/>
              </w:rPr>
            </w:pPr>
            <w:r>
              <w:rPr>
                <w:b/>
                <w:bCs/>
                <w:noProof/>
                <w:lang w:val="en-GB"/>
              </w:rPr>
              <w:t>280</w:t>
            </w:r>
          </w:p>
        </w:tc>
        <w:tc>
          <w:tcPr>
            <w:tcW w:w="1276" w:type="dxa"/>
            <w:noWrap/>
            <w:hideMark/>
          </w:tcPr>
          <w:p>
            <w:pPr>
              <w:rPr>
                <w:b/>
                <w:bCs/>
                <w:noProof/>
                <w:lang w:val="en-GB"/>
              </w:rPr>
            </w:pPr>
            <w:r>
              <w:rPr>
                <w:b/>
                <w:bCs/>
                <w:noProof/>
                <w:lang w:val="en-GB"/>
              </w:rPr>
              <w:t>202</w:t>
            </w:r>
          </w:p>
        </w:tc>
      </w:tr>
      <w:tr>
        <w:trPr>
          <w:trHeight w:val="300"/>
        </w:trPr>
        <w:tc>
          <w:tcPr>
            <w:tcW w:w="2391" w:type="dxa"/>
            <w:tcBorders>
              <w:top w:val="single" w:sz="4" w:space="0" w:color="FFFFFF" w:themeColor="background1"/>
              <w:bottom w:val="single" w:sz="4" w:space="0" w:color="FFFFFF" w:themeColor="background1"/>
            </w:tcBorders>
            <w:noWrap/>
          </w:tcPr>
          <w:p>
            <w:pPr>
              <w:rPr>
                <w:b/>
                <w:noProof/>
                <w:lang w:val="en-GB"/>
              </w:rPr>
            </w:pPr>
          </w:p>
        </w:tc>
        <w:tc>
          <w:tcPr>
            <w:tcW w:w="2673" w:type="dxa"/>
            <w:noWrap/>
          </w:tcPr>
          <w:p>
            <w:pPr>
              <w:rPr>
                <w:noProof/>
                <w:lang w:val="en-GB"/>
              </w:rPr>
            </w:pPr>
            <w:r>
              <w:rPr>
                <w:noProof/>
                <w:lang w:val="en-GB"/>
              </w:rPr>
              <w:t>Croatia</w:t>
            </w:r>
          </w:p>
        </w:tc>
        <w:tc>
          <w:tcPr>
            <w:tcW w:w="1451" w:type="dxa"/>
            <w:noWrap/>
          </w:tcPr>
          <w:p>
            <w:pPr>
              <w:rPr>
                <w:noProof/>
                <w:lang w:val="en-GB"/>
              </w:rPr>
            </w:pPr>
            <w:r>
              <w:rPr>
                <w:noProof/>
                <w:lang w:val="en-GB"/>
              </w:rPr>
              <w:t>23</w:t>
            </w:r>
          </w:p>
        </w:tc>
        <w:tc>
          <w:tcPr>
            <w:tcW w:w="2274" w:type="dxa"/>
            <w:noWrap/>
          </w:tcPr>
          <w:p>
            <w:pPr>
              <w:rPr>
                <w:noProof/>
                <w:lang w:val="en-GB"/>
              </w:rPr>
            </w:pPr>
            <w:r>
              <w:rPr>
                <w:noProof/>
                <w:lang w:val="en-GB"/>
              </w:rPr>
              <w:t>40</w:t>
            </w:r>
          </w:p>
        </w:tc>
        <w:tc>
          <w:tcPr>
            <w:tcW w:w="1276" w:type="dxa"/>
            <w:noWrap/>
          </w:tcPr>
          <w:p>
            <w:pPr>
              <w:rPr>
                <w:noProof/>
                <w:lang w:val="en-GB"/>
              </w:rPr>
            </w:pPr>
            <w:r>
              <w:rPr>
                <w:noProof/>
                <w:lang w:val="en-GB"/>
              </w:rPr>
              <w:t>9</w:t>
            </w:r>
          </w:p>
        </w:tc>
      </w:tr>
      <w:tr>
        <w:trPr>
          <w:trHeight w:val="300"/>
        </w:trPr>
        <w:tc>
          <w:tcPr>
            <w:tcW w:w="2391" w:type="dxa"/>
            <w:tcBorders>
              <w:top w:val="single" w:sz="4" w:space="0" w:color="FFFFFF" w:themeColor="background1"/>
              <w:bottom w:val="single" w:sz="4" w:space="0" w:color="FFFFFF" w:themeColor="background1"/>
            </w:tcBorders>
            <w:noWrap/>
          </w:tcPr>
          <w:p>
            <w:pPr>
              <w:rPr>
                <w:b/>
                <w:noProof/>
                <w:lang w:val="en-GB"/>
              </w:rPr>
            </w:pPr>
          </w:p>
        </w:tc>
        <w:tc>
          <w:tcPr>
            <w:tcW w:w="2673" w:type="dxa"/>
            <w:noWrap/>
          </w:tcPr>
          <w:p>
            <w:pPr>
              <w:rPr>
                <w:noProof/>
                <w:lang w:val="en-GB"/>
              </w:rPr>
            </w:pPr>
            <w:r>
              <w:rPr>
                <w:noProof/>
                <w:lang w:val="en-GB"/>
              </w:rPr>
              <w:t>Cyprus</w:t>
            </w:r>
          </w:p>
        </w:tc>
        <w:tc>
          <w:tcPr>
            <w:tcW w:w="1451" w:type="dxa"/>
            <w:noWrap/>
          </w:tcPr>
          <w:p>
            <w:pPr>
              <w:rPr>
                <w:rFonts w:cs="Calibri"/>
                <w:noProof/>
                <w:color w:val="000000"/>
                <w:lang w:val="en-GB"/>
              </w:rPr>
            </w:pPr>
            <w:r>
              <w:rPr>
                <w:noProof/>
                <w:lang w:val="en-GB"/>
              </w:rPr>
              <w:t>0</w:t>
            </w:r>
          </w:p>
        </w:tc>
        <w:tc>
          <w:tcPr>
            <w:tcW w:w="2274" w:type="dxa"/>
            <w:noWrap/>
          </w:tcPr>
          <w:p>
            <w:pPr>
              <w:rPr>
                <w:rFonts w:cs="Calibri"/>
                <w:noProof/>
                <w:color w:val="000000"/>
                <w:lang w:val="en-GB"/>
              </w:rPr>
            </w:pPr>
            <w:r>
              <w:rPr>
                <w:noProof/>
                <w:lang w:val="en-GB"/>
              </w:rPr>
              <w:t>0</w:t>
            </w:r>
          </w:p>
        </w:tc>
        <w:tc>
          <w:tcPr>
            <w:tcW w:w="1276" w:type="dxa"/>
            <w:noWrap/>
          </w:tcPr>
          <w:p>
            <w:pPr>
              <w:rPr>
                <w:rFonts w:cs="Calibri"/>
                <w:noProof/>
                <w:color w:val="000000"/>
                <w:lang w:val="en-GB"/>
              </w:rPr>
            </w:pPr>
            <w:r>
              <w:rPr>
                <w:noProof/>
                <w:lang w:val="en-GB"/>
              </w:rPr>
              <w:t>0</w:t>
            </w:r>
          </w:p>
        </w:tc>
      </w:tr>
      <w:tr>
        <w:trPr>
          <w:trHeight w:val="300"/>
        </w:trPr>
        <w:tc>
          <w:tcPr>
            <w:tcW w:w="2391" w:type="dxa"/>
            <w:tcBorders>
              <w:top w:val="single" w:sz="4" w:space="0" w:color="FFFFFF" w:themeColor="background1"/>
              <w:bottom w:val="single" w:sz="4" w:space="0" w:color="FFFFFF" w:themeColor="background1"/>
            </w:tcBorders>
            <w:noWrap/>
          </w:tcPr>
          <w:p>
            <w:pPr>
              <w:rPr>
                <w:b/>
                <w:noProof/>
                <w:lang w:val="en-GB"/>
              </w:rPr>
            </w:pPr>
          </w:p>
        </w:tc>
        <w:tc>
          <w:tcPr>
            <w:tcW w:w="2673" w:type="dxa"/>
            <w:noWrap/>
          </w:tcPr>
          <w:p>
            <w:pPr>
              <w:rPr>
                <w:noProof/>
                <w:lang w:val="en-GB"/>
              </w:rPr>
            </w:pPr>
            <w:r>
              <w:rPr>
                <w:noProof/>
                <w:lang w:val="en-GB"/>
              </w:rPr>
              <w:t>Greece</w:t>
            </w:r>
          </w:p>
        </w:tc>
        <w:tc>
          <w:tcPr>
            <w:tcW w:w="1451" w:type="dxa"/>
            <w:noWrap/>
          </w:tcPr>
          <w:p>
            <w:pPr>
              <w:rPr>
                <w:noProof/>
                <w:lang w:val="en-GB"/>
              </w:rPr>
            </w:pPr>
            <w:r>
              <w:rPr>
                <w:noProof/>
                <w:lang w:val="en-GB"/>
              </w:rPr>
              <w:t>2</w:t>
            </w:r>
          </w:p>
        </w:tc>
        <w:tc>
          <w:tcPr>
            <w:tcW w:w="2274" w:type="dxa"/>
            <w:noWrap/>
          </w:tcPr>
          <w:p>
            <w:pPr>
              <w:rPr>
                <w:noProof/>
                <w:lang w:val="en-GB"/>
              </w:rPr>
            </w:pPr>
            <w:r>
              <w:rPr>
                <w:noProof/>
                <w:lang w:val="en-GB"/>
              </w:rPr>
              <w:t>20</w:t>
            </w:r>
          </w:p>
        </w:tc>
        <w:tc>
          <w:tcPr>
            <w:tcW w:w="1276" w:type="dxa"/>
            <w:noWrap/>
          </w:tcPr>
          <w:p>
            <w:pPr>
              <w:rPr>
                <w:noProof/>
                <w:lang w:val="en-GB"/>
              </w:rPr>
            </w:pPr>
            <w:r>
              <w:rPr>
                <w:noProof/>
                <w:lang w:val="en-GB"/>
              </w:rPr>
              <w:t>2</w:t>
            </w:r>
          </w:p>
        </w:tc>
      </w:tr>
      <w:tr>
        <w:trPr>
          <w:trHeight w:val="300"/>
        </w:trPr>
        <w:tc>
          <w:tcPr>
            <w:tcW w:w="2391" w:type="dxa"/>
            <w:tcBorders>
              <w:top w:val="single" w:sz="4" w:space="0" w:color="FFFFFF" w:themeColor="background1"/>
              <w:bottom w:val="single" w:sz="4" w:space="0" w:color="FFFFFF" w:themeColor="background1"/>
            </w:tcBorders>
            <w:noWrap/>
          </w:tcPr>
          <w:p>
            <w:pPr>
              <w:rPr>
                <w:b/>
                <w:noProof/>
                <w:lang w:val="en-GB"/>
              </w:rPr>
            </w:pPr>
          </w:p>
        </w:tc>
        <w:tc>
          <w:tcPr>
            <w:tcW w:w="2673" w:type="dxa"/>
            <w:noWrap/>
          </w:tcPr>
          <w:p>
            <w:pPr>
              <w:rPr>
                <w:noProof/>
                <w:lang w:val="en-GB"/>
              </w:rPr>
            </w:pPr>
            <w:r>
              <w:rPr>
                <w:noProof/>
                <w:lang w:val="en-GB"/>
              </w:rPr>
              <w:t>Italy</w:t>
            </w:r>
          </w:p>
        </w:tc>
        <w:tc>
          <w:tcPr>
            <w:tcW w:w="1451" w:type="dxa"/>
            <w:noWrap/>
          </w:tcPr>
          <w:p>
            <w:pPr>
              <w:rPr>
                <w:noProof/>
                <w:lang w:val="en-GB"/>
              </w:rPr>
            </w:pPr>
            <w:r>
              <w:rPr>
                <w:noProof/>
                <w:lang w:val="en-GB"/>
              </w:rPr>
              <w:t>189</w:t>
            </w:r>
          </w:p>
        </w:tc>
        <w:tc>
          <w:tcPr>
            <w:tcW w:w="2274" w:type="dxa"/>
            <w:noWrap/>
          </w:tcPr>
          <w:p>
            <w:pPr>
              <w:rPr>
                <w:noProof/>
                <w:lang w:val="en-GB"/>
              </w:rPr>
            </w:pPr>
            <w:r>
              <w:rPr>
                <w:noProof/>
                <w:lang w:val="en-GB"/>
              </w:rPr>
              <w:t>219</w:t>
            </w:r>
          </w:p>
        </w:tc>
        <w:tc>
          <w:tcPr>
            <w:tcW w:w="1276" w:type="dxa"/>
            <w:noWrap/>
          </w:tcPr>
          <w:p>
            <w:pPr>
              <w:rPr>
                <w:noProof/>
                <w:lang w:val="en-GB"/>
              </w:rPr>
            </w:pPr>
            <w:r>
              <w:rPr>
                <w:noProof/>
                <w:lang w:val="en-GB"/>
              </w:rPr>
              <w:t>189</w:t>
            </w:r>
          </w:p>
        </w:tc>
      </w:tr>
      <w:tr>
        <w:trPr>
          <w:trHeight w:val="300"/>
        </w:trPr>
        <w:tc>
          <w:tcPr>
            <w:tcW w:w="2391" w:type="dxa"/>
            <w:tcBorders>
              <w:top w:val="single" w:sz="4" w:space="0" w:color="FFFFFF" w:themeColor="background1"/>
              <w:bottom w:val="single" w:sz="4" w:space="0" w:color="FFFFFF" w:themeColor="background1"/>
            </w:tcBorders>
            <w:noWrap/>
          </w:tcPr>
          <w:p>
            <w:pPr>
              <w:rPr>
                <w:b/>
                <w:noProof/>
                <w:lang w:val="en-GB"/>
              </w:rPr>
            </w:pPr>
          </w:p>
        </w:tc>
        <w:tc>
          <w:tcPr>
            <w:tcW w:w="2673" w:type="dxa"/>
            <w:noWrap/>
          </w:tcPr>
          <w:p>
            <w:pPr>
              <w:rPr>
                <w:noProof/>
                <w:lang w:val="en-GB"/>
              </w:rPr>
            </w:pPr>
            <w:r>
              <w:rPr>
                <w:noProof/>
                <w:lang w:val="en-GB"/>
              </w:rPr>
              <w:t>Spain</w:t>
            </w:r>
          </w:p>
        </w:tc>
        <w:tc>
          <w:tcPr>
            <w:tcW w:w="1451" w:type="dxa"/>
            <w:noWrap/>
          </w:tcPr>
          <w:p>
            <w:pPr>
              <w:rPr>
                <w:noProof/>
                <w:lang w:val="en-GB"/>
              </w:rPr>
            </w:pPr>
            <w:r>
              <w:rPr>
                <w:noProof/>
                <w:lang w:val="en-GB"/>
              </w:rPr>
              <w:t>2</w:t>
            </w:r>
          </w:p>
        </w:tc>
        <w:tc>
          <w:tcPr>
            <w:tcW w:w="2274" w:type="dxa"/>
            <w:noWrap/>
          </w:tcPr>
          <w:p>
            <w:pPr>
              <w:rPr>
                <w:noProof/>
                <w:lang w:val="en-GB"/>
              </w:rPr>
            </w:pPr>
            <w:r>
              <w:rPr>
                <w:noProof/>
                <w:lang w:val="en-GB"/>
              </w:rPr>
              <w:t>1</w:t>
            </w:r>
          </w:p>
        </w:tc>
        <w:tc>
          <w:tcPr>
            <w:tcW w:w="1276" w:type="dxa"/>
            <w:noWrap/>
          </w:tcPr>
          <w:p>
            <w:pPr>
              <w:rPr>
                <w:noProof/>
                <w:lang w:val="en-GB"/>
              </w:rPr>
            </w:pPr>
            <w:r>
              <w:rPr>
                <w:noProof/>
                <w:lang w:val="en-GB"/>
              </w:rPr>
              <w:t>2</w:t>
            </w:r>
          </w:p>
        </w:tc>
      </w:tr>
      <w:tr>
        <w:trPr>
          <w:trHeight w:val="300"/>
        </w:trPr>
        <w:tc>
          <w:tcPr>
            <w:tcW w:w="2391" w:type="dxa"/>
            <w:tcBorders>
              <w:bottom w:val="single" w:sz="4" w:space="0" w:color="FFFFFF" w:themeColor="background1"/>
              <w:right w:val="single" w:sz="4" w:space="0" w:color="FFFFFF" w:themeColor="background1"/>
            </w:tcBorders>
            <w:noWrap/>
            <w:hideMark/>
          </w:tcPr>
          <w:p>
            <w:pPr>
              <w:rPr>
                <w:b/>
                <w:noProof/>
                <w:lang w:val="en-GB"/>
              </w:rPr>
            </w:pPr>
            <w:r>
              <w:rPr>
                <w:b/>
                <w:noProof/>
                <w:lang w:val="en-GB"/>
              </w:rPr>
              <w:t>North Sea and Atlantic</w:t>
            </w:r>
          </w:p>
        </w:tc>
        <w:tc>
          <w:tcPr>
            <w:tcW w:w="2673" w:type="dxa"/>
            <w:tcBorders>
              <w:left w:val="single" w:sz="4" w:space="0" w:color="FFFFFF" w:themeColor="background1"/>
            </w:tcBorders>
            <w:noWrap/>
            <w:hideMark/>
          </w:tcPr>
          <w:p>
            <w:pPr>
              <w:rPr>
                <w:b/>
                <w:noProof/>
                <w:lang w:val="en-GB"/>
              </w:rPr>
            </w:pPr>
          </w:p>
        </w:tc>
        <w:tc>
          <w:tcPr>
            <w:tcW w:w="1451" w:type="dxa"/>
            <w:noWrap/>
            <w:hideMark/>
          </w:tcPr>
          <w:p>
            <w:pPr>
              <w:rPr>
                <w:b/>
                <w:bCs/>
                <w:noProof/>
                <w:lang w:val="en-GB"/>
              </w:rPr>
            </w:pPr>
            <w:r>
              <w:rPr>
                <w:b/>
                <w:bCs/>
                <w:noProof/>
                <w:lang w:val="en-GB"/>
              </w:rPr>
              <w:t>125</w:t>
            </w:r>
          </w:p>
        </w:tc>
        <w:tc>
          <w:tcPr>
            <w:tcW w:w="2274" w:type="dxa"/>
            <w:noWrap/>
            <w:hideMark/>
          </w:tcPr>
          <w:p>
            <w:pPr>
              <w:rPr>
                <w:b/>
                <w:bCs/>
                <w:noProof/>
                <w:lang w:val="en-GB"/>
              </w:rPr>
            </w:pPr>
            <w:r>
              <w:rPr>
                <w:b/>
                <w:bCs/>
                <w:noProof/>
                <w:lang w:val="en-GB"/>
              </w:rPr>
              <w:t>254.5</w:t>
            </w:r>
          </w:p>
        </w:tc>
        <w:tc>
          <w:tcPr>
            <w:tcW w:w="1276" w:type="dxa"/>
            <w:noWrap/>
            <w:hideMark/>
          </w:tcPr>
          <w:p>
            <w:pPr>
              <w:rPr>
                <w:b/>
                <w:bCs/>
                <w:noProof/>
                <w:lang w:val="en-GB"/>
              </w:rPr>
            </w:pPr>
            <w:r>
              <w:rPr>
                <w:b/>
                <w:bCs/>
                <w:noProof/>
                <w:lang w:val="en-GB"/>
              </w:rPr>
              <w:t>83</w:t>
            </w:r>
          </w:p>
        </w:tc>
      </w:tr>
      <w:tr>
        <w:trPr>
          <w:trHeight w:val="300"/>
        </w:trPr>
        <w:tc>
          <w:tcPr>
            <w:tcW w:w="2391" w:type="dxa"/>
            <w:tcBorders>
              <w:top w:val="single" w:sz="4" w:space="0" w:color="FFFFFF" w:themeColor="background1"/>
              <w:bottom w:val="single" w:sz="4" w:space="0" w:color="FFFFFF" w:themeColor="background1"/>
            </w:tcBorders>
            <w:noWrap/>
          </w:tcPr>
          <w:p>
            <w:pPr>
              <w:rPr>
                <w:b/>
                <w:noProof/>
                <w:highlight w:val="yellow"/>
                <w:lang w:val="en-GB"/>
              </w:rPr>
            </w:pPr>
          </w:p>
        </w:tc>
        <w:tc>
          <w:tcPr>
            <w:tcW w:w="2673" w:type="dxa"/>
            <w:noWrap/>
          </w:tcPr>
          <w:p>
            <w:pPr>
              <w:rPr>
                <w:noProof/>
                <w:lang w:val="en-GB"/>
              </w:rPr>
            </w:pPr>
            <w:r>
              <w:rPr>
                <w:noProof/>
                <w:lang w:val="en-GB"/>
              </w:rPr>
              <w:t>Denmark</w:t>
            </w:r>
          </w:p>
        </w:tc>
        <w:tc>
          <w:tcPr>
            <w:tcW w:w="1451" w:type="dxa"/>
            <w:noWrap/>
          </w:tcPr>
          <w:p>
            <w:pPr>
              <w:rPr>
                <w:noProof/>
                <w:lang w:val="en-GB"/>
              </w:rPr>
            </w:pPr>
            <w:r>
              <w:rPr>
                <w:noProof/>
                <w:lang w:val="en-GB"/>
              </w:rPr>
              <w:t>24</w:t>
            </w:r>
          </w:p>
        </w:tc>
        <w:tc>
          <w:tcPr>
            <w:tcW w:w="2274" w:type="dxa"/>
            <w:noWrap/>
          </w:tcPr>
          <w:p>
            <w:pPr>
              <w:rPr>
                <w:noProof/>
                <w:lang w:val="en-GB"/>
              </w:rPr>
            </w:pPr>
            <w:r>
              <w:rPr>
                <w:noProof/>
                <w:lang w:val="en-GB"/>
              </w:rPr>
              <w:t>94.5</w:t>
            </w:r>
          </w:p>
        </w:tc>
        <w:tc>
          <w:tcPr>
            <w:tcW w:w="1276" w:type="dxa"/>
            <w:noWrap/>
          </w:tcPr>
          <w:p>
            <w:pPr>
              <w:rPr>
                <w:noProof/>
                <w:lang w:val="en-GB"/>
              </w:rPr>
            </w:pPr>
            <w:r>
              <w:rPr>
                <w:noProof/>
                <w:lang w:val="en-GB"/>
              </w:rPr>
              <w:t>24</w:t>
            </w:r>
          </w:p>
        </w:tc>
      </w:tr>
      <w:tr>
        <w:trPr>
          <w:trHeight w:val="300"/>
        </w:trPr>
        <w:tc>
          <w:tcPr>
            <w:tcW w:w="2391" w:type="dxa"/>
            <w:tcBorders>
              <w:top w:val="single" w:sz="4" w:space="0" w:color="FFFFFF" w:themeColor="background1"/>
              <w:bottom w:val="single" w:sz="4" w:space="0" w:color="FFFFFF" w:themeColor="background1"/>
            </w:tcBorders>
            <w:noWrap/>
          </w:tcPr>
          <w:p>
            <w:pPr>
              <w:rPr>
                <w:b/>
                <w:noProof/>
                <w:highlight w:val="yellow"/>
                <w:lang w:val="en-GB"/>
              </w:rPr>
            </w:pPr>
          </w:p>
        </w:tc>
        <w:tc>
          <w:tcPr>
            <w:tcW w:w="2673" w:type="dxa"/>
            <w:noWrap/>
          </w:tcPr>
          <w:p>
            <w:pPr>
              <w:rPr>
                <w:noProof/>
                <w:lang w:val="en-GB"/>
              </w:rPr>
            </w:pPr>
            <w:r>
              <w:rPr>
                <w:noProof/>
                <w:lang w:val="en-GB"/>
              </w:rPr>
              <w:t>Germany</w:t>
            </w:r>
          </w:p>
        </w:tc>
        <w:tc>
          <w:tcPr>
            <w:tcW w:w="1451" w:type="dxa"/>
            <w:noWrap/>
          </w:tcPr>
          <w:p>
            <w:pPr>
              <w:rPr>
                <w:noProof/>
                <w:lang w:val="en-GB"/>
              </w:rPr>
            </w:pPr>
            <w:r>
              <w:rPr>
                <w:noProof/>
                <w:lang w:val="en-GB"/>
              </w:rPr>
              <w:t>3</w:t>
            </w:r>
          </w:p>
        </w:tc>
        <w:tc>
          <w:tcPr>
            <w:tcW w:w="2274" w:type="dxa"/>
            <w:noWrap/>
          </w:tcPr>
          <w:p>
            <w:pPr>
              <w:rPr>
                <w:noProof/>
                <w:lang w:val="en-GB"/>
              </w:rPr>
            </w:pPr>
            <w:r>
              <w:rPr>
                <w:noProof/>
                <w:lang w:val="en-GB"/>
              </w:rPr>
              <w:t>4</w:t>
            </w:r>
          </w:p>
        </w:tc>
        <w:tc>
          <w:tcPr>
            <w:tcW w:w="1276" w:type="dxa"/>
            <w:noWrap/>
          </w:tcPr>
          <w:p>
            <w:pPr>
              <w:rPr>
                <w:noProof/>
                <w:lang w:val="en-GB"/>
              </w:rPr>
            </w:pPr>
            <w:r>
              <w:rPr>
                <w:noProof/>
                <w:lang w:val="en-GB"/>
              </w:rPr>
              <w:t>1</w:t>
            </w:r>
          </w:p>
        </w:tc>
      </w:tr>
      <w:tr>
        <w:trPr>
          <w:trHeight w:val="300"/>
        </w:trPr>
        <w:tc>
          <w:tcPr>
            <w:tcW w:w="2391" w:type="dxa"/>
            <w:tcBorders>
              <w:top w:val="single" w:sz="4" w:space="0" w:color="FFFFFF" w:themeColor="background1"/>
              <w:bottom w:val="single" w:sz="4" w:space="0" w:color="FFFFFF" w:themeColor="background1"/>
            </w:tcBorders>
            <w:noWrap/>
          </w:tcPr>
          <w:p>
            <w:pPr>
              <w:rPr>
                <w:b/>
                <w:noProof/>
                <w:highlight w:val="yellow"/>
                <w:lang w:val="en-GB"/>
              </w:rPr>
            </w:pPr>
          </w:p>
        </w:tc>
        <w:tc>
          <w:tcPr>
            <w:tcW w:w="2673" w:type="dxa"/>
            <w:noWrap/>
          </w:tcPr>
          <w:p>
            <w:pPr>
              <w:rPr>
                <w:noProof/>
                <w:lang w:val="en-GB"/>
              </w:rPr>
            </w:pPr>
            <w:r>
              <w:rPr>
                <w:noProof/>
                <w:lang w:val="en-GB"/>
              </w:rPr>
              <w:t>The Netherlands</w:t>
            </w:r>
          </w:p>
        </w:tc>
        <w:tc>
          <w:tcPr>
            <w:tcW w:w="1451" w:type="dxa"/>
            <w:noWrap/>
          </w:tcPr>
          <w:p>
            <w:pPr>
              <w:rPr>
                <w:noProof/>
                <w:lang w:val="en-GB"/>
              </w:rPr>
            </w:pPr>
            <w:r>
              <w:rPr>
                <w:noProof/>
                <w:lang w:val="en-GB"/>
              </w:rPr>
              <w:t>98</w:t>
            </w:r>
          </w:p>
        </w:tc>
        <w:tc>
          <w:tcPr>
            <w:tcW w:w="2274" w:type="dxa"/>
            <w:noWrap/>
          </w:tcPr>
          <w:p>
            <w:pPr>
              <w:rPr>
                <w:noProof/>
                <w:lang w:val="en-GB"/>
              </w:rPr>
            </w:pPr>
            <w:r>
              <w:rPr>
                <w:noProof/>
                <w:lang w:val="en-GB"/>
              </w:rPr>
              <w:t>156</w:t>
            </w:r>
          </w:p>
        </w:tc>
        <w:tc>
          <w:tcPr>
            <w:tcW w:w="1276" w:type="dxa"/>
            <w:noWrap/>
          </w:tcPr>
          <w:p>
            <w:pPr>
              <w:rPr>
                <w:noProof/>
                <w:lang w:val="en-GB"/>
              </w:rPr>
            </w:pPr>
            <w:r>
              <w:rPr>
                <w:noProof/>
                <w:lang w:val="en-GB"/>
              </w:rPr>
              <w:t>58</w:t>
            </w:r>
          </w:p>
        </w:tc>
      </w:tr>
      <w:tr>
        <w:trPr>
          <w:trHeight w:val="300"/>
        </w:trPr>
        <w:tc>
          <w:tcPr>
            <w:tcW w:w="2391" w:type="dxa"/>
            <w:tcBorders>
              <w:right w:val="single" w:sz="4" w:space="0" w:color="FFFFFF" w:themeColor="background1"/>
            </w:tcBorders>
            <w:noWrap/>
          </w:tcPr>
          <w:p>
            <w:pPr>
              <w:rPr>
                <w:b/>
                <w:noProof/>
                <w:lang w:val="en-GB"/>
              </w:rPr>
            </w:pPr>
            <w:r>
              <w:rPr>
                <w:b/>
                <w:noProof/>
                <w:lang w:val="en-GB"/>
              </w:rPr>
              <w:t>Total</w:t>
            </w:r>
          </w:p>
        </w:tc>
        <w:tc>
          <w:tcPr>
            <w:tcW w:w="2673" w:type="dxa"/>
            <w:tcBorders>
              <w:left w:val="single" w:sz="4" w:space="0" w:color="FFFFFF" w:themeColor="background1"/>
            </w:tcBorders>
            <w:noWrap/>
          </w:tcPr>
          <w:p>
            <w:pPr>
              <w:rPr>
                <w:b/>
                <w:noProof/>
                <w:lang w:val="en-GB"/>
              </w:rPr>
            </w:pPr>
          </w:p>
        </w:tc>
        <w:tc>
          <w:tcPr>
            <w:tcW w:w="1451" w:type="dxa"/>
            <w:noWrap/>
          </w:tcPr>
          <w:p>
            <w:pPr>
              <w:rPr>
                <w:b/>
                <w:bCs/>
                <w:noProof/>
                <w:lang w:val="en-GB"/>
              </w:rPr>
            </w:pPr>
            <w:r>
              <w:rPr>
                <w:b/>
                <w:bCs/>
                <w:noProof/>
                <w:lang w:val="en-GB"/>
              </w:rPr>
              <w:t>371</w:t>
            </w:r>
          </w:p>
        </w:tc>
        <w:tc>
          <w:tcPr>
            <w:tcW w:w="2274" w:type="dxa"/>
            <w:noWrap/>
          </w:tcPr>
          <w:p>
            <w:pPr>
              <w:rPr>
                <w:b/>
                <w:bCs/>
                <w:noProof/>
                <w:lang w:val="en-GB"/>
              </w:rPr>
            </w:pPr>
            <w:r>
              <w:rPr>
                <w:b/>
                <w:bCs/>
                <w:noProof/>
                <w:lang w:val="en-GB"/>
              </w:rPr>
              <w:t>742.5</w:t>
            </w:r>
          </w:p>
        </w:tc>
        <w:tc>
          <w:tcPr>
            <w:tcW w:w="1276" w:type="dxa"/>
            <w:noWrap/>
            <w:vAlign w:val="bottom"/>
          </w:tcPr>
          <w:p>
            <w:pPr>
              <w:rPr>
                <w:b/>
                <w:bCs/>
                <w:noProof/>
                <w:lang w:val="en-GB"/>
              </w:rPr>
            </w:pPr>
            <w:r>
              <w:rPr>
                <w:b/>
                <w:bCs/>
                <w:noProof/>
                <w:lang w:val="en-GB"/>
              </w:rPr>
              <w:t>299</w:t>
            </w:r>
            <w:r>
              <w:rPr>
                <w:rStyle w:val="FootnoteReference"/>
                <w:bCs/>
                <w:noProof/>
                <w:lang w:val="en-GB"/>
              </w:rPr>
              <w:footnoteReference w:id="6"/>
            </w:r>
          </w:p>
        </w:tc>
      </w:tr>
    </w:tbl>
    <w:p>
      <w:pPr>
        <w:rPr>
          <w:noProof/>
        </w:rPr>
      </w:pPr>
    </w:p>
    <w:p>
      <w:pPr>
        <w:jc w:val="both"/>
        <w:rPr>
          <w:rFonts w:ascii="Times New Roman" w:hAnsi="Times New Roman"/>
          <w:noProof/>
          <w:sz w:val="24"/>
          <w:szCs w:val="24"/>
          <w:lang w:val="en-IE"/>
        </w:rPr>
      </w:pPr>
      <w:r>
        <w:rPr>
          <w:rFonts w:ascii="Times New Roman" w:hAnsi="Times New Roman"/>
          <w:noProof/>
          <w:sz w:val="24"/>
          <w:szCs w:val="24"/>
          <w:lang w:val="en-IE"/>
        </w:rPr>
        <w:t xml:space="preserve">Article 18 of the Offshore Safety Directive requires Member States to ensure that the competent </w:t>
      </w:r>
      <w:r>
        <w:rPr>
          <w:rFonts w:ascii="Times New Roman" w:hAnsi="Times New Roman"/>
          <w:noProof/>
          <w:sz w:val="24"/>
          <w:szCs w:val="24"/>
        </w:rPr>
        <w:t xml:space="preserve">Member State </w:t>
      </w:r>
      <w:r>
        <w:rPr>
          <w:rFonts w:ascii="Times New Roman" w:hAnsi="Times New Roman"/>
          <w:noProof/>
          <w:sz w:val="24"/>
          <w:szCs w:val="24"/>
          <w:lang w:val="en-IE"/>
        </w:rPr>
        <w:t xml:space="preserve">authorities have certain rights and powers regarding operations and installations under their jurisdiction. These powers include the right to prohibit the operation of installations, the right to require operators to take measures ensuring risk management compliance and the right to take measures ensuring the continuing safety of operations. </w:t>
      </w:r>
    </w:p>
    <w:p>
      <w:pPr>
        <w:jc w:val="both"/>
        <w:rPr>
          <w:rFonts w:ascii="Times New Roman" w:hAnsi="Times New Roman"/>
          <w:noProof/>
          <w:sz w:val="24"/>
          <w:szCs w:val="24"/>
          <w:lang w:val="en-IE"/>
        </w:rPr>
      </w:pPr>
      <w:r>
        <w:rPr>
          <w:rFonts w:ascii="Times New Roman" w:hAnsi="Times New Roman"/>
          <w:noProof/>
          <w:sz w:val="24"/>
          <w:szCs w:val="24"/>
          <w:lang w:val="en-IE"/>
        </w:rPr>
        <w:lastRenderedPageBreak/>
        <w:t xml:space="preserve">In 2024, there were three investigations regarding major accidents. Of these, two are finalised (Italy and Denmark), and one is still ongoing (Croatia).  </w:t>
      </w:r>
    </w:p>
    <w:p>
      <w:pPr>
        <w:jc w:val="both"/>
        <w:rPr>
          <w:rFonts w:ascii="Times New Roman" w:hAnsi="Times New Roman"/>
          <w:noProof/>
          <w:sz w:val="24"/>
          <w:szCs w:val="24"/>
          <w:lang w:val="en-IE"/>
        </w:rPr>
      </w:pPr>
      <w:r>
        <w:rPr>
          <w:rFonts w:ascii="Times New Roman" w:hAnsi="Times New Roman"/>
          <w:noProof/>
          <w:sz w:val="24"/>
          <w:szCs w:val="24"/>
          <w:lang w:val="en-IE"/>
        </w:rPr>
        <w:t xml:space="preserve">No enforcement actions were taken during 2024. </w:t>
      </w:r>
    </w:p>
    <w:p>
      <w:pPr>
        <w:pStyle w:val="Heading1"/>
        <w:ind w:left="720" w:hanging="720"/>
        <w:rPr>
          <w:rFonts w:ascii="Times New Roman" w:hAnsi="Times New Roman"/>
          <w:color w:val="auto"/>
        </w:rPr>
      </w:pPr>
      <w:bookmarkStart w:id="8" w:name="_Toc116313754"/>
      <w:r>
        <w:rPr>
          <w:rFonts w:ascii="Times New Roman" w:hAnsi="Times New Roman"/>
          <w:color w:val="auto"/>
        </w:rPr>
        <w:t>5.</w:t>
      </w:r>
      <w:r>
        <w:rPr>
          <w:rFonts w:ascii="Times New Roman" w:hAnsi="Times New Roman"/>
          <w:color w:val="auto"/>
        </w:rPr>
        <w:tab/>
        <w:t>INCIDENTS AND SAFETY PERFORMANCE</w:t>
      </w:r>
      <w:bookmarkEnd w:id="8"/>
    </w:p>
    <w:p>
      <w:pPr>
        <w:jc w:val="both"/>
        <w:rPr>
          <w:rFonts w:ascii="Times New Roman" w:hAnsi="Times New Roman"/>
          <w:noProof/>
          <w:sz w:val="24"/>
          <w:szCs w:val="24"/>
          <w:lang w:val="en-IE"/>
        </w:rPr>
      </w:pPr>
      <w:r>
        <w:rPr>
          <w:rFonts w:ascii="Times New Roman" w:hAnsi="Times New Roman"/>
          <w:noProof/>
          <w:sz w:val="24"/>
          <w:szCs w:val="24"/>
          <w:lang w:val="en-IE"/>
        </w:rPr>
        <w:t xml:space="preserve">Operators and owners of installations and competent </w:t>
      </w:r>
      <w:r>
        <w:rPr>
          <w:rFonts w:ascii="Times New Roman" w:hAnsi="Times New Roman"/>
          <w:noProof/>
          <w:sz w:val="24"/>
          <w:szCs w:val="24"/>
        </w:rPr>
        <w:t>Member State</w:t>
      </w:r>
      <w:r>
        <w:rPr>
          <w:rFonts w:ascii="Times New Roman" w:hAnsi="Times New Roman"/>
          <w:noProof/>
          <w:sz w:val="24"/>
          <w:szCs w:val="24"/>
          <w:lang w:val="en-IE"/>
        </w:rPr>
        <w:t xml:space="preserve"> authorities must report an accident or situation of serious danger (referred to as an ‘event’). However, a single event can be categorised by one or more incidents. For example, two incident categories must be notified for the same event if there was an (a) unintended release of gas that (b)</w:t>
      </w:r>
      <w:r>
        <w:rPr>
          <w:rFonts w:ascii="Times New Roman" w:hAnsi="Times New Roman"/>
          <w:b/>
          <w:noProof/>
          <w:sz w:val="24"/>
          <w:szCs w:val="24"/>
          <w:lang w:val="en-IE"/>
        </w:rPr>
        <w:t xml:space="preserve"> </w:t>
      </w:r>
      <w:r>
        <w:rPr>
          <w:rFonts w:ascii="Times New Roman" w:hAnsi="Times New Roman"/>
          <w:bCs/>
          <w:noProof/>
          <w:sz w:val="24"/>
          <w:szCs w:val="24"/>
          <w:lang w:val="en-IE"/>
        </w:rPr>
        <w:t>also</w:t>
      </w:r>
      <w:r>
        <w:rPr>
          <w:rFonts w:ascii="Times New Roman" w:hAnsi="Times New Roman"/>
          <w:b/>
          <w:noProof/>
          <w:sz w:val="24"/>
          <w:szCs w:val="24"/>
          <w:lang w:val="en-IE"/>
        </w:rPr>
        <w:t xml:space="preserve"> </w:t>
      </w:r>
      <w:r>
        <w:rPr>
          <w:rFonts w:ascii="Times New Roman" w:hAnsi="Times New Roman"/>
          <w:noProof/>
          <w:sz w:val="24"/>
          <w:szCs w:val="24"/>
          <w:lang w:val="en-IE"/>
        </w:rPr>
        <w:t xml:space="preserve">required the evacuation of staff. </w:t>
      </w:r>
    </w:p>
    <w:p>
      <w:pPr>
        <w:jc w:val="both"/>
        <w:rPr>
          <w:rFonts w:ascii="Times New Roman" w:hAnsi="Times New Roman"/>
          <w:noProof/>
          <w:sz w:val="24"/>
          <w:szCs w:val="24"/>
          <w:lang w:val="en-IE"/>
        </w:rPr>
      </w:pPr>
      <w:r>
        <w:rPr>
          <w:rFonts w:ascii="Times New Roman" w:hAnsi="Times New Roman"/>
          <w:noProof/>
          <w:sz w:val="24"/>
          <w:szCs w:val="24"/>
          <w:lang w:val="en-IE"/>
        </w:rPr>
        <w:t>Member States reported 72 events</w:t>
      </w:r>
      <w:r>
        <w:rPr>
          <w:rStyle w:val="FootnoteReference"/>
          <w:rFonts w:ascii="Times New Roman" w:hAnsi="Times New Roman"/>
          <w:noProof/>
          <w:sz w:val="24"/>
          <w:szCs w:val="24"/>
          <w:lang w:val="en-IE"/>
        </w:rPr>
        <w:footnoteReference w:id="7"/>
      </w:r>
      <w:r>
        <w:rPr>
          <w:rFonts w:ascii="Times New Roman" w:hAnsi="Times New Roman"/>
          <w:noProof/>
          <w:sz w:val="24"/>
          <w:szCs w:val="24"/>
          <w:lang w:val="en-IE"/>
        </w:rPr>
        <w:t xml:space="preserve"> in 2024 compared to 44 in 2023:</w:t>
      </w:r>
    </w:p>
    <w:p>
      <w:pPr>
        <w:pStyle w:val="ListParagraph"/>
        <w:numPr>
          <w:ilvl w:val="0"/>
          <w:numId w:val="4"/>
        </w:numPr>
        <w:spacing w:after="0"/>
        <w:jc w:val="both"/>
        <w:rPr>
          <w:rFonts w:ascii="Times New Roman" w:hAnsi="Times New Roman"/>
          <w:noProof/>
          <w:sz w:val="24"/>
          <w:szCs w:val="24"/>
          <w:lang w:val="en-IE"/>
        </w:rPr>
      </w:pPr>
      <w:r>
        <w:rPr>
          <w:rFonts w:ascii="Times New Roman" w:hAnsi="Times New Roman"/>
          <w:noProof/>
          <w:sz w:val="24"/>
          <w:szCs w:val="24"/>
          <w:lang w:val="en-IE"/>
        </w:rPr>
        <w:t>Denmark – 21 events, one major accident</w:t>
      </w:r>
      <w:r>
        <w:rPr>
          <w:rStyle w:val="FootnoteReference"/>
          <w:rFonts w:ascii="Times New Roman" w:hAnsi="Times New Roman"/>
          <w:noProof/>
          <w:sz w:val="24"/>
          <w:szCs w:val="24"/>
          <w:lang w:val="en-IE"/>
        </w:rPr>
        <w:footnoteReference w:id="8"/>
      </w:r>
      <w:r>
        <w:rPr>
          <w:rFonts w:ascii="Times New Roman" w:hAnsi="Times New Roman"/>
          <w:noProof/>
          <w:sz w:val="24"/>
          <w:szCs w:val="24"/>
          <w:lang w:val="en-IE"/>
        </w:rPr>
        <w:t xml:space="preserve"> (12 events in 2023).</w:t>
      </w:r>
      <w:r>
        <w:rPr>
          <w:rStyle w:val="FootnoteReference"/>
          <w:rFonts w:ascii="Times New Roman" w:hAnsi="Times New Roman"/>
          <w:noProof/>
          <w:sz w:val="24"/>
          <w:szCs w:val="24"/>
          <w:lang w:val="en-IE"/>
        </w:rPr>
        <w:footnoteReference w:id="9"/>
      </w:r>
    </w:p>
    <w:p>
      <w:pPr>
        <w:pStyle w:val="ListParagraph"/>
        <w:numPr>
          <w:ilvl w:val="0"/>
          <w:numId w:val="4"/>
        </w:numPr>
        <w:spacing w:after="0"/>
        <w:jc w:val="both"/>
        <w:rPr>
          <w:rFonts w:ascii="Times New Roman" w:hAnsi="Times New Roman"/>
          <w:noProof/>
          <w:sz w:val="24"/>
          <w:szCs w:val="24"/>
          <w:lang w:val="en-IE"/>
        </w:rPr>
      </w:pPr>
      <w:r>
        <w:rPr>
          <w:rFonts w:ascii="Times New Roman" w:hAnsi="Times New Roman"/>
          <w:noProof/>
          <w:sz w:val="24"/>
          <w:szCs w:val="24"/>
          <w:lang w:val="en-IE"/>
        </w:rPr>
        <w:t>Croatia – 8 events, no major accidents (8 events in 2023).</w:t>
      </w:r>
      <w:r>
        <w:rPr>
          <w:rStyle w:val="FootnoteReference"/>
          <w:rFonts w:ascii="Times New Roman" w:hAnsi="Times New Roman"/>
          <w:noProof/>
          <w:sz w:val="24"/>
          <w:szCs w:val="24"/>
          <w:lang w:val="en-IE"/>
        </w:rPr>
        <w:footnoteReference w:id="10"/>
      </w:r>
    </w:p>
    <w:p>
      <w:pPr>
        <w:pStyle w:val="ListParagraph"/>
        <w:numPr>
          <w:ilvl w:val="0"/>
          <w:numId w:val="4"/>
        </w:numPr>
        <w:spacing w:after="0"/>
        <w:jc w:val="both"/>
        <w:rPr>
          <w:rFonts w:ascii="Times New Roman" w:hAnsi="Times New Roman"/>
          <w:noProof/>
          <w:sz w:val="24"/>
          <w:szCs w:val="24"/>
          <w:lang w:val="en-IE"/>
        </w:rPr>
      </w:pPr>
      <w:r>
        <w:rPr>
          <w:rFonts w:ascii="Times New Roman" w:hAnsi="Times New Roman"/>
          <w:noProof/>
          <w:sz w:val="24"/>
          <w:szCs w:val="24"/>
          <w:lang w:val="en-IE"/>
        </w:rPr>
        <w:t>The Netherlands – 45 events, no major accidents</w:t>
      </w:r>
      <w:r>
        <w:rPr>
          <w:rStyle w:val="FootnoteReference"/>
          <w:rFonts w:ascii="Times New Roman" w:hAnsi="Times New Roman"/>
          <w:noProof/>
          <w:sz w:val="24"/>
          <w:szCs w:val="24"/>
          <w:lang w:val="en-IE"/>
        </w:rPr>
        <w:footnoteReference w:id="11"/>
      </w:r>
      <w:r>
        <w:rPr>
          <w:rFonts w:ascii="Times New Roman" w:hAnsi="Times New Roman"/>
          <w:noProof/>
          <w:sz w:val="24"/>
          <w:szCs w:val="24"/>
          <w:lang w:val="en-IE"/>
        </w:rPr>
        <w:t xml:space="preserve"> (24 events in 2023).</w:t>
      </w:r>
      <w:r>
        <w:rPr>
          <w:rStyle w:val="FootnoteReference"/>
          <w:rFonts w:ascii="Times New Roman" w:hAnsi="Times New Roman"/>
          <w:noProof/>
          <w:sz w:val="24"/>
          <w:szCs w:val="24"/>
          <w:lang w:val="en-IE"/>
        </w:rPr>
        <w:footnoteReference w:id="12"/>
      </w:r>
    </w:p>
    <w:p>
      <w:pPr>
        <w:pStyle w:val="ListParagraph"/>
        <w:numPr>
          <w:ilvl w:val="0"/>
          <w:numId w:val="4"/>
        </w:numPr>
        <w:spacing w:after="0"/>
        <w:jc w:val="both"/>
        <w:rPr>
          <w:rFonts w:ascii="Times New Roman" w:hAnsi="Times New Roman"/>
          <w:noProof/>
          <w:sz w:val="24"/>
          <w:szCs w:val="24"/>
          <w:lang w:val="en-IE"/>
        </w:rPr>
      </w:pPr>
      <w:r>
        <w:rPr>
          <w:rFonts w:ascii="Times New Roman" w:hAnsi="Times New Roman"/>
          <w:noProof/>
          <w:sz w:val="24"/>
          <w:szCs w:val="24"/>
          <w:lang w:val="en-IE"/>
        </w:rPr>
        <w:t>Greece - 4 events</w:t>
      </w:r>
      <w:r>
        <w:rPr>
          <w:rStyle w:val="FootnoteReference"/>
          <w:rFonts w:ascii="Times New Roman" w:hAnsi="Times New Roman"/>
          <w:noProof/>
          <w:sz w:val="24"/>
          <w:szCs w:val="24"/>
          <w:lang w:val="en-IE"/>
        </w:rPr>
        <w:footnoteReference w:id="13"/>
      </w:r>
      <w:r>
        <w:rPr>
          <w:rFonts w:ascii="Times New Roman" w:hAnsi="Times New Roman"/>
          <w:noProof/>
          <w:sz w:val="24"/>
          <w:szCs w:val="24"/>
          <w:lang w:val="en-IE"/>
        </w:rPr>
        <w:t>, no major accidents (0 events in 2023).</w:t>
      </w:r>
    </w:p>
    <w:p>
      <w:pPr>
        <w:pStyle w:val="ListParagraph"/>
        <w:numPr>
          <w:ilvl w:val="0"/>
          <w:numId w:val="4"/>
        </w:numPr>
        <w:spacing w:after="0"/>
        <w:jc w:val="both"/>
        <w:rPr>
          <w:rFonts w:ascii="Times New Roman" w:hAnsi="Times New Roman"/>
          <w:noProof/>
          <w:sz w:val="24"/>
          <w:szCs w:val="24"/>
          <w:lang w:val="en-IE"/>
        </w:rPr>
      </w:pPr>
      <w:r>
        <w:rPr>
          <w:rFonts w:ascii="Times New Roman" w:hAnsi="Times New Roman"/>
          <w:noProof/>
          <w:sz w:val="24"/>
          <w:szCs w:val="24"/>
          <w:lang w:val="en-IE"/>
        </w:rPr>
        <w:t>Italy - 1 major accident</w:t>
      </w:r>
      <w:r>
        <w:rPr>
          <w:rStyle w:val="FootnoteReference"/>
          <w:rFonts w:ascii="Times New Roman" w:hAnsi="Times New Roman"/>
          <w:noProof/>
          <w:sz w:val="24"/>
          <w:szCs w:val="24"/>
          <w:lang w:val="en-IE"/>
        </w:rPr>
        <w:footnoteReference w:id="14"/>
      </w:r>
      <w:r>
        <w:rPr>
          <w:rFonts w:ascii="Times New Roman" w:hAnsi="Times New Roman"/>
          <w:noProof/>
          <w:sz w:val="24"/>
          <w:szCs w:val="24"/>
          <w:lang w:val="en-IE"/>
        </w:rPr>
        <w:t xml:space="preserve"> (0 in 2023, and 0 events).</w:t>
      </w:r>
    </w:p>
    <w:p>
      <w:pPr>
        <w:spacing w:after="0"/>
        <w:jc w:val="both"/>
        <w:rPr>
          <w:rFonts w:ascii="Times New Roman" w:hAnsi="Times New Roman"/>
          <w:noProof/>
          <w:sz w:val="24"/>
          <w:szCs w:val="24"/>
          <w:lang w:val="en-IE"/>
        </w:rPr>
      </w:pPr>
    </w:p>
    <w:p>
      <w:pPr>
        <w:spacing w:after="0"/>
        <w:jc w:val="both"/>
        <w:rPr>
          <w:rFonts w:ascii="Times New Roman" w:hAnsi="Times New Roman"/>
          <w:noProof/>
          <w:sz w:val="24"/>
          <w:szCs w:val="24"/>
          <w:lang w:val="en-IE"/>
        </w:rPr>
      </w:pPr>
      <w:r>
        <w:rPr>
          <w:rFonts w:ascii="Times New Roman" w:hAnsi="Times New Roman"/>
          <w:noProof/>
          <w:sz w:val="24"/>
          <w:szCs w:val="24"/>
          <w:lang w:val="en-IE"/>
        </w:rPr>
        <w:t>Of the incidents that occurred in 2024, 81,94 % concerned the unintended releases of gas and/or oil and/or hazardous substances, 16,67 % concerned a safety and environmental critical element failure, and 1,39% concerned vessel collisions. None of those incidents led to the loss of life. No loss of well or helicopter accidents were reported.</w:t>
      </w:r>
    </w:p>
    <w:p>
      <w:pPr>
        <w:spacing w:after="0"/>
        <w:jc w:val="both"/>
        <w:rPr>
          <w:rFonts w:ascii="Times New Roman" w:hAnsi="Times New Roman"/>
          <w:noProof/>
          <w:sz w:val="24"/>
          <w:szCs w:val="24"/>
        </w:rPr>
      </w:pPr>
    </w:p>
    <w:p>
      <w:pPr>
        <w:pStyle w:val="Caption"/>
        <w:rPr>
          <w:noProof/>
          <w:lang w:val="en-GB"/>
        </w:rPr>
      </w:pPr>
      <w:r>
        <w:rPr>
          <w:noProof/>
          <w:lang w:val="en-GB"/>
        </w:rPr>
        <w:t>Table 4: Incidents by category (set out in Annex IX to the Offshore Safety Directive) in 2024</w:t>
      </w:r>
    </w:p>
    <w:tbl>
      <w:tblPr>
        <w:tblStyle w:val="TableGrid"/>
        <w:tblW w:w="10025" w:type="dxa"/>
        <w:tblLook w:val="04A0" w:firstRow="1" w:lastRow="0" w:firstColumn="1" w:lastColumn="0" w:noHBand="0" w:noVBand="1"/>
      </w:tblPr>
      <w:tblGrid>
        <w:gridCol w:w="479"/>
        <w:gridCol w:w="5250"/>
        <w:gridCol w:w="709"/>
        <w:gridCol w:w="1215"/>
        <w:gridCol w:w="1556"/>
        <w:gridCol w:w="816"/>
      </w:tblGrid>
      <w:tr>
        <w:trPr>
          <w:trHeight w:val="300"/>
        </w:trPr>
        <w:tc>
          <w:tcPr>
            <w:tcW w:w="5729" w:type="dxa"/>
            <w:gridSpan w:val="2"/>
            <w:noWrap/>
            <w:hideMark/>
          </w:tcPr>
          <w:p>
            <w:pPr>
              <w:rPr>
                <w:b/>
                <w:noProof/>
                <w:lang w:val="en-GB"/>
              </w:rPr>
            </w:pPr>
            <w:r>
              <w:rPr>
                <w:b/>
                <w:noProof/>
                <w:lang w:val="en-GB"/>
              </w:rPr>
              <w:t>Category</w:t>
            </w:r>
          </w:p>
        </w:tc>
        <w:tc>
          <w:tcPr>
            <w:tcW w:w="709" w:type="dxa"/>
            <w:noWrap/>
            <w:hideMark/>
          </w:tcPr>
          <w:p>
            <w:pPr>
              <w:rPr>
                <w:b/>
                <w:noProof/>
                <w:lang w:val="en-GB"/>
              </w:rPr>
            </w:pPr>
            <w:r>
              <w:rPr>
                <w:b/>
                <w:noProof/>
                <w:lang w:val="en-GB"/>
              </w:rPr>
              <w:t>Total</w:t>
            </w:r>
          </w:p>
        </w:tc>
        <w:tc>
          <w:tcPr>
            <w:tcW w:w="1215" w:type="dxa"/>
            <w:noWrap/>
            <w:hideMark/>
          </w:tcPr>
          <w:p>
            <w:pPr>
              <w:rPr>
                <w:b/>
                <w:noProof/>
                <w:lang w:val="en-GB"/>
              </w:rPr>
            </w:pPr>
            <w:r>
              <w:rPr>
                <w:b/>
                <w:noProof/>
                <w:lang w:val="en-GB"/>
              </w:rPr>
              <w:t>Share of category total</w:t>
            </w:r>
          </w:p>
        </w:tc>
        <w:tc>
          <w:tcPr>
            <w:tcW w:w="1556" w:type="dxa"/>
            <w:noWrap/>
            <w:hideMark/>
          </w:tcPr>
          <w:p>
            <w:pPr>
              <w:rPr>
                <w:b/>
                <w:noProof/>
                <w:lang w:val="en-GB"/>
              </w:rPr>
            </w:pPr>
            <w:r>
              <w:rPr>
                <w:b/>
                <w:noProof/>
                <w:lang w:val="en-GB"/>
              </w:rPr>
              <w:t>Share of total incidents</w:t>
            </w:r>
          </w:p>
        </w:tc>
        <w:tc>
          <w:tcPr>
            <w:tcW w:w="816" w:type="dxa"/>
          </w:tcPr>
          <w:p>
            <w:pPr>
              <w:rPr>
                <w:b/>
                <w:noProof/>
                <w:lang w:val="en-GB"/>
              </w:rPr>
            </w:pPr>
            <w:r>
              <w:rPr>
                <w:b/>
                <w:noProof/>
                <w:lang w:val="en-GB"/>
              </w:rPr>
              <w:t>Rel growth vs 2023</w:t>
            </w:r>
          </w:p>
        </w:tc>
      </w:tr>
      <w:tr>
        <w:trPr>
          <w:trHeight w:val="300"/>
        </w:trPr>
        <w:tc>
          <w:tcPr>
            <w:tcW w:w="479" w:type="dxa"/>
            <w:tcBorders>
              <w:right w:val="single" w:sz="4" w:space="0" w:color="FFFFFF" w:themeColor="background1"/>
            </w:tcBorders>
            <w:noWrap/>
            <w:hideMark/>
          </w:tcPr>
          <w:p>
            <w:pPr>
              <w:rPr>
                <w:b/>
                <w:bCs/>
                <w:noProof/>
                <w:lang w:val="en-GB"/>
              </w:rPr>
            </w:pPr>
            <w:r>
              <w:rPr>
                <w:b/>
                <w:bCs/>
                <w:noProof/>
                <w:lang w:val="en-GB"/>
              </w:rPr>
              <w:t>(a)</w:t>
            </w:r>
          </w:p>
        </w:tc>
        <w:tc>
          <w:tcPr>
            <w:tcW w:w="5250" w:type="dxa"/>
            <w:tcBorders>
              <w:left w:val="single" w:sz="4" w:space="0" w:color="FFFFFF" w:themeColor="background1"/>
            </w:tcBorders>
            <w:noWrap/>
            <w:hideMark/>
          </w:tcPr>
          <w:p>
            <w:pPr>
              <w:rPr>
                <w:b/>
                <w:bCs/>
                <w:noProof/>
                <w:lang w:val="en-GB"/>
              </w:rPr>
            </w:pPr>
            <w:r>
              <w:rPr>
                <w:b/>
                <w:bCs/>
                <w:noProof/>
                <w:lang w:val="en-GB"/>
              </w:rPr>
              <w:t>Unintended releases – total</w:t>
            </w:r>
          </w:p>
        </w:tc>
        <w:tc>
          <w:tcPr>
            <w:tcW w:w="709" w:type="dxa"/>
            <w:noWrap/>
            <w:hideMark/>
          </w:tcPr>
          <w:p>
            <w:pPr>
              <w:rPr>
                <w:b/>
                <w:bCs/>
                <w:noProof/>
                <w:lang w:val="en-GB"/>
              </w:rPr>
            </w:pPr>
            <w:r>
              <w:rPr>
                <w:b/>
                <w:bCs/>
                <w:noProof/>
                <w:lang w:val="en-GB"/>
              </w:rPr>
              <w:t>59</w:t>
            </w:r>
          </w:p>
        </w:tc>
        <w:tc>
          <w:tcPr>
            <w:tcW w:w="1215" w:type="dxa"/>
            <w:noWrap/>
            <w:hideMark/>
          </w:tcPr>
          <w:p>
            <w:pPr>
              <w:rPr>
                <w:b/>
                <w:bCs/>
                <w:noProof/>
                <w:lang w:val="en-GB"/>
              </w:rPr>
            </w:pPr>
            <w:r>
              <w:rPr>
                <w:b/>
                <w:bCs/>
                <w:noProof/>
                <w:lang w:val="en-GB"/>
              </w:rPr>
              <w:t>100%</w:t>
            </w:r>
          </w:p>
        </w:tc>
        <w:tc>
          <w:tcPr>
            <w:tcW w:w="1556" w:type="dxa"/>
            <w:noWrap/>
            <w:hideMark/>
          </w:tcPr>
          <w:p>
            <w:pPr>
              <w:rPr>
                <w:b/>
                <w:bCs/>
                <w:noProof/>
                <w:lang w:val="en-GB"/>
              </w:rPr>
            </w:pPr>
            <w:r>
              <w:rPr>
                <w:b/>
                <w:bCs/>
                <w:noProof/>
                <w:lang w:val="en-GB"/>
              </w:rPr>
              <w:t>81.94%</w:t>
            </w:r>
          </w:p>
        </w:tc>
        <w:tc>
          <w:tcPr>
            <w:tcW w:w="816" w:type="dxa"/>
          </w:tcPr>
          <w:p>
            <w:pPr>
              <w:rPr>
                <w:b/>
                <w:bCs/>
                <w:noProof/>
                <w:lang w:val="en-GB"/>
              </w:rPr>
            </w:pPr>
            <w:r>
              <w:rPr>
                <w:b/>
                <w:bCs/>
                <w:noProof/>
                <w:lang w:val="en-GB"/>
              </w:rPr>
              <w:t>+55%</w:t>
            </w:r>
          </w:p>
        </w:tc>
      </w:tr>
      <w:tr>
        <w:trPr>
          <w:trHeight w:val="300"/>
        </w:trPr>
        <w:tc>
          <w:tcPr>
            <w:tcW w:w="479" w:type="dxa"/>
            <w:tcBorders>
              <w:right w:val="single" w:sz="4" w:space="0" w:color="FFFFFF" w:themeColor="background1"/>
            </w:tcBorders>
            <w:noWrap/>
            <w:hideMark/>
          </w:tcPr>
          <w:p>
            <w:pPr>
              <w:rPr>
                <w:noProof/>
                <w:lang w:val="en-GB"/>
              </w:rPr>
            </w:pPr>
          </w:p>
        </w:tc>
        <w:tc>
          <w:tcPr>
            <w:tcW w:w="5250" w:type="dxa"/>
            <w:tcBorders>
              <w:left w:val="single" w:sz="4" w:space="0" w:color="FFFFFF" w:themeColor="background1"/>
            </w:tcBorders>
            <w:noWrap/>
            <w:hideMark/>
          </w:tcPr>
          <w:p>
            <w:pPr>
              <w:rPr>
                <w:noProof/>
                <w:lang w:val="en-GB"/>
              </w:rPr>
            </w:pPr>
            <w:r>
              <w:rPr>
                <w:noProof/>
                <w:lang w:val="en-GB"/>
              </w:rPr>
              <w:t>Fires caused by ignited oil/gas</w:t>
            </w:r>
          </w:p>
        </w:tc>
        <w:tc>
          <w:tcPr>
            <w:tcW w:w="709" w:type="dxa"/>
            <w:noWrap/>
            <w:hideMark/>
          </w:tcPr>
          <w:p>
            <w:pPr>
              <w:rPr>
                <w:noProof/>
                <w:lang w:val="en-GB"/>
              </w:rPr>
            </w:pPr>
            <w:r>
              <w:rPr>
                <w:noProof/>
                <w:lang w:val="en-GB"/>
              </w:rPr>
              <w:t>0</w:t>
            </w:r>
          </w:p>
        </w:tc>
        <w:tc>
          <w:tcPr>
            <w:tcW w:w="1215" w:type="dxa"/>
            <w:noWrap/>
            <w:hideMark/>
          </w:tcPr>
          <w:p>
            <w:pPr>
              <w:rPr>
                <w:noProof/>
                <w:lang w:val="en-GB"/>
              </w:rPr>
            </w:pPr>
            <w:r>
              <w:rPr>
                <w:noProof/>
                <w:lang w:val="en-GB"/>
              </w:rPr>
              <w:t>0%</w:t>
            </w:r>
          </w:p>
        </w:tc>
        <w:tc>
          <w:tcPr>
            <w:tcW w:w="1556" w:type="dxa"/>
            <w:noWrap/>
            <w:hideMark/>
          </w:tcPr>
          <w:p>
            <w:pPr>
              <w:rPr>
                <w:noProof/>
                <w:lang w:val="en-GB"/>
              </w:rPr>
            </w:pPr>
            <w:r>
              <w:rPr>
                <w:noProof/>
                <w:lang w:val="en-GB"/>
              </w:rPr>
              <w:t>0.00%</w:t>
            </w:r>
          </w:p>
        </w:tc>
        <w:tc>
          <w:tcPr>
            <w:tcW w:w="816" w:type="dxa"/>
          </w:tcPr>
          <w:p>
            <w:pPr>
              <w:rPr>
                <w:noProof/>
                <w:lang w:val="en-GB"/>
              </w:rPr>
            </w:pPr>
            <w:r>
              <w:rPr>
                <w:noProof/>
                <w:lang w:val="en-GB"/>
              </w:rPr>
              <w:t>--</w:t>
            </w:r>
          </w:p>
        </w:tc>
      </w:tr>
      <w:tr>
        <w:trPr>
          <w:trHeight w:val="300"/>
        </w:trPr>
        <w:tc>
          <w:tcPr>
            <w:tcW w:w="479" w:type="dxa"/>
            <w:tcBorders>
              <w:right w:val="single" w:sz="4" w:space="0" w:color="FFFFFF" w:themeColor="background1"/>
            </w:tcBorders>
            <w:noWrap/>
            <w:hideMark/>
          </w:tcPr>
          <w:p>
            <w:pPr>
              <w:rPr>
                <w:noProof/>
                <w:lang w:val="en-GB"/>
              </w:rPr>
            </w:pPr>
          </w:p>
        </w:tc>
        <w:tc>
          <w:tcPr>
            <w:tcW w:w="5250" w:type="dxa"/>
            <w:tcBorders>
              <w:left w:val="single" w:sz="4" w:space="0" w:color="FFFFFF" w:themeColor="background1"/>
            </w:tcBorders>
            <w:noWrap/>
            <w:hideMark/>
          </w:tcPr>
          <w:p>
            <w:pPr>
              <w:rPr>
                <w:noProof/>
                <w:lang w:val="en-GB"/>
              </w:rPr>
            </w:pPr>
            <w:r>
              <w:rPr>
                <w:noProof/>
                <w:lang w:val="en-GB"/>
              </w:rPr>
              <w:t>Explosions caused by ignited oil/gas</w:t>
            </w:r>
          </w:p>
        </w:tc>
        <w:tc>
          <w:tcPr>
            <w:tcW w:w="709" w:type="dxa"/>
            <w:noWrap/>
            <w:hideMark/>
          </w:tcPr>
          <w:p>
            <w:pPr>
              <w:rPr>
                <w:noProof/>
                <w:lang w:val="en-GB"/>
              </w:rPr>
            </w:pPr>
            <w:r>
              <w:rPr>
                <w:noProof/>
                <w:lang w:val="en-GB"/>
              </w:rPr>
              <w:t>0</w:t>
            </w:r>
          </w:p>
        </w:tc>
        <w:tc>
          <w:tcPr>
            <w:tcW w:w="1215" w:type="dxa"/>
            <w:noWrap/>
            <w:hideMark/>
          </w:tcPr>
          <w:p>
            <w:pPr>
              <w:rPr>
                <w:noProof/>
                <w:lang w:val="en-GB"/>
              </w:rPr>
            </w:pPr>
            <w:r>
              <w:rPr>
                <w:noProof/>
                <w:lang w:val="en-GB"/>
              </w:rPr>
              <w:t>0%</w:t>
            </w:r>
          </w:p>
        </w:tc>
        <w:tc>
          <w:tcPr>
            <w:tcW w:w="1556" w:type="dxa"/>
            <w:noWrap/>
            <w:hideMark/>
          </w:tcPr>
          <w:p>
            <w:pPr>
              <w:rPr>
                <w:noProof/>
                <w:lang w:val="en-GB"/>
              </w:rPr>
            </w:pPr>
            <w:r>
              <w:rPr>
                <w:noProof/>
                <w:lang w:val="en-GB"/>
              </w:rPr>
              <w:t>0.00%</w:t>
            </w:r>
          </w:p>
        </w:tc>
        <w:tc>
          <w:tcPr>
            <w:tcW w:w="816" w:type="dxa"/>
          </w:tcPr>
          <w:p>
            <w:pPr>
              <w:rPr>
                <w:noProof/>
                <w:lang w:val="en-GB"/>
              </w:rPr>
            </w:pPr>
            <w:r>
              <w:rPr>
                <w:noProof/>
                <w:lang w:val="en-GB"/>
              </w:rPr>
              <w:t>--</w:t>
            </w:r>
          </w:p>
        </w:tc>
      </w:tr>
      <w:tr>
        <w:trPr>
          <w:trHeight w:val="300"/>
        </w:trPr>
        <w:tc>
          <w:tcPr>
            <w:tcW w:w="479" w:type="dxa"/>
            <w:tcBorders>
              <w:right w:val="single" w:sz="4" w:space="0" w:color="FFFFFF" w:themeColor="background1"/>
            </w:tcBorders>
            <w:noWrap/>
            <w:hideMark/>
          </w:tcPr>
          <w:p>
            <w:pPr>
              <w:rPr>
                <w:noProof/>
                <w:lang w:val="en-GB"/>
              </w:rPr>
            </w:pPr>
          </w:p>
        </w:tc>
        <w:tc>
          <w:tcPr>
            <w:tcW w:w="5250" w:type="dxa"/>
            <w:tcBorders>
              <w:left w:val="single" w:sz="4" w:space="0" w:color="FFFFFF" w:themeColor="background1"/>
            </w:tcBorders>
            <w:noWrap/>
            <w:hideMark/>
          </w:tcPr>
          <w:p>
            <w:pPr>
              <w:rPr>
                <w:noProof/>
                <w:lang w:val="en-GB"/>
              </w:rPr>
            </w:pPr>
            <w:r>
              <w:rPr>
                <w:noProof/>
                <w:lang w:val="en-GB"/>
              </w:rPr>
              <w:t xml:space="preserve">Unignited gas </w:t>
            </w:r>
          </w:p>
        </w:tc>
        <w:tc>
          <w:tcPr>
            <w:tcW w:w="709" w:type="dxa"/>
            <w:noWrap/>
            <w:hideMark/>
          </w:tcPr>
          <w:p>
            <w:pPr>
              <w:rPr>
                <w:noProof/>
                <w:lang w:val="en-GB"/>
              </w:rPr>
            </w:pPr>
            <w:r>
              <w:rPr>
                <w:noProof/>
                <w:lang w:val="en-GB"/>
              </w:rPr>
              <w:t>20</w:t>
            </w:r>
          </w:p>
        </w:tc>
        <w:tc>
          <w:tcPr>
            <w:tcW w:w="1215" w:type="dxa"/>
            <w:noWrap/>
            <w:hideMark/>
          </w:tcPr>
          <w:p>
            <w:pPr>
              <w:rPr>
                <w:noProof/>
                <w:lang w:val="en-GB"/>
              </w:rPr>
            </w:pPr>
            <w:r>
              <w:rPr>
                <w:noProof/>
                <w:lang w:val="en-GB"/>
              </w:rPr>
              <w:t>34%</w:t>
            </w:r>
          </w:p>
        </w:tc>
        <w:tc>
          <w:tcPr>
            <w:tcW w:w="1556" w:type="dxa"/>
            <w:noWrap/>
            <w:hideMark/>
          </w:tcPr>
          <w:p>
            <w:pPr>
              <w:rPr>
                <w:noProof/>
                <w:lang w:val="en-GB"/>
              </w:rPr>
            </w:pPr>
            <w:r>
              <w:rPr>
                <w:noProof/>
                <w:lang w:val="en-GB"/>
              </w:rPr>
              <w:t>27.78%</w:t>
            </w:r>
          </w:p>
        </w:tc>
        <w:tc>
          <w:tcPr>
            <w:tcW w:w="816" w:type="dxa"/>
          </w:tcPr>
          <w:p>
            <w:pPr>
              <w:rPr>
                <w:noProof/>
                <w:lang w:val="en-GB"/>
              </w:rPr>
            </w:pPr>
            <w:r>
              <w:rPr>
                <w:noProof/>
                <w:lang w:val="en-GB"/>
              </w:rPr>
              <w:t>+43%</w:t>
            </w:r>
          </w:p>
        </w:tc>
      </w:tr>
      <w:tr>
        <w:trPr>
          <w:trHeight w:val="300"/>
        </w:trPr>
        <w:tc>
          <w:tcPr>
            <w:tcW w:w="479" w:type="dxa"/>
            <w:tcBorders>
              <w:right w:val="single" w:sz="4" w:space="0" w:color="FFFFFF" w:themeColor="background1"/>
            </w:tcBorders>
            <w:noWrap/>
            <w:hideMark/>
          </w:tcPr>
          <w:p>
            <w:pPr>
              <w:rPr>
                <w:noProof/>
                <w:lang w:val="en-GB"/>
              </w:rPr>
            </w:pPr>
          </w:p>
        </w:tc>
        <w:tc>
          <w:tcPr>
            <w:tcW w:w="5250" w:type="dxa"/>
            <w:tcBorders>
              <w:left w:val="single" w:sz="4" w:space="0" w:color="FFFFFF" w:themeColor="background1"/>
            </w:tcBorders>
            <w:noWrap/>
            <w:hideMark/>
          </w:tcPr>
          <w:p>
            <w:pPr>
              <w:rPr>
                <w:noProof/>
                <w:lang w:val="en-GB"/>
              </w:rPr>
            </w:pPr>
            <w:r>
              <w:rPr>
                <w:noProof/>
                <w:lang w:val="en-GB"/>
              </w:rPr>
              <w:t xml:space="preserve">Unignited oil </w:t>
            </w:r>
          </w:p>
        </w:tc>
        <w:tc>
          <w:tcPr>
            <w:tcW w:w="709" w:type="dxa"/>
            <w:noWrap/>
            <w:hideMark/>
          </w:tcPr>
          <w:p>
            <w:pPr>
              <w:rPr>
                <w:noProof/>
                <w:lang w:val="en-GB"/>
              </w:rPr>
            </w:pPr>
            <w:r>
              <w:rPr>
                <w:noProof/>
                <w:lang w:val="en-GB"/>
              </w:rPr>
              <w:t>8</w:t>
            </w:r>
          </w:p>
        </w:tc>
        <w:tc>
          <w:tcPr>
            <w:tcW w:w="1215" w:type="dxa"/>
            <w:noWrap/>
            <w:hideMark/>
          </w:tcPr>
          <w:p>
            <w:pPr>
              <w:rPr>
                <w:noProof/>
                <w:lang w:val="en-GB"/>
              </w:rPr>
            </w:pPr>
            <w:r>
              <w:rPr>
                <w:noProof/>
                <w:lang w:val="en-GB"/>
              </w:rPr>
              <w:t>14%</w:t>
            </w:r>
          </w:p>
        </w:tc>
        <w:tc>
          <w:tcPr>
            <w:tcW w:w="1556" w:type="dxa"/>
            <w:noWrap/>
            <w:hideMark/>
          </w:tcPr>
          <w:p>
            <w:pPr>
              <w:rPr>
                <w:noProof/>
                <w:lang w:val="en-GB"/>
              </w:rPr>
            </w:pPr>
            <w:r>
              <w:rPr>
                <w:noProof/>
                <w:lang w:val="en-GB"/>
              </w:rPr>
              <w:t>11.11%</w:t>
            </w:r>
          </w:p>
        </w:tc>
        <w:tc>
          <w:tcPr>
            <w:tcW w:w="816" w:type="dxa"/>
          </w:tcPr>
          <w:p>
            <w:pPr>
              <w:rPr>
                <w:noProof/>
                <w:lang w:val="en-GB"/>
              </w:rPr>
            </w:pPr>
            <w:r>
              <w:rPr>
                <w:noProof/>
                <w:lang w:val="en-GB"/>
              </w:rPr>
              <w:t>+14%</w:t>
            </w:r>
          </w:p>
        </w:tc>
      </w:tr>
      <w:tr>
        <w:trPr>
          <w:trHeight w:val="300"/>
        </w:trPr>
        <w:tc>
          <w:tcPr>
            <w:tcW w:w="479" w:type="dxa"/>
            <w:tcBorders>
              <w:right w:val="single" w:sz="4" w:space="0" w:color="FFFFFF" w:themeColor="background1"/>
            </w:tcBorders>
            <w:noWrap/>
            <w:hideMark/>
          </w:tcPr>
          <w:p>
            <w:pPr>
              <w:rPr>
                <w:noProof/>
                <w:lang w:val="en-GB"/>
              </w:rPr>
            </w:pPr>
          </w:p>
        </w:tc>
        <w:tc>
          <w:tcPr>
            <w:tcW w:w="5250" w:type="dxa"/>
            <w:tcBorders>
              <w:left w:val="single" w:sz="4" w:space="0" w:color="FFFFFF" w:themeColor="background1"/>
            </w:tcBorders>
            <w:noWrap/>
            <w:hideMark/>
          </w:tcPr>
          <w:p>
            <w:pPr>
              <w:rPr>
                <w:noProof/>
                <w:lang w:val="en-GB"/>
              </w:rPr>
            </w:pPr>
            <w:r>
              <w:rPr>
                <w:noProof/>
                <w:lang w:val="en-GB"/>
              </w:rPr>
              <w:t xml:space="preserve">Hazardous substance </w:t>
            </w:r>
          </w:p>
        </w:tc>
        <w:tc>
          <w:tcPr>
            <w:tcW w:w="709" w:type="dxa"/>
            <w:noWrap/>
            <w:hideMark/>
          </w:tcPr>
          <w:p>
            <w:pPr>
              <w:rPr>
                <w:noProof/>
                <w:lang w:val="en-GB"/>
              </w:rPr>
            </w:pPr>
            <w:r>
              <w:rPr>
                <w:noProof/>
                <w:lang w:val="en-GB"/>
              </w:rPr>
              <w:t>31</w:t>
            </w:r>
          </w:p>
        </w:tc>
        <w:tc>
          <w:tcPr>
            <w:tcW w:w="1215" w:type="dxa"/>
            <w:noWrap/>
            <w:hideMark/>
          </w:tcPr>
          <w:p>
            <w:pPr>
              <w:rPr>
                <w:noProof/>
                <w:lang w:val="en-GB"/>
              </w:rPr>
            </w:pPr>
            <w:r>
              <w:rPr>
                <w:noProof/>
                <w:lang w:val="en-GB"/>
              </w:rPr>
              <w:t>52%</w:t>
            </w:r>
          </w:p>
        </w:tc>
        <w:tc>
          <w:tcPr>
            <w:tcW w:w="1556" w:type="dxa"/>
            <w:noWrap/>
            <w:hideMark/>
          </w:tcPr>
          <w:p>
            <w:pPr>
              <w:rPr>
                <w:noProof/>
                <w:lang w:val="en-GB"/>
              </w:rPr>
            </w:pPr>
            <w:r>
              <w:rPr>
                <w:noProof/>
                <w:lang w:val="en-GB"/>
              </w:rPr>
              <w:t>43.06%</w:t>
            </w:r>
          </w:p>
        </w:tc>
        <w:tc>
          <w:tcPr>
            <w:tcW w:w="816" w:type="dxa"/>
          </w:tcPr>
          <w:p>
            <w:pPr>
              <w:rPr>
                <w:noProof/>
                <w:lang w:val="en-GB"/>
              </w:rPr>
            </w:pPr>
            <w:r>
              <w:rPr>
                <w:noProof/>
                <w:lang w:val="en-GB"/>
              </w:rPr>
              <w:t>+82%</w:t>
            </w:r>
          </w:p>
        </w:tc>
      </w:tr>
      <w:tr>
        <w:trPr>
          <w:trHeight w:val="300"/>
        </w:trPr>
        <w:tc>
          <w:tcPr>
            <w:tcW w:w="479" w:type="dxa"/>
            <w:tcBorders>
              <w:right w:val="single" w:sz="4" w:space="0" w:color="FFFFFF" w:themeColor="background1"/>
            </w:tcBorders>
            <w:noWrap/>
            <w:hideMark/>
          </w:tcPr>
          <w:p>
            <w:pPr>
              <w:rPr>
                <w:b/>
                <w:bCs/>
                <w:noProof/>
                <w:lang w:val="en-GB"/>
              </w:rPr>
            </w:pPr>
            <w:r>
              <w:rPr>
                <w:b/>
                <w:bCs/>
                <w:noProof/>
                <w:lang w:val="en-GB"/>
              </w:rPr>
              <w:t>(b)</w:t>
            </w:r>
          </w:p>
        </w:tc>
        <w:tc>
          <w:tcPr>
            <w:tcW w:w="5250" w:type="dxa"/>
            <w:tcBorders>
              <w:left w:val="single" w:sz="4" w:space="0" w:color="FFFFFF" w:themeColor="background1"/>
            </w:tcBorders>
            <w:noWrap/>
            <w:hideMark/>
          </w:tcPr>
          <w:p>
            <w:pPr>
              <w:rPr>
                <w:b/>
                <w:bCs/>
                <w:noProof/>
                <w:lang w:val="en-GB"/>
              </w:rPr>
            </w:pPr>
            <w:r>
              <w:rPr>
                <w:b/>
                <w:bCs/>
                <w:noProof/>
                <w:lang w:val="en-GB"/>
              </w:rPr>
              <w:t>Loss of wells – total</w:t>
            </w:r>
          </w:p>
        </w:tc>
        <w:tc>
          <w:tcPr>
            <w:tcW w:w="709" w:type="dxa"/>
            <w:noWrap/>
            <w:hideMark/>
          </w:tcPr>
          <w:p>
            <w:pPr>
              <w:rPr>
                <w:b/>
                <w:bCs/>
                <w:noProof/>
                <w:lang w:val="en-GB"/>
              </w:rPr>
            </w:pPr>
            <w:r>
              <w:rPr>
                <w:noProof/>
                <w:lang w:val="en-GB"/>
              </w:rPr>
              <w:t>0</w:t>
            </w:r>
          </w:p>
        </w:tc>
        <w:tc>
          <w:tcPr>
            <w:tcW w:w="1215" w:type="dxa"/>
            <w:noWrap/>
            <w:hideMark/>
          </w:tcPr>
          <w:p>
            <w:pPr>
              <w:rPr>
                <w:b/>
                <w:bCs/>
                <w:noProof/>
                <w:lang w:val="en-GB"/>
              </w:rPr>
            </w:pPr>
            <w:r>
              <w:rPr>
                <w:noProof/>
                <w:lang w:val="en-GB"/>
              </w:rPr>
              <w:t>0%</w:t>
            </w:r>
          </w:p>
        </w:tc>
        <w:tc>
          <w:tcPr>
            <w:tcW w:w="1556" w:type="dxa"/>
            <w:noWrap/>
            <w:hideMark/>
          </w:tcPr>
          <w:p>
            <w:pPr>
              <w:rPr>
                <w:b/>
                <w:bCs/>
                <w:noProof/>
                <w:lang w:val="en-GB"/>
              </w:rPr>
            </w:pPr>
            <w:r>
              <w:rPr>
                <w:noProof/>
                <w:lang w:val="en-GB"/>
              </w:rPr>
              <w:t>0.00%</w:t>
            </w:r>
          </w:p>
        </w:tc>
        <w:tc>
          <w:tcPr>
            <w:tcW w:w="816" w:type="dxa"/>
          </w:tcPr>
          <w:p>
            <w:pPr>
              <w:rPr>
                <w:noProof/>
                <w:lang w:val="en-GB"/>
              </w:rPr>
            </w:pPr>
            <w:r>
              <w:rPr>
                <w:noProof/>
                <w:lang w:val="en-GB"/>
              </w:rPr>
              <w:t>-100%</w:t>
            </w:r>
          </w:p>
        </w:tc>
      </w:tr>
      <w:tr>
        <w:trPr>
          <w:trHeight w:val="300"/>
        </w:trPr>
        <w:tc>
          <w:tcPr>
            <w:tcW w:w="479" w:type="dxa"/>
            <w:tcBorders>
              <w:right w:val="single" w:sz="4" w:space="0" w:color="FFFFFF" w:themeColor="background1"/>
            </w:tcBorders>
            <w:noWrap/>
            <w:hideMark/>
          </w:tcPr>
          <w:p>
            <w:pPr>
              <w:rPr>
                <w:noProof/>
                <w:lang w:val="en-GB"/>
              </w:rPr>
            </w:pPr>
          </w:p>
        </w:tc>
        <w:tc>
          <w:tcPr>
            <w:tcW w:w="5250" w:type="dxa"/>
            <w:tcBorders>
              <w:left w:val="single" w:sz="4" w:space="0" w:color="FFFFFF" w:themeColor="background1"/>
            </w:tcBorders>
            <w:noWrap/>
            <w:hideMark/>
          </w:tcPr>
          <w:p>
            <w:pPr>
              <w:rPr>
                <w:noProof/>
                <w:lang w:val="en-GB"/>
              </w:rPr>
            </w:pPr>
            <w:r>
              <w:rPr>
                <w:noProof/>
                <w:lang w:val="en-GB"/>
              </w:rPr>
              <w:t>Blowouts</w:t>
            </w:r>
          </w:p>
        </w:tc>
        <w:tc>
          <w:tcPr>
            <w:tcW w:w="709" w:type="dxa"/>
            <w:noWrap/>
            <w:hideMark/>
          </w:tcPr>
          <w:p>
            <w:pPr>
              <w:rPr>
                <w:noProof/>
                <w:lang w:val="en-GB"/>
              </w:rPr>
            </w:pPr>
            <w:r>
              <w:rPr>
                <w:noProof/>
                <w:lang w:val="en-GB"/>
              </w:rPr>
              <w:t>0</w:t>
            </w:r>
          </w:p>
        </w:tc>
        <w:tc>
          <w:tcPr>
            <w:tcW w:w="1215" w:type="dxa"/>
            <w:noWrap/>
            <w:hideMark/>
          </w:tcPr>
          <w:p>
            <w:pPr>
              <w:rPr>
                <w:noProof/>
                <w:lang w:val="en-GB"/>
              </w:rPr>
            </w:pPr>
            <w:r>
              <w:rPr>
                <w:noProof/>
                <w:lang w:val="en-GB"/>
              </w:rPr>
              <w:t>0%</w:t>
            </w:r>
          </w:p>
        </w:tc>
        <w:tc>
          <w:tcPr>
            <w:tcW w:w="1556" w:type="dxa"/>
            <w:noWrap/>
            <w:hideMark/>
          </w:tcPr>
          <w:p>
            <w:pPr>
              <w:rPr>
                <w:noProof/>
                <w:lang w:val="en-GB"/>
              </w:rPr>
            </w:pPr>
            <w:r>
              <w:rPr>
                <w:noProof/>
                <w:lang w:val="en-GB"/>
              </w:rPr>
              <w:t>0.00%</w:t>
            </w:r>
          </w:p>
        </w:tc>
        <w:tc>
          <w:tcPr>
            <w:tcW w:w="816" w:type="dxa"/>
          </w:tcPr>
          <w:p>
            <w:pPr>
              <w:rPr>
                <w:noProof/>
                <w:lang w:val="en-GB"/>
              </w:rPr>
            </w:pPr>
            <w:r>
              <w:rPr>
                <w:noProof/>
                <w:lang w:val="en-GB"/>
              </w:rPr>
              <w:t>--</w:t>
            </w:r>
          </w:p>
        </w:tc>
      </w:tr>
      <w:tr>
        <w:trPr>
          <w:trHeight w:val="300"/>
        </w:trPr>
        <w:tc>
          <w:tcPr>
            <w:tcW w:w="479" w:type="dxa"/>
            <w:tcBorders>
              <w:right w:val="single" w:sz="4" w:space="0" w:color="FFFFFF" w:themeColor="background1"/>
            </w:tcBorders>
            <w:noWrap/>
            <w:hideMark/>
          </w:tcPr>
          <w:p>
            <w:pPr>
              <w:rPr>
                <w:noProof/>
                <w:lang w:val="en-GB"/>
              </w:rPr>
            </w:pPr>
          </w:p>
        </w:tc>
        <w:tc>
          <w:tcPr>
            <w:tcW w:w="5250" w:type="dxa"/>
            <w:tcBorders>
              <w:left w:val="single" w:sz="4" w:space="0" w:color="FFFFFF" w:themeColor="background1"/>
            </w:tcBorders>
            <w:noWrap/>
            <w:hideMark/>
          </w:tcPr>
          <w:p>
            <w:pPr>
              <w:rPr>
                <w:noProof/>
                <w:lang w:val="en-GB"/>
              </w:rPr>
            </w:pPr>
            <w:r>
              <w:rPr>
                <w:noProof/>
                <w:lang w:val="en-GB"/>
              </w:rPr>
              <w:t>Blowout/diverter activation</w:t>
            </w:r>
          </w:p>
        </w:tc>
        <w:tc>
          <w:tcPr>
            <w:tcW w:w="709" w:type="dxa"/>
            <w:noWrap/>
            <w:hideMark/>
          </w:tcPr>
          <w:p>
            <w:pPr>
              <w:rPr>
                <w:noProof/>
                <w:lang w:val="en-GB"/>
              </w:rPr>
            </w:pPr>
            <w:r>
              <w:rPr>
                <w:noProof/>
                <w:lang w:val="en-GB"/>
              </w:rPr>
              <w:t>0</w:t>
            </w:r>
          </w:p>
        </w:tc>
        <w:tc>
          <w:tcPr>
            <w:tcW w:w="1215" w:type="dxa"/>
            <w:noWrap/>
            <w:hideMark/>
          </w:tcPr>
          <w:p>
            <w:pPr>
              <w:rPr>
                <w:noProof/>
                <w:lang w:val="en-GB"/>
              </w:rPr>
            </w:pPr>
            <w:r>
              <w:rPr>
                <w:noProof/>
                <w:lang w:val="en-GB"/>
              </w:rPr>
              <w:t>0%</w:t>
            </w:r>
          </w:p>
        </w:tc>
        <w:tc>
          <w:tcPr>
            <w:tcW w:w="1556" w:type="dxa"/>
            <w:noWrap/>
            <w:hideMark/>
          </w:tcPr>
          <w:p>
            <w:pPr>
              <w:rPr>
                <w:noProof/>
                <w:lang w:val="en-GB"/>
              </w:rPr>
            </w:pPr>
            <w:r>
              <w:rPr>
                <w:noProof/>
                <w:lang w:val="en-GB"/>
              </w:rPr>
              <w:t>0.00%</w:t>
            </w:r>
          </w:p>
        </w:tc>
        <w:tc>
          <w:tcPr>
            <w:tcW w:w="816" w:type="dxa"/>
          </w:tcPr>
          <w:p>
            <w:pPr>
              <w:rPr>
                <w:noProof/>
                <w:lang w:val="en-GB"/>
              </w:rPr>
            </w:pPr>
            <w:r>
              <w:rPr>
                <w:noProof/>
                <w:lang w:val="en-GB"/>
              </w:rPr>
              <w:t>-100%</w:t>
            </w:r>
          </w:p>
        </w:tc>
      </w:tr>
      <w:tr>
        <w:trPr>
          <w:trHeight w:val="300"/>
        </w:trPr>
        <w:tc>
          <w:tcPr>
            <w:tcW w:w="479" w:type="dxa"/>
            <w:tcBorders>
              <w:right w:val="single" w:sz="4" w:space="0" w:color="FFFFFF" w:themeColor="background1"/>
            </w:tcBorders>
            <w:noWrap/>
            <w:hideMark/>
          </w:tcPr>
          <w:p>
            <w:pPr>
              <w:rPr>
                <w:noProof/>
                <w:lang w:val="en-GB"/>
              </w:rPr>
            </w:pPr>
          </w:p>
        </w:tc>
        <w:tc>
          <w:tcPr>
            <w:tcW w:w="5250" w:type="dxa"/>
            <w:tcBorders>
              <w:left w:val="single" w:sz="4" w:space="0" w:color="FFFFFF" w:themeColor="background1"/>
            </w:tcBorders>
            <w:noWrap/>
            <w:hideMark/>
          </w:tcPr>
          <w:p>
            <w:pPr>
              <w:rPr>
                <w:noProof/>
                <w:lang w:val="en-GB"/>
              </w:rPr>
            </w:pPr>
            <w:r>
              <w:rPr>
                <w:noProof/>
                <w:lang w:val="en-GB"/>
              </w:rPr>
              <w:t>Well barrier failure</w:t>
            </w:r>
          </w:p>
        </w:tc>
        <w:tc>
          <w:tcPr>
            <w:tcW w:w="709" w:type="dxa"/>
            <w:noWrap/>
            <w:hideMark/>
          </w:tcPr>
          <w:p>
            <w:pPr>
              <w:rPr>
                <w:noProof/>
                <w:lang w:val="en-GB"/>
              </w:rPr>
            </w:pPr>
            <w:r>
              <w:rPr>
                <w:noProof/>
                <w:lang w:val="en-GB"/>
              </w:rPr>
              <w:t>0</w:t>
            </w:r>
          </w:p>
        </w:tc>
        <w:tc>
          <w:tcPr>
            <w:tcW w:w="1215" w:type="dxa"/>
            <w:noWrap/>
            <w:hideMark/>
          </w:tcPr>
          <w:p>
            <w:pPr>
              <w:rPr>
                <w:noProof/>
                <w:lang w:val="en-GB"/>
              </w:rPr>
            </w:pPr>
            <w:r>
              <w:rPr>
                <w:noProof/>
                <w:lang w:val="en-GB"/>
              </w:rPr>
              <w:t>0%</w:t>
            </w:r>
          </w:p>
        </w:tc>
        <w:tc>
          <w:tcPr>
            <w:tcW w:w="1556" w:type="dxa"/>
            <w:noWrap/>
            <w:hideMark/>
          </w:tcPr>
          <w:p>
            <w:pPr>
              <w:rPr>
                <w:noProof/>
                <w:lang w:val="en-GB"/>
              </w:rPr>
            </w:pPr>
            <w:r>
              <w:rPr>
                <w:noProof/>
                <w:lang w:val="en-GB"/>
              </w:rPr>
              <w:t>0.00%</w:t>
            </w:r>
          </w:p>
        </w:tc>
        <w:tc>
          <w:tcPr>
            <w:tcW w:w="816" w:type="dxa"/>
          </w:tcPr>
          <w:p>
            <w:pPr>
              <w:rPr>
                <w:noProof/>
                <w:lang w:val="en-GB"/>
              </w:rPr>
            </w:pPr>
            <w:r>
              <w:rPr>
                <w:noProof/>
                <w:lang w:val="en-GB"/>
              </w:rPr>
              <w:t>--</w:t>
            </w:r>
          </w:p>
        </w:tc>
      </w:tr>
      <w:tr>
        <w:trPr>
          <w:trHeight w:val="300"/>
        </w:trPr>
        <w:tc>
          <w:tcPr>
            <w:tcW w:w="479" w:type="dxa"/>
            <w:tcBorders>
              <w:right w:val="single" w:sz="4" w:space="0" w:color="FFFFFF" w:themeColor="background1"/>
            </w:tcBorders>
            <w:noWrap/>
            <w:hideMark/>
          </w:tcPr>
          <w:p>
            <w:pPr>
              <w:rPr>
                <w:b/>
                <w:bCs/>
                <w:noProof/>
                <w:lang w:val="en-GB"/>
              </w:rPr>
            </w:pPr>
            <w:r>
              <w:rPr>
                <w:b/>
                <w:bCs/>
                <w:noProof/>
                <w:lang w:val="en-GB"/>
              </w:rPr>
              <w:t xml:space="preserve">(c) </w:t>
            </w:r>
          </w:p>
        </w:tc>
        <w:tc>
          <w:tcPr>
            <w:tcW w:w="5250" w:type="dxa"/>
            <w:tcBorders>
              <w:left w:val="single" w:sz="4" w:space="0" w:color="FFFFFF" w:themeColor="background1"/>
            </w:tcBorders>
            <w:noWrap/>
            <w:hideMark/>
          </w:tcPr>
          <w:p>
            <w:pPr>
              <w:rPr>
                <w:b/>
                <w:noProof/>
                <w:lang w:val="en-GB"/>
              </w:rPr>
            </w:pPr>
            <w:r>
              <w:rPr>
                <w:b/>
                <w:noProof/>
                <w:lang w:val="en-GB"/>
              </w:rPr>
              <w:t>Safety and environmental critical element failure</w:t>
            </w:r>
          </w:p>
        </w:tc>
        <w:tc>
          <w:tcPr>
            <w:tcW w:w="709" w:type="dxa"/>
            <w:noWrap/>
            <w:hideMark/>
          </w:tcPr>
          <w:p>
            <w:pPr>
              <w:rPr>
                <w:b/>
                <w:bCs/>
                <w:noProof/>
                <w:lang w:val="en-GB"/>
              </w:rPr>
            </w:pPr>
            <w:r>
              <w:rPr>
                <w:b/>
                <w:bCs/>
                <w:noProof/>
                <w:lang w:val="en-GB"/>
              </w:rPr>
              <w:t>12</w:t>
            </w:r>
          </w:p>
        </w:tc>
        <w:tc>
          <w:tcPr>
            <w:tcW w:w="1215" w:type="dxa"/>
            <w:noWrap/>
            <w:hideMark/>
          </w:tcPr>
          <w:p>
            <w:pPr>
              <w:rPr>
                <w:b/>
                <w:bCs/>
                <w:noProof/>
                <w:lang w:val="en-GB"/>
              </w:rPr>
            </w:pPr>
            <w:r>
              <w:rPr>
                <w:b/>
                <w:bCs/>
                <w:noProof/>
                <w:lang w:val="en-GB"/>
              </w:rPr>
              <w:t>100%</w:t>
            </w:r>
          </w:p>
        </w:tc>
        <w:tc>
          <w:tcPr>
            <w:tcW w:w="1556" w:type="dxa"/>
            <w:noWrap/>
            <w:hideMark/>
          </w:tcPr>
          <w:p>
            <w:pPr>
              <w:spacing w:line="360" w:lineRule="auto"/>
              <w:rPr>
                <w:b/>
                <w:bCs/>
                <w:noProof/>
                <w:lang w:val="en-GB"/>
              </w:rPr>
            </w:pPr>
            <w:r>
              <w:rPr>
                <w:b/>
                <w:bCs/>
                <w:noProof/>
                <w:lang w:val="en-GB"/>
              </w:rPr>
              <w:t>16.67%</w:t>
            </w:r>
          </w:p>
        </w:tc>
        <w:tc>
          <w:tcPr>
            <w:tcW w:w="816" w:type="dxa"/>
          </w:tcPr>
          <w:p>
            <w:pPr>
              <w:spacing w:line="360" w:lineRule="auto"/>
              <w:rPr>
                <w:b/>
                <w:bCs/>
                <w:noProof/>
                <w:lang w:val="en-GB"/>
              </w:rPr>
            </w:pPr>
            <w:r>
              <w:rPr>
                <w:b/>
                <w:bCs/>
                <w:noProof/>
                <w:lang w:val="en-GB"/>
              </w:rPr>
              <w:t>300%</w:t>
            </w:r>
          </w:p>
        </w:tc>
      </w:tr>
      <w:tr>
        <w:trPr>
          <w:trHeight w:val="300"/>
        </w:trPr>
        <w:tc>
          <w:tcPr>
            <w:tcW w:w="479" w:type="dxa"/>
            <w:tcBorders>
              <w:right w:val="single" w:sz="4" w:space="0" w:color="FFFFFF" w:themeColor="background1"/>
            </w:tcBorders>
            <w:noWrap/>
            <w:hideMark/>
          </w:tcPr>
          <w:p>
            <w:pPr>
              <w:rPr>
                <w:b/>
                <w:bCs/>
                <w:noProof/>
                <w:lang w:val="en-GB"/>
              </w:rPr>
            </w:pPr>
            <w:r>
              <w:rPr>
                <w:b/>
                <w:bCs/>
                <w:noProof/>
                <w:lang w:val="en-GB"/>
              </w:rPr>
              <w:t>(d)</w:t>
            </w:r>
          </w:p>
        </w:tc>
        <w:tc>
          <w:tcPr>
            <w:tcW w:w="5250" w:type="dxa"/>
            <w:tcBorders>
              <w:left w:val="single" w:sz="4" w:space="0" w:color="FFFFFF" w:themeColor="background1"/>
            </w:tcBorders>
            <w:noWrap/>
            <w:hideMark/>
          </w:tcPr>
          <w:p>
            <w:pPr>
              <w:rPr>
                <w:b/>
                <w:noProof/>
                <w:lang w:val="en-GB"/>
              </w:rPr>
            </w:pPr>
            <w:r>
              <w:rPr>
                <w:b/>
                <w:noProof/>
                <w:lang w:val="en-GB"/>
              </w:rPr>
              <w:t>Loss of structural integrity – total</w:t>
            </w:r>
          </w:p>
        </w:tc>
        <w:tc>
          <w:tcPr>
            <w:tcW w:w="709" w:type="dxa"/>
            <w:noWrap/>
            <w:hideMark/>
          </w:tcPr>
          <w:p>
            <w:pPr>
              <w:rPr>
                <w:b/>
                <w:bCs/>
                <w:noProof/>
                <w:lang w:val="en-GB"/>
              </w:rPr>
            </w:pPr>
            <w:r>
              <w:rPr>
                <w:b/>
                <w:bCs/>
                <w:noProof/>
                <w:lang w:val="en-GB"/>
              </w:rPr>
              <w:t>0</w:t>
            </w:r>
          </w:p>
        </w:tc>
        <w:tc>
          <w:tcPr>
            <w:tcW w:w="1215" w:type="dxa"/>
            <w:noWrap/>
            <w:hideMark/>
          </w:tcPr>
          <w:p>
            <w:pPr>
              <w:rPr>
                <w:b/>
                <w:bCs/>
                <w:noProof/>
                <w:lang w:val="en-GB"/>
              </w:rPr>
            </w:pPr>
            <w:r>
              <w:rPr>
                <w:b/>
                <w:bCs/>
                <w:noProof/>
                <w:lang w:val="en-GB"/>
              </w:rPr>
              <w:t>0%</w:t>
            </w:r>
          </w:p>
        </w:tc>
        <w:tc>
          <w:tcPr>
            <w:tcW w:w="1556" w:type="dxa"/>
            <w:noWrap/>
            <w:hideMark/>
          </w:tcPr>
          <w:p>
            <w:pPr>
              <w:rPr>
                <w:b/>
                <w:bCs/>
                <w:noProof/>
                <w:lang w:val="en-GB"/>
              </w:rPr>
            </w:pPr>
            <w:r>
              <w:rPr>
                <w:b/>
                <w:bCs/>
                <w:noProof/>
                <w:lang w:val="en-GB"/>
              </w:rPr>
              <w:t>0.00%</w:t>
            </w:r>
          </w:p>
        </w:tc>
        <w:tc>
          <w:tcPr>
            <w:tcW w:w="816" w:type="dxa"/>
          </w:tcPr>
          <w:p>
            <w:pPr>
              <w:rPr>
                <w:b/>
                <w:bCs/>
                <w:noProof/>
                <w:lang w:val="en-GB"/>
              </w:rPr>
            </w:pPr>
            <w:r>
              <w:rPr>
                <w:b/>
                <w:bCs/>
                <w:noProof/>
                <w:lang w:val="en-GB"/>
              </w:rPr>
              <w:t>--</w:t>
            </w:r>
          </w:p>
        </w:tc>
      </w:tr>
      <w:tr>
        <w:trPr>
          <w:trHeight w:val="300"/>
        </w:trPr>
        <w:tc>
          <w:tcPr>
            <w:tcW w:w="479" w:type="dxa"/>
            <w:tcBorders>
              <w:right w:val="single" w:sz="4" w:space="0" w:color="FFFFFF" w:themeColor="background1"/>
            </w:tcBorders>
            <w:noWrap/>
            <w:hideMark/>
          </w:tcPr>
          <w:p>
            <w:pPr>
              <w:rPr>
                <w:noProof/>
                <w:lang w:val="en-GB"/>
              </w:rPr>
            </w:pPr>
          </w:p>
        </w:tc>
        <w:tc>
          <w:tcPr>
            <w:tcW w:w="5250" w:type="dxa"/>
            <w:tcBorders>
              <w:left w:val="single" w:sz="4" w:space="0" w:color="FFFFFF" w:themeColor="background1"/>
            </w:tcBorders>
            <w:noWrap/>
            <w:hideMark/>
          </w:tcPr>
          <w:p>
            <w:pPr>
              <w:rPr>
                <w:noProof/>
                <w:lang w:val="en-GB"/>
              </w:rPr>
            </w:pPr>
            <w:r>
              <w:rPr>
                <w:noProof/>
                <w:lang w:val="en-GB"/>
              </w:rPr>
              <w:t>Loss of structural integrity</w:t>
            </w:r>
          </w:p>
        </w:tc>
        <w:tc>
          <w:tcPr>
            <w:tcW w:w="709" w:type="dxa"/>
            <w:noWrap/>
            <w:hideMark/>
          </w:tcPr>
          <w:p>
            <w:pPr>
              <w:rPr>
                <w:noProof/>
                <w:lang w:val="en-GB"/>
              </w:rPr>
            </w:pPr>
            <w:r>
              <w:rPr>
                <w:noProof/>
                <w:lang w:val="en-GB"/>
              </w:rPr>
              <w:t>0</w:t>
            </w:r>
          </w:p>
        </w:tc>
        <w:tc>
          <w:tcPr>
            <w:tcW w:w="1215" w:type="dxa"/>
            <w:noWrap/>
            <w:hideMark/>
          </w:tcPr>
          <w:p>
            <w:pPr>
              <w:rPr>
                <w:noProof/>
                <w:lang w:val="en-GB"/>
              </w:rPr>
            </w:pPr>
            <w:r>
              <w:rPr>
                <w:noProof/>
                <w:lang w:val="en-GB"/>
              </w:rPr>
              <w:t>--</w:t>
            </w:r>
          </w:p>
        </w:tc>
        <w:tc>
          <w:tcPr>
            <w:tcW w:w="1556" w:type="dxa"/>
            <w:noWrap/>
            <w:hideMark/>
          </w:tcPr>
          <w:p>
            <w:pPr>
              <w:rPr>
                <w:noProof/>
                <w:lang w:val="en-GB"/>
              </w:rPr>
            </w:pPr>
            <w:r>
              <w:rPr>
                <w:noProof/>
                <w:lang w:val="en-GB"/>
              </w:rPr>
              <w:t>0.00%</w:t>
            </w:r>
          </w:p>
        </w:tc>
        <w:tc>
          <w:tcPr>
            <w:tcW w:w="816" w:type="dxa"/>
          </w:tcPr>
          <w:p>
            <w:pPr>
              <w:rPr>
                <w:noProof/>
                <w:lang w:val="en-GB"/>
              </w:rPr>
            </w:pPr>
            <w:r>
              <w:rPr>
                <w:noProof/>
                <w:lang w:val="en-GB"/>
              </w:rPr>
              <w:t>--</w:t>
            </w:r>
          </w:p>
        </w:tc>
      </w:tr>
      <w:tr>
        <w:trPr>
          <w:trHeight w:val="300"/>
        </w:trPr>
        <w:tc>
          <w:tcPr>
            <w:tcW w:w="479" w:type="dxa"/>
            <w:tcBorders>
              <w:right w:val="single" w:sz="4" w:space="0" w:color="FFFFFF" w:themeColor="background1"/>
            </w:tcBorders>
            <w:noWrap/>
            <w:hideMark/>
          </w:tcPr>
          <w:p>
            <w:pPr>
              <w:rPr>
                <w:noProof/>
                <w:lang w:val="en-GB"/>
              </w:rPr>
            </w:pPr>
          </w:p>
        </w:tc>
        <w:tc>
          <w:tcPr>
            <w:tcW w:w="5250" w:type="dxa"/>
            <w:tcBorders>
              <w:left w:val="single" w:sz="4" w:space="0" w:color="FFFFFF" w:themeColor="background1"/>
            </w:tcBorders>
            <w:noWrap/>
            <w:hideMark/>
          </w:tcPr>
          <w:p>
            <w:pPr>
              <w:rPr>
                <w:noProof/>
                <w:lang w:val="en-GB"/>
              </w:rPr>
            </w:pPr>
            <w:r>
              <w:rPr>
                <w:noProof/>
                <w:lang w:val="en-GB"/>
              </w:rPr>
              <w:t>Loss of stability/buoyancy</w:t>
            </w:r>
          </w:p>
        </w:tc>
        <w:tc>
          <w:tcPr>
            <w:tcW w:w="709" w:type="dxa"/>
            <w:noWrap/>
            <w:hideMark/>
          </w:tcPr>
          <w:p>
            <w:pPr>
              <w:rPr>
                <w:noProof/>
                <w:lang w:val="en-GB"/>
              </w:rPr>
            </w:pPr>
            <w:r>
              <w:rPr>
                <w:noProof/>
                <w:lang w:val="en-GB"/>
              </w:rPr>
              <w:t>0</w:t>
            </w:r>
          </w:p>
        </w:tc>
        <w:tc>
          <w:tcPr>
            <w:tcW w:w="1215" w:type="dxa"/>
            <w:noWrap/>
            <w:hideMark/>
          </w:tcPr>
          <w:p>
            <w:pPr>
              <w:rPr>
                <w:noProof/>
                <w:lang w:val="en-GB"/>
              </w:rPr>
            </w:pPr>
            <w:r>
              <w:rPr>
                <w:noProof/>
                <w:lang w:val="en-GB"/>
              </w:rPr>
              <w:t>--</w:t>
            </w:r>
          </w:p>
        </w:tc>
        <w:tc>
          <w:tcPr>
            <w:tcW w:w="1556" w:type="dxa"/>
            <w:noWrap/>
            <w:hideMark/>
          </w:tcPr>
          <w:p>
            <w:pPr>
              <w:rPr>
                <w:noProof/>
                <w:lang w:val="en-GB"/>
              </w:rPr>
            </w:pPr>
            <w:r>
              <w:rPr>
                <w:noProof/>
                <w:lang w:val="en-GB"/>
              </w:rPr>
              <w:t>0.00%</w:t>
            </w:r>
          </w:p>
        </w:tc>
        <w:tc>
          <w:tcPr>
            <w:tcW w:w="816" w:type="dxa"/>
          </w:tcPr>
          <w:p>
            <w:pPr>
              <w:rPr>
                <w:noProof/>
                <w:lang w:val="en-GB"/>
              </w:rPr>
            </w:pPr>
            <w:r>
              <w:rPr>
                <w:noProof/>
                <w:lang w:val="en-GB"/>
              </w:rPr>
              <w:t>--</w:t>
            </w:r>
          </w:p>
        </w:tc>
      </w:tr>
      <w:tr>
        <w:trPr>
          <w:trHeight w:val="300"/>
        </w:trPr>
        <w:tc>
          <w:tcPr>
            <w:tcW w:w="479" w:type="dxa"/>
            <w:tcBorders>
              <w:right w:val="single" w:sz="4" w:space="0" w:color="FFFFFF" w:themeColor="background1"/>
            </w:tcBorders>
            <w:noWrap/>
            <w:hideMark/>
          </w:tcPr>
          <w:p>
            <w:pPr>
              <w:rPr>
                <w:noProof/>
                <w:lang w:val="en-GB"/>
              </w:rPr>
            </w:pPr>
          </w:p>
        </w:tc>
        <w:tc>
          <w:tcPr>
            <w:tcW w:w="5250" w:type="dxa"/>
            <w:tcBorders>
              <w:left w:val="single" w:sz="4" w:space="0" w:color="FFFFFF" w:themeColor="background1"/>
            </w:tcBorders>
            <w:noWrap/>
            <w:hideMark/>
          </w:tcPr>
          <w:p>
            <w:pPr>
              <w:rPr>
                <w:noProof/>
                <w:lang w:val="en-GB"/>
              </w:rPr>
            </w:pPr>
            <w:r>
              <w:rPr>
                <w:noProof/>
                <w:lang w:val="en-GB"/>
              </w:rPr>
              <w:t>Loss of station keeping</w:t>
            </w:r>
          </w:p>
        </w:tc>
        <w:tc>
          <w:tcPr>
            <w:tcW w:w="709" w:type="dxa"/>
            <w:noWrap/>
            <w:hideMark/>
          </w:tcPr>
          <w:p>
            <w:pPr>
              <w:rPr>
                <w:noProof/>
                <w:lang w:val="en-GB"/>
              </w:rPr>
            </w:pPr>
            <w:r>
              <w:rPr>
                <w:noProof/>
                <w:lang w:val="en-GB"/>
              </w:rPr>
              <w:t>0</w:t>
            </w:r>
          </w:p>
        </w:tc>
        <w:tc>
          <w:tcPr>
            <w:tcW w:w="1215" w:type="dxa"/>
            <w:noWrap/>
            <w:hideMark/>
          </w:tcPr>
          <w:p>
            <w:pPr>
              <w:rPr>
                <w:noProof/>
                <w:lang w:val="en-GB"/>
              </w:rPr>
            </w:pPr>
            <w:r>
              <w:rPr>
                <w:noProof/>
                <w:lang w:val="en-GB"/>
              </w:rPr>
              <w:t>--</w:t>
            </w:r>
          </w:p>
        </w:tc>
        <w:tc>
          <w:tcPr>
            <w:tcW w:w="1556" w:type="dxa"/>
            <w:noWrap/>
            <w:hideMark/>
          </w:tcPr>
          <w:p>
            <w:pPr>
              <w:rPr>
                <w:noProof/>
                <w:lang w:val="en-GB"/>
              </w:rPr>
            </w:pPr>
            <w:r>
              <w:rPr>
                <w:noProof/>
                <w:lang w:val="en-GB"/>
              </w:rPr>
              <w:t>0.00%</w:t>
            </w:r>
          </w:p>
        </w:tc>
        <w:tc>
          <w:tcPr>
            <w:tcW w:w="816" w:type="dxa"/>
          </w:tcPr>
          <w:p>
            <w:pPr>
              <w:rPr>
                <w:noProof/>
                <w:lang w:val="en-GB"/>
              </w:rPr>
            </w:pPr>
            <w:r>
              <w:rPr>
                <w:noProof/>
                <w:lang w:val="en-GB"/>
              </w:rPr>
              <w:t>--</w:t>
            </w:r>
          </w:p>
        </w:tc>
      </w:tr>
      <w:tr>
        <w:trPr>
          <w:trHeight w:val="300"/>
        </w:trPr>
        <w:tc>
          <w:tcPr>
            <w:tcW w:w="479" w:type="dxa"/>
            <w:tcBorders>
              <w:right w:val="single" w:sz="4" w:space="0" w:color="FFFFFF" w:themeColor="background1"/>
            </w:tcBorders>
            <w:noWrap/>
            <w:hideMark/>
          </w:tcPr>
          <w:p>
            <w:pPr>
              <w:rPr>
                <w:b/>
                <w:bCs/>
                <w:noProof/>
                <w:lang w:val="en-GB"/>
              </w:rPr>
            </w:pPr>
            <w:r>
              <w:rPr>
                <w:b/>
                <w:bCs/>
                <w:noProof/>
                <w:lang w:val="en-GB"/>
              </w:rPr>
              <w:t>(e)</w:t>
            </w:r>
          </w:p>
        </w:tc>
        <w:tc>
          <w:tcPr>
            <w:tcW w:w="5250" w:type="dxa"/>
            <w:tcBorders>
              <w:left w:val="single" w:sz="4" w:space="0" w:color="FFFFFF" w:themeColor="background1"/>
            </w:tcBorders>
            <w:noWrap/>
            <w:hideMark/>
          </w:tcPr>
          <w:p>
            <w:pPr>
              <w:rPr>
                <w:b/>
                <w:noProof/>
                <w:lang w:val="en-GB"/>
              </w:rPr>
            </w:pPr>
            <w:r>
              <w:rPr>
                <w:b/>
                <w:noProof/>
                <w:lang w:val="en-GB"/>
              </w:rPr>
              <w:t>Vessel collisions</w:t>
            </w:r>
          </w:p>
        </w:tc>
        <w:tc>
          <w:tcPr>
            <w:tcW w:w="709" w:type="dxa"/>
            <w:noWrap/>
            <w:hideMark/>
          </w:tcPr>
          <w:p>
            <w:pPr>
              <w:rPr>
                <w:b/>
                <w:bCs/>
                <w:noProof/>
                <w:lang w:val="en-GB"/>
              </w:rPr>
            </w:pPr>
            <w:r>
              <w:rPr>
                <w:b/>
                <w:bCs/>
                <w:noProof/>
                <w:lang w:val="en-GB"/>
              </w:rPr>
              <w:t>1</w:t>
            </w:r>
          </w:p>
        </w:tc>
        <w:tc>
          <w:tcPr>
            <w:tcW w:w="1215" w:type="dxa"/>
            <w:noWrap/>
          </w:tcPr>
          <w:p>
            <w:pPr>
              <w:rPr>
                <w:b/>
                <w:bCs/>
                <w:noProof/>
                <w:lang w:val="en-GB"/>
              </w:rPr>
            </w:pPr>
            <w:r>
              <w:rPr>
                <w:b/>
                <w:bCs/>
                <w:noProof/>
                <w:lang w:val="en-GB"/>
              </w:rPr>
              <w:t>100%</w:t>
            </w:r>
          </w:p>
        </w:tc>
        <w:tc>
          <w:tcPr>
            <w:tcW w:w="1556" w:type="dxa"/>
            <w:noWrap/>
          </w:tcPr>
          <w:p>
            <w:pPr>
              <w:rPr>
                <w:b/>
                <w:bCs/>
                <w:noProof/>
                <w:highlight w:val="yellow"/>
                <w:lang w:val="en-GB"/>
              </w:rPr>
            </w:pPr>
            <w:r>
              <w:rPr>
                <w:b/>
                <w:bCs/>
                <w:noProof/>
                <w:lang w:val="en-GB"/>
              </w:rPr>
              <w:t>1.39%</w:t>
            </w:r>
          </w:p>
        </w:tc>
        <w:tc>
          <w:tcPr>
            <w:tcW w:w="816" w:type="dxa"/>
          </w:tcPr>
          <w:p>
            <w:pPr>
              <w:rPr>
                <w:b/>
                <w:bCs/>
                <w:noProof/>
                <w:lang w:val="en-GB"/>
              </w:rPr>
            </w:pPr>
            <w:r>
              <w:rPr>
                <w:b/>
                <w:bCs/>
                <w:noProof/>
                <w:lang w:val="en-GB"/>
              </w:rPr>
              <w:t>NEW</w:t>
            </w:r>
          </w:p>
        </w:tc>
      </w:tr>
      <w:tr>
        <w:trPr>
          <w:trHeight w:val="300"/>
        </w:trPr>
        <w:tc>
          <w:tcPr>
            <w:tcW w:w="479" w:type="dxa"/>
            <w:tcBorders>
              <w:right w:val="single" w:sz="4" w:space="0" w:color="FFFFFF" w:themeColor="background1"/>
            </w:tcBorders>
            <w:noWrap/>
            <w:hideMark/>
          </w:tcPr>
          <w:p>
            <w:pPr>
              <w:rPr>
                <w:b/>
                <w:bCs/>
                <w:noProof/>
                <w:lang w:val="en-GB"/>
              </w:rPr>
            </w:pPr>
            <w:r>
              <w:rPr>
                <w:b/>
                <w:bCs/>
                <w:noProof/>
                <w:lang w:val="en-GB"/>
              </w:rPr>
              <w:t>(f)</w:t>
            </w:r>
          </w:p>
        </w:tc>
        <w:tc>
          <w:tcPr>
            <w:tcW w:w="5250" w:type="dxa"/>
            <w:tcBorders>
              <w:left w:val="single" w:sz="4" w:space="0" w:color="FFFFFF" w:themeColor="background1"/>
            </w:tcBorders>
            <w:noWrap/>
            <w:hideMark/>
          </w:tcPr>
          <w:p>
            <w:pPr>
              <w:rPr>
                <w:b/>
                <w:noProof/>
                <w:lang w:val="en-GB"/>
              </w:rPr>
            </w:pPr>
            <w:r>
              <w:rPr>
                <w:b/>
                <w:noProof/>
                <w:lang w:val="en-GB"/>
              </w:rPr>
              <w:t>Helicopter accidents</w:t>
            </w:r>
          </w:p>
        </w:tc>
        <w:tc>
          <w:tcPr>
            <w:tcW w:w="709" w:type="dxa"/>
            <w:noWrap/>
            <w:hideMark/>
          </w:tcPr>
          <w:p>
            <w:pPr>
              <w:rPr>
                <w:b/>
                <w:bCs/>
                <w:noProof/>
                <w:lang w:val="en-GB"/>
              </w:rPr>
            </w:pPr>
            <w:r>
              <w:rPr>
                <w:b/>
                <w:bCs/>
                <w:noProof/>
                <w:lang w:val="en-GB"/>
              </w:rPr>
              <w:t>0</w:t>
            </w:r>
          </w:p>
        </w:tc>
        <w:tc>
          <w:tcPr>
            <w:tcW w:w="1215" w:type="dxa"/>
            <w:noWrap/>
          </w:tcPr>
          <w:p>
            <w:pPr>
              <w:rPr>
                <w:b/>
                <w:bCs/>
                <w:noProof/>
                <w:lang w:val="en-GB"/>
              </w:rPr>
            </w:pPr>
            <w:r>
              <w:rPr>
                <w:b/>
                <w:bCs/>
                <w:noProof/>
                <w:lang w:val="en-GB"/>
              </w:rPr>
              <w:t>--</w:t>
            </w:r>
          </w:p>
        </w:tc>
        <w:tc>
          <w:tcPr>
            <w:tcW w:w="1556" w:type="dxa"/>
            <w:noWrap/>
          </w:tcPr>
          <w:p>
            <w:pPr>
              <w:rPr>
                <w:b/>
                <w:bCs/>
                <w:noProof/>
                <w:highlight w:val="yellow"/>
                <w:lang w:val="en-GB"/>
              </w:rPr>
            </w:pPr>
            <w:r>
              <w:rPr>
                <w:noProof/>
                <w:lang w:val="en-GB"/>
              </w:rPr>
              <w:t>0.00%</w:t>
            </w:r>
          </w:p>
        </w:tc>
        <w:tc>
          <w:tcPr>
            <w:tcW w:w="816" w:type="dxa"/>
          </w:tcPr>
          <w:p>
            <w:pPr>
              <w:rPr>
                <w:noProof/>
                <w:lang w:val="en-GB"/>
              </w:rPr>
            </w:pPr>
            <w:r>
              <w:rPr>
                <w:noProof/>
                <w:lang w:val="en-GB"/>
              </w:rPr>
              <w:t>--</w:t>
            </w:r>
          </w:p>
        </w:tc>
      </w:tr>
      <w:tr>
        <w:trPr>
          <w:trHeight w:val="300"/>
        </w:trPr>
        <w:tc>
          <w:tcPr>
            <w:tcW w:w="479" w:type="dxa"/>
            <w:tcBorders>
              <w:right w:val="single" w:sz="4" w:space="0" w:color="FFFFFF" w:themeColor="background1"/>
            </w:tcBorders>
            <w:noWrap/>
            <w:hideMark/>
          </w:tcPr>
          <w:p>
            <w:pPr>
              <w:rPr>
                <w:b/>
                <w:bCs/>
                <w:noProof/>
                <w:lang w:val="en-GB"/>
              </w:rPr>
            </w:pPr>
            <w:r>
              <w:rPr>
                <w:b/>
                <w:bCs/>
                <w:noProof/>
                <w:lang w:val="en-GB"/>
              </w:rPr>
              <w:t>(g)</w:t>
            </w:r>
          </w:p>
        </w:tc>
        <w:tc>
          <w:tcPr>
            <w:tcW w:w="5250" w:type="dxa"/>
            <w:tcBorders>
              <w:left w:val="single" w:sz="4" w:space="0" w:color="FFFFFF" w:themeColor="background1"/>
            </w:tcBorders>
            <w:noWrap/>
            <w:hideMark/>
          </w:tcPr>
          <w:p>
            <w:pPr>
              <w:rPr>
                <w:b/>
                <w:noProof/>
                <w:lang w:val="en-GB"/>
              </w:rPr>
            </w:pPr>
            <w:r>
              <w:rPr>
                <w:b/>
                <w:noProof/>
                <w:lang w:val="en-GB"/>
              </w:rPr>
              <w:t>Fatal accidents</w:t>
            </w:r>
            <w:r>
              <w:rPr>
                <w:b/>
                <w:noProof/>
                <w:vertAlign w:val="superscript"/>
                <w:lang w:val="en-GB"/>
              </w:rPr>
              <w:t xml:space="preserve"> (*)</w:t>
            </w:r>
          </w:p>
        </w:tc>
        <w:tc>
          <w:tcPr>
            <w:tcW w:w="709" w:type="dxa"/>
            <w:noWrap/>
            <w:hideMark/>
          </w:tcPr>
          <w:p>
            <w:pPr>
              <w:rPr>
                <w:b/>
                <w:bCs/>
                <w:noProof/>
                <w:lang w:val="en-GB"/>
              </w:rPr>
            </w:pPr>
            <w:r>
              <w:rPr>
                <w:b/>
                <w:bCs/>
                <w:noProof/>
                <w:lang w:val="en-GB"/>
              </w:rPr>
              <w:t>0</w:t>
            </w:r>
          </w:p>
        </w:tc>
        <w:tc>
          <w:tcPr>
            <w:tcW w:w="1215" w:type="dxa"/>
            <w:noWrap/>
          </w:tcPr>
          <w:p>
            <w:pPr>
              <w:rPr>
                <w:b/>
                <w:bCs/>
                <w:noProof/>
                <w:lang w:val="en-GB"/>
              </w:rPr>
            </w:pPr>
            <w:r>
              <w:rPr>
                <w:b/>
                <w:bCs/>
                <w:noProof/>
                <w:lang w:val="en-GB"/>
              </w:rPr>
              <w:t>--</w:t>
            </w:r>
          </w:p>
        </w:tc>
        <w:tc>
          <w:tcPr>
            <w:tcW w:w="1556" w:type="dxa"/>
            <w:noWrap/>
          </w:tcPr>
          <w:p>
            <w:pPr>
              <w:rPr>
                <w:b/>
                <w:bCs/>
                <w:noProof/>
                <w:highlight w:val="yellow"/>
                <w:lang w:val="en-GB"/>
              </w:rPr>
            </w:pPr>
            <w:r>
              <w:rPr>
                <w:noProof/>
                <w:lang w:val="en-GB"/>
              </w:rPr>
              <w:t>0.00%</w:t>
            </w:r>
          </w:p>
        </w:tc>
        <w:tc>
          <w:tcPr>
            <w:tcW w:w="816" w:type="dxa"/>
          </w:tcPr>
          <w:p>
            <w:pPr>
              <w:rPr>
                <w:noProof/>
                <w:lang w:val="en-GB"/>
              </w:rPr>
            </w:pPr>
            <w:r>
              <w:rPr>
                <w:noProof/>
                <w:lang w:val="en-GB"/>
              </w:rPr>
              <w:t>--</w:t>
            </w:r>
          </w:p>
        </w:tc>
      </w:tr>
      <w:tr>
        <w:trPr>
          <w:trHeight w:val="300"/>
        </w:trPr>
        <w:tc>
          <w:tcPr>
            <w:tcW w:w="479" w:type="dxa"/>
            <w:tcBorders>
              <w:right w:val="single" w:sz="4" w:space="0" w:color="FFFFFF" w:themeColor="background1"/>
            </w:tcBorders>
            <w:noWrap/>
            <w:hideMark/>
          </w:tcPr>
          <w:p>
            <w:pPr>
              <w:rPr>
                <w:b/>
                <w:bCs/>
                <w:noProof/>
                <w:lang w:val="en-GB"/>
              </w:rPr>
            </w:pPr>
            <w:r>
              <w:rPr>
                <w:b/>
                <w:bCs/>
                <w:noProof/>
                <w:lang w:val="en-GB"/>
              </w:rPr>
              <w:t>(h)</w:t>
            </w:r>
          </w:p>
        </w:tc>
        <w:tc>
          <w:tcPr>
            <w:tcW w:w="5250" w:type="dxa"/>
            <w:tcBorders>
              <w:left w:val="single" w:sz="4" w:space="0" w:color="FFFFFF" w:themeColor="background1"/>
            </w:tcBorders>
            <w:noWrap/>
            <w:hideMark/>
          </w:tcPr>
          <w:p>
            <w:pPr>
              <w:rPr>
                <w:b/>
                <w:noProof/>
                <w:lang w:val="en-GB"/>
              </w:rPr>
            </w:pPr>
            <w:r>
              <w:rPr>
                <w:b/>
                <w:noProof/>
                <w:lang w:val="en-GB"/>
              </w:rPr>
              <w:t>Serious injuries of five or more people in the same accident</w:t>
            </w:r>
          </w:p>
        </w:tc>
        <w:tc>
          <w:tcPr>
            <w:tcW w:w="709" w:type="dxa"/>
            <w:noWrap/>
            <w:hideMark/>
          </w:tcPr>
          <w:p>
            <w:pPr>
              <w:rPr>
                <w:b/>
                <w:bCs/>
                <w:noProof/>
                <w:lang w:val="en-GB"/>
              </w:rPr>
            </w:pPr>
            <w:r>
              <w:rPr>
                <w:b/>
                <w:bCs/>
                <w:noProof/>
                <w:lang w:val="en-GB"/>
              </w:rPr>
              <w:t>0</w:t>
            </w:r>
          </w:p>
        </w:tc>
        <w:tc>
          <w:tcPr>
            <w:tcW w:w="1215" w:type="dxa"/>
            <w:noWrap/>
          </w:tcPr>
          <w:p>
            <w:pPr>
              <w:rPr>
                <w:b/>
                <w:bCs/>
                <w:noProof/>
                <w:lang w:val="en-GB"/>
              </w:rPr>
            </w:pPr>
            <w:r>
              <w:rPr>
                <w:b/>
                <w:bCs/>
                <w:noProof/>
                <w:lang w:val="en-GB"/>
              </w:rPr>
              <w:t>--</w:t>
            </w:r>
          </w:p>
        </w:tc>
        <w:tc>
          <w:tcPr>
            <w:tcW w:w="1556" w:type="dxa"/>
            <w:noWrap/>
          </w:tcPr>
          <w:p>
            <w:pPr>
              <w:rPr>
                <w:b/>
                <w:bCs/>
                <w:noProof/>
                <w:highlight w:val="yellow"/>
                <w:lang w:val="en-GB"/>
              </w:rPr>
            </w:pPr>
            <w:r>
              <w:rPr>
                <w:noProof/>
                <w:lang w:val="en-GB"/>
              </w:rPr>
              <w:t>0.00%</w:t>
            </w:r>
          </w:p>
        </w:tc>
        <w:tc>
          <w:tcPr>
            <w:tcW w:w="816" w:type="dxa"/>
          </w:tcPr>
          <w:p>
            <w:pPr>
              <w:rPr>
                <w:noProof/>
                <w:lang w:val="en-GB"/>
              </w:rPr>
            </w:pPr>
            <w:r>
              <w:rPr>
                <w:noProof/>
                <w:lang w:val="en-GB"/>
              </w:rPr>
              <w:t>--</w:t>
            </w:r>
          </w:p>
        </w:tc>
      </w:tr>
      <w:tr>
        <w:trPr>
          <w:trHeight w:val="300"/>
        </w:trPr>
        <w:tc>
          <w:tcPr>
            <w:tcW w:w="479" w:type="dxa"/>
            <w:tcBorders>
              <w:right w:val="single" w:sz="4" w:space="0" w:color="FFFFFF" w:themeColor="background1"/>
            </w:tcBorders>
            <w:noWrap/>
            <w:hideMark/>
          </w:tcPr>
          <w:p>
            <w:pPr>
              <w:rPr>
                <w:b/>
                <w:bCs/>
                <w:noProof/>
                <w:lang w:val="en-GB"/>
              </w:rPr>
            </w:pPr>
            <w:r>
              <w:rPr>
                <w:b/>
                <w:bCs/>
                <w:noProof/>
                <w:lang w:val="en-GB"/>
              </w:rPr>
              <w:t>(i)</w:t>
            </w:r>
          </w:p>
        </w:tc>
        <w:tc>
          <w:tcPr>
            <w:tcW w:w="5250" w:type="dxa"/>
            <w:tcBorders>
              <w:left w:val="single" w:sz="4" w:space="0" w:color="FFFFFF" w:themeColor="background1"/>
            </w:tcBorders>
            <w:noWrap/>
            <w:hideMark/>
          </w:tcPr>
          <w:p>
            <w:pPr>
              <w:rPr>
                <w:b/>
                <w:noProof/>
                <w:lang w:val="en-GB"/>
              </w:rPr>
            </w:pPr>
            <w:r>
              <w:rPr>
                <w:b/>
                <w:noProof/>
                <w:lang w:val="en-GB"/>
              </w:rPr>
              <w:t>Evacuation of personnel</w:t>
            </w:r>
          </w:p>
        </w:tc>
        <w:tc>
          <w:tcPr>
            <w:tcW w:w="709" w:type="dxa"/>
            <w:noWrap/>
            <w:hideMark/>
          </w:tcPr>
          <w:p>
            <w:pPr>
              <w:rPr>
                <w:b/>
                <w:bCs/>
                <w:noProof/>
                <w:lang w:val="en-GB"/>
              </w:rPr>
            </w:pPr>
            <w:r>
              <w:rPr>
                <w:b/>
                <w:bCs/>
                <w:noProof/>
                <w:lang w:val="en-GB"/>
              </w:rPr>
              <w:t>0</w:t>
            </w:r>
          </w:p>
        </w:tc>
        <w:tc>
          <w:tcPr>
            <w:tcW w:w="1215" w:type="dxa"/>
            <w:noWrap/>
          </w:tcPr>
          <w:p>
            <w:pPr>
              <w:rPr>
                <w:b/>
                <w:bCs/>
                <w:noProof/>
                <w:lang w:val="en-GB"/>
              </w:rPr>
            </w:pPr>
            <w:r>
              <w:rPr>
                <w:b/>
                <w:bCs/>
                <w:noProof/>
                <w:lang w:val="en-GB"/>
              </w:rPr>
              <w:t>--</w:t>
            </w:r>
          </w:p>
        </w:tc>
        <w:tc>
          <w:tcPr>
            <w:tcW w:w="1556" w:type="dxa"/>
            <w:noWrap/>
          </w:tcPr>
          <w:p>
            <w:pPr>
              <w:rPr>
                <w:b/>
                <w:bCs/>
                <w:noProof/>
                <w:highlight w:val="yellow"/>
                <w:lang w:val="en-GB"/>
              </w:rPr>
            </w:pPr>
            <w:r>
              <w:rPr>
                <w:noProof/>
                <w:lang w:val="en-GB"/>
              </w:rPr>
              <w:t>0.00%</w:t>
            </w:r>
          </w:p>
        </w:tc>
        <w:tc>
          <w:tcPr>
            <w:tcW w:w="816" w:type="dxa"/>
          </w:tcPr>
          <w:p>
            <w:pPr>
              <w:rPr>
                <w:noProof/>
                <w:lang w:val="en-GB"/>
              </w:rPr>
            </w:pPr>
            <w:r>
              <w:rPr>
                <w:noProof/>
                <w:lang w:val="en-GB"/>
              </w:rPr>
              <w:t>--</w:t>
            </w:r>
          </w:p>
        </w:tc>
      </w:tr>
      <w:tr>
        <w:trPr>
          <w:trHeight w:val="300"/>
        </w:trPr>
        <w:tc>
          <w:tcPr>
            <w:tcW w:w="479" w:type="dxa"/>
            <w:tcBorders>
              <w:right w:val="single" w:sz="4" w:space="0" w:color="FFFFFF" w:themeColor="background1"/>
            </w:tcBorders>
            <w:noWrap/>
            <w:hideMark/>
          </w:tcPr>
          <w:p>
            <w:pPr>
              <w:rPr>
                <w:b/>
                <w:bCs/>
                <w:noProof/>
                <w:lang w:val="en-GB"/>
              </w:rPr>
            </w:pPr>
            <w:r>
              <w:rPr>
                <w:b/>
                <w:bCs/>
                <w:noProof/>
                <w:lang w:val="en-GB"/>
              </w:rPr>
              <w:t>(j)</w:t>
            </w:r>
          </w:p>
        </w:tc>
        <w:tc>
          <w:tcPr>
            <w:tcW w:w="5250" w:type="dxa"/>
            <w:tcBorders>
              <w:left w:val="single" w:sz="4" w:space="0" w:color="FFFFFF" w:themeColor="background1"/>
            </w:tcBorders>
            <w:noWrap/>
            <w:hideMark/>
          </w:tcPr>
          <w:p>
            <w:pPr>
              <w:rPr>
                <w:b/>
                <w:noProof/>
                <w:lang w:val="en-GB"/>
              </w:rPr>
            </w:pPr>
            <w:r>
              <w:rPr>
                <w:b/>
                <w:noProof/>
                <w:lang w:val="en-GB"/>
              </w:rPr>
              <w:t>Environmental accidents</w:t>
            </w:r>
          </w:p>
        </w:tc>
        <w:tc>
          <w:tcPr>
            <w:tcW w:w="709" w:type="dxa"/>
            <w:noWrap/>
            <w:hideMark/>
          </w:tcPr>
          <w:p>
            <w:pPr>
              <w:rPr>
                <w:b/>
                <w:bCs/>
                <w:noProof/>
                <w:lang w:val="en-GB"/>
              </w:rPr>
            </w:pPr>
            <w:r>
              <w:rPr>
                <w:b/>
                <w:bCs/>
                <w:noProof/>
                <w:lang w:val="en-GB"/>
              </w:rPr>
              <w:t>0</w:t>
            </w:r>
          </w:p>
        </w:tc>
        <w:tc>
          <w:tcPr>
            <w:tcW w:w="1215" w:type="dxa"/>
            <w:noWrap/>
          </w:tcPr>
          <w:p>
            <w:pPr>
              <w:rPr>
                <w:b/>
                <w:bCs/>
                <w:noProof/>
                <w:lang w:val="en-GB"/>
              </w:rPr>
            </w:pPr>
            <w:r>
              <w:rPr>
                <w:b/>
                <w:bCs/>
                <w:noProof/>
                <w:lang w:val="en-GB"/>
              </w:rPr>
              <w:t>--</w:t>
            </w:r>
          </w:p>
        </w:tc>
        <w:tc>
          <w:tcPr>
            <w:tcW w:w="1556" w:type="dxa"/>
            <w:noWrap/>
          </w:tcPr>
          <w:p>
            <w:pPr>
              <w:rPr>
                <w:b/>
                <w:bCs/>
                <w:noProof/>
                <w:highlight w:val="yellow"/>
                <w:lang w:val="en-GB"/>
              </w:rPr>
            </w:pPr>
            <w:r>
              <w:rPr>
                <w:noProof/>
                <w:lang w:val="en-GB"/>
              </w:rPr>
              <w:t>0.00%</w:t>
            </w:r>
          </w:p>
        </w:tc>
        <w:tc>
          <w:tcPr>
            <w:tcW w:w="816" w:type="dxa"/>
          </w:tcPr>
          <w:p>
            <w:pPr>
              <w:rPr>
                <w:noProof/>
                <w:lang w:val="en-GB"/>
              </w:rPr>
            </w:pPr>
            <w:r>
              <w:rPr>
                <w:noProof/>
                <w:lang w:val="en-GB"/>
              </w:rPr>
              <w:t>--</w:t>
            </w:r>
          </w:p>
        </w:tc>
      </w:tr>
      <w:tr>
        <w:trPr>
          <w:trHeight w:val="300"/>
        </w:trPr>
        <w:tc>
          <w:tcPr>
            <w:tcW w:w="5729" w:type="dxa"/>
            <w:gridSpan w:val="2"/>
            <w:noWrap/>
            <w:hideMark/>
          </w:tcPr>
          <w:p>
            <w:pPr>
              <w:rPr>
                <w:b/>
                <w:noProof/>
                <w:lang w:val="en-GB"/>
              </w:rPr>
            </w:pPr>
            <w:r>
              <w:rPr>
                <w:b/>
                <w:noProof/>
                <w:lang w:val="en-GB"/>
              </w:rPr>
              <w:t>Total</w:t>
            </w:r>
          </w:p>
        </w:tc>
        <w:tc>
          <w:tcPr>
            <w:tcW w:w="709" w:type="dxa"/>
            <w:noWrap/>
            <w:hideMark/>
          </w:tcPr>
          <w:p>
            <w:pPr>
              <w:rPr>
                <w:b/>
                <w:noProof/>
                <w:lang w:val="en-GB"/>
              </w:rPr>
            </w:pPr>
            <w:r>
              <w:rPr>
                <w:b/>
                <w:noProof/>
                <w:lang w:val="en-GB"/>
              </w:rPr>
              <w:t>72</w:t>
            </w:r>
          </w:p>
        </w:tc>
        <w:tc>
          <w:tcPr>
            <w:tcW w:w="1215" w:type="dxa"/>
            <w:noWrap/>
          </w:tcPr>
          <w:p>
            <w:pPr>
              <w:rPr>
                <w:b/>
                <w:noProof/>
                <w:lang w:val="en-GB"/>
              </w:rPr>
            </w:pPr>
          </w:p>
        </w:tc>
        <w:tc>
          <w:tcPr>
            <w:tcW w:w="1556" w:type="dxa"/>
            <w:noWrap/>
            <w:hideMark/>
          </w:tcPr>
          <w:p>
            <w:pPr>
              <w:rPr>
                <w:b/>
                <w:noProof/>
                <w:lang w:val="en-GB"/>
              </w:rPr>
            </w:pPr>
            <w:r>
              <w:rPr>
                <w:b/>
                <w:noProof/>
                <w:lang w:val="en-GB"/>
              </w:rPr>
              <w:t>100.00%</w:t>
            </w:r>
          </w:p>
        </w:tc>
        <w:tc>
          <w:tcPr>
            <w:tcW w:w="816" w:type="dxa"/>
          </w:tcPr>
          <w:p>
            <w:pPr>
              <w:rPr>
                <w:b/>
                <w:noProof/>
                <w:lang w:val="en-GB"/>
              </w:rPr>
            </w:pPr>
            <w:r>
              <w:rPr>
                <w:b/>
                <w:noProof/>
                <w:lang w:val="en-GB"/>
              </w:rPr>
              <w:t>+64%</w:t>
            </w:r>
          </w:p>
        </w:tc>
      </w:tr>
      <w:tr>
        <w:trPr>
          <w:trHeight w:val="300"/>
        </w:trPr>
        <w:tc>
          <w:tcPr>
            <w:tcW w:w="9209" w:type="dxa"/>
            <w:gridSpan w:val="5"/>
            <w:noWrap/>
          </w:tcPr>
          <w:p>
            <w:pPr>
              <w:rPr>
                <w:noProof/>
                <w:lang w:val="en-GB"/>
              </w:rPr>
            </w:pPr>
            <w:r>
              <w:rPr>
                <w:noProof/>
                <w:lang w:val="en-GB"/>
              </w:rPr>
              <w:t xml:space="preserve">(*) </w:t>
            </w:r>
            <w:r>
              <w:rPr>
                <w:i/>
                <w:noProof/>
                <w:lang w:val="en-GB"/>
              </w:rPr>
              <w:t>Only if related to a major accident.</w:t>
            </w:r>
          </w:p>
        </w:tc>
        <w:tc>
          <w:tcPr>
            <w:tcW w:w="816" w:type="dxa"/>
          </w:tcPr>
          <w:p>
            <w:pPr>
              <w:rPr>
                <w:noProof/>
                <w:lang w:val="en-GB"/>
              </w:rPr>
            </w:pPr>
          </w:p>
        </w:tc>
      </w:tr>
    </w:tbl>
    <w:p>
      <w:pPr>
        <w:jc w:val="both"/>
        <w:rPr>
          <w:rFonts w:ascii="Times New Roman" w:hAnsi="Times New Roman"/>
          <w:noProof/>
          <w:sz w:val="24"/>
          <w:szCs w:val="24"/>
        </w:rPr>
      </w:pPr>
    </w:p>
    <w:p>
      <w:pPr>
        <w:jc w:val="both"/>
        <w:rPr>
          <w:rFonts w:ascii="Times New Roman" w:hAnsi="Times New Roman"/>
          <w:noProof/>
          <w:sz w:val="24"/>
          <w:szCs w:val="24"/>
          <w:lang w:val="en-IE"/>
        </w:rPr>
      </w:pPr>
      <w:r>
        <w:rPr>
          <w:rFonts w:ascii="Times New Roman" w:hAnsi="Times New Roman"/>
          <w:noProof/>
          <w:sz w:val="24"/>
          <w:szCs w:val="24"/>
        </w:rPr>
        <w:t xml:space="preserve">In the EU, the total number of incidents increased from 44 in 2023 to 72 in 2024 (+64%). This difference mainly comes from the rise in unintended releases from 38 to 59 (+55%) and safety and environmental critical element failures, from 3 to 12 (300%). No incidents involving loss of wells were reported (compared to three in 2023). </w:t>
      </w:r>
      <w:r>
        <w:rPr>
          <w:rFonts w:ascii="Times New Roman" w:hAnsi="Times New Roman"/>
          <w:noProof/>
          <w:sz w:val="24"/>
          <w:szCs w:val="24"/>
          <w:lang w:val="en-IE"/>
        </w:rPr>
        <w:t>One vessel collision was reported (none in 2023).</w:t>
      </w:r>
    </w:p>
    <w:p>
      <w:pPr>
        <w:jc w:val="both"/>
        <w:rPr>
          <w:rFonts w:ascii="Times New Roman" w:hAnsi="Times New Roman"/>
          <w:noProof/>
          <w:sz w:val="24"/>
          <w:szCs w:val="24"/>
          <w:lang w:val="en-IE"/>
        </w:rPr>
      </w:pPr>
      <w:r>
        <w:rPr>
          <w:rFonts w:ascii="Times New Roman" w:hAnsi="Times New Roman"/>
          <w:noProof/>
          <w:sz w:val="24"/>
          <w:szCs w:val="24"/>
          <w:lang w:val="en-IE"/>
        </w:rPr>
        <w:t xml:space="preserve">The unintended releases were hazardous substances (17 incidents, 45%), gas (14 incidents, 37%) and oil (7 incidents, 18%).  </w:t>
      </w:r>
    </w:p>
    <w:p>
      <w:pPr>
        <w:jc w:val="both"/>
        <w:rPr>
          <w:rFonts w:ascii="Times New Roman" w:hAnsi="Times New Roman"/>
          <w:noProof/>
          <w:sz w:val="24"/>
          <w:szCs w:val="24"/>
          <w:lang w:val="en-IE"/>
        </w:rPr>
      </w:pPr>
      <w:r>
        <w:rPr>
          <w:rFonts w:ascii="Times New Roman" w:hAnsi="Times New Roman"/>
          <w:noProof/>
          <w:sz w:val="24"/>
          <w:szCs w:val="24"/>
          <w:lang w:val="en-IE"/>
        </w:rPr>
        <w:t>Two incidents were classified as major accidents during 2024. The competent Member States authorities assessed, together with the operators, the causes of the incidents to determine if investigations or enforcement actions were needed. The authorities did not require enforcement actions.</w:t>
      </w:r>
    </w:p>
    <w:p>
      <w:pPr>
        <w:jc w:val="both"/>
        <w:rPr>
          <w:rFonts w:ascii="Times New Roman" w:hAnsi="Times New Roman"/>
          <w:noProof/>
        </w:rPr>
      </w:pPr>
      <w:bookmarkStart w:id="9" w:name="_Toc116313755"/>
      <w:r>
        <w:rPr>
          <w:rFonts w:ascii="Times New Roman" w:hAnsi="Times New Roman"/>
          <w:noProof/>
        </w:rPr>
        <w:t>6.</w:t>
      </w:r>
      <w:r>
        <w:rPr>
          <w:rFonts w:ascii="Times New Roman" w:hAnsi="Times New Roman"/>
          <w:noProof/>
        </w:rPr>
        <w:tab/>
        <w:t>CONCLUSIONS</w:t>
      </w:r>
      <w:bookmarkEnd w:id="9"/>
    </w:p>
    <w:p>
      <w:pPr>
        <w:jc w:val="both"/>
        <w:rPr>
          <w:rFonts w:ascii="Times New Roman" w:hAnsi="Times New Roman"/>
          <w:noProof/>
          <w:sz w:val="24"/>
          <w:szCs w:val="24"/>
          <w:lang w:val="en-IE"/>
        </w:rPr>
      </w:pPr>
      <w:r>
        <w:rPr>
          <w:rFonts w:ascii="Times New Roman" w:hAnsi="Times New Roman"/>
          <w:noProof/>
          <w:sz w:val="24"/>
          <w:szCs w:val="24"/>
          <w:lang w:val="en-IE"/>
        </w:rPr>
        <w:t xml:space="preserve">In 2024, there were 324 offshore oil and gas installations in the EU. </w:t>
      </w:r>
    </w:p>
    <w:p>
      <w:pPr>
        <w:jc w:val="both"/>
        <w:rPr>
          <w:rFonts w:ascii="Times New Roman" w:hAnsi="Times New Roman"/>
          <w:noProof/>
          <w:sz w:val="24"/>
          <w:szCs w:val="24"/>
          <w:lang w:val="en-IE"/>
        </w:rPr>
      </w:pPr>
      <w:r>
        <w:rPr>
          <w:rFonts w:ascii="Times New Roman" w:hAnsi="Times New Roman"/>
          <w:noProof/>
          <w:sz w:val="24"/>
          <w:szCs w:val="24"/>
          <w:lang w:val="en-IE"/>
        </w:rPr>
        <w:t xml:space="preserve">Oil and gas production increased from 15 518 ktoe in 2023 to </w:t>
      </w:r>
      <w:r>
        <w:rPr>
          <w:rFonts w:ascii="Times New Roman" w:hAnsi="Times New Roman"/>
          <w:noProof/>
          <w:sz w:val="24"/>
          <w:szCs w:val="24"/>
        </w:rPr>
        <w:t>16 082 ktoe in 2024</w:t>
      </w:r>
      <w:r>
        <w:rPr>
          <w:rFonts w:ascii="Times New Roman" w:hAnsi="Times New Roman"/>
          <w:noProof/>
          <w:sz w:val="24"/>
          <w:szCs w:val="24"/>
          <w:lang w:val="en-IE"/>
        </w:rPr>
        <w:t xml:space="preserve"> (3.6% gain of production, compared to a 4.6% decrease </w:t>
      </w:r>
      <w:bookmarkStart w:id="10" w:name="_Hlk224896736"/>
      <w:r>
        <w:rPr>
          <w:rFonts w:ascii="Times New Roman" w:hAnsi="Times New Roman"/>
          <w:noProof/>
          <w:sz w:val="24"/>
          <w:szCs w:val="24"/>
          <w:lang w:val="en-IE"/>
        </w:rPr>
        <w:t>in 2023 compared to 2022</w:t>
      </w:r>
      <w:bookmarkEnd w:id="10"/>
      <w:r>
        <w:rPr>
          <w:rFonts w:ascii="Times New Roman" w:hAnsi="Times New Roman"/>
          <w:noProof/>
          <w:sz w:val="24"/>
          <w:szCs w:val="24"/>
          <w:lang w:val="en-IE"/>
        </w:rPr>
        <w:t xml:space="preserve">). Denmark and the Netherlands produced 72% of the EU’s total offshore oil and gas. </w:t>
      </w:r>
    </w:p>
    <w:p>
      <w:pPr>
        <w:jc w:val="both"/>
        <w:rPr>
          <w:rFonts w:ascii="Times New Roman" w:hAnsi="Times New Roman"/>
          <w:noProof/>
          <w:sz w:val="24"/>
          <w:szCs w:val="24"/>
          <w:lang w:val="en-IE"/>
        </w:rPr>
      </w:pPr>
      <w:r>
        <w:rPr>
          <w:rFonts w:ascii="Times New Roman" w:hAnsi="Times New Roman"/>
          <w:noProof/>
          <w:sz w:val="24"/>
          <w:szCs w:val="24"/>
          <w:lang w:val="en-IE"/>
        </w:rPr>
        <w:t>The Commission has assessed the safety of the EU’s offshore oil and gas operations based on the information provided by Member States, according to the Implementing Regulation. The accuracy of the Commission’s assessment therefore depends on the accuracy of this information.</w:t>
      </w:r>
    </w:p>
    <w:p>
      <w:pPr>
        <w:jc w:val="both"/>
        <w:rPr>
          <w:rFonts w:ascii="Times New Roman" w:hAnsi="Times New Roman"/>
          <w:noProof/>
          <w:sz w:val="24"/>
          <w:szCs w:val="24"/>
          <w:lang w:val="en-IE"/>
        </w:rPr>
      </w:pPr>
      <w:r>
        <w:rPr>
          <w:rFonts w:ascii="Times New Roman" w:hAnsi="Times New Roman"/>
          <w:noProof/>
          <w:sz w:val="24"/>
          <w:szCs w:val="24"/>
          <w:lang w:val="en-IE"/>
        </w:rPr>
        <w:lastRenderedPageBreak/>
        <w:t>In 2024, the competent</w:t>
      </w:r>
      <w:r>
        <w:rPr>
          <w:rFonts w:ascii="Times New Roman" w:hAnsi="Times New Roman"/>
          <w:noProof/>
          <w:sz w:val="24"/>
          <w:szCs w:val="24"/>
        </w:rPr>
        <w:t xml:space="preserve"> Member State</w:t>
      </w:r>
      <w:r>
        <w:rPr>
          <w:rFonts w:ascii="Times New Roman" w:hAnsi="Times New Roman"/>
          <w:noProof/>
          <w:sz w:val="24"/>
          <w:szCs w:val="24"/>
          <w:lang w:val="en-IE"/>
        </w:rPr>
        <w:t xml:space="preserve"> authorities kept up their efforts to ensure a high level of safety in offshore oil and gas operations by inspecting 299 installations (compared to 388 in 2023). No enforcement actions were reported during 2024.</w:t>
      </w:r>
    </w:p>
    <w:p>
      <w:pPr>
        <w:jc w:val="both"/>
        <w:rPr>
          <w:rFonts w:ascii="Times New Roman" w:hAnsi="Times New Roman"/>
          <w:noProof/>
          <w:sz w:val="24"/>
          <w:szCs w:val="24"/>
          <w:lang w:val="en-IE"/>
        </w:rPr>
      </w:pPr>
      <w:r>
        <w:rPr>
          <w:rFonts w:ascii="Times New Roman" w:hAnsi="Times New Roman"/>
          <w:noProof/>
          <w:sz w:val="24"/>
          <w:szCs w:val="24"/>
          <w:lang w:val="en-IE"/>
        </w:rPr>
        <w:t>The total number of incidents increased from 44 in 2023 to 72 in 2024. In 2024 there were two major accidents, compared to none in 2023. No fatality was reported. The competent authorities did not take any enforcement action. 39 injuries</w:t>
      </w:r>
      <w:r>
        <w:rPr>
          <w:rStyle w:val="FootnoteReference"/>
          <w:rFonts w:ascii="Times New Roman" w:hAnsi="Times New Roman"/>
          <w:noProof/>
          <w:sz w:val="24"/>
          <w:szCs w:val="24"/>
          <w:lang w:val="en-IE"/>
        </w:rPr>
        <w:footnoteReference w:id="15"/>
      </w:r>
      <w:r>
        <w:rPr>
          <w:rFonts w:ascii="Times New Roman" w:hAnsi="Times New Roman"/>
          <w:noProof/>
          <w:sz w:val="24"/>
          <w:szCs w:val="24"/>
          <w:lang w:val="en-IE"/>
        </w:rPr>
        <w:t xml:space="preserve"> and 13 serious injuries</w:t>
      </w:r>
      <w:r>
        <w:rPr>
          <w:rStyle w:val="FootnoteReference"/>
          <w:rFonts w:ascii="Times New Roman" w:hAnsi="Times New Roman"/>
          <w:noProof/>
          <w:sz w:val="24"/>
          <w:szCs w:val="24"/>
          <w:lang w:val="en-IE"/>
        </w:rPr>
        <w:footnoteReference w:id="16"/>
      </w:r>
      <w:r>
        <w:rPr>
          <w:rFonts w:ascii="Times New Roman" w:hAnsi="Times New Roman"/>
          <w:noProof/>
          <w:sz w:val="24"/>
          <w:szCs w:val="24"/>
          <w:lang w:val="en-IE"/>
        </w:rPr>
        <w:t xml:space="preserve"> occurred. </w:t>
      </w:r>
    </w:p>
    <w:p>
      <w:pPr>
        <w:jc w:val="both"/>
        <w:rPr>
          <w:rFonts w:ascii="Times New Roman" w:hAnsi="Times New Roman"/>
          <w:noProof/>
          <w:sz w:val="24"/>
          <w:szCs w:val="24"/>
          <w:lang w:val="en-IE"/>
        </w:rPr>
      </w:pPr>
      <w:r>
        <w:rPr>
          <w:rFonts w:ascii="Times New Roman" w:hAnsi="Times New Roman"/>
          <w:noProof/>
          <w:sz w:val="24"/>
          <w:szCs w:val="24"/>
          <w:lang w:val="en-IE"/>
        </w:rPr>
        <w:t>In conclusion, due to the obligatory inspections and actions taken, as stipulated by the Offshore Safety Directive, the work of the competent Member State authorities has once more resulted in safe offshore oil and gas operations.</w:t>
      </w:r>
    </w:p>
    <w:p>
      <w:pPr>
        <w:jc w:val="both"/>
        <w:rPr>
          <w:rFonts w:ascii="Times New Roman" w:hAnsi="Times New Roman"/>
          <w:noProof/>
          <w:sz w:val="24"/>
          <w:szCs w:val="24"/>
          <w:lang w:val="en-IE"/>
        </w:rPr>
      </w:pPr>
      <w:r>
        <w:rPr>
          <w:rFonts w:ascii="Times New Roman" w:hAnsi="Times New Roman"/>
          <w:noProof/>
          <w:sz w:val="24"/>
          <w:szCs w:val="24"/>
          <w:lang w:val="en-IE"/>
        </w:rPr>
        <w:t xml:space="preserve">To maintain the level of safety, the Commission continues to work closely with the European Union Offshore Authorities Group (EUOAG). The EUOAG promotes best practices for carrying out safely all operations, and assists competent </w:t>
      </w:r>
      <w:r>
        <w:rPr>
          <w:rFonts w:ascii="Times New Roman" w:hAnsi="Times New Roman"/>
          <w:noProof/>
          <w:sz w:val="24"/>
          <w:szCs w:val="24"/>
        </w:rPr>
        <w:t>Member State</w:t>
      </w:r>
      <w:r>
        <w:rPr>
          <w:rFonts w:ascii="Times New Roman" w:hAnsi="Times New Roman"/>
          <w:noProof/>
          <w:sz w:val="24"/>
          <w:szCs w:val="24"/>
          <w:lang w:val="en-IE"/>
        </w:rPr>
        <w:t xml:space="preserve"> authorities represented in the group. </w:t>
      </w:r>
    </w:p>
    <w:p>
      <w:pPr>
        <w:jc w:val="both"/>
        <w:rPr>
          <w:rFonts w:ascii="Times New Roman" w:hAnsi="Times New Roman"/>
          <w:noProof/>
          <w:sz w:val="24"/>
          <w:szCs w:val="24"/>
        </w:rPr>
      </w:pPr>
    </w:p>
    <w:p>
      <w:pPr>
        <w:jc w:val="both"/>
        <w:rPr>
          <w:rFonts w:ascii="Times New Roman" w:hAnsi="Times New Roman"/>
          <w:noProof/>
          <w:sz w:val="24"/>
          <w:szCs w:val="24"/>
        </w:rPr>
      </w:pPr>
    </w:p>
    <w:p>
      <w:pPr>
        <w:rPr>
          <w:noProof/>
        </w:rPr>
      </w:pPr>
    </w:p>
    <w:sectPr>
      <w:headerReference w:type="even" r:id="rId24"/>
      <w:headerReference w:type="default" r:id="rId25"/>
      <w:footerReference w:type="even" r:id="rId26"/>
      <w:footerReference w:type="default" r:id="rId27"/>
      <w:headerReference w:type="first" r:id="rId28"/>
      <w:footerReference w:type="first" r:id="rId29"/>
      <w:pgSz w:w="11906" w:h="16838" w:code="9"/>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STZhongsong">
    <w:altName w:val="Arial Unicode MS"/>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pPr>
    <w:r>
      <w:fldChar w:fldCharType="begin"/>
    </w:r>
    <w:r>
      <w:instrText xml:space="preserve"> PAGE   \* MERGEFORMAT </w:instrText>
    </w:r>
    <w:r>
      <w:fldChar w:fldCharType="separate"/>
    </w:r>
    <w:r>
      <w:t>1</w:t>
    </w:r>
    <w: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pPr>
    <w:r>
      <w:fldChar w:fldCharType="begin"/>
    </w:r>
    <w:r>
      <w:instrText xml:space="preserve"> PAGE   \* MERGEFORMAT </w:instrText>
    </w:r>
    <w:r>
      <w:fldChar w:fldCharType="separate"/>
    </w:r>
    <w:r>
      <w:t>5</w:t>
    </w:r>
    <w: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rPr>
          <w:rFonts w:ascii="Times New Roman" w:hAnsi="Times New Roman"/>
        </w:rPr>
      </w:pPr>
      <w:r>
        <w:rPr>
          <w:rFonts w:ascii="Times New Roman" w:hAnsi="Times New Roman"/>
        </w:rPr>
        <w:footnoteRef/>
      </w:r>
      <w:r>
        <w:rPr>
          <w:rFonts w:ascii="Times New Roman" w:hAnsi="Times New Roman"/>
        </w:rPr>
        <w:t xml:space="preserve"> OJ L 178, 28 June 2013, p. 66.</w:t>
      </w:r>
    </w:p>
  </w:footnote>
  <w:footnote w:id="2">
    <w:p>
      <w:pPr>
        <w:pStyle w:val="FootnoteText"/>
        <w:rPr>
          <w:rFonts w:ascii="Times New Roman" w:hAnsi="Times New Roman"/>
        </w:rPr>
      </w:pPr>
      <w:r>
        <w:rPr>
          <w:rStyle w:val="FootnoteReference"/>
        </w:rPr>
        <w:footnoteRef/>
      </w:r>
      <w:r>
        <w:t xml:space="preserve"> </w:t>
      </w:r>
      <w:r>
        <w:rPr>
          <w:rFonts w:ascii="Times New Roman" w:hAnsi="Times New Roman"/>
        </w:rPr>
        <w:t>OJ L 302, 22 October 2014, p. 2.</w:t>
      </w:r>
    </w:p>
  </w:footnote>
  <w:footnote w:id="3">
    <w:p>
      <w:pPr>
        <w:pStyle w:val="FootnoteText"/>
      </w:pPr>
      <w:r>
        <w:rPr>
          <w:rStyle w:val="FootnoteReference"/>
        </w:rPr>
        <w:footnoteRef/>
      </w:r>
      <w:r>
        <w:t xml:space="preserve"> </w:t>
      </w:r>
      <w:r>
        <w:rPr>
          <w:rFonts w:ascii="Times New Roman" w:hAnsi="Times New Roman"/>
        </w:rPr>
        <w:t>Guidance Document on Commission Implementing Regulation (EU) No1112/2014 of 13 October 2014.</w:t>
      </w:r>
    </w:p>
  </w:footnote>
  <w:footnote w:id="4">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Mobile offshore drilling units are not part of the data in Section 4.1.</w:t>
      </w:r>
    </w:p>
  </w:footnote>
  <w:footnote w:id="5">
    <w:p>
      <w:pPr>
        <w:pStyle w:val="FootnoteText"/>
      </w:pPr>
      <w:r>
        <w:rPr>
          <w:rStyle w:val="FootnoteReference"/>
        </w:rPr>
        <w:footnoteRef/>
      </w:r>
      <w:r>
        <w:t xml:space="preserve"> Four in Italy, one in the Netherlands.</w:t>
      </w:r>
    </w:p>
  </w:footnote>
  <w:footnote w:id="6">
    <w:p>
      <w:pPr>
        <w:pStyle w:val="FootnoteText"/>
        <w:tabs>
          <w:tab w:val="left" w:pos="6850"/>
        </w:tabs>
        <w:jc w:val="both"/>
        <w:rPr>
          <w:rFonts w:ascii="Arial" w:hAnsi="Arial" w:cs="Arial"/>
        </w:rPr>
      </w:pPr>
      <w:r>
        <w:rPr>
          <w:rStyle w:val="FootnoteReference"/>
        </w:rPr>
        <w:footnoteRef/>
      </w:r>
      <w:r>
        <w:t xml:space="preserve"> An installation could be inspected more than once during a reporting year; therefore the ‘number of inspections’ (371) is different from that of ‘total installations’ (299), due to </w:t>
      </w:r>
      <w:r>
        <w:rPr>
          <w:rStyle w:val="cf01"/>
        </w:rPr>
        <w:t>the number of facilities decommissioned during the year and the number of facilities that start operation during the year.</w:t>
      </w:r>
    </w:p>
    <w:p>
      <w:pPr>
        <w:pStyle w:val="FootnoteText"/>
        <w:tabs>
          <w:tab w:val="left" w:pos="6850"/>
        </w:tabs>
      </w:pPr>
      <w:r>
        <w:t>.</w:t>
      </w:r>
    </w:p>
  </w:footnote>
  <w:footnote w:id="7">
    <w:p>
      <w:pPr>
        <w:pStyle w:val="FootnoteText"/>
        <w:rPr>
          <w:rFonts w:ascii="Times New Roman" w:hAnsi="Times New Roman"/>
        </w:rPr>
      </w:pPr>
      <w:r>
        <w:rPr>
          <w:rFonts w:ascii="Times New Roman" w:hAnsi="Times New Roman"/>
          <w:vertAlign w:val="superscript"/>
        </w:rPr>
        <w:footnoteRef/>
      </w:r>
      <w:r>
        <w:rPr>
          <w:rFonts w:ascii="Times New Roman" w:hAnsi="Times New Roman"/>
        </w:rPr>
        <w:t xml:space="preserve"> The reporting obligation does not cover certain events (e.g. those not related to operations).</w:t>
      </w:r>
    </w:p>
  </w:footnote>
  <w:footnote w:id="8">
    <w:p>
      <w:pPr>
        <w:pStyle w:val="FootnoteText"/>
      </w:pPr>
      <w:r>
        <w:rPr>
          <w:rStyle w:val="FootnoteReference"/>
        </w:rPr>
        <w:footnoteRef/>
      </w:r>
      <w:r>
        <w:t xml:space="preserve"> </w:t>
      </w:r>
      <w:r>
        <w:rPr>
          <w:rStyle w:val="normaltextrun"/>
          <w:color w:val="000000"/>
          <w:bdr w:val="none" w:sz="0" w:space="0" w:color="auto" w:frame="1"/>
          <w:lang w:val="en-US"/>
        </w:rPr>
        <w:t>Gas spill on the Tyra East platform in connection with the start of production following a disruption of operations.</w:t>
      </w:r>
    </w:p>
  </w:footnote>
  <w:footnote w:id="9">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For Denmark, 14 incidents consisted in Unintended releases. 7 incidents fell under no category in Section 4.2. Annex IX Incident Categories. </w:t>
      </w:r>
    </w:p>
  </w:footnote>
  <w:footnote w:id="10">
    <w:p>
      <w:pPr>
        <w:pStyle w:val="FootnoteText"/>
      </w:pPr>
      <w:r>
        <w:rPr>
          <w:rStyle w:val="FootnoteReference"/>
        </w:rPr>
        <w:footnoteRef/>
      </w:r>
      <w:r>
        <w:t xml:space="preserve"> </w:t>
      </w:r>
      <w:r>
        <w:rPr>
          <w:rFonts w:ascii="Times New Roman" w:hAnsi="Times New Roman"/>
        </w:rPr>
        <w:t>For Croatia, out of the 8 events, 5 were due to Unintended releases, and 3 due to Failures of safety and environmental critical elements (SECE).</w:t>
      </w:r>
    </w:p>
  </w:footnote>
  <w:footnote w:id="11">
    <w:p>
      <w:pPr>
        <w:spacing w:after="0"/>
        <w:jc w:val="both"/>
        <w:rPr>
          <w:rFonts w:ascii="Times New Roman" w:hAnsi="Times New Roman"/>
        </w:rPr>
      </w:pPr>
      <w:r>
        <w:rPr>
          <w:rStyle w:val="FootnoteReference"/>
          <w:rFonts w:ascii="Times New Roman" w:hAnsi="Times New Roman"/>
          <w:sz w:val="20"/>
          <w:szCs w:val="20"/>
        </w:rPr>
        <w:footnoteRef/>
      </w:r>
      <w:r>
        <w:rPr>
          <w:rFonts w:ascii="Times New Roman" w:hAnsi="Times New Roman"/>
          <w:sz w:val="20"/>
          <w:szCs w:val="20"/>
        </w:rPr>
        <w:t xml:space="preserve"> Major accidents include incidents that could cause fatalities or serious injuries (even if none occurred).</w:t>
      </w:r>
    </w:p>
  </w:footnote>
  <w:footnote w:id="12">
    <w:p>
      <w:pPr>
        <w:pStyle w:val="FootnoteText"/>
        <w:rPr>
          <w:rFonts w:ascii="Times New Roman" w:hAnsi="Times New Roman"/>
          <w:lang w:val="en-IE"/>
        </w:rPr>
      </w:pPr>
      <w:r>
        <w:rPr>
          <w:rStyle w:val="FootnoteReference"/>
          <w:rFonts w:ascii="Times New Roman" w:hAnsi="Times New Roman"/>
        </w:rPr>
        <w:footnoteRef/>
      </w:r>
      <w:r>
        <w:rPr>
          <w:rFonts w:ascii="Times New Roman" w:hAnsi="Times New Roman"/>
        </w:rPr>
        <w:t xml:space="preserve"> </w:t>
      </w:r>
      <w:r>
        <w:rPr>
          <w:rFonts w:ascii="Times New Roman" w:hAnsi="Times New Roman"/>
          <w:lang w:val="en-IE"/>
        </w:rPr>
        <w:t>For the Netherlands, the incidents consisted in 5 Failure of SECE, and 40 Unintended releases.</w:t>
      </w:r>
    </w:p>
  </w:footnote>
  <w:footnote w:id="13">
    <w:p>
      <w:pPr>
        <w:pStyle w:val="FootnoteText"/>
        <w:rPr>
          <w:rFonts w:ascii="Times New Roman" w:hAnsi="Times New Roman"/>
          <w:lang w:val="en-US"/>
        </w:rPr>
      </w:pPr>
      <w:r>
        <w:rPr>
          <w:rStyle w:val="FootnoteReference"/>
        </w:rPr>
        <w:footnoteRef/>
      </w:r>
      <w:r>
        <w:t xml:space="preserve"> </w:t>
      </w:r>
      <w:r>
        <w:rPr>
          <w:rFonts w:ascii="Times New Roman" w:hAnsi="Times New Roman"/>
        </w:rPr>
        <w:t>For Greece, all 4 incidents were Failures of SECE.</w:t>
      </w:r>
    </w:p>
  </w:footnote>
  <w:footnote w:id="14">
    <w:p>
      <w:pPr>
        <w:pStyle w:val="FootnoteText"/>
        <w:rPr>
          <w:rFonts w:ascii="Times New Roman" w:hAnsi="Times New Roman"/>
          <w:lang w:val="en-US"/>
        </w:rPr>
      </w:pPr>
      <w:r>
        <w:rPr>
          <w:rStyle w:val="FootnoteReference"/>
          <w:rFonts w:ascii="Times New Roman" w:hAnsi="Times New Roman"/>
        </w:rPr>
        <w:footnoteRef/>
      </w:r>
      <w:r>
        <w:rPr>
          <w:rFonts w:ascii="Times New Roman" w:hAnsi="Times New Roman"/>
        </w:rPr>
        <w:t xml:space="preserve"> Italy reported 1 vessel collision incident.</w:t>
      </w:r>
    </w:p>
  </w:footnote>
  <w:footnote w:id="15">
    <w:p>
      <w:pPr>
        <w:pStyle w:val="FootnoteText"/>
        <w:rPr>
          <w:lang w:val="en-IE"/>
        </w:rPr>
      </w:pPr>
      <w:r>
        <w:rPr>
          <w:rStyle w:val="FootnoteReference"/>
        </w:rPr>
        <w:footnoteRef/>
      </w:r>
      <w:r>
        <w:t xml:space="preserve"> </w:t>
      </w:r>
      <w:r>
        <w:rPr>
          <w:lang w:val="en-IE"/>
        </w:rPr>
        <w:t>Italy 3, Romania 1, Denmark 24 and the Netherlands 11.</w:t>
      </w:r>
    </w:p>
  </w:footnote>
  <w:footnote w:id="16">
    <w:p>
      <w:pPr>
        <w:pStyle w:val="FootnoteText"/>
        <w:rPr>
          <w:lang w:val="en-IE"/>
        </w:rPr>
      </w:pPr>
      <w:r>
        <w:rPr>
          <w:rStyle w:val="FootnoteReference"/>
        </w:rPr>
        <w:footnoteRef/>
      </w:r>
      <w:r>
        <w:t xml:space="preserve"> Italy 8, </w:t>
      </w:r>
      <w:r>
        <w:rPr>
          <w:lang w:val="en-IE"/>
        </w:rPr>
        <w:t xml:space="preserve">the Netherlands 1, </w:t>
      </w:r>
      <w:r>
        <w:t>Denmark 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C48129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A6A04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0B2BA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825A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68D64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AAD4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D03E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1A62F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FAD4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2E6AE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26675A"/>
    <w:multiLevelType w:val="hybridMultilevel"/>
    <w:tmpl w:val="0CA4731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0B282E53"/>
    <w:multiLevelType w:val="hybridMultilevel"/>
    <w:tmpl w:val="D6C4DF50"/>
    <w:lvl w:ilvl="0" w:tplc="ED987C0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BC96107"/>
    <w:multiLevelType w:val="hybridMultilevel"/>
    <w:tmpl w:val="341A19A4"/>
    <w:lvl w:ilvl="0" w:tplc="82BAB730">
      <w:start w:val="10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C9D0E32"/>
    <w:multiLevelType w:val="hybridMultilevel"/>
    <w:tmpl w:val="A8D2EAE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83D0569"/>
    <w:multiLevelType w:val="hybridMultilevel"/>
    <w:tmpl w:val="708C29DA"/>
    <w:lvl w:ilvl="0" w:tplc="D08C0E28">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B3E4B61"/>
    <w:multiLevelType w:val="hybridMultilevel"/>
    <w:tmpl w:val="93546A28"/>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ED2062D"/>
    <w:multiLevelType w:val="hybridMultilevel"/>
    <w:tmpl w:val="1F1841D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D1944CB"/>
    <w:multiLevelType w:val="hybridMultilevel"/>
    <w:tmpl w:val="577C9D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DD1944"/>
    <w:multiLevelType w:val="hybridMultilevel"/>
    <w:tmpl w:val="0D304F36"/>
    <w:lvl w:ilvl="0" w:tplc="6124312E">
      <w:start w:val="100"/>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061CA3"/>
    <w:multiLevelType w:val="hybridMultilevel"/>
    <w:tmpl w:val="86E68B9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0" w15:restartNumberingAfterBreak="0">
    <w:nsid w:val="384157BF"/>
    <w:multiLevelType w:val="hybridMultilevel"/>
    <w:tmpl w:val="0C06A5DE"/>
    <w:lvl w:ilvl="0" w:tplc="C89ECC04">
      <w:start w:val="1"/>
      <w:numFmt w:val="decimal"/>
      <w:lvlText w:val="%1."/>
      <w:lvlJc w:val="left"/>
      <w:pPr>
        <w:ind w:left="1020" w:hanging="360"/>
      </w:pPr>
    </w:lvl>
    <w:lvl w:ilvl="1" w:tplc="556EF004">
      <w:start w:val="1"/>
      <w:numFmt w:val="decimal"/>
      <w:lvlText w:val="%2."/>
      <w:lvlJc w:val="left"/>
      <w:pPr>
        <w:ind w:left="1020" w:hanging="360"/>
      </w:pPr>
    </w:lvl>
    <w:lvl w:ilvl="2" w:tplc="829ABF50">
      <w:start w:val="1"/>
      <w:numFmt w:val="decimal"/>
      <w:lvlText w:val="%3."/>
      <w:lvlJc w:val="left"/>
      <w:pPr>
        <w:ind w:left="1020" w:hanging="360"/>
      </w:pPr>
    </w:lvl>
    <w:lvl w:ilvl="3" w:tplc="E77413C0">
      <w:start w:val="1"/>
      <w:numFmt w:val="decimal"/>
      <w:lvlText w:val="%4."/>
      <w:lvlJc w:val="left"/>
      <w:pPr>
        <w:ind w:left="1020" w:hanging="360"/>
      </w:pPr>
    </w:lvl>
    <w:lvl w:ilvl="4" w:tplc="09A8BBAE">
      <w:start w:val="1"/>
      <w:numFmt w:val="decimal"/>
      <w:lvlText w:val="%5."/>
      <w:lvlJc w:val="left"/>
      <w:pPr>
        <w:ind w:left="1020" w:hanging="360"/>
      </w:pPr>
    </w:lvl>
    <w:lvl w:ilvl="5" w:tplc="7DB04AC0">
      <w:start w:val="1"/>
      <w:numFmt w:val="decimal"/>
      <w:lvlText w:val="%6."/>
      <w:lvlJc w:val="left"/>
      <w:pPr>
        <w:ind w:left="1020" w:hanging="360"/>
      </w:pPr>
    </w:lvl>
    <w:lvl w:ilvl="6" w:tplc="09AE9862">
      <w:start w:val="1"/>
      <w:numFmt w:val="decimal"/>
      <w:lvlText w:val="%7."/>
      <w:lvlJc w:val="left"/>
      <w:pPr>
        <w:ind w:left="1020" w:hanging="360"/>
      </w:pPr>
    </w:lvl>
    <w:lvl w:ilvl="7" w:tplc="5B44D924">
      <w:start w:val="1"/>
      <w:numFmt w:val="decimal"/>
      <w:lvlText w:val="%8."/>
      <w:lvlJc w:val="left"/>
      <w:pPr>
        <w:ind w:left="1020" w:hanging="360"/>
      </w:pPr>
    </w:lvl>
    <w:lvl w:ilvl="8" w:tplc="E5F0D5D4">
      <w:start w:val="1"/>
      <w:numFmt w:val="decimal"/>
      <w:lvlText w:val="%9."/>
      <w:lvlJc w:val="left"/>
      <w:pPr>
        <w:ind w:left="1020" w:hanging="360"/>
      </w:pPr>
    </w:lvl>
  </w:abstractNum>
  <w:abstractNum w:abstractNumId="21" w15:restartNumberingAfterBreak="0">
    <w:nsid w:val="41B04368"/>
    <w:multiLevelType w:val="hybridMultilevel"/>
    <w:tmpl w:val="DE44938A"/>
    <w:lvl w:ilvl="0" w:tplc="AC0E200C">
      <w:start w:val="8"/>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38179E0"/>
    <w:multiLevelType w:val="hybridMultilevel"/>
    <w:tmpl w:val="B518FD42"/>
    <w:lvl w:ilvl="0" w:tplc="ED987C0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56C7BB3"/>
    <w:multiLevelType w:val="hybridMultilevel"/>
    <w:tmpl w:val="878EED6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9592971"/>
    <w:multiLevelType w:val="hybridMultilevel"/>
    <w:tmpl w:val="0C12691A"/>
    <w:lvl w:ilvl="0" w:tplc="EF6E0B48">
      <w:start w:val="3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55264B"/>
    <w:multiLevelType w:val="hybridMultilevel"/>
    <w:tmpl w:val="DE9C802C"/>
    <w:lvl w:ilvl="0" w:tplc="4998C5F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50FD4CA5"/>
    <w:multiLevelType w:val="hybridMultilevel"/>
    <w:tmpl w:val="ADBA36EC"/>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66F21C5"/>
    <w:multiLevelType w:val="hybridMultilevel"/>
    <w:tmpl w:val="549A0660"/>
    <w:lvl w:ilvl="0" w:tplc="ED987C0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96E13C6"/>
    <w:multiLevelType w:val="hybridMultilevel"/>
    <w:tmpl w:val="93546A2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CA1449B"/>
    <w:multiLevelType w:val="hybridMultilevel"/>
    <w:tmpl w:val="77F09E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5CD34AD6"/>
    <w:multiLevelType w:val="hybridMultilevel"/>
    <w:tmpl w:val="8F4CC5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A755D0D"/>
    <w:multiLevelType w:val="hybridMultilevel"/>
    <w:tmpl w:val="0F662790"/>
    <w:lvl w:ilvl="0" w:tplc="1790340A">
      <w:start w:val="1"/>
      <w:numFmt w:val="decimal"/>
      <w:lvlText w:val="%1."/>
      <w:lvlJc w:val="left"/>
      <w:pPr>
        <w:ind w:left="1020" w:hanging="360"/>
      </w:pPr>
    </w:lvl>
    <w:lvl w:ilvl="1" w:tplc="D9A88D68">
      <w:start w:val="1"/>
      <w:numFmt w:val="decimal"/>
      <w:lvlText w:val="%2."/>
      <w:lvlJc w:val="left"/>
      <w:pPr>
        <w:ind w:left="1020" w:hanging="360"/>
      </w:pPr>
    </w:lvl>
    <w:lvl w:ilvl="2" w:tplc="62EC7B38">
      <w:start w:val="1"/>
      <w:numFmt w:val="decimal"/>
      <w:lvlText w:val="%3."/>
      <w:lvlJc w:val="left"/>
      <w:pPr>
        <w:ind w:left="1020" w:hanging="360"/>
      </w:pPr>
    </w:lvl>
    <w:lvl w:ilvl="3" w:tplc="AE6E469C">
      <w:start w:val="1"/>
      <w:numFmt w:val="decimal"/>
      <w:lvlText w:val="%4."/>
      <w:lvlJc w:val="left"/>
      <w:pPr>
        <w:ind w:left="1020" w:hanging="360"/>
      </w:pPr>
    </w:lvl>
    <w:lvl w:ilvl="4" w:tplc="663C9274">
      <w:start w:val="1"/>
      <w:numFmt w:val="decimal"/>
      <w:lvlText w:val="%5."/>
      <w:lvlJc w:val="left"/>
      <w:pPr>
        <w:ind w:left="1020" w:hanging="360"/>
      </w:pPr>
    </w:lvl>
    <w:lvl w:ilvl="5" w:tplc="DC7AB28A">
      <w:start w:val="1"/>
      <w:numFmt w:val="decimal"/>
      <w:lvlText w:val="%6."/>
      <w:lvlJc w:val="left"/>
      <w:pPr>
        <w:ind w:left="1020" w:hanging="360"/>
      </w:pPr>
    </w:lvl>
    <w:lvl w:ilvl="6" w:tplc="D4EABD14">
      <w:start w:val="1"/>
      <w:numFmt w:val="decimal"/>
      <w:lvlText w:val="%7."/>
      <w:lvlJc w:val="left"/>
      <w:pPr>
        <w:ind w:left="1020" w:hanging="360"/>
      </w:pPr>
    </w:lvl>
    <w:lvl w:ilvl="7" w:tplc="28BC2392">
      <w:start w:val="1"/>
      <w:numFmt w:val="decimal"/>
      <w:lvlText w:val="%8."/>
      <w:lvlJc w:val="left"/>
      <w:pPr>
        <w:ind w:left="1020" w:hanging="360"/>
      </w:pPr>
    </w:lvl>
    <w:lvl w:ilvl="8" w:tplc="E73EE58C">
      <w:start w:val="1"/>
      <w:numFmt w:val="decimal"/>
      <w:lvlText w:val="%9."/>
      <w:lvlJc w:val="left"/>
      <w:pPr>
        <w:ind w:left="1020" w:hanging="360"/>
      </w:pPr>
    </w:lvl>
  </w:abstractNum>
  <w:abstractNum w:abstractNumId="32" w15:restartNumberingAfterBreak="0">
    <w:nsid w:val="6B957452"/>
    <w:multiLevelType w:val="hybridMultilevel"/>
    <w:tmpl w:val="3464440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29"/>
  </w:num>
  <w:num w:numId="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2"/>
  </w:num>
  <w:num w:numId="4">
    <w:abstractNumId w:val="11"/>
  </w:num>
  <w:num w:numId="5">
    <w:abstractNumId w:val="27"/>
  </w:num>
  <w:num w:numId="6">
    <w:abstractNumId w:val="14"/>
  </w:num>
  <w:num w:numId="7">
    <w:abstractNumId w:val="22"/>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21"/>
  </w:num>
  <w:num w:numId="19">
    <w:abstractNumId w:val="10"/>
  </w:num>
  <w:num w:numId="20">
    <w:abstractNumId w:val="26"/>
  </w:num>
  <w:num w:numId="21">
    <w:abstractNumId w:val="25"/>
  </w:num>
  <w:num w:numId="22">
    <w:abstractNumId w:val="30"/>
  </w:num>
  <w:num w:numId="23">
    <w:abstractNumId w:val="24"/>
  </w:num>
  <w:num w:numId="24">
    <w:abstractNumId w:val="12"/>
  </w:num>
  <w:num w:numId="25">
    <w:abstractNumId w:val="16"/>
  </w:num>
  <w:num w:numId="26">
    <w:abstractNumId w:val="28"/>
  </w:num>
  <w:num w:numId="27">
    <w:abstractNumId w:val="23"/>
  </w:num>
  <w:num w:numId="28">
    <w:abstractNumId w:val="13"/>
  </w:num>
  <w:num w:numId="29">
    <w:abstractNumId w:val="17"/>
  </w:num>
  <w:num w:numId="30">
    <w:abstractNumId w:val="18"/>
  </w:num>
  <w:num w:numId="31">
    <w:abstractNumId w:val="19"/>
  </w:num>
  <w:num w:numId="32">
    <w:abstractNumId w:val="15"/>
  </w:num>
  <w:num w:numId="33">
    <w:abstractNumId w:val="20"/>
  </w:num>
  <w:num w:numId="3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3ABB630B-ABED-4EC2-98D2-C92C81DD7D3D"/>
    <w:docVar w:name="LW_COVERPAGE_TYPE" w:val="1"/>
    <w:docVar w:name="LW_CROSSREFERENCE" w:val="&lt;UNUSED&gt;"/>
    <w:docVar w:name="LW_DocType" w:val="NORMAL"/>
    <w:docVar w:name="LW_EMISSION" w:val="17.9.2026"/>
    <w:docVar w:name="LW_EMISSION_ISODATE" w:val="2026-09-17"/>
    <w:docVar w:name="LW_EMISSION_LOCATION" w:val="BRX"/>
    <w:docVar w:name="LW_EMISSION_PREFIX" w:val="Brussels, "/>
    <w:docVar w:name="LW_EMISSION_SUFFIX" w:val=" "/>
    <w:docVar w:name="LW_ID_DOCTYPE_NONLW" w:val="CP-003"/>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47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Annual Report from the European Commission on the Safety of Offshore Oil and Gas Operations for the Year 2024&lt;/FMT&gt;"/>
    <w:docVar w:name="LW_TYPE.DOC.CP" w:val="REPORT FROM THE COMMIS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8DFEC943-7CBD-4A7F-9448-F2B89E4AB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Times New Roman"/>
      <w:kern w:val="0"/>
      <w14:ligatures w14:val="none"/>
    </w:rPr>
  </w:style>
  <w:style w:type="paragraph" w:styleId="Heading1">
    <w:name w:val="heading 1"/>
    <w:basedOn w:val="Normal"/>
    <w:next w:val="Normal"/>
    <w:link w:val="Heading1Char"/>
    <w:uiPriority w:val="9"/>
    <w:qFormat/>
    <w:pPr>
      <w:keepNext/>
      <w:keepLines/>
      <w:spacing w:before="240" w:after="360"/>
      <w:outlineLvl w:val="0"/>
    </w:pPr>
    <w:rPr>
      <w:rFonts w:ascii="Cambria" w:eastAsia="Times New Roman" w:hAnsi="Cambria"/>
      <w:noProof/>
      <w:color w:val="365F91"/>
      <w:sz w:val="32"/>
      <w:szCs w:val="32"/>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Cambria" w:eastAsia="Times New Roman" w:hAnsi="Cambria"/>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mbria" w:eastAsia="Times New Roman" w:hAnsi="Cambria"/>
      <w:color w:val="243F6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2contracts">
    <w:name w:val="Heading 2 contracts"/>
    <w:basedOn w:val="Heading2"/>
    <w:link w:val="Heading2contractsChar"/>
    <w:qFormat/>
    <w:pPr>
      <w:keepNext w:val="0"/>
      <w:keepLines w:val="0"/>
      <w:adjustRightInd w:val="0"/>
      <w:spacing w:before="240" w:beforeAutospacing="1" w:after="120" w:afterAutospacing="1" w:line="240" w:lineRule="auto"/>
      <w:ind w:left="1985"/>
      <w:jc w:val="both"/>
    </w:pPr>
    <w:rPr>
      <w:rFonts w:ascii="Times New Roman Bold" w:eastAsia="STZhongsong" w:hAnsi="Times New Roman Bold" w:cs="Times New Roman"/>
      <w:bCs w:val="0"/>
      <w:caps/>
      <w:smallCaps/>
      <w:color w:val="auto"/>
      <w:sz w:val="28"/>
      <w:szCs w:val="20"/>
      <w:u w:val="single"/>
      <w:lang w:eastAsia="zh-CN"/>
    </w:rPr>
  </w:style>
  <w:style w:type="character" w:customStyle="1" w:styleId="Heading2contractsChar">
    <w:name w:val="Heading 2 contracts Char"/>
    <w:link w:val="Heading2contracts"/>
    <w:rPr>
      <w:rFonts w:ascii="Times New Roman Bold" w:eastAsia="STZhongsong" w:hAnsi="Times New Roman Bold" w:cs="Times New Roman"/>
      <w:b/>
      <w:caps/>
      <w:smallCaps/>
      <w:sz w:val="28"/>
      <w:szCs w:val="20"/>
      <w:u w:val="single"/>
      <w:lang w:eastAsia="zh-CN"/>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paragraph" w:customStyle="1" w:styleId="Heading3contract">
    <w:name w:val="Heading 3 contract"/>
    <w:basedOn w:val="Heading3"/>
    <w:next w:val="Normal"/>
    <w:qFormat/>
    <w:pPr>
      <w:keepNext w:val="0"/>
      <w:keepLines w:val="0"/>
      <w:adjustRightInd w:val="0"/>
      <w:spacing w:before="120" w:after="120" w:line="240" w:lineRule="auto"/>
      <w:ind w:left="567"/>
      <w:jc w:val="both"/>
    </w:pPr>
    <w:rPr>
      <w:rFonts w:ascii="Times New Roman" w:eastAsia="STZhongsong" w:hAnsi="Times New Roman" w:cs="Times New Roman"/>
      <w:b w:val="0"/>
      <w:bCs w:val="0"/>
      <w:i/>
      <w:color w:val="auto"/>
      <w:szCs w:val="24"/>
      <w:lang w:eastAsia="zh-CN"/>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Pr>
      <w:rFonts w:ascii="Cambria" w:eastAsia="Times New Roman" w:hAnsi="Cambria" w:cs="Times New Roman"/>
      <w:noProof/>
      <w:color w:val="365F91"/>
      <w:kern w:val="0"/>
      <w:sz w:val="32"/>
      <w:szCs w:val="32"/>
      <w14:ligatures w14:val="none"/>
    </w:rPr>
  </w:style>
  <w:style w:type="character" w:customStyle="1" w:styleId="Heading4Char">
    <w:name w:val="Heading 4 Char"/>
    <w:basedOn w:val="DefaultParagraphFont"/>
    <w:link w:val="Heading4"/>
    <w:uiPriority w:val="9"/>
    <w:semiHidden/>
    <w:rPr>
      <w:rFonts w:ascii="Cambria" w:eastAsia="Times New Roman" w:hAnsi="Cambria" w:cs="Times New Roman"/>
      <w:b/>
      <w:bCs/>
      <w:i/>
      <w:iCs/>
      <w:color w:val="4F81BD"/>
      <w:kern w:val="0"/>
      <w14:ligatures w14:val="none"/>
    </w:rPr>
  </w:style>
  <w:style w:type="character" w:customStyle="1" w:styleId="Heading5Char">
    <w:name w:val="Heading 5 Char"/>
    <w:basedOn w:val="DefaultParagraphFont"/>
    <w:link w:val="Heading5"/>
    <w:uiPriority w:val="9"/>
    <w:semiHidden/>
    <w:rPr>
      <w:rFonts w:ascii="Cambria" w:eastAsia="Times New Roman" w:hAnsi="Cambria" w:cs="Times New Roman"/>
      <w:color w:val="243F60"/>
      <w:kern w:val="0"/>
      <w14:ligatures w14:val="none"/>
    </w:rPr>
  </w:style>
  <w:style w:type="paragraph" w:styleId="FootnoteText">
    <w:name w:val="footnote text"/>
    <w:basedOn w:val="Normal"/>
    <w:uiPriority w:val="99"/>
    <w:unhideWhenUsed/>
    <w:pPr>
      <w:spacing w:after="0" w:line="240" w:lineRule="auto"/>
    </w:pPr>
    <w:rPr>
      <w:sz w:val="20"/>
      <w:szCs w:val="20"/>
    </w:rPr>
  </w:style>
  <w:style w:type="character" w:customStyle="1" w:styleId="FootnoteTextChar">
    <w:name w:val="Footnote Text Char"/>
    <w:basedOn w:val="DefaultParagraphFont"/>
    <w:uiPriority w:val="99"/>
    <w:rPr>
      <w:rFonts w:ascii="Calibri" w:eastAsia="Calibri" w:hAnsi="Calibri" w:cs="Times New Roman"/>
      <w:kern w:val="0"/>
      <w:sz w:val="20"/>
      <w:szCs w:val="20"/>
      <w14:ligatures w14:val="none"/>
    </w:rPr>
  </w:style>
  <w:style w:type="paragraph" w:styleId="ListParagraph">
    <w:name w:val="List Paragraph"/>
    <w:basedOn w:val="Normal"/>
    <w:uiPriority w:val="34"/>
    <w:qFormat/>
    <w:pPr>
      <w:ind w:left="720"/>
      <w:contextualSpacing/>
    </w:pPr>
  </w:style>
  <w:style w:type="character" w:styleId="FootnoteReference">
    <w:name w:val="footnote reference"/>
    <w:uiPriority w:val="99"/>
    <w:semiHidden/>
    <w:unhideWhenUsed/>
    <w:rPr>
      <w:vertAlign w:val="superscript"/>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sz w:val="24"/>
    </w:rPr>
  </w:style>
  <w:style w:type="character" w:customStyle="1" w:styleId="HeaderChar">
    <w:name w:val="Header Char"/>
    <w:basedOn w:val="DefaultParagraphFont"/>
    <w:link w:val="Header"/>
    <w:uiPriority w:val="99"/>
    <w:rPr>
      <w:rFonts w:ascii="Times New Roman" w:eastAsia="Calibri" w:hAnsi="Times New Roman" w:cs="Times New Roman"/>
      <w:kern w:val="0"/>
      <w:sz w:val="24"/>
      <w14:ligatures w14:val="none"/>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har">
    <w:name w:val="Footer Char"/>
    <w:basedOn w:val="DefaultParagraphFont"/>
    <w:link w:val="Footer"/>
    <w:uiPriority w:val="99"/>
    <w:rPr>
      <w:rFonts w:ascii="Times New Roman" w:eastAsia="Calibri" w:hAnsi="Times New Roman" w:cs="Times New Roman"/>
      <w:kern w:val="0"/>
      <w:sz w:val="24"/>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eastAsia="Calibri" w:hAnsi="Times New Roman" w:cs="Times New Roman"/>
      <w:kern w:val="0"/>
      <w:sz w:val="24"/>
      <w14:ligatures w14:val="none"/>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eastAsia="Calibri" w:hAnsi="Times New Roman" w:cs="Times New Roman"/>
      <w:kern w:val="0"/>
      <w:sz w:val="24"/>
      <w14:ligatures w14:val="none"/>
    </w:rPr>
  </w:style>
  <w:style w:type="table" w:styleId="TableGrid">
    <w:name w:val="Table Grid"/>
    <w:basedOn w:val="TableNormal"/>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pPr>
      <w:keepNext/>
      <w:spacing w:line="240" w:lineRule="auto"/>
    </w:pPr>
    <w:rPr>
      <w:rFonts w:ascii="Times New Roman" w:hAnsi="Times New Roman"/>
      <w:i/>
      <w:iCs/>
      <w:sz w:val="24"/>
      <w:szCs w:val="24"/>
      <w:lang w:val="en-US"/>
    </w:rPr>
  </w:style>
  <w:style w:type="table" w:customStyle="1" w:styleId="TByColumn">
    <w:name w:val="TByColumn"/>
    <w:basedOn w:val="TableNormal"/>
    <w:uiPriority w:val="99"/>
    <w:pPr>
      <w:spacing w:after="0" w:line="240" w:lineRule="auto"/>
    </w:pPr>
    <w:rPr>
      <w:rFonts w:ascii="Calibri" w:eastAsia="Calibri" w:hAnsi="Calibri" w:cs="Times New Roman"/>
      <w:kern w:val="0"/>
      <w:sz w:val="20"/>
      <w:szCs w:val="20"/>
      <w:lang w:val="en-US"/>
      <w14:ligatures w14:val="none"/>
    </w:rPr>
    <w:tblPr>
      <w:tblBorders>
        <w:left w:val="single" w:sz="18" w:space="0" w:color="auto"/>
        <w:right w:val="single" w:sz="18" w:space="0" w:color="auto"/>
        <w:insideH w:val="single" w:sz="2" w:space="0" w:color="A6A6A6"/>
        <w:insideV w:val="single" w:sz="18" w:space="0" w:color="auto"/>
      </w:tblBorders>
    </w:tblPr>
    <w:tblStylePr w:type="firstRow">
      <w:rPr>
        <w:color w:val="F2F2F2"/>
      </w:rPr>
      <w:tblPr/>
      <w:tcPr>
        <w:shd w:val="clear" w:color="auto" w:fill="365F91"/>
      </w:tcPr>
    </w:tblStylePr>
    <w:tblStylePr w:type="lastRow">
      <w:rPr>
        <w:b/>
      </w:rPr>
      <w:tblPr/>
      <w:tcPr>
        <w:shd w:val="clear" w:color="auto" w:fill="DBE5F1"/>
      </w:tcPr>
    </w:tblStylePr>
    <w:tblStylePr w:type="lastCol">
      <w:rPr>
        <w:b/>
        <w:i w:val="0"/>
      </w:rPr>
      <w:tblPr/>
      <w:tcPr>
        <w:shd w:val="clear" w:color="auto" w:fill="DBE5F1"/>
      </w:tcPr>
    </w:tblStyle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Calibri" w:hAnsi="Tahoma" w:cs="Tahoma"/>
      <w:kern w:val="0"/>
      <w:sz w:val="16"/>
      <w:szCs w:val="16"/>
      <w14:ligatures w14:val="none"/>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rFonts w:ascii="Calibri" w:eastAsia="Calibri" w:hAnsi="Calibri" w:cs="Times New Roman"/>
      <w:kern w:val="0"/>
      <w:sz w:val="20"/>
      <w:szCs w:val="20"/>
      <w14:ligatures w14:val="none"/>
    </w:rPr>
  </w:style>
  <w:style w:type="character" w:styleId="EndnoteReference">
    <w:name w:val="endnote reference"/>
    <w:uiPriority w:val="99"/>
    <w:semiHidden/>
    <w:unhideWhenUsed/>
    <w:rPr>
      <w:vertAlign w:val="superscript"/>
    </w:rPr>
  </w:style>
  <w:style w:type="character" w:styleId="CommentReference">
    <w:name w:val="annotation reference"/>
    <w:semiHidden/>
    <w:unhideWhenUsed/>
    <w:rPr>
      <w:sz w:val="16"/>
      <w:szCs w:val="16"/>
    </w:rPr>
  </w:style>
  <w:style w:type="paragraph" w:styleId="CommentText">
    <w:name w:val="annotation text"/>
    <w:basedOn w:val="Normal"/>
    <w:link w:val="CommentTextChar"/>
    <w:unhideWhenUsed/>
    <w:pPr>
      <w:spacing w:line="240" w:lineRule="auto"/>
    </w:pPr>
    <w:rPr>
      <w:sz w:val="20"/>
      <w:szCs w:val="20"/>
    </w:rPr>
  </w:style>
  <w:style w:type="character" w:customStyle="1" w:styleId="CommentTextChar">
    <w:name w:val="Comment Text Char"/>
    <w:basedOn w:val="DefaultParagraphFont"/>
    <w:link w:val="CommentText"/>
    <w:rPr>
      <w:rFonts w:ascii="Calibri" w:eastAsia="Calibri"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alibri" w:eastAsia="Calibri" w:hAnsi="Calibri" w:cs="Times New Roman"/>
      <w:b/>
      <w:bCs/>
      <w:kern w:val="0"/>
      <w:sz w:val="20"/>
      <w:szCs w:val="20"/>
      <w14:ligatures w14:val="none"/>
    </w:rPr>
  </w:style>
  <w:style w:type="paragraph" w:styleId="Revision">
    <w:name w:val="Revision"/>
    <w:hidden/>
    <w:uiPriority w:val="99"/>
    <w:semiHidden/>
    <w:pPr>
      <w:spacing w:after="0" w:line="240" w:lineRule="auto"/>
    </w:pPr>
    <w:rPr>
      <w:rFonts w:ascii="Calibri" w:eastAsia="Calibri" w:hAnsi="Calibri" w:cs="Times New Roman"/>
      <w:kern w:val="0"/>
      <w14:ligatures w14:val="none"/>
    </w:rPr>
  </w:style>
  <w:style w:type="paragraph" w:styleId="TOCHeading">
    <w:name w:val="TOC Heading"/>
    <w:basedOn w:val="Heading1"/>
    <w:next w:val="Normal"/>
    <w:uiPriority w:val="39"/>
    <w:unhideWhenUsed/>
    <w:qFormat/>
    <w:pPr>
      <w:spacing w:line="259" w:lineRule="auto"/>
      <w:outlineLvl w:val="9"/>
    </w:pPr>
    <w:rPr>
      <w:lang w:val="en-US"/>
    </w:rPr>
  </w:style>
  <w:style w:type="paragraph" w:styleId="TOC2">
    <w:name w:val="toc 2"/>
    <w:basedOn w:val="Normal"/>
    <w:next w:val="Normal"/>
    <w:autoRedefine/>
    <w:uiPriority w:val="39"/>
    <w:unhideWhenUsed/>
    <w:pPr>
      <w:spacing w:after="100" w:line="259" w:lineRule="auto"/>
      <w:ind w:left="220"/>
    </w:pPr>
    <w:rPr>
      <w:rFonts w:eastAsia="Times New Roman"/>
      <w:lang w:val="en-US"/>
    </w:rPr>
  </w:style>
  <w:style w:type="paragraph" w:styleId="TOC1">
    <w:name w:val="toc 1"/>
    <w:basedOn w:val="Normal"/>
    <w:next w:val="Normal"/>
    <w:autoRedefine/>
    <w:uiPriority w:val="39"/>
    <w:unhideWhenUsed/>
    <w:pPr>
      <w:tabs>
        <w:tab w:val="left" w:pos="440"/>
        <w:tab w:val="right" w:leader="dot" w:pos="9736"/>
      </w:tabs>
      <w:spacing w:after="100" w:line="259" w:lineRule="auto"/>
    </w:pPr>
    <w:rPr>
      <w:rFonts w:eastAsia="Times New Roman"/>
      <w:lang w:val="en-US"/>
    </w:rPr>
  </w:style>
  <w:style w:type="paragraph" w:styleId="TOC3">
    <w:name w:val="toc 3"/>
    <w:basedOn w:val="Normal"/>
    <w:next w:val="Normal"/>
    <w:autoRedefine/>
    <w:uiPriority w:val="39"/>
    <w:unhideWhenUsed/>
    <w:pPr>
      <w:spacing w:after="100" w:line="259" w:lineRule="auto"/>
      <w:ind w:left="440"/>
    </w:pPr>
    <w:rPr>
      <w:rFonts w:eastAsia="Times New Roman"/>
      <w:lang w:val="en-US"/>
    </w:rPr>
  </w:style>
  <w:style w:type="character" w:styleId="Hyperlink">
    <w:name w:val="Hyperlink"/>
    <w:uiPriority w:val="99"/>
    <w:unhideWhenUsed/>
    <w:rPr>
      <w:color w:val="0000FF"/>
      <w:u w:val="single"/>
    </w:rPr>
  </w:style>
  <w:style w:type="paragraph" w:customStyle="1" w:styleId="Declassification">
    <w:name w:val="Declassification"/>
    <w:basedOn w:val="Normal"/>
    <w:next w:val="Normal"/>
    <w:pPr>
      <w:spacing w:after="0" w:line="240" w:lineRule="auto"/>
      <w:jc w:val="both"/>
    </w:pPr>
    <w:rPr>
      <w:rFonts w:ascii="Times New Roman" w:hAnsi="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paragraph" w:styleId="NoSpacing">
    <w:name w:val="No Spacing"/>
    <w:uiPriority w:val="1"/>
    <w:qFormat/>
    <w:pPr>
      <w:spacing w:after="0" w:line="240" w:lineRule="auto"/>
    </w:pPr>
    <w:rPr>
      <w:rFonts w:ascii="Calibri" w:eastAsia="Calibri" w:hAnsi="Calibri" w:cs="Times New Roman"/>
      <w:kern w:val="0"/>
      <w14:ligatures w14:val="none"/>
    </w:rPr>
  </w:style>
  <w:style w:type="table" w:customStyle="1" w:styleId="COMREP-TBL-STYLE-1">
    <w:name w:val="COMREP-TBL-STYLE-1"/>
    <w:basedOn w:val="TableGrid"/>
    <w:uiPriority w:val="99"/>
    <w:rPr>
      <w:sz w:val="22"/>
      <w:szCs w:val="22"/>
    </w:rPr>
    <w:tblPr/>
    <w:tblStylePr w:type="firstRow">
      <w:rPr>
        <w:b/>
      </w:rPr>
    </w:tblStylePr>
    <w:tblStylePr w:type="firstCol">
      <w:rPr>
        <w:b/>
      </w:rPr>
    </w:tblStylePr>
  </w:style>
  <w:style w:type="table" w:customStyle="1" w:styleId="COMREP-TBL-STYLE-11">
    <w:name w:val="COMREP-TBL-STYLE-11"/>
    <w:basedOn w:val="TableGrid"/>
    <w:uiPriority w:val="99"/>
    <w:rPr>
      <w:sz w:val="22"/>
      <w:szCs w:val="22"/>
    </w:rPr>
    <w:tblPr/>
    <w:tblStylePr w:type="firstRow">
      <w:rPr>
        <w:b/>
      </w:rPr>
    </w:tblStylePr>
    <w:tblStylePr w:type="firstCol">
      <w:rPr>
        <w:b/>
      </w:rPr>
    </w:tblStylePr>
  </w:style>
  <w:style w:type="table" w:customStyle="1" w:styleId="TableGrid1">
    <w:name w:val="Table Grid1"/>
    <w:basedOn w:val="TableNormal"/>
    <w:next w:val="TableGrid"/>
    <w:uiPriority w:val="39"/>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tblStylePr w:type="firstCol">
      <w:rPr>
        <w:b/>
      </w:rPr>
    </w:tblStylePr>
  </w:style>
  <w:style w:type="table" w:customStyle="1" w:styleId="TableGrid2">
    <w:name w:val="Table Grid2"/>
    <w:basedOn w:val="TableNormal"/>
    <w:next w:val="TableGrid"/>
    <w:uiPriority w:val="39"/>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tblStylePr w:type="firstCol">
      <w:rPr>
        <w:b/>
      </w:rPr>
    </w:tblStylePr>
  </w:style>
  <w:style w:type="paragraph" w:styleId="Title">
    <w:name w:val="Title"/>
    <w:basedOn w:val="Normal"/>
    <w:next w:val="Normal"/>
    <w:link w:val="TitleChar"/>
    <w:uiPriority w:val="10"/>
    <w:qFormat/>
    <w:pPr>
      <w:spacing w:before="240" w:after="60"/>
      <w:jc w:val="center"/>
      <w:outlineLvl w:val="0"/>
    </w:pPr>
    <w:rPr>
      <w:rFonts w:ascii="Calibri Light" w:eastAsia="Times New Roman" w:hAnsi="Calibri Light"/>
      <w:b/>
      <w:bCs/>
      <w:kern w:val="28"/>
      <w:sz w:val="32"/>
      <w:szCs w:val="32"/>
    </w:rPr>
  </w:style>
  <w:style w:type="character" w:customStyle="1" w:styleId="TitleChar">
    <w:name w:val="Title Char"/>
    <w:basedOn w:val="DefaultParagraphFont"/>
    <w:link w:val="Title"/>
    <w:uiPriority w:val="10"/>
    <w:rPr>
      <w:rFonts w:ascii="Calibri Light" w:eastAsia="Times New Roman" w:hAnsi="Calibri Light" w:cs="Times New Roman"/>
      <w:b/>
      <w:bCs/>
      <w:kern w:val="28"/>
      <w:sz w:val="32"/>
      <w:szCs w:val="32"/>
      <w14:ligatures w14:val="none"/>
    </w:rPr>
  </w:style>
  <w:style w:type="paragraph" w:customStyle="1" w:styleId="SecurityMarking">
    <w:name w:val="SecurityMarking"/>
    <w:basedOn w:val="Normal"/>
    <w:pPr>
      <w:spacing w:after="0"/>
      <w:ind w:left="5103"/>
    </w:pPr>
    <w:rPr>
      <w:rFonts w:ascii="Times New Roman" w:eastAsiaTheme="minorHAnsi" w:hAnsi="Times New Roman"/>
      <w:sz w:val="28"/>
    </w:rPr>
  </w:style>
  <w:style w:type="paragraph" w:customStyle="1" w:styleId="DateMarking">
    <w:name w:val="DateMarking"/>
    <w:basedOn w:val="Normal"/>
    <w:pPr>
      <w:spacing w:after="0"/>
      <w:ind w:left="5103"/>
    </w:pPr>
    <w:rPr>
      <w:rFonts w:ascii="Times New Roman" w:eastAsiaTheme="minorHAnsi" w:hAnsi="Times New Roman"/>
      <w:i/>
      <w:sz w:val="28"/>
    </w:rPr>
  </w:style>
  <w:style w:type="paragraph" w:customStyle="1" w:styleId="ReleasableTo">
    <w:name w:val="ReleasableTo"/>
    <w:basedOn w:val="Normal"/>
    <w:pPr>
      <w:spacing w:after="0"/>
      <w:ind w:left="5103"/>
    </w:pPr>
    <w:rPr>
      <w:rFonts w:ascii="Times New Roman" w:eastAsiaTheme="minorHAnsi" w:hAnsi="Times New Roman"/>
      <w:i/>
      <w:sz w:val="28"/>
    </w:rPr>
  </w:style>
  <w:style w:type="paragraph" w:customStyle="1" w:styleId="HeaderSensitivityRight">
    <w:name w:val="Header Sensitivity Right"/>
    <w:basedOn w:val="Normal"/>
    <w:pPr>
      <w:spacing w:after="120" w:line="240" w:lineRule="auto"/>
      <w:jc w:val="right"/>
    </w:pPr>
    <w:rPr>
      <w:rFonts w:ascii="Times New Roman" w:hAnsi="Times New Roman"/>
      <w:sz w:val="28"/>
    </w:rPr>
  </w:style>
  <w:style w:type="table" w:customStyle="1" w:styleId="comrep">
    <w:name w:val="comrep"/>
    <w:basedOn w:val="TableNormal"/>
    <w:uiPriority w:val="99"/>
    <w:pPr>
      <w:spacing w:after="0" w:line="240" w:lineRule="auto"/>
    </w:pPr>
    <w:rPr>
      <w:rFonts w:ascii="Calibri" w:eastAsia="Calibri" w:hAnsi="Calibri" w:cs="Times New Roman"/>
      <w:kern w:val="0"/>
      <w:sz w:val="20"/>
      <w:szCs w:val="20"/>
      <w:lang w:val="en-US"/>
      <w14:ligatures w14:val="none"/>
    </w:rPr>
    <w:tblPr/>
  </w:style>
  <w:style w:type="paragraph" w:customStyle="1" w:styleId="pf0">
    <w:name w:val="pf0"/>
    <w:basedOn w:val="Normal"/>
    <w:pPr>
      <w:spacing w:before="100" w:beforeAutospacing="1" w:after="100" w:afterAutospacing="1" w:line="240" w:lineRule="auto"/>
    </w:pPr>
    <w:rPr>
      <w:rFonts w:ascii="Times New Roman" w:eastAsia="Times New Roman" w:hAnsi="Times New Roman"/>
      <w:sz w:val="24"/>
      <w:szCs w:val="24"/>
      <w:lang w:val="en-IE" w:eastAsia="en-IE"/>
    </w:rPr>
  </w:style>
  <w:style w:type="character" w:customStyle="1" w:styleId="cf01">
    <w:name w:val="cf01"/>
    <w:basedOn w:val="DefaultParagraphFont"/>
    <w:rPr>
      <w:rFonts w:ascii="Segoe UI" w:hAnsi="Segoe UI" w:cs="Segoe UI" w:hint="default"/>
      <w:sz w:val="18"/>
      <w:szCs w:val="18"/>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normaltextrun">
    <w:name w:val="normaltextrun"/>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8900342">
      <w:bodyDiv w:val="1"/>
      <w:marLeft w:val="0"/>
      <w:marRight w:val="0"/>
      <w:marTop w:val="0"/>
      <w:marBottom w:val="0"/>
      <w:divBdr>
        <w:top w:val="none" w:sz="0" w:space="0" w:color="auto"/>
        <w:left w:val="none" w:sz="0" w:space="0" w:color="auto"/>
        <w:bottom w:val="none" w:sz="0" w:space="0" w:color="auto"/>
        <w:right w:val="none" w:sz="0" w:space="0" w:color="auto"/>
      </w:divBdr>
    </w:div>
    <w:div w:id="1984843733">
      <w:bodyDiv w:val="1"/>
      <w:marLeft w:val="0"/>
      <w:marRight w:val="0"/>
      <w:marTop w:val="0"/>
      <w:marBottom w:val="0"/>
      <w:divBdr>
        <w:top w:val="none" w:sz="0" w:space="0" w:color="auto"/>
        <w:left w:val="none" w:sz="0" w:space="0" w:color="auto"/>
        <w:bottom w:val="none" w:sz="0" w:space="0" w:color="auto"/>
        <w:right w:val="none" w:sz="0" w:space="0" w:color="auto"/>
      </w:divBdr>
      <w:divsChild>
        <w:div w:id="858006180">
          <w:marLeft w:val="0"/>
          <w:marRight w:val="0"/>
          <w:marTop w:val="0"/>
          <w:marBottom w:val="0"/>
          <w:divBdr>
            <w:top w:val="none" w:sz="0" w:space="0" w:color="auto"/>
            <w:left w:val="none" w:sz="0" w:space="0" w:color="auto"/>
            <w:bottom w:val="none" w:sz="0" w:space="0" w:color="auto"/>
            <w:right w:val="none" w:sz="0" w:space="0" w:color="auto"/>
          </w:divBdr>
          <w:divsChild>
            <w:div w:id="153424158">
              <w:marLeft w:val="0"/>
              <w:marRight w:val="0"/>
              <w:marTop w:val="0"/>
              <w:marBottom w:val="0"/>
              <w:divBdr>
                <w:top w:val="none" w:sz="0" w:space="0" w:color="auto"/>
                <w:left w:val="none" w:sz="0" w:space="0" w:color="auto"/>
                <w:bottom w:val="none" w:sz="0" w:space="0" w:color="auto"/>
                <w:right w:val="none" w:sz="0" w:space="0" w:color="auto"/>
              </w:divBdr>
              <w:divsChild>
                <w:div w:id="1554539397">
                  <w:marLeft w:val="0"/>
                  <w:marRight w:val="0"/>
                  <w:marTop w:val="0"/>
                  <w:marBottom w:val="0"/>
                  <w:divBdr>
                    <w:top w:val="none" w:sz="0" w:space="0" w:color="auto"/>
                    <w:left w:val="none" w:sz="0" w:space="0" w:color="auto"/>
                    <w:bottom w:val="none" w:sz="0" w:space="0" w:color="auto"/>
                    <w:right w:val="none" w:sz="0" w:space="0" w:color="auto"/>
                  </w:divBdr>
                  <w:divsChild>
                    <w:div w:id="125778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18F24F2D4E8140A461B5DCD99F9D2E" ma:contentTypeVersion="22" ma:contentTypeDescription="Create a new document." ma:contentTypeScope="" ma:versionID="fbb80f741711f5736e4b6f5f78c46c5d">
  <xsd:schema xmlns:xsd="http://www.w3.org/2001/XMLSchema" xmlns:xs="http://www.w3.org/2001/XMLSchema" xmlns:p="http://schemas.microsoft.com/office/2006/metadata/properties" xmlns:ns1="http://schemas.microsoft.com/sharepoint/v3" xmlns:ns2="a5835c61-ca2e-49ee-8dca-a76e9f0344a3" xmlns:ns3="ba7bd860-1739-4001-af8a-147771a6eb05" targetNamespace="http://schemas.microsoft.com/office/2006/metadata/properties" ma:root="true" ma:fieldsID="32c373d6127aff8f81859294e2d215dd" ns1:_="" ns2:_="" ns3:_="">
    <xsd:import namespace="http://schemas.microsoft.com/sharepoint/v3"/>
    <xsd:import namespace="a5835c61-ca2e-49ee-8dca-a76e9f0344a3"/>
    <xsd:import namespace="ba7bd860-1739-4001-af8a-147771a6eb0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LengthInSeconds" minOccurs="0"/>
                <xsd:element ref="ns2:Yea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835c61-ca2e-49ee-8dca-a76e9f034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element name="Year" ma:index="27" nillable="true" ma:displayName="Year" ma:format="Dropdown" ma:internalName="Year">
      <xsd:simpleType>
        <xsd:restriction base="dms:Text">
          <xsd:maxLength value="255"/>
        </xsd:restriction>
      </xsd:simpleType>
    </xsd:element>
    <xsd:element name="MediaServiceLocation" ma:index="28" nillable="true" ma:displayName="Location" ma:description="" ma:indexed="true" ma:internalName="MediaServiceLocation" ma:readOnly="true">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7bd860-1739-4001-af8a-147771a6eb0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a46e97b-16fe-4743-85d2-7cf9a78c8987}" ma:internalName="TaxCatchAll" ma:showField="CatchAllData" ma:web="ba7bd860-1739-4001-af8a-147771a6eb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Year xmlns="a5835c61-ca2e-49ee-8dca-a76e9f0344a3" xsi:nil="true"/>
    <TaxCatchAll xmlns="ba7bd860-1739-4001-af8a-147771a6eb05" xsi:nil="true"/>
    <_ip_UnifiedCompliancePolicyProperties xmlns="http://schemas.microsoft.com/sharepoint/v3" xsi:nil="true"/>
    <lcf76f155ced4ddcb4097134ff3c332f xmlns="a5835c61-ca2e-49ee-8dca-a76e9f0344a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68EF70-1395-4402-981B-754882B3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835c61-ca2e-49ee-8dca-a76e9f0344a3"/>
    <ds:schemaRef ds:uri="ba7bd860-1739-4001-af8a-147771a6eb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D0ADCC-EE49-420B-A3F1-16555015F90E}">
  <ds:schemaRefs>
    <ds:schemaRef ds:uri="http://schemas.openxmlformats.org/officeDocument/2006/bibliography"/>
  </ds:schemaRefs>
</ds:datastoreItem>
</file>

<file path=customXml/itemProps3.xml><?xml version="1.0" encoding="utf-8"?>
<ds:datastoreItem xmlns:ds="http://schemas.openxmlformats.org/officeDocument/2006/customXml" ds:itemID="{9E9F8152-C889-42FE-9311-05D9B695A1F1}">
  <ds:schemaRefs>
    <ds:schemaRef ds:uri="http://schemas.microsoft.com/office/2006/metadata/properties"/>
    <ds:schemaRef ds:uri="http://schemas.microsoft.com/office/infopath/2007/PartnerControls"/>
    <ds:schemaRef ds:uri="http://schemas.microsoft.com/sharepoint/v3"/>
    <ds:schemaRef ds:uri="a5835c61-ca2e-49ee-8dca-a76e9f0344a3"/>
    <ds:schemaRef ds:uri="ba7bd860-1739-4001-af8a-147771a6eb05"/>
  </ds:schemaRefs>
</ds:datastoreItem>
</file>

<file path=customXml/itemProps4.xml><?xml version="1.0" encoding="utf-8"?>
<ds:datastoreItem xmlns:ds="http://schemas.openxmlformats.org/officeDocument/2006/customXml" ds:itemID="{434B50FF-D0ED-46BF-9D84-F009B82A41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3</Pages>
  <Words>2295</Words>
  <Characters>13087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20</cp:revision>
  <dcterms:created xsi:type="dcterms:W3CDTF">2026-03-20T09:20:00Z</dcterms:created>
  <dcterms:modified xsi:type="dcterms:W3CDTF">2026-09-10T11:40:00Z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2026-01-30T16:12:11Z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cf48394a-df76-461b-b0f9-248b94ac8ce5</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0x0101008B18F24F2D4E8140A461B5DCD99F9D2E</vt:lpwstr>
  </property>
  <property fmtid="{D5CDD505-2E9C-101B-9397-08002B2CF9AE}" pid="13" name="MediaServiceImageTags">
    <vt:lpwstr/>
  </property>
  <property fmtid="{D5CDD505-2E9C-101B-9397-08002B2CF9AE}" pid="14" name="Level of sensitivity">
    <vt:lpwstr>Standard treatment</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CP-003</vt:lpwstr>
  </property>
</Properties>
</file>