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46890F-6205-4126-9897-DB7BEEA0207C" style="width:455.25pt;height:286.5pt">
            <v:imagedata r:id="rId11" o:title=""/>
          </v:shape>
        </w:pict>
      </w:r>
    </w:p>
    <w:bookmarkEnd w:id="0"/>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pPr>
        <w:pStyle w:val="TOCHeading"/>
        <w:jc w:val="center"/>
        <w:rPr>
          <w:rFonts w:ascii="Times New Roman" w:hAnsi="Times New Roman"/>
          <w:b/>
          <w:color w:val="auto"/>
          <w:sz w:val="24"/>
          <w:szCs w:val="24"/>
        </w:rPr>
      </w:pPr>
      <w:r>
        <w:rPr>
          <w:rFonts w:ascii="Times New Roman" w:hAnsi="Times New Roman"/>
          <w:b/>
          <w:color w:val="auto"/>
          <w:sz w:val="24"/>
        </w:rPr>
        <w:lastRenderedPageBreak/>
        <w:t>RAPORT AL COMISIEI</w:t>
      </w:r>
    </w:p>
    <w:p>
      <w:pPr>
        <w:jc w:val="center"/>
        <w:rPr>
          <w:rFonts w:ascii="Times New Roman" w:hAnsi="Times New Roman"/>
          <w:b/>
          <w:noProof/>
          <w:sz w:val="24"/>
        </w:rPr>
      </w:pPr>
      <w:r>
        <w:rPr>
          <w:rFonts w:ascii="Times New Roman" w:hAnsi="Times New Roman"/>
          <w:b/>
          <w:noProof/>
          <w:sz w:val="24"/>
        </w:rPr>
        <w:t>Raportul anual al Comisiei Europene privind siguranța operațiunilor petroliere și gaziere offshore pentru anul 2024</w:t>
      </w:r>
    </w:p>
    <w:p>
      <w:pPr>
        <w:jc w:val="center"/>
        <w:rPr>
          <w:rFonts w:ascii="Times New Roman" w:eastAsia="Times New Roman" w:hAnsi="Times New Roman"/>
          <w:b/>
          <w:noProof/>
          <w:color w:val="365F91"/>
          <w:sz w:val="32"/>
          <w:szCs w:val="32"/>
        </w:rPr>
      </w:pPr>
    </w:p>
    <w:p>
      <w:pPr>
        <w:pStyle w:val="TOCHeading"/>
        <w:jc w:val="center"/>
        <w:rPr>
          <w:rFonts w:ascii="Times New Roman" w:hAnsi="Times New Roman"/>
          <w:b/>
          <w:color w:val="auto"/>
          <w:sz w:val="24"/>
          <w:szCs w:val="24"/>
        </w:rPr>
      </w:pPr>
      <w:r>
        <w:rPr>
          <w:rFonts w:ascii="Times New Roman" w:hAnsi="Times New Roman"/>
          <w:b/>
          <w:color w:val="auto"/>
          <w:sz w:val="24"/>
        </w:rPr>
        <w:t>Cuprins</w:t>
      </w:r>
    </w:p>
    <w:p>
      <w:pPr>
        <w:pStyle w:val="TOC1"/>
        <w:rPr>
          <w:rFonts w:ascii="Times New Roman" w:eastAsiaTheme="minorEastAsia" w:hAnsi="Times New Roman"/>
          <w:noProof/>
          <w:kern w:val="2"/>
          <w:sz w:val="24"/>
          <w:szCs w:val="24"/>
          <w:lang w:eastAsia="en-IE"/>
          <w14:ligatures w14:val="standardContextual"/>
        </w:rPr>
      </w:pPr>
      <w:r>
        <w:rPr>
          <w:rFonts w:ascii="Times New Roman" w:hAnsi="Times New Roman"/>
          <w:noProof/>
          <w:sz w:val="24"/>
        </w:rPr>
        <w:fldChar w:fldCharType="begin"/>
      </w:r>
      <w:r>
        <w:rPr>
          <w:rFonts w:ascii="Times New Roman" w:hAnsi="Times New Roman"/>
          <w:noProof/>
          <w:sz w:val="24"/>
        </w:rPr>
        <w:instrText xml:space="preserve"> TOC \o "1-3" \h \z \u </w:instrText>
      </w:r>
      <w:r>
        <w:rPr>
          <w:rFonts w:ascii="Times New Roman" w:hAnsi="Times New Roman"/>
          <w:noProof/>
          <w:sz w:val="24"/>
        </w:rPr>
        <w:fldChar w:fldCharType="separate"/>
      </w:r>
      <w:hyperlink w:anchor="_Toc231993438" w:history="1">
        <w:r>
          <w:rPr>
            <w:rStyle w:val="Hyperlink"/>
            <w:rFonts w:ascii="Times New Roman" w:eastAsia="Calibri" w:hAnsi="Times New Roman"/>
            <w:noProof/>
          </w:rPr>
          <w:t>1.</w:t>
        </w:r>
        <w:r>
          <w:rPr>
            <w:rFonts w:ascii="Times New Roman" w:eastAsiaTheme="minorEastAsia" w:hAnsi="Times New Roman"/>
            <w:noProof/>
            <w:kern w:val="2"/>
            <w:sz w:val="24"/>
            <w:szCs w:val="24"/>
            <w:lang w:eastAsia="en-IE"/>
            <w14:ligatures w14:val="standardContextual"/>
          </w:rPr>
          <w:tab/>
        </w:r>
        <w:r>
          <w:rPr>
            <w:rStyle w:val="Hyperlink"/>
            <w:rFonts w:ascii="Times New Roman" w:eastAsia="Calibri" w:hAnsi="Times New Roman"/>
            <w:noProof/>
          </w:rPr>
          <w:t>INTRODUCERE</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_Toc231993438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2</w:t>
        </w:r>
        <w:r>
          <w:rPr>
            <w:rFonts w:ascii="Times New Roman" w:hAnsi="Times New Roman"/>
            <w:noProof/>
            <w:webHidden/>
          </w:rPr>
          <w:fldChar w:fldCharType="end"/>
        </w:r>
      </w:hyperlink>
    </w:p>
    <w:p>
      <w:pPr>
        <w:pStyle w:val="TOC1"/>
        <w:rPr>
          <w:rFonts w:ascii="Times New Roman" w:eastAsiaTheme="minorEastAsia" w:hAnsi="Times New Roman"/>
          <w:noProof/>
          <w:kern w:val="2"/>
          <w:sz w:val="24"/>
          <w:szCs w:val="24"/>
          <w:lang w:eastAsia="en-IE"/>
          <w14:ligatures w14:val="standardContextual"/>
        </w:rPr>
      </w:pPr>
      <w:hyperlink w:anchor="_Toc231993439" w:history="1">
        <w:r>
          <w:rPr>
            <w:rStyle w:val="Hyperlink"/>
            <w:rFonts w:ascii="Times New Roman" w:eastAsia="Calibri" w:hAnsi="Times New Roman"/>
            <w:noProof/>
          </w:rPr>
          <w:t>2.</w:t>
        </w:r>
        <w:r>
          <w:rPr>
            <w:rFonts w:ascii="Times New Roman" w:eastAsiaTheme="minorEastAsia" w:hAnsi="Times New Roman"/>
            <w:noProof/>
            <w:kern w:val="2"/>
            <w:sz w:val="24"/>
            <w:szCs w:val="24"/>
            <w:lang w:eastAsia="en-IE"/>
            <w14:ligatures w14:val="standardContextual"/>
          </w:rPr>
          <w:tab/>
        </w:r>
        <w:r>
          <w:rPr>
            <w:rStyle w:val="Hyperlink"/>
            <w:rFonts w:ascii="Times New Roman" w:eastAsia="Calibri" w:hAnsi="Times New Roman"/>
            <w:noProof/>
          </w:rPr>
          <w:t>TEMEIUL JURIDIC</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_Toc231993439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3</w:t>
        </w:r>
        <w:r>
          <w:rPr>
            <w:rFonts w:ascii="Times New Roman" w:hAnsi="Times New Roman"/>
            <w:noProof/>
            <w:webHidden/>
          </w:rPr>
          <w:fldChar w:fldCharType="end"/>
        </w:r>
      </w:hyperlink>
    </w:p>
    <w:p>
      <w:pPr>
        <w:pStyle w:val="TOC1"/>
        <w:rPr>
          <w:rFonts w:ascii="Times New Roman" w:eastAsiaTheme="minorEastAsia" w:hAnsi="Times New Roman"/>
          <w:noProof/>
          <w:kern w:val="2"/>
          <w:sz w:val="24"/>
          <w:szCs w:val="24"/>
          <w:lang w:eastAsia="en-IE"/>
          <w14:ligatures w14:val="standardContextual"/>
        </w:rPr>
      </w:pPr>
      <w:hyperlink w:anchor="_Toc231993440" w:history="1">
        <w:r>
          <w:rPr>
            <w:rStyle w:val="Hyperlink"/>
            <w:rFonts w:ascii="Times New Roman" w:eastAsia="Calibri" w:hAnsi="Times New Roman"/>
            <w:noProof/>
          </w:rPr>
          <w:t>3.</w:t>
        </w:r>
        <w:r>
          <w:rPr>
            <w:rFonts w:ascii="Times New Roman" w:eastAsiaTheme="minorEastAsia" w:hAnsi="Times New Roman"/>
            <w:noProof/>
            <w:kern w:val="2"/>
            <w:sz w:val="24"/>
            <w:szCs w:val="24"/>
            <w:lang w:eastAsia="en-IE"/>
            <w14:ligatures w14:val="standardContextual"/>
          </w:rPr>
          <w:tab/>
        </w:r>
        <w:r>
          <w:rPr>
            <w:rStyle w:val="Hyperlink"/>
            <w:rFonts w:ascii="Times New Roman" w:eastAsia="Calibri" w:hAnsi="Times New Roman"/>
            <w:noProof/>
          </w:rPr>
          <w:t>METODOLOGIA ȘI INFORMAȚIILE PRIMITE</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_Toc231993440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3</w:t>
        </w:r>
        <w:r>
          <w:rPr>
            <w:rFonts w:ascii="Times New Roman" w:hAnsi="Times New Roman"/>
            <w:noProof/>
            <w:webHidden/>
          </w:rPr>
          <w:fldChar w:fldCharType="end"/>
        </w:r>
      </w:hyperlink>
    </w:p>
    <w:p>
      <w:pPr>
        <w:pStyle w:val="TOC1"/>
        <w:rPr>
          <w:rFonts w:ascii="Times New Roman" w:eastAsiaTheme="minorEastAsia" w:hAnsi="Times New Roman"/>
          <w:noProof/>
          <w:kern w:val="2"/>
          <w:sz w:val="24"/>
          <w:szCs w:val="24"/>
          <w:lang w:eastAsia="en-IE"/>
          <w14:ligatures w14:val="standardContextual"/>
        </w:rPr>
      </w:pPr>
      <w:hyperlink w:anchor="_Toc231993441" w:history="1">
        <w:r>
          <w:rPr>
            <w:rStyle w:val="Hyperlink"/>
            <w:rFonts w:ascii="Times New Roman" w:eastAsia="Calibri" w:hAnsi="Times New Roman"/>
            <w:noProof/>
          </w:rPr>
          <w:t>4.</w:t>
        </w:r>
        <w:r>
          <w:rPr>
            <w:rFonts w:ascii="Times New Roman" w:eastAsiaTheme="minorEastAsia" w:hAnsi="Times New Roman"/>
            <w:noProof/>
            <w:kern w:val="2"/>
            <w:sz w:val="24"/>
            <w:szCs w:val="24"/>
            <w:lang w:eastAsia="en-IE"/>
            <w14:ligatures w14:val="standardContextual"/>
          </w:rPr>
          <w:tab/>
        </w:r>
        <w:r>
          <w:rPr>
            <w:rStyle w:val="Hyperlink"/>
            <w:rFonts w:ascii="Times New Roman" w:eastAsia="Calibri" w:hAnsi="Times New Roman"/>
            <w:noProof/>
          </w:rPr>
          <w:t>SECTORUL PETROLIER ȘI GAZIER OFFSHORE DIN UE</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_Toc231993441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4</w:t>
        </w:r>
        <w:r>
          <w:rPr>
            <w:rFonts w:ascii="Times New Roman" w:hAnsi="Times New Roman"/>
            <w:noProof/>
            <w:webHidden/>
          </w:rPr>
          <w:fldChar w:fldCharType="end"/>
        </w:r>
      </w:hyperlink>
    </w:p>
    <w:p>
      <w:pPr>
        <w:pStyle w:val="TOC2"/>
        <w:tabs>
          <w:tab w:val="right" w:leader="dot" w:pos="9736"/>
        </w:tabs>
        <w:rPr>
          <w:rFonts w:ascii="Times New Roman" w:eastAsiaTheme="minorEastAsia" w:hAnsi="Times New Roman"/>
          <w:noProof/>
          <w:kern w:val="2"/>
          <w:sz w:val="24"/>
          <w:szCs w:val="24"/>
          <w:lang w:eastAsia="en-IE"/>
          <w14:ligatures w14:val="standardContextual"/>
        </w:rPr>
      </w:pPr>
      <w:hyperlink w:anchor="_Toc231993442" w:history="1">
        <w:r>
          <w:rPr>
            <w:rStyle w:val="Hyperlink"/>
            <w:rFonts w:ascii="Times New Roman" w:eastAsia="Calibri" w:hAnsi="Times New Roman"/>
            <w:noProof/>
          </w:rPr>
          <w:t>4.1 Instalații și producție</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_Toc231993442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4</w:t>
        </w:r>
        <w:r>
          <w:rPr>
            <w:rFonts w:ascii="Times New Roman" w:hAnsi="Times New Roman"/>
            <w:noProof/>
            <w:webHidden/>
          </w:rPr>
          <w:fldChar w:fldCharType="end"/>
        </w:r>
      </w:hyperlink>
    </w:p>
    <w:p>
      <w:pPr>
        <w:pStyle w:val="TOC2"/>
        <w:tabs>
          <w:tab w:val="right" w:leader="dot" w:pos="9736"/>
        </w:tabs>
        <w:rPr>
          <w:rFonts w:ascii="Times New Roman" w:eastAsiaTheme="minorEastAsia" w:hAnsi="Times New Roman"/>
          <w:noProof/>
          <w:kern w:val="2"/>
          <w:sz w:val="24"/>
          <w:szCs w:val="24"/>
          <w:lang w:eastAsia="en-IE"/>
          <w14:ligatures w14:val="standardContextual"/>
        </w:rPr>
      </w:pPr>
      <w:hyperlink w:anchor="_Toc231993443" w:history="1">
        <w:r>
          <w:rPr>
            <w:rStyle w:val="Hyperlink"/>
            <w:rFonts w:ascii="Times New Roman" w:eastAsia="Calibri" w:hAnsi="Times New Roman"/>
            <w:noProof/>
          </w:rPr>
          <w:t>4.2 Inspecțiile, investigațiile, măsurile de asigurare a respectării legii și cadrul de reglementare din sectorul offshore</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_Toc231993443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6</w:t>
        </w:r>
        <w:r>
          <w:rPr>
            <w:rFonts w:ascii="Times New Roman" w:hAnsi="Times New Roman"/>
            <w:noProof/>
            <w:webHidden/>
          </w:rPr>
          <w:fldChar w:fldCharType="end"/>
        </w:r>
      </w:hyperlink>
    </w:p>
    <w:p>
      <w:pPr>
        <w:pStyle w:val="TOC1"/>
        <w:rPr>
          <w:rFonts w:ascii="Times New Roman" w:eastAsiaTheme="minorEastAsia" w:hAnsi="Times New Roman"/>
          <w:noProof/>
          <w:kern w:val="2"/>
          <w:sz w:val="24"/>
          <w:szCs w:val="24"/>
          <w:lang w:eastAsia="en-IE"/>
          <w14:ligatures w14:val="standardContextual"/>
        </w:rPr>
      </w:pPr>
      <w:hyperlink w:anchor="_Toc231993444" w:history="1">
        <w:r>
          <w:rPr>
            <w:rStyle w:val="Hyperlink"/>
            <w:rFonts w:ascii="Times New Roman" w:eastAsia="Calibri" w:hAnsi="Times New Roman"/>
            <w:noProof/>
          </w:rPr>
          <w:t>5.</w:t>
        </w:r>
        <w:r>
          <w:rPr>
            <w:rFonts w:ascii="Times New Roman" w:eastAsiaTheme="minorEastAsia" w:hAnsi="Times New Roman"/>
            <w:noProof/>
            <w:kern w:val="2"/>
            <w:sz w:val="24"/>
            <w:szCs w:val="24"/>
            <w:lang w:eastAsia="en-IE"/>
            <w14:ligatures w14:val="standardContextual"/>
          </w:rPr>
          <w:tab/>
        </w:r>
        <w:r>
          <w:rPr>
            <w:rStyle w:val="Hyperlink"/>
            <w:rFonts w:ascii="Times New Roman" w:eastAsia="Calibri" w:hAnsi="Times New Roman"/>
            <w:noProof/>
          </w:rPr>
          <w:t>INCIDENTE ȘI PERFORMANȚĂ ÎN MATERIE DE SIGURANȚĂ</w:t>
        </w:r>
        <w:r>
          <w:rPr>
            <w:rFonts w:ascii="Times New Roman" w:hAnsi="Times New Roman"/>
            <w:noProof/>
            <w:webHidden/>
          </w:rPr>
          <w:tab/>
        </w:r>
        <w:r>
          <w:rPr>
            <w:rFonts w:ascii="Times New Roman" w:hAnsi="Times New Roman"/>
            <w:noProof/>
            <w:webHidden/>
          </w:rPr>
          <w:fldChar w:fldCharType="begin"/>
        </w:r>
        <w:r>
          <w:rPr>
            <w:rFonts w:ascii="Times New Roman" w:hAnsi="Times New Roman"/>
            <w:noProof/>
            <w:webHidden/>
          </w:rPr>
          <w:instrText xml:space="preserve"> PAGEREF _Toc231993444 \h </w:instrText>
        </w:r>
        <w:r>
          <w:rPr>
            <w:rFonts w:ascii="Times New Roman" w:hAnsi="Times New Roman"/>
            <w:noProof/>
            <w:webHidden/>
          </w:rPr>
        </w:r>
        <w:r>
          <w:rPr>
            <w:rFonts w:ascii="Times New Roman" w:hAnsi="Times New Roman"/>
            <w:noProof/>
            <w:webHidden/>
          </w:rPr>
          <w:fldChar w:fldCharType="separate"/>
        </w:r>
        <w:r>
          <w:rPr>
            <w:rFonts w:ascii="Times New Roman" w:hAnsi="Times New Roman"/>
            <w:noProof/>
            <w:webHidden/>
          </w:rPr>
          <w:t>7</w:t>
        </w:r>
        <w:r>
          <w:rPr>
            <w:rFonts w:ascii="Times New Roman" w:hAnsi="Times New Roman"/>
            <w:noProof/>
            <w:webHidden/>
          </w:rPr>
          <w:fldChar w:fldCharType="end"/>
        </w:r>
      </w:hyperlink>
    </w:p>
    <w:p>
      <w:pPr>
        <w:pStyle w:val="TOC1"/>
        <w:rPr>
          <w:rFonts w:ascii="Times New Roman" w:hAnsi="Times New Roman"/>
          <w:noProof/>
          <w:sz w:val="24"/>
        </w:rPr>
        <w:sectPr>
          <w:headerReference w:type="even" r:id="rId18"/>
          <w:headerReference w:type="default" r:id="rId19"/>
          <w:footerReference w:type="even" r:id="rId20"/>
          <w:footerReference w:type="default" r:id="rId21"/>
          <w:headerReference w:type="first" r:id="rId22"/>
          <w:footerReference w:type="first" r:id="rId23"/>
          <w:pgSz w:w="11906" w:h="16838" w:code="9"/>
          <w:pgMar w:top="1440" w:right="1080" w:bottom="1440" w:left="1080" w:header="720" w:footer="720" w:gutter="0"/>
          <w:cols w:space="720"/>
          <w:docGrid w:linePitch="360"/>
        </w:sectPr>
      </w:pPr>
      <w:r>
        <w:rPr>
          <w:rFonts w:ascii="Times New Roman" w:hAnsi="Times New Roman"/>
          <w:b/>
          <w:noProof/>
          <w:sz w:val="24"/>
        </w:rPr>
        <w:fldChar w:fldCharType="end"/>
      </w:r>
    </w:p>
    <w:p>
      <w:pPr>
        <w:pStyle w:val="Heading1"/>
        <w:rPr>
          <w:rFonts w:ascii="Times New Roman" w:hAnsi="Times New Roman"/>
          <w:color w:val="auto"/>
        </w:rPr>
      </w:pPr>
      <w:bookmarkStart w:id="1" w:name="_Toc231993438"/>
      <w:r>
        <w:rPr>
          <w:rFonts w:ascii="Times New Roman" w:hAnsi="Times New Roman"/>
          <w:color w:val="auto"/>
        </w:rPr>
        <w:lastRenderedPageBreak/>
        <w:t>1.</w:t>
      </w:r>
      <w:r>
        <w:rPr>
          <w:rFonts w:ascii="Times New Roman" w:hAnsi="Times New Roman"/>
        </w:rPr>
        <w:tab/>
      </w:r>
      <w:r>
        <w:rPr>
          <w:rFonts w:ascii="Times New Roman" w:hAnsi="Times New Roman"/>
          <w:color w:val="auto"/>
        </w:rPr>
        <w:t>INTRODUCERE</w:t>
      </w:r>
      <w:bookmarkEnd w:id="1"/>
    </w:p>
    <w:p>
      <w:pPr>
        <w:jc w:val="both"/>
        <w:rPr>
          <w:rFonts w:ascii="Times New Roman" w:hAnsi="Times New Roman"/>
          <w:noProof/>
          <w:sz w:val="24"/>
          <w:szCs w:val="24"/>
        </w:rPr>
      </w:pPr>
      <w:r>
        <w:rPr>
          <w:rFonts w:ascii="Times New Roman" w:hAnsi="Times New Roman"/>
          <w:noProof/>
          <w:sz w:val="24"/>
        </w:rPr>
        <w:t>Începând din 2016, Comisia Europeană publică un raport anual privind siguranța operațiunilor petroliere și gaziere offshore din UE.</w:t>
      </w:r>
    </w:p>
    <w:p>
      <w:pPr>
        <w:jc w:val="both"/>
        <w:rPr>
          <w:rFonts w:ascii="Times New Roman" w:hAnsi="Times New Roman"/>
          <w:noProof/>
          <w:sz w:val="24"/>
          <w:szCs w:val="24"/>
        </w:rPr>
      </w:pPr>
      <w:r>
        <w:rPr>
          <w:rFonts w:ascii="Times New Roman" w:hAnsi="Times New Roman"/>
          <w:noProof/>
          <w:sz w:val="24"/>
        </w:rPr>
        <w:t>Temeiul juridic al prezentului raport îl constituie articolul 25 alineatul (3) din Directiva 2013/30/UE</w:t>
      </w:r>
      <w:r>
        <w:rPr>
          <w:rStyle w:val="FootnoteReference"/>
          <w:rFonts w:ascii="Times New Roman" w:hAnsi="Times New Roman"/>
          <w:noProof/>
          <w:sz w:val="24"/>
          <w:szCs w:val="24"/>
        </w:rPr>
        <w:footnoteReference w:id="1"/>
      </w:r>
      <w:r>
        <w:rPr>
          <w:rFonts w:ascii="Times New Roman" w:hAnsi="Times New Roman"/>
          <w:noProof/>
          <w:sz w:val="24"/>
        </w:rPr>
        <w:t xml:space="preserve"> a Parlamentului European și a Consiliului din 12 iunie 2013</w:t>
      </w:r>
      <w:r>
        <w:rPr>
          <w:rFonts w:ascii="Times New Roman" w:hAnsi="Times New Roman"/>
          <w:noProof/>
        </w:rPr>
        <w:t xml:space="preserve"> </w:t>
      </w:r>
      <w:r>
        <w:rPr>
          <w:rFonts w:ascii="Times New Roman" w:hAnsi="Times New Roman"/>
          <w:noProof/>
          <w:sz w:val="24"/>
        </w:rPr>
        <w:t>privind siguranța operațiunilor petroliere și gaziere offshore și de modificare a Directivei 2004/35/CE (denumită în continuare: „Directiva privind siguranța operațiunilor offshore”). Directiva vizează atingerea unui nivel ridicat de siguranță în cadrul operațiunilor petroliere și gaziere offshore, în beneficiul:</w:t>
      </w:r>
    </w:p>
    <w:p>
      <w:pPr>
        <w:pStyle w:val="ListParagraph"/>
        <w:numPr>
          <w:ilvl w:val="0"/>
          <w:numId w:val="25"/>
        </w:numPr>
        <w:jc w:val="both"/>
        <w:rPr>
          <w:rFonts w:ascii="Times New Roman" w:hAnsi="Times New Roman"/>
          <w:noProof/>
          <w:sz w:val="24"/>
          <w:szCs w:val="24"/>
        </w:rPr>
      </w:pPr>
      <w:r>
        <w:rPr>
          <w:rFonts w:ascii="Times New Roman" w:hAnsi="Times New Roman"/>
          <w:noProof/>
          <w:sz w:val="24"/>
        </w:rPr>
        <w:t>lucrătorilor;</w:t>
      </w:r>
    </w:p>
    <w:p>
      <w:pPr>
        <w:pStyle w:val="ListParagraph"/>
        <w:numPr>
          <w:ilvl w:val="0"/>
          <w:numId w:val="25"/>
        </w:numPr>
        <w:jc w:val="both"/>
        <w:rPr>
          <w:rFonts w:ascii="Times New Roman" w:hAnsi="Times New Roman"/>
          <w:noProof/>
          <w:sz w:val="24"/>
          <w:szCs w:val="24"/>
        </w:rPr>
      </w:pPr>
      <w:r>
        <w:rPr>
          <w:rFonts w:ascii="Times New Roman" w:hAnsi="Times New Roman"/>
          <w:noProof/>
          <w:sz w:val="24"/>
        </w:rPr>
        <w:t>mediului;</w:t>
      </w:r>
    </w:p>
    <w:p>
      <w:pPr>
        <w:pStyle w:val="ListParagraph"/>
        <w:numPr>
          <w:ilvl w:val="0"/>
          <w:numId w:val="25"/>
        </w:numPr>
        <w:jc w:val="both"/>
        <w:rPr>
          <w:rFonts w:ascii="Times New Roman" w:hAnsi="Times New Roman"/>
          <w:noProof/>
          <w:sz w:val="24"/>
          <w:szCs w:val="24"/>
        </w:rPr>
      </w:pPr>
      <w:r>
        <w:rPr>
          <w:rFonts w:ascii="Times New Roman" w:hAnsi="Times New Roman"/>
          <w:noProof/>
          <w:sz w:val="24"/>
        </w:rPr>
        <w:t>platformelor și echipamentelor offshore;</w:t>
      </w:r>
    </w:p>
    <w:p>
      <w:pPr>
        <w:pStyle w:val="ListParagraph"/>
        <w:numPr>
          <w:ilvl w:val="0"/>
          <w:numId w:val="25"/>
        </w:numPr>
        <w:jc w:val="both"/>
        <w:rPr>
          <w:rFonts w:ascii="Times New Roman" w:hAnsi="Times New Roman"/>
          <w:noProof/>
          <w:sz w:val="24"/>
          <w:szCs w:val="24"/>
        </w:rPr>
      </w:pPr>
      <w:r>
        <w:rPr>
          <w:rFonts w:ascii="Times New Roman" w:hAnsi="Times New Roman"/>
          <w:noProof/>
          <w:sz w:val="24"/>
        </w:rPr>
        <w:t>activităților economice precum pescuitul și turismul.</w:t>
      </w:r>
    </w:p>
    <w:p>
      <w:pPr>
        <w:jc w:val="both"/>
        <w:rPr>
          <w:rFonts w:ascii="Times New Roman" w:hAnsi="Times New Roman"/>
          <w:noProof/>
          <w:sz w:val="24"/>
          <w:szCs w:val="24"/>
        </w:rPr>
      </w:pPr>
      <w:r>
        <w:rPr>
          <w:rFonts w:ascii="Times New Roman" w:hAnsi="Times New Roman"/>
          <w:noProof/>
          <w:sz w:val="24"/>
        </w:rPr>
        <w:t>Directiva, astfel cum a fost pusă în aplicare de statele membre, contribuie la:</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prevenirea accidentelor și incidentelor majore;</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reducerea numărului de incidente;</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asigurarea unei monitorizări eficace a urmărilor accidentelor și incidentelor în scopul reducerii gravității consecințelor acestora.</w:t>
      </w:r>
    </w:p>
    <w:p>
      <w:pPr>
        <w:jc w:val="both"/>
        <w:rPr>
          <w:rFonts w:ascii="Times New Roman" w:hAnsi="Times New Roman"/>
          <w:noProof/>
          <w:sz w:val="24"/>
          <w:szCs w:val="24"/>
        </w:rPr>
      </w:pPr>
      <w:r>
        <w:rPr>
          <w:rFonts w:ascii="Times New Roman" w:hAnsi="Times New Roman"/>
          <w:noProof/>
          <w:sz w:val="24"/>
        </w:rPr>
        <w:t>La fel ca rapoartele anterioare, prezentul raport anual:</w:t>
      </w:r>
    </w:p>
    <w:p>
      <w:pPr>
        <w:pStyle w:val="ListParagraph"/>
        <w:numPr>
          <w:ilvl w:val="0"/>
          <w:numId w:val="27"/>
        </w:numPr>
        <w:jc w:val="both"/>
        <w:rPr>
          <w:rFonts w:ascii="Times New Roman" w:hAnsi="Times New Roman"/>
          <w:noProof/>
          <w:sz w:val="24"/>
          <w:szCs w:val="24"/>
        </w:rPr>
      </w:pPr>
      <w:r>
        <w:rPr>
          <w:rFonts w:ascii="Times New Roman" w:hAnsi="Times New Roman"/>
          <w:noProof/>
          <w:sz w:val="24"/>
        </w:rPr>
        <w:t>indică numărul și tipul instalațiilor din UE;</w:t>
      </w:r>
    </w:p>
    <w:p>
      <w:pPr>
        <w:pStyle w:val="ListParagraph"/>
        <w:numPr>
          <w:ilvl w:val="0"/>
          <w:numId w:val="27"/>
        </w:numPr>
        <w:jc w:val="both"/>
        <w:rPr>
          <w:rFonts w:ascii="Times New Roman" w:hAnsi="Times New Roman"/>
          <w:noProof/>
          <w:sz w:val="24"/>
          <w:szCs w:val="24"/>
        </w:rPr>
      </w:pPr>
      <w:r>
        <w:rPr>
          <w:rFonts w:ascii="Times New Roman" w:hAnsi="Times New Roman"/>
          <w:noProof/>
          <w:sz w:val="24"/>
        </w:rPr>
        <w:t>oferă informații cu privire la incidentele de siguranță survenite în aceste instalații;</w:t>
      </w:r>
    </w:p>
    <w:p>
      <w:pPr>
        <w:pStyle w:val="ListParagraph"/>
        <w:numPr>
          <w:ilvl w:val="0"/>
          <w:numId w:val="27"/>
        </w:numPr>
        <w:jc w:val="both"/>
        <w:rPr>
          <w:rFonts w:ascii="Times New Roman" w:hAnsi="Times New Roman"/>
          <w:noProof/>
          <w:sz w:val="24"/>
          <w:szCs w:val="24"/>
        </w:rPr>
      </w:pPr>
      <w:r>
        <w:rPr>
          <w:rFonts w:ascii="Times New Roman" w:hAnsi="Times New Roman"/>
          <w:noProof/>
          <w:sz w:val="24"/>
        </w:rPr>
        <w:t>evaluează performanța în materie de siguranță a operațiunilor petroliere și gaziere offshore.</w:t>
      </w:r>
    </w:p>
    <w:p>
      <w:pPr>
        <w:jc w:val="both"/>
        <w:rPr>
          <w:rFonts w:ascii="Times New Roman" w:hAnsi="Times New Roman"/>
          <w:noProof/>
          <w:sz w:val="24"/>
          <w:szCs w:val="24"/>
        </w:rPr>
      </w:pPr>
      <w:r>
        <w:rPr>
          <w:rFonts w:ascii="Times New Roman" w:hAnsi="Times New Roman"/>
          <w:noProof/>
          <w:sz w:val="24"/>
        </w:rPr>
        <w:t>Raportul acoperă în prezent o perioadă de nouă ani și servește drept istoric al performanței în materie de siguranță în cadrul activităților petroliere și gaziere offshore ale statelor membre.</w:t>
      </w:r>
    </w:p>
    <w:p>
      <w:pPr>
        <w:jc w:val="both"/>
        <w:rPr>
          <w:rFonts w:ascii="Times New Roman" w:hAnsi="Times New Roman"/>
          <w:noProof/>
          <w:sz w:val="24"/>
          <w:szCs w:val="24"/>
        </w:rPr>
      </w:pPr>
      <w:r>
        <w:rPr>
          <w:rFonts w:ascii="Times New Roman" w:hAnsi="Times New Roman"/>
          <w:noProof/>
          <w:sz w:val="24"/>
        </w:rPr>
        <w:t>Prezentul raport se bazează pe rapoartele anuale și pe datele transmise de statele membre, astfel cum se prevede la articolul 25 alineatul (3) și la punctul 3 din anexa IX la Directiva privind siguranța activităților offshore.</w:t>
      </w:r>
    </w:p>
    <w:p>
      <w:pPr>
        <w:jc w:val="both"/>
        <w:rPr>
          <w:rFonts w:ascii="Times New Roman" w:hAnsi="Times New Roman"/>
          <w:noProof/>
          <w:sz w:val="24"/>
          <w:szCs w:val="24"/>
        </w:rPr>
      </w:pPr>
      <w:r>
        <w:rPr>
          <w:rFonts w:ascii="Times New Roman" w:hAnsi="Times New Roman"/>
          <w:noProof/>
          <w:sz w:val="24"/>
        </w:rPr>
        <w:t>Există 164 de instalații petroliere și gaziere offshore situate în Marea Mediterană, 147 în Marea Nordului și în Oceanul Atlantic, 9 în Marea Neagră și 4 în Marea Baltică. În 2024, autoritățile competente ale statelor membre au inspectat siguranța a 299 de instalații offshore aflate în jurisdicția lor. În același an, autoritățile competente ale statelor membre au raportat două accidente majore.</w:t>
      </w:r>
    </w:p>
    <w:p>
      <w:pPr>
        <w:jc w:val="both"/>
        <w:rPr>
          <w:rFonts w:ascii="Times New Roman" w:hAnsi="Times New Roman"/>
          <w:noProof/>
          <w:sz w:val="24"/>
          <w:szCs w:val="24"/>
        </w:rPr>
      </w:pPr>
      <w:r>
        <w:rPr>
          <w:rFonts w:ascii="Times New Roman" w:hAnsi="Times New Roman"/>
          <w:noProof/>
          <w:sz w:val="24"/>
        </w:rPr>
        <w:t>Numărul incidentelor a crescut de la 44 în 2023 la 72 în 2024.</w:t>
      </w:r>
    </w:p>
    <w:p>
      <w:pPr>
        <w:jc w:val="both"/>
        <w:rPr>
          <w:rFonts w:ascii="Times New Roman" w:hAnsi="Times New Roman"/>
          <w:noProof/>
          <w:sz w:val="24"/>
          <w:szCs w:val="24"/>
        </w:rPr>
      </w:pPr>
    </w:p>
    <w:p>
      <w:pPr>
        <w:pStyle w:val="Heading1"/>
        <w:rPr>
          <w:rFonts w:ascii="Times New Roman" w:hAnsi="Times New Roman"/>
          <w:color w:val="auto"/>
        </w:rPr>
      </w:pPr>
      <w:bookmarkStart w:id="2" w:name="_Toc231993439"/>
      <w:r>
        <w:rPr>
          <w:rFonts w:ascii="Times New Roman" w:hAnsi="Times New Roman"/>
          <w:color w:val="auto"/>
        </w:rPr>
        <w:t>2.</w:t>
      </w:r>
      <w:r>
        <w:rPr>
          <w:rFonts w:ascii="Times New Roman" w:hAnsi="Times New Roman"/>
        </w:rPr>
        <w:tab/>
      </w:r>
      <w:r>
        <w:rPr>
          <w:rFonts w:ascii="Times New Roman" w:hAnsi="Times New Roman"/>
          <w:color w:val="auto"/>
        </w:rPr>
        <w:t>TEMEIUL JURIDIC</w:t>
      </w:r>
      <w:bookmarkEnd w:id="2"/>
    </w:p>
    <w:p>
      <w:pPr>
        <w:jc w:val="both"/>
        <w:rPr>
          <w:rFonts w:ascii="Times New Roman" w:hAnsi="Times New Roman"/>
          <w:noProof/>
          <w:sz w:val="24"/>
          <w:szCs w:val="24"/>
        </w:rPr>
      </w:pPr>
      <w:r>
        <w:rPr>
          <w:rFonts w:ascii="Times New Roman" w:hAnsi="Times New Roman"/>
          <w:noProof/>
          <w:sz w:val="24"/>
        </w:rPr>
        <w:t>În conformitate cu articolul 25 alineatul (3) din Directiva privind siguranța operațiunilor offshore, Comisia trebuie să publice un raport anual privind siguranța și impactul asupra mediului al operațiunilor petroliere și gaziere offshore. Acest raport se bazează pe rapoarte anuale individuale pe care statele membre trebuie să le prezinte Comisiei. La punctul 3 din anexa IX la directivă se stabilesc informațiile minime pe care trebuie să le conțină rapoartele anuale:</w:t>
      </w:r>
    </w:p>
    <w:p>
      <w:pPr>
        <w:pStyle w:val="ListParagraph"/>
        <w:numPr>
          <w:ilvl w:val="0"/>
          <w:numId w:val="32"/>
        </w:numPr>
        <w:jc w:val="both"/>
        <w:rPr>
          <w:rFonts w:ascii="Times New Roman" w:hAnsi="Times New Roman"/>
          <w:noProof/>
          <w:sz w:val="24"/>
          <w:szCs w:val="24"/>
        </w:rPr>
      </w:pPr>
      <w:r>
        <w:rPr>
          <w:rFonts w:ascii="Times New Roman" w:hAnsi="Times New Roman"/>
          <w:noProof/>
          <w:sz w:val="24"/>
        </w:rPr>
        <w:t>numărul, vechimea și amplasamentul instalațiilor;</w:t>
      </w:r>
    </w:p>
    <w:p>
      <w:pPr>
        <w:pStyle w:val="ListParagraph"/>
        <w:numPr>
          <w:ilvl w:val="0"/>
          <w:numId w:val="32"/>
        </w:numPr>
        <w:jc w:val="both"/>
        <w:rPr>
          <w:rFonts w:ascii="Times New Roman" w:hAnsi="Times New Roman"/>
          <w:noProof/>
          <w:sz w:val="24"/>
          <w:szCs w:val="24"/>
        </w:rPr>
      </w:pPr>
      <w:r>
        <w:rPr>
          <w:rFonts w:ascii="Times New Roman" w:hAnsi="Times New Roman"/>
          <w:noProof/>
          <w:sz w:val="24"/>
        </w:rPr>
        <w:t>numărul și tipul de inspecții și investigații efectuate, pe lângă orice măsuri de asigurare a respectării legii sau condamnări;</w:t>
      </w:r>
    </w:p>
    <w:p>
      <w:pPr>
        <w:pStyle w:val="ListParagraph"/>
        <w:numPr>
          <w:ilvl w:val="0"/>
          <w:numId w:val="32"/>
        </w:numPr>
        <w:jc w:val="both"/>
        <w:rPr>
          <w:rFonts w:ascii="Times New Roman" w:hAnsi="Times New Roman"/>
          <w:noProof/>
          <w:sz w:val="24"/>
          <w:szCs w:val="24"/>
        </w:rPr>
      </w:pPr>
      <w:r>
        <w:rPr>
          <w:rFonts w:ascii="Times New Roman" w:hAnsi="Times New Roman"/>
          <w:noProof/>
          <w:sz w:val="24"/>
        </w:rPr>
        <w:t>incidentele care au avut loc;</w:t>
      </w:r>
    </w:p>
    <w:p>
      <w:pPr>
        <w:pStyle w:val="ListParagraph"/>
        <w:numPr>
          <w:ilvl w:val="0"/>
          <w:numId w:val="32"/>
        </w:numPr>
        <w:jc w:val="both"/>
        <w:rPr>
          <w:rFonts w:ascii="Times New Roman" w:hAnsi="Times New Roman"/>
          <w:noProof/>
          <w:sz w:val="24"/>
          <w:szCs w:val="24"/>
        </w:rPr>
      </w:pPr>
      <w:r>
        <w:rPr>
          <w:rFonts w:ascii="Times New Roman" w:hAnsi="Times New Roman"/>
          <w:noProof/>
          <w:sz w:val="24"/>
        </w:rPr>
        <w:t>orice modificare majoră adusă cadrului de reglementare offshore;</w:t>
      </w:r>
    </w:p>
    <w:p>
      <w:pPr>
        <w:pStyle w:val="ListParagraph"/>
        <w:numPr>
          <w:ilvl w:val="0"/>
          <w:numId w:val="32"/>
        </w:numPr>
        <w:jc w:val="both"/>
        <w:rPr>
          <w:rFonts w:ascii="Times New Roman" w:hAnsi="Times New Roman"/>
          <w:noProof/>
          <w:sz w:val="24"/>
          <w:szCs w:val="24"/>
        </w:rPr>
      </w:pPr>
      <w:r>
        <w:rPr>
          <w:rFonts w:ascii="Times New Roman" w:hAnsi="Times New Roman"/>
          <w:noProof/>
          <w:sz w:val="24"/>
        </w:rPr>
        <w:t>performanța operațiunilor petroliere și gaziere offshore.</w:t>
      </w:r>
    </w:p>
    <w:p>
      <w:pPr>
        <w:jc w:val="both"/>
        <w:rPr>
          <w:rFonts w:ascii="Times New Roman" w:hAnsi="Times New Roman"/>
          <w:noProof/>
          <w:sz w:val="24"/>
          <w:szCs w:val="24"/>
        </w:rPr>
      </w:pPr>
      <w:r>
        <w:rPr>
          <w:rFonts w:ascii="Times New Roman" w:hAnsi="Times New Roman"/>
          <w:noProof/>
          <w:sz w:val="24"/>
        </w:rPr>
        <w:t>În temeiul articolului 2 alineatul (2) din Regulamentul de punere în aplicare (UE) nr. 1112/2014 al Comisiei din 13 octombrie 2014</w:t>
      </w:r>
      <w:r>
        <w:rPr>
          <w:rStyle w:val="FootnoteReference"/>
          <w:rFonts w:ascii="Times New Roman" w:hAnsi="Times New Roman"/>
          <w:noProof/>
          <w:sz w:val="24"/>
          <w:szCs w:val="24"/>
        </w:rPr>
        <w:footnoteReference w:id="2"/>
      </w:r>
      <w:r>
        <w:rPr>
          <w:rFonts w:ascii="Times New Roman" w:hAnsi="Times New Roman"/>
          <w:noProof/>
          <w:sz w:val="24"/>
        </w:rPr>
        <w:t xml:space="preserve"> (denumit în continuare „Regulamentul de punere în aplicare”), termenul până la care statele membre trebuie să publice și să transmită informațiile solicitate este data de 1 iunie care urmează perioadei de raportare (de exemplu, 1 iunie 2025 pentru 2024).</w:t>
      </w:r>
    </w:p>
    <w:p>
      <w:pPr>
        <w:jc w:val="both"/>
        <w:rPr>
          <w:rFonts w:ascii="Times New Roman" w:hAnsi="Times New Roman"/>
          <w:noProof/>
          <w:sz w:val="24"/>
          <w:szCs w:val="24"/>
        </w:rPr>
      </w:pPr>
      <w:r>
        <w:rPr>
          <w:rFonts w:ascii="Times New Roman" w:hAnsi="Times New Roman"/>
          <w:noProof/>
          <w:sz w:val="24"/>
        </w:rPr>
        <w:t>Statele membre trebuie să transmită informațiile utilizând modelele prevăzute în anexa II la Regulamentul de punere în aplicare. Modelele dau posibilitatea:</w:t>
      </w:r>
    </w:p>
    <w:p>
      <w:pPr>
        <w:pStyle w:val="ListParagraph"/>
        <w:numPr>
          <w:ilvl w:val="0"/>
          <w:numId w:val="28"/>
        </w:numPr>
        <w:jc w:val="both"/>
        <w:rPr>
          <w:rFonts w:ascii="Times New Roman" w:hAnsi="Times New Roman"/>
          <w:noProof/>
          <w:sz w:val="24"/>
          <w:szCs w:val="24"/>
        </w:rPr>
      </w:pPr>
      <w:r>
        <w:rPr>
          <w:rFonts w:ascii="Times New Roman" w:hAnsi="Times New Roman"/>
          <w:noProof/>
          <w:sz w:val="24"/>
        </w:rPr>
        <w:t>operatorilor și proprietarilor de instalații petroliere și gaziere offshore să facă schimb de informații referitoare la indicatorii privind pericolele majore;</w:t>
      </w:r>
    </w:p>
    <w:p>
      <w:pPr>
        <w:pStyle w:val="ListParagraph"/>
        <w:numPr>
          <w:ilvl w:val="0"/>
          <w:numId w:val="28"/>
        </w:numPr>
        <w:jc w:val="both"/>
        <w:rPr>
          <w:rFonts w:ascii="Times New Roman" w:hAnsi="Times New Roman"/>
          <w:noProof/>
          <w:sz w:val="24"/>
          <w:szCs w:val="24"/>
        </w:rPr>
      </w:pPr>
      <w:r>
        <w:rPr>
          <w:rFonts w:ascii="Times New Roman" w:hAnsi="Times New Roman"/>
          <w:noProof/>
          <w:sz w:val="24"/>
        </w:rPr>
        <w:t>statelor membre să publice informații referitoare la indicatorii privind pericolele majore.</w:t>
      </w:r>
    </w:p>
    <w:p>
      <w:pPr>
        <w:jc w:val="both"/>
        <w:rPr>
          <w:rFonts w:ascii="Times New Roman" w:hAnsi="Times New Roman"/>
          <w:noProof/>
          <w:sz w:val="24"/>
          <w:szCs w:val="24"/>
        </w:rPr>
      </w:pPr>
      <w:r>
        <w:rPr>
          <w:rFonts w:ascii="Times New Roman" w:hAnsi="Times New Roman"/>
          <w:noProof/>
          <w:sz w:val="24"/>
        </w:rPr>
        <w:t>Un document de orientare al serviciilor Comisiei</w:t>
      </w:r>
      <w:r>
        <w:rPr>
          <w:rStyle w:val="FootnoteReference"/>
          <w:rFonts w:ascii="Times New Roman" w:hAnsi="Times New Roman"/>
          <w:noProof/>
          <w:sz w:val="24"/>
          <w:szCs w:val="24"/>
        </w:rPr>
        <w:footnoteReference w:id="3"/>
      </w:r>
      <w:r>
        <w:rPr>
          <w:rFonts w:ascii="Times New Roman" w:hAnsi="Times New Roman"/>
          <w:noProof/>
          <w:sz w:val="24"/>
        </w:rPr>
        <w:t xml:space="preserve"> oferă autorităților competente din statele membre, operatorilor și proprietarilor informații complementare și exemple pentru a promova o interpretare consecventă a cerințelor de raportare din Regulamentul de punere în aplicare.</w:t>
      </w:r>
    </w:p>
    <w:p>
      <w:pPr>
        <w:pStyle w:val="Heading1"/>
        <w:ind w:left="720" w:hanging="720"/>
        <w:rPr>
          <w:rFonts w:ascii="Times New Roman" w:hAnsi="Times New Roman"/>
          <w:color w:val="auto"/>
        </w:rPr>
      </w:pPr>
      <w:bookmarkStart w:id="3" w:name="_Toc231993440"/>
      <w:r>
        <w:rPr>
          <w:rFonts w:ascii="Times New Roman" w:hAnsi="Times New Roman"/>
          <w:color w:val="auto"/>
        </w:rPr>
        <w:t>3.</w:t>
      </w:r>
      <w:r>
        <w:rPr>
          <w:rFonts w:ascii="Times New Roman" w:hAnsi="Times New Roman"/>
        </w:rPr>
        <w:tab/>
      </w:r>
      <w:r>
        <w:rPr>
          <w:rFonts w:ascii="Times New Roman" w:hAnsi="Times New Roman"/>
          <w:color w:val="auto"/>
        </w:rPr>
        <w:t>METODOLOGIA ȘI INFORMAȚIILE PRIMITE</w:t>
      </w:r>
      <w:bookmarkEnd w:id="3"/>
    </w:p>
    <w:p>
      <w:pPr>
        <w:jc w:val="both"/>
        <w:rPr>
          <w:rFonts w:ascii="Times New Roman" w:hAnsi="Times New Roman"/>
          <w:noProof/>
          <w:sz w:val="24"/>
          <w:szCs w:val="24"/>
        </w:rPr>
      </w:pPr>
      <w:r>
        <w:rPr>
          <w:rFonts w:ascii="Times New Roman" w:hAnsi="Times New Roman"/>
          <w:noProof/>
          <w:sz w:val="24"/>
        </w:rPr>
        <w:t xml:space="preserve">Statele membre trebuie să prezinte rapoarte anuale cu privire la incidentele de siguranță din sectorul petrolier și gazier offshore, utilizând modelele. Aceste rapoarte anuale trebuie să includă informații privind instalațiile petroliere și gaziere offshore din UE, cum ar fi numărul, tipul, amplasamentul și vechimea. Rapoartele statelor membre trebuie să furnizeze de asemenea informații cu privire la numărul de: (i) inspecții offshore, investigații și măsuri luate pentru asigurare a respectării legii; (ii) </w:t>
      </w:r>
      <w:r>
        <w:rPr>
          <w:rFonts w:ascii="Times New Roman" w:hAnsi="Times New Roman"/>
          <w:noProof/>
          <w:sz w:val="24"/>
        </w:rPr>
        <w:lastRenderedPageBreak/>
        <w:t>incidente pe categorii, în conformitate cu articolul 25 alineatul (3) din Directiva privind siguranța activităților offshore; și (iii) vătămări, în conformitate cu cerința de raportare H din Regulamentul de punere în aplicare nr. 1112/2014.</w:t>
      </w:r>
    </w:p>
    <w:p>
      <w:pPr>
        <w:jc w:val="both"/>
        <w:rPr>
          <w:rFonts w:ascii="Times New Roman" w:hAnsi="Times New Roman"/>
          <w:noProof/>
          <w:sz w:val="24"/>
          <w:szCs w:val="24"/>
        </w:rPr>
      </w:pPr>
      <w:r>
        <w:rPr>
          <w:rFonts w:ascii="Times New Roman" w:hAnsi="Times New Roman"/>
          <w:noProof/>
          <w:sz w:val="24"/>
        </w:rPr>
        <w:t xml:space="preserve">Pentru prezentul raport anual, Comisia a utilizat informațiile furnizate de Bulgaria, Croația, Cipru, Danemarca, Germania, Grecia, Irlanda, Italia, Malta, Țările de Jos, Polonia, Portugalia, România și Spania. Toate aceste state membre au declarat că au transmis toate informațiile necesare cu privire la toate instalațiile. Celelalte state membre nu au desfășurat activități în sectorul petrolier și gazier offshore. </w:t>
      </w:r>
    </w:p>
    <w:p>
      <w:pPr>
        <w:pStyle w:val="Heading1"/>
        <w:ind w:left="720" w:hanging="720"/>
        <w:rPr>
          <w:rFonts w:ascii="Times New Roman" w:hAnsi="Times New Roman"/>
          <w:color w:val="auto"/>
        </w:rPr>
      </w:pPr>
      <w:bookmarkStart w:id="4" w:name="_Toc231993441"/>
      <w:r>
        <w:rPr>
          <w:rFonts w:ascii="Times New Roman" w:hAnsi="Times New Roman"/>
          <w:color w:val="auto"/>
        </w:rPr>
        <w:t>4.</w:t>
      </w:r>
      <w:r>
        <w:rPr>
          <w:rFonts w:ascii="Times New Roman" w:hAnsi="Times New Roman"/>
        </w:rPr>
        <w:tab/>
      </w:r>
      <w:r>
        <w:rPr>
          <w:rFonts w:ascii="Times New Roman" w:hAnsi="Times New Roman"/>
          <w:color w:val="auto"/>
        </w:rPr>
        <w:t>SECTORUL PETROLIER ȘI GAZIER OFFSHORE DIN UE</w:t>
      </w:r>
      <w:bookmarkEnd w:id="4"/>
    </w:p>
    <w:p>
      <w:pPr>
        <w:pStyle w:val="Heading2"/>
        <w:spacing w:after="120"/>
        <w:rPr>
          <w:rFonts w:ascii="Times New Roman" w:hAnsi="Times New Roman" w:cs="Times New Roman"/>
          <w:noProof/>
          <w:color w:val="auto"/>
        </w:rPr>
      </w:pPr>
      <w:bookmarkStart w:id="5" w:name="_Toc231993442"/>
      <w:r>
        <w:rPr>
          <w:rFonts w:ascii="Times New Roman" w:hAnsi="Times New Roman" w:cs="Times New Roman"/>
          <w:noProof/>
          <w:color w:val="auto"/>
        </w:rPr>
        <w:t>4.1 Instalații și producție</w:t>
      </w:r>
      <w:bookmarkEnd w:id="5"/>
    </w:p>
    <w:p>
      <w:pPr>
        <w:jc w:val="both"/>
        <w:rPr>
          <w:rFonts w:ascii="Times New Roman" w:hAnsi="Times New Roman"/>
          <w:noProof/>
          <w:sz w:val="24"/>
          <w:szCs w:val="24"/>
        </w:rPr>
      </w:pPr>
      <w:r>
        <w:rPr>
          <w:rFonts w:ascii="Times New Roman" w:hAnsi="Times New Roman"/>
          <w:noProof/>
          <w:sz w:val="24"/>
        </w:rPr>
        <w:t>Statele membre au raportat existența a 324 de instalații în apele UE în 2024 (a se vedea tabelul 1):</w:t>
      </w:r>
    </w:p>
    <w:p>
      <w:pPr>
        <w:pStyle w:val="ListParagraph"/>
        <w:numPr>
          <w:ilvl w:val="0"/>
          <w:numId w:val="29"/>
        </w:numPr>
        <w:jc w:val="both"/>
        <w:rPr>
          <w:rFonts w:ascii="Times New Roman" w:hAnsi="Times New Roman"/>
          <w:noProof/>
          <w:sz w:val="24"/>
          <w:szCs w:val="24"/>
        </w:rPr>
      </w:pPr>
      <w:r>
        <w:rPr>
          <w:rFonts w:ascii="Times New Roman" w:hAnsi="Times New Roman"/>
          <w:noProof/>
          <w:sz w:val="24"/>
        </w:rPr>
        <w:t>Majoritatea instalațiilor offshore</w:t>
      </w:r>
      <w:r>
        <w:rPr>
          <w:rStyle w:val="FootnoteReference"/>
          <w:rFonts w:ascii="Times New Roman" w:hAnsi="Times New Roman"/>
          <w:noProof/>
          <w:sz w:val="24"/>
          <w:szCs w:val="24"/>
        </w:rPr>
        <w:footnoteReference w:id="4"/>
      </w:r>
      <w:r>
        <w:rPr>
          <w:rFonts w:ascii="Times New Roman" w:hAnsi="Times New Roman"/>
          <w:noProof/>
          <w:sz w:val="24"/>
        </w:rPr>
        <w:t xml:space="preserve"> se aflau în Marea Mediterană. Italia este cea mai activă (cu 43 % </w:t>
      </w:r>
      <w:bookmarkStart w:id="6" w:name="_Hlk147743046"/>
      <w:r>
        <w:rPr>
          <w:rFonts w:ascii="Times New Roman" w:hAnsi="Times New Roman"/>
          <w:noProof/>
          <w:sz w:val="24"/>
        </w:rPr>
        <w:t>din numărul total de instalații din apele UE</w:t>
      </w:r>
      <w:bookmarkEnd w:id="6"/>
      <w:r>
        <w:rPr>
          <w:rFonts w:ascii="Times New Roman" w:hAnsi="Times New Roman"/>
          <w:noProof/>
          <w:sz w:val="24"/>
        </w:rPr>
        <w:t>), urmată de Croația</w:t>
      </w:r>
      <w:r>
        <w:rPr>
          <w:rFonts w:ascii="Times New Roman" w:hAnsi="Times New Roman"/>
          <w:noProof/>
        </w:rPr>
        <w:t>.</w:t>
      </w:r>
    </w:p>
    <w:p>
      <w:pPr>
        <w:pStyle w:val="ListParagraph"/>
        <w:numPr>
          <w:ilvl w:val="0"/>
          <w:numId w:val="29"/>
        </w:numPr>
        <w:jc w:val="both"/>
        <w:rPr>
          <w:rFonts w:ascii="Times New Roman" w:hAnsi="Times New Roman"/>
          <w:noProof/>
          <w:sz w:val="24"/>
          <w:szCs w:val="24"/>
        </w:rPr>
      </w:pPr>
      <w:r>
        <w:rPr>
          <w:rFonts w:ascii="Times New Roman" w:hAnsi="Times New Roman"/>
          <w:noProof/>
          <w:sz w:val="24"/>
        </w:rPr>
        <w:t>În Marea Nordului și în Oceanul Atlantic, majoritatea instalațiilor (aproximativ 42 % din totalul instalațiilor din apele UE) se aflau în zona economică exclusivă a Țărilor de Jos din Marea Nordului.</w:t>
      </w:r>
    </w:p>
    <w:p>
      <w:pPr>
        <w:pStyle w:val="ListParagraph"/>
        <w:numPr>
          <w:ilvl w:val="0"/>
          <w:numId w:val="29"/>
        </w:numPr>
        <w:jc w:val="both"/>
        <w:rPr>
          <w:rFonts w:ascii="Times New Roman" w:hAnsi="Times New Roman"/>
          <w:noProof/>
          <w:sz w:val="24"/>
          <w:szCs w:val="24"/>
        </w:rPr>
      </w:pPr>
      <w:r>
        <w:rPr>
          <w:rFonts w:ascii="Times New Roman" w:hAnsi="Times New Roman"/>
          <w:noProof/>
          <w:sz w:val="24"/>
        </w:rPr>
        <w:t>În Marea Neagră, România are o industrie petrolieră și gazieră offshore consacrată. Bulgaria continuă explorarea offshore a hidrocarburilor, dar nu avea decât o singură instalație și produce cantități mici de petrol și gaze.</w:t>
      </w:r>
    </w:p>
    <w:p>
      <w:pPr>
        <w:pStyle w:val="ListParagraph"/>
        <w:numPr>
          <w:ilvl w:val="0"/>
          <w:numId w:val="29"/>
        </w:numPr>
        <w:jc w:val="both"/>
        <w:rPr>
          <w:rFonts w:ascii="Times New Roman" w:hAnsi="Times New Roman"/>
          <w:noProof/>
        </w:rPr>
      </w:pPr>
      <w:r>
        <w:rPr>
          <w:rFonts w:ascii="Times New Roman" w:hAnsi="Times New Roman"/>
          <w:noProof/>
          <w:sz w:val="24"/>
        </w:rPr>
        <w:t>În Marea Baltică, numai Polonia are instalații offshore.</w:t>
      </w:r>
    </w:p>
    <w:p>
      <w:pPr>
        <w:pStyle w:val="Caption"/>
        <w:rPr>
          <w:noProof/>
        </w:rPr>
      </w:pPr>
      <w:r>
        <w:rPr>
          <w:noProof/>
        </w:rPr>
        <w:t>Tabelul 1: Instalații la 1 ianuarie 2024: tipul instalației, pe regiune și stat membru</w:t>
      </w:r>
    </w:p>
    <w:tbl>
      <w:tblPr>
        <w:tblStyle w:val="TableGrid"/>
        <w:tblW w:w="10031" w:type="dxa"/>
        <w:tblLook w:val="04A0" w:firstRow="1" w:lastRow="0" w:firstColumn="1" w:lastColumn="0" w:noHBand="0" w:noVBand="1"/>
      </w:tblPr>
      <w:tblGrid>
        <w:gridCol w:w="2336"/>
        <w:gridCol w:w="1356"/>
        <w:gridCol w:w="923"/>
        <w:gridCol w:w="923"/>
        <w:gridCol w:w="923"/>
        <w:gridCol w:w="923"/>
        <w:gridCol w:w="1562"/>
        <w:gridCol w:w="1085"/>
      </w:tblGrid>
      <w:tr>
        <w:trPr>
          <w:trHeight w:val="292"/>
        </w:trPr>
        <w:tc>
          <w:tcPr>
            <w:tcW w:w="2336" w:type="dxa"/>
            <w:noWrap/>
            <w:hideMark/>
          </w:tcPr>
          <w:p>
            <w:pPr>
              <w:rPr>
                <w:rFonts w:asciiTheme="minorHAnsi" w:hAnsiTheme="minorHAnsi" w:cstheme="minorHAnsi"/>
                <w:b/>
                <w:bCs/>
                <w:noProof/>
              </w:rPr>
            </w:pPr>
            <w:r>
              <w:rPr>
                <w:rFonts w:asciiTheme="minorHAnsi" w:hAnsiTheme="minorHAnsi" w:cstheme="minorHAnsi"/>
                <w:b/>
                <w:noProof/>
              </w:rPr>
              <w:t>Regiune</w:t>
            </w:r>
          </w:p>
        </w:tc>
        <w:tc>
          <w:tcPr>
            <w:tcW w:w="1356" w:type="dxa"/>
            <w:noWrap/>
          </w:tcPr>
          <w:p>
            <w:pPr>
              <w:rPr>
                <w:rFonts w:asciiTheme="minorHAnsi" w:hAnsiTheme="minorHAnsi" w:cstheme="minorHAnsi"/>
                <w:b/>
                <w:bCs/>
                <w:noProof/>
              </w:rPr>
            </w:pPr>
            <w:r>
              <w:rPr>
                <w:rFonts w:asciiTheme="minorHAnsi" w:hAnsiTheme="minorHAnsi" w:cstheme="minorHAnsi"/>
                <w:b/>
                <w:noProof/>
              </w:rPr>
              <w:t>Țară</w:t>
            </w:r>
          </w:p>
        </w:tc>
        <w:tc>
          <w:tcPr>
            <w:tcW w:w="5254" w:type="dxa"/>
            <w:gridSpan w:val="5"/>
            <w:noWrap/>
          </w:tcPr>
          <w:p>
            <w:pPr>
              <w:rPr>
                <w:rFonts w:asciiTheme="minorHAnsi" w:hAnsiTheme="minorHAnsi" w:cstheme="minorHAnsi"/>
                <w:b/>
                <w:noProof/>
              </w:rPr>
            </w:pPr>
            <w:r>
              <w:rPr>
                <w:rFonts w:asciiTheme="minorHAnsi" w:hAnsiTheme="minorHAnsi" w:cstheme="minorHAnsi"/>
                <w:b/>
                <w:noProof/>
              </w:rPr>
              <w:t>Tipul instalației (*)</w:t>
            </w:r>
          </w:p>
        </w:tc>
        <w:tc>
          <w:tcPr>
            <w:tcW w:w="1085" w:type="dxa"/>
          </w:tcPr>
          <w:p>
            <w:pPr>
              <w:rPr>
                <w:rFonts w:asciiTheme="minorHAnsi" w:hAnsiTheme="minorHAnsi" w:cstheme="minorHAnsi"/>
                <w:b/>
                <w:noProof/>
              </w:rPr>
            </w:pPr>
          </w:p>
        </w:tc>
      </w:tr>
      <w:tr>
        <w:trPr>
          <w:trHeight w:val="292"/>
        </w:trPr>
        <w:tc>
          <w:tcPr>
            <w:tcW w:w="2336" w:type="dxa"/>
            <w:noWrap/>
          </w:tcPr>
          <w:p>
            <w:pPr>
              <w:rPr>
                <w:rFonts w:asciiTheme="minorHAnsi" w:hAnsiTheme="minorHAnsi" w:cstheme="minorHAnsi"/>
                <w:b/>
                <w:noProof/>
              </w:rPr>
            </w:pPr>
          </w:p>
        </w:tc>
        <w:tc>
          <w:tcPr>
            <w:tcW w:w="1356" w:type="dxa"/>
            <w:noWrap/>
          </w:tcPr>
          <w:p>
            <w:pPr>
              <w:rPr>
                <w:rFonts w:asciiTheme="minorHAnsi" w:hAnsiTheme="minorHAnsi" w:cstheme="minorHAnsi"/>
                <w:noProof/>
              </w:rPr>
            </w:pPr>
          </w:p>
        </w:tc>
        <w:tc>
          <w:tcPr>
            <w:tcW w:w="923" w:type="dxa"/>
            <w:noWrap/>
          </w:tcPr>
          <w:p>
            <w:pPr>
              <w:rPr>
                <w:rFonts w:asciiTheme="minorHAnsi" w:hAnsiTheme="minorHAnsi" w:cstheme="minorHAnsi"/>
                <w:noProof/>
              </w:rPr>
            </w:pPr>
            <w:r>
              <w:rPr>
                <w:rFonts w:asciiTheme="minorHAnsi" w:hAnsiTheme="minorHAnsi" w:cstheme="minorHAnsi"/>
                <w:noProof/>
              </w:rPr>
              <w:t>FMI</w:t>
            </w:r>
          </w:p>
        </w:tc>
        <w:tc>
          <w:tcPr>
            <w:tcW w:w="923" w:type="dxa"/>
            <w:noWrap/>
          </w:tcPr>
          <w:p>
            <w:pPr>
              <w:rPr>
                <w:rFonts w:asciiTheme="minorHAnsi" w:hAnsiTheme="minorHAnsi" w:cstheme="minorHAnsi"/>
                <w:noProof/>
              </w:rPr>
            </w:pPr>
            <w:r>
              <w:rPr>
                <w:rFonts w:asciiTheme="minorHAnsi" w:hAnsiTheme="minorHAnsi" w:cstheme="minorHAnsi"/>
                <w:noProof/>
              </w:rPr>
              <w:t>NUI</w:t>
            </w:r>
          </w:p>
        </w:tc>
        <w:tc>
          <w:tcPr>
            <w:tcW w:w="923" w:type="dxa"/>
            <w:noWrap/>
          </w:tcPr>
          <w:p>
            <w:pPr>
              <w:rPr>
                <w:rFonts w:asciiTheme="minorHAnsi" w:hAnsiTheme="minorHAnsi" w:cstheme="minorHAnsi"/>
                <w:noProof/>
              </w:rPr>
            </w:pPr>
            <w:r>
              <w:rPr>
                <w:rFonts w:asciiTheme="minorHAnsi" w:hAnsiTheme="minorHAnsi" w:cstheme="minorHAnsi"/>
                <w:noProof/>
              </w:rPr>
              <w:t>FNP</w:t>
            </w:r>
          </w:p>
        </w:tc>
        <w:tc>
          <w:tcPr>
            <w:tcW w:w="923" w:type="dxa"/>
            <w:noWrap/>
          </w:tcPr>
          <w:p>
            <w:pPr>
              <w:rPr>
                <w:rFonts w:asciiTheme="minorHAnsi" w:hAnsiTheme="minorHAnsi" w:cstheme="minorHAnsi"/>
                <w:noProof/>
              </w:rPr>
            </w:pPr>
            <w:r>
              <w:rPr>
                <w:rFonts w:asciiTheme="minorHAnsi" w:hAnsiTheme="minorHAnsi" w:cstheme="minorHAnsi"/>
                <w:noProof/>
              </w:rPr>
              <w:t>FPI</w:t>
            </w:r>
          </w:p>
        </w:tc>
        <w:tc>
          <w:tcPr>
            <w:tcW w:w="1562" w:type="dxa"/>
            <w:noWrap/>
          </w:tcPr>
          <w:p>
            <w:pPr>
              <w:rPr>
                <w:rFonts w:asciiTheme="minorHAnsi" w:hAnsiTheme="minorHAnsi" w:cstheme="minorHAnsi"/>
                <w:noProof/>
              </w:rPr>
            </w:pPr>
            <w:r>
              <w:rPr>
                <w:rFonts w:asciiTheme="minorHAnsi" w:hAnsiTheme="minorHAnsi" w:cstheme="minorHAnsi"/>
                <w:noProof/>
              </w:rPr>
              <w:t>Total (regiune/țară)</w:t>
            </w:r>
          </w:p>
        </w:tc>
        <w:tc>
          <w:tcPr>
            <w:tcW w:w="1085" w:type="dxa"/>
          </w:tcPr>
          <w:p>
            <w:pPr>
              <w:rPr>
                <w:rFonts w:asciiTheme="minorHAnsi" w:hAnsiTheme="minorHAnsi" w:cstheme="minorHAnsi"/>
                <w:noProof/>
              </w:rPr>
            </w:pPr>
            <w:r>
              <w:rPr>
                <w:rFonts w:asciiTheme="minorHAnsi" w:hAnsiTheme="minorHAnsi" w:cstheme="minorHAnsi"/>
                <w:noProof/>
              </w:rPr>
              <w:t>Diferență față de 2023</w:t>
            </w:r>
          </w:p>
        </w:tc>
      </w:tr>
      <w:tr>
        <w:trPr>
          <w:trHeight w:val="292"/>
        </w:trPr>
        <w:tc>
          <w:tcPr>
            <w:tcW w:w="2336" w:type="dxa"/>
            <w:vMerge w:val="restart"/>
            <w:noWrap/>
            <w:hideMark/>
          </w:tcPr>
          <w:p>
            <w:pPr>
              <w:rPr>
                <w:rFonts w:asciiTheme="minorHAnsi" w:hAnsiTheme="minorHAnsi" w:cstheme="minorHAnsi"/>
                <w:b/>
                <w:noProof/>
              </w:rPr>
            </w:pPr>
            <w:r>
              <w:rPr>
                <w:rFonts w:asciiTheme="minorHAnsi" w:hAnsiTheme="minorHAnsi" w:cstheme="minorHAnsi"/>
                <w:b/>
                <w:noProof/>
              </w:rPr>
              <w:t>Marea Baltică</w:t>
            </w:r>
          </w:p>
          <w:p>
            <w:pPr>
              <w:rPr>
                <w:rFonts w:asciiTheme="minorHAnsi" w:hAnsiTheme="minorHAnsi" w:cstheme="minorHAnsi"/>
                <w:b/>
                <w:noProof/>
              </w:rPr>
            </w:pPr>
          </w:p>
        </w:tc>
        <w:tc>
          <w:tcPr>
            <w:tcW w:w="1356" w:type="dxa"/>
            <w:noWrap/>
            <w:hideMark/>
          </w:tcPr>
          <w:p>
            <w:pPr>
              <w:rPr>
                <w:rFonts w:asciiTheme="minorHAnsi" w:hAnsiTheme="minorHAnsi" w:cstheme="minorHAnsi"/>
                <w:noProof/>
              </w:rPr>
            </w:pPr>
          </w:p>
        </w:tc>
        <w:tc>
          <w:tcPr>
            <w:tcW w:w="923" w:type="dxa"/>
            <w:noWrap/>
            <w:hideMark/>
          </w:tcPr>
          <w:p>
            <w:pPr>
              <w:rPr>
                <w:rFonts w:asciiTheme="minorHAnsi" w:hAnsiTheme="minorHAnsi" w:cstheme="minorHAnsi"/>
                <w:b/>
                <w:bCs/>
                <w:noProof/>
              </w:rPr>
            </w:pPr>
            <w:r>
              <w:rPr>
                <w:rFonts w:asciiTheme="minorHAnsi" w:hAnsiTheme="minorHAnsi" w:cstheme="minorHAnsi"/>
                <w:b/>
                <w:noProof/>
              </w:rPr>
              <w:t>3</w:t>
            </w:r>
          </w:p>
        </w:tc>
        <w:tc>
          <w:tcPr>
            <w:tcW w:w="923" w:type="dxa"/>
            <w:noWrap/>
            <w:hideMark/>
          </w:tcPr>
          <w:p>
            <w:pPr>
              <w:rPr>
                <w:rFonts w:asciiTheme="minorHAnsi" w:hAnsiTheme="minorHAnsi" w:cstheme="minorHAnsi"/>
                <w:b/>
                <w:bCs/>
                <w:noProof/>
              </w:rPr>
            </w:pPr>
            <w:r>
              <w:rPr>
                <w:rFonts w:asciiTheme="minorHAnsi" w:hAnsiTheme="minorHAnsi" w:cstheme="minorHAnsi"/>
                <w:b/>
                <w:noProof/>
              </w:rPr>
              <w:t>1</w:t>
            </w:r>
          </w:p>
        </w:tc>
        <w:tc>
          <w:tcPr>
            <w:tcW w:w="923" w:type="dxa"/>
            <w:noWrap/>
            <w:hideMark/>
          </w:tcPr>
          <w:p>
            <w:pPr>
              <w:rPr>
                <w:rFonts w:asciiTheme="minorHAnsi" w:hAnsiTheme="minorHAnsi" w:cstheme="minorHAnsi"/>
                <w:b/>
                <w:bCs/>
                <w:noProof/>
              </w:rPr>
            </w:pPr>
            <w:r>
              <w:rPr>
                <w:rFonts w:asciiTheme="minorHAnsi" w:hAnsiTheme="minorHAnsi" w:cstheme="minorHAnsi"/>
                <w:b/>
                <w:noProof/>
              </w:rPr>
              <w:t>0</w:t>
            </w:r>
          </w:p>
        </w:tc>
        <w:tc>
          <w:tcPr>
            <w:tcW w:w="923" w:type="dxa"/>
            <w:noWrap/>
            <w:hideMark/>
          </w:tcPr>
          <w:p>
            <w:pPr>
              <w:rPr>
                <w:rFonts w:asciiTheme="minorHAnsi" w:hAnsiTheme="minorHAnsi" w:cstheme="minorHAnsi"/>
                <w:b/>
                <w:bCs/>
                <w:noProof/>
              </w:rPr>
            </w:pPr>
            <w:r>
              <w:rPr>
                <w:rFonts w:asciiTheme="minorHAnsi" w:hAnsiTheme="minorHAnsi" w:cstheme="minorHAnsi"/>
                <w:b/>
                <w:noProof/>
              </w:rPr>
              <w:t>0</w:t>
            </w:r>
          </w:p>
        </w:tc>
        <w:tc>
          <w:tcPr>
            <w:tcW w:w="1562" w:type="dxa"/>
            <w:noWrap/>
            <w:hideMark/>
          </w:tcPr>
          <w:p>
            <w:pPr>
              <w:rPr>
                <w:rFonts w:asciiTheme="minorHAnsi" w:hAnsiTheme="minorHAnsi" w:cstheme="minorHAnsi"/>
                <w:b/>
                <w:bCs/>
                <w:noProof/>
              </w:rPr>
            </w:pPr>
            <w:r>
              <w:rPr>
                <w:rFonts w:asciiTheme="minorHAnsi" w:hAnsiTheme="minorHAnsi" w:cstheme="minorHAnsi"/>
                <w:b/>
                <w:noProof/>
              </w:rPr>
              <w:t>4</w:t>
            </w:r>
          </w:p>
        </w:tc>
        <w:tc>
          <w:tcPr>
            <w:tcW w:w="1085" w:type="dxa"/>
          </w:tcPr>
          <w:p>
            <w:pPr>
              <w:rPr>
                <w:rFonts w:asciiTheme="minorHAnsi" w:hAnsiTheme="minorHAnsi" w:cstheme="minorHAnsi"/>
                <w:b/>
                <w:bCs/>
                <w:noProof/>
              </w:rPr>
            </w:pPr>
            <w:r>
              <w:rPr>
                <w:rFonts w:asciiTheme="minorHAnsi" w:hAnsiTheme="minorHAnsi" w:cstheme="minorHAnsi"/>
                <w:b/>
                <w:noProof/>
              </w:rPr>
              <w:t>--</w:t>
            </w:r>
          </w:p>
        </w:tc>
      </w:tr>
      <w:tr>
        <w:trPr>
          <w:trHeight w:val="292"/>
        </w:trPr>
        <w:tc>
          <w:tcPr>
            <w:tcW w:w="2336" w:type="dxa"/>
            <w:vMerge/>
            <w:noWrap/>
            <w:hideMark/>
          </w:tcPr>
          <w:p>
            <w:pPr>
              <w:rPr>
                <w:rFonts w:asciiTheme="minorHAnsi" w:hAnsiTheme="minorHAnsi" w:cstheme="minorHAnsi"/>
                <w:b/>
                <w:noProof/>
              </w:rPr>
            </w:pPr>
          </w:p>
        </w:tc>
        <w:tc>
          <w:tcPr>
            <w:tcW w:w="1356" w:type="dxa"/>
            <w:noWrap/>
            <w:hideMark/>
          </w:tcPr>
          <w:p>
            <w:pPr>
              <w:rPr>
                <w:rFonts w:asciiTheme="minorHAnsi" w:hAnsiTheme="minorHAnsi" w:cstheme="minorHAnsi"/>
                <w:noProof/>
              </w:rPr>
            </w:pPr>
            <w:r>
              <w:rPr>
                <w:rFonts w:asciiTheme="minorHAnsi" w:hAnsiTheme="minorHAnsi" w:cstheme="minorHAnsi"/>
                <w:noProof/>
              </w:rPr>
              <w:t>Polonia</w:t>
            </w:r>
          </w:p>
        </w:tc>
        <w:tc>
          <w:tcPr>
            <w:tcW w:w="923" w:type="dxa"/>
            <w:noWrap/>
            <w:hideMark/>
          </w:tcPr>
          <w:p>
            <w:pPr>
              <w:rPr>
                <w:rFonts w:asciiTheme="minorHAnsi" w:hAnsiTheme="minorHAnsi" w:cstheme="minorHAnsi"/>
                <w:noProof/>
              </w:rPr>
            </w:pPr>
            <w:r>
              <w:rPr>
                <w:rFonts w:asciiTheme="minorHAnsi" w:hAnsiTheme="minorHAnsi" w:cstheme="minorHAnsi"/>
                <w:noProof/>
              </w:rPr>
              <w:t>3</w:t>
            </w:r>
          </w:p>
        </w:tc>
        <w:tc>
          <w:tcPr>
            <w:tcW w:w="923" w:type="dxa"/>
            <w:noWrap/>
            <w:hideMark/>
          </w:tcPr>
          <w:p>
            <w:pPr>
              <w:rPr>
                <w:rFonts w:asciiTheme="minorHAnsi" w:hAnsiTheme="minorHAnsi" w:cstheme="minorHAnsi"/>
                <w:noProof/>
              </w:rPr>
            </w:pPr>
            <w:r>
              <w:rPr>
                <w:rFonts w:asciiTheme="minorHAnsi" w:hAnsiTheme="minorHAnsi" w:cstheme="minorHAnsi"/>
                <w:noProof/>
              </w:rPr>
              <w:t>1</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1562" w:type="dxa"/>
            <w:noWrap/>
            <w:hideMark/>
          </w:tcPr>
          <w:p>
            <w:pPr>
              <w:rPr>
                <w:rFonts w:asciiTheme="minorHAnsi" w:hAnsiTheme="minorHAnsi" w:cstheme="minorHAnsi"/>
                <w:noProof/>
              </w:rPr>
            </w:pPr>
            <w:r>
              <w:rPr>
                <w:rFonts w:asciiTheme="minorHAnsi" w:hAnsiTheme="minorHAnsi" w:cstheme="minorHAnsi"/>
                <w:noProof/>
              </w:rPr>
              <w:t>4</w:t>
            </w:r>
          </w:p>
        </w:tc>
        <w:tc>
          <w:tcPr>
            <w:tcW w:w="1085" w:type="dxa"/>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vMerge w:val="restart"/>
            <w:noWrap/>
            <w:hideMark/>
          </w:tcPr>
          <w:p>
            <w:pPr>
              <w:rPr>
                <w:rFonts w:asciiTheme="minorHAnsi" w:hAnsiTheme="minorHAnsi" w:cstheme="minorHAnsi"/>
                <w:b/>
                <w:noProof/>
              </w:rPr>
            </w:pPr>
            <w:r>
              <w:rPr>
                <w:rFonts w:asciiTheme="minorHAnsi" w:hAnsiTheme="minorHAnsi" w:cstheme="minorHAnsi"/>
                <w:b/>
                <w:noProof/>
              </w:rPr>
              <w:t>Marea Neagră</w:t>
            </w:r>
          </w:p>
          <w:p>
            <w:pPr>
              <w:rPr>
                <w:rFonts w:asciiTheme="minorHAnsi" w:hAnsiTheme="minorHAnsi" w:cstheme="minorHAnsi"/>
                <w:b/>
                <w:noProof/>
                <w:highlight w:val="yellow"/>
              </w:rPr>
            </w:pPr>
          </w:p>
          <w:p>
            <w:pPr>
              <w:rPr>
                <w:rFonts w:asciiTheme="minorHAnsi" w:hAnsiTheme="minorHAnsi" w:cstheme="minorHAnsi"/>
                <w:b/>
                <w:noProof/>
                <w:highlight w:val="yellow"/>
              </w:rPr>
            </w:pPr>
          </w:p>
        </w:tc>
        <w:tc>
          <w:tcPr>
            <w:tcW w:w="1356" w:type="dxa"/>
            <w:noWrap/>
            <w:hideMark/>
          </w:tcPr>
          <w:p>
            <w:pPr>
              <w:rPr>
                <w:rFonts w:asciiTheme="minorHAnsi" w:hAnsiTheme="minorHAnsi" w:cstheme="minorHAnsi"/>
                <w:noProof/>
              </w:rPr>
            </w:pPr>
          </w:p>
        </w:tc>
        <w:tc>
          <w:tcPr>
            <w:tcW w:w="923" w:type="dxa"/>
            <w:noWrap/>
            <w:hideMark/>
          </w:tcPr>
          <w:p>
            <w:pPr>
              <w:rPr>
                <w:rFonts w:asciiTheme="minorHAnsi" w:hAnsiTheme="minorHAnsi" w:cstheme="minorHAnsi"/>
                <w:b/>
                <w:bCs/>
                <w:noProof/>
              </w:rPr>
            </w:pPr>
            <w:r>
              <w:rPr>
                <w:rFonts w:asciiTheme="minorHAnsi" w:hAnsiTheme="minorHAnsi" w:cstheme="minorHAnsi"/>
                <w:b/>
                <w:noProof/>
              </w:rPr>
              <w:t>5</w:t>
            </w:r>
          </w:p>
        </w:tc>
        <w:tc>
          <w:tcPr>
            <w:tcW w:w="923" w:type="dxa"/>
            <w:noWrap/>
            <w:hideMark/>
          </w:tcPr>
          <w:p>
            <w:pPr>
              <w:rPr>
                <w:rFonts w:asciiTheme="minorHAnsi" w:hAnsiTheme="minorHAnsi" w:cstheme="minorHAnsi"/>
                <w:b/>
                <w:bCs/>
                <w:noProof/>
              </w:rPr>
            </w:pPr>
            <w:r>
              <w:rPr>
                <w:rFonts w:asciiTheme="minorHAnsi" w:hAnsiTheme="minorHAnsi" w:cstheme="minorHAnsi"/>
                <w:b/>
                <w:noProof/>
              </w:rPr>
              <w:t>4</w:t>
            </w:r>
          </w:p>
        </w:tc>
        <w:tc>
          <w:tcPr>
            <w:tcW w:w="923" w:type="dxa"/>
            <w:noWrap/>
            <w:hideMark/>
          </w:tcPr>
          <w:p>
            <w:pPr>
              <w:rPr>
                <w:rFonts w:asciiTheme="minorHAnsi" w:hAnsiTheme="minorHAnsi" w:cstheme="minorHAnsi"/>
                <w:b/>
                <w:bCs/>
                <w:noProof/>
              </w:rPr>
            </w:pPr>
            <w:r>
              <w:rPr>
                <w:rFonts w:asciiTheme="minorHAnsi" w:hAnsiTheme="minorHAnsi" w:cstheme="minorHAnsi"/>
                <w:b/>
                <w:noProof/>
              </w:rPr>
              <w:t>0</w:t>
            </w:r>
          </w:p>
        </w:tc>
        <w:tc>
          <w:tcPr>
            <w:tcW w:w="923" w:type="dxa"/>
            <w:noWrap/>
            <w:hideMark/>
          </w:tcPr>
          <w:p>
            <w:pPr>
              <w:rPr>
                <w:rFonts w:asciiTheme="minorHAnsi" w:hAnsiTheme="minorHAnsi" w:cstheme="minorHAnsi"/>
                <w:b/>
                <w:bCs/>
                <w:noProof/>
              </w:rPr>
            </w:pPr>
            <w:r>
              <w:rPr>
                <w:rFonts w:asciiTheme="minorHAnsi" w:hAnsiTheme="minorHAnsi" w:cstheme="minorHAnsi"/>
                <w:b/>
                <w:noProof/>
              </w:rPr>
              <w:t>0</w:t>
            </w:r>
          </w:p>
        </w:tc>
        <w:tc>
          <w:tcPr>
            <w:tcW w:w="1562" w:type="dxa"/>
            <w:noWrap/>
            <w:hideMark/>
          </w:tcPr>
          <w:p>
            <w:pPr>
              <w:rPr>
                <w:rFonts w:asciiTheme="minorHAnsi" w:hAnsiTheme="minorHAnsi" w:cstheme="minorHAnsi"/>
                <w:b/>
                <w:bCs/>
                <w:noProof/>
              </w:rPr>
            </w:pPr>
            <w:r>
              <w:rPr>
                <w:rFonts w:asciiTheme="minorHAnsi" w:hAnsiTheme="minorHAnsi" w:cstheme="minorHAnsi"/>
                <w:b/>
                <w:noProof/>
              </w:rPr>
              <w:t>9</w:t>
            </w:r>
          </w:p>
        </w:tc>
        <w:tc>
          <w:tcPr>
            <w:tcW w:w="1085" w:type="dxa"/>
          </w:tcPr>
          <w:p>
            <w:pPr>
              <w:rPr>
                <w:rFonts w:asciiTheme="minorHAnsi" w:hAnsiTheme="minorHAnsi" w:cstheme="minorHAnsi"/>
                <w:b/>
                <w:bCs/>
                <w:noProof/>
              </w:rPr>
            </w:pPr>
            <w:r>
              <w:rPr>
                <w:rFonts w:asciiTheme="minorHAnsi" w:hAnsiTheme="minorHAnsi" w:cstheme="minorHAnsi"/>
                <w:b/>
                <w:noProof/>
              </w:rPr>
              <w:t>--</w:t>
            </w:r>
          </w:p>
        </w:tc>
      </w:tr>
      <w:tr>
        <w:trPr>
          <w:trHeight w:val="292"/>
        </w:trPr>
        <w:tc>
          <w:tcPr>
            <w:tcW w:w="2336" w:type="dxa"/>
            <w:vMerge/>
            <w:noWrap/>
            <w:hideMark/>
          </w:tcPr>
          <w:p>
            <w:pPr>
              <w:rPr>
                <w:rFonts w:asciiTheme="minorHAnsi" w:hAnsiTheme="minorHAnsi" w:cstheme="minorHAnsi"/>
                <w:b/>
                <w:noProof/>
                <w:highlight w:val="yellow"/>
              </w:rPr>
            </w:pPr>
          </w:p>
        </w:tc>
        <w:tc>
          <w:tcPr>
            <w:tcW w:w="1356" w:type="dxa"/>
            <w:noWrap/>
            <w:hideMark/>
          </w:tcPr>
          <w:p>
            <w:pPr>
              <w:rPr>
                <w:rFonts w:asciiTheme="minorHAnsi" w:hAnsiTheme="minorHAnsi" w:cstheme="minorHAnsi"/>
                <w:noProof/>
              </w:rPr>
            </w:pPr>
            <w:r>
              <w:rPr>
                <w:rFonts w:asciiTheme="minorHAnsi" w:hAnsiTheme="minorHAnsi" w:cstheme="minorHAnsi"/>
                <w:noProof/>
              </w:rPr>
              <w:t>Bulgaria</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1</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1562" w:type="dxa"/>
            <w:noWrap/>
            <w:hideMark/>
          </w:tcPr>
          <w:p>
            <w:pPr>
              <w:rPr>
                <w:rFonts w:asciiTheme="minorHAnsi" w:hAnsiTheme="minorHAnsi" w:cstheme="minorHAnsi"/>
                <w:noProof/>
              </w:rPr>
            </w:pPr>
            <w:r>
              <w:rPr>
                <w:rFonts w:asciiTheme="minorHAnsi" w:hAnsiTheme="minorHAnsi" w:cstheme="minorHAnsi"/>
                <w:noProof/>
              </w:rPr>
              <w:t>1</w:t>
            </w:r>
          </w:p>
        </w:tc>
        <w:tc>
          <w:tcPr>
            <w:tcW w:w="1085" w:type="dxa"/>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vMerge/>
            <w:noWrap/>
            <w:hideMark/>
          </w:tcPr>
          <w:p>
            <w:pPr>
              <w:rPr>
                <w:rFonts w:asciiTheme="minorHAnsi" w:hAnsiTheme="minorHAnsi" w:cstheme="minorHAnsi"/>
                <w:b/>
                <w:noProof/>
                <w:highlight w:val="yellow"/>
              </w:rPr>
            </w:pPr>
          </w:p>
        </w:tc>
        <w:tc>
          <w:tcPr>
            <w:tcW w:w="1356" w:type="dxa"/>
            <w:noWrap/>
            <w:hideMark/>
          </w:tcPr>
          <w:p>
            <w:pPr>
              <w:rPr>
                <w:rFonts w:asciiTheme="minorHAnsi" w:hAnsiTheme="minorHAnsi" w:cstheme="minorHAnsi"/>
                <w:noProof/>
              </w:rPr>
            </w:pPr>
            <w:r>
              <w:rPr>
                <w:rFonts w:asciiTheme="minorHAnsi" w:hAnsiTheme="minorHAnsi" w:cstheme="minorHAnsi"/>
                <w:noProof/>
              </w:rPr>
              <w:t>România</w:t>
            </w:r>
          </w:p>
        </w:tc>
        <w:tc>
          <w:tcPr>
            <w:tcW w:w="923" w:type="dxa"/>
            <w:noWrap/>
            <w:hideMark/>
          </w:tcPr>
          <w:p>
            <w:pPr>
              <w:rPr>
                <w:rFonts w:asciiTheme="minorHAnsi" w:hAnsiTheme="minorHAnsi" w:cstheme="minorHAnsi"/>
                <w:noProof/>
              </w:rPr>
            </w:pPr>
            <w:r>
              <w:rPr>
                <w:rFonts w:asciiTheme="minorHAnsi" w:hAnsiTheme="minorHAnsi" w:cstheme="minorHAnsi"/>
                <w:noProof/>
              </w:rPr>
              <w:t>5</w:t>
            </w:r>
          </w:p>
        </w:tc>
        <w:tc>
          <w:tcPr>
            <w:tcW w:w="923" w:type="dxa"/>
            <w:noWrap/>
            <w:hideMark/>
          </w:tcPr>
          <w:p>
            <w:pPr>
              <w:rPr>
                <w:rFonts w:asciiTheme="minorHAnsi" w:hAnsiTheme="minorHAnsi" w:cstheme="minorHAnsi"/>
                <w:noProof/>
              </w:rPr>
            </w:pPr>
            <w:r>
              <w:rPr>
                <w:rFonts w:asciiTheme="minorHAnsi" w:hAnsiTheme="minorHAnsi" w:cstheme="minorHAnsi"/>
                <w:noProof/>
              </w:rPr>
              <w:t>3</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1562" w:type="dxa"/>
            <w:noWrap/>
            <w:hideMark/>
          </w:tcPr>
          <w:p>
            <w:pPr>
              <w:rPr>
                <w:rFonts w:asciiTheme="minorHAnsi" w:hAnsiTheme="minorHAnsi" w:cstheme="minorHAnsi"/>
                <w:noProof/>
              </w:rPr>
            </w:pPr>
            <w:r>
              <w:rPr>
                <w:rFonts w:asciiTheme="minorHAnsi" w:hAnsiTheme="minorHAnsi" w:cstheme="minorHAnsi"/>
                <w:noProof/>
              </w:rPr>
              <w:t>8</w:t>
            </w:r>
          </w:p>
        </w:tc>
        <w:tc>
          <w:tcPr>
            <w:tcW w:w="1085" w:type="dxa"/>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vMerge w:val="restart"/>
            <w:noWrap/>
            <w:hideMark/>
          </w:tcPr>
          <w:p>
            <w:pPr>
              <w:rPr>
                <w:rFonts w:asciiTheme="minorHAnsi" w:hAnsiTheme="minorHAnsi" w:cstheme="minorHAnsi"/>
                <w:b/>
                <w:noProof/>
              </w:rPr>
            </w:pPr>
            <w:r>
              <w:rPr>
                <w:rFonts w:asciiTheme="minorHAnsi" w:hAnsiTheme="minorHAnsi" w:cstheme="minorHAnsi"/>
                <w:b/>
                <w:noProof/>
              </w:rPr>
              <w:t>Marea Mediterană</w:t>
            </w:r>
          </w:p>
        </w:tc>
        <w:tc>
          <w:tcPr>
            <w:tcW w:w="1356" w:type="dxa"/>
            <w:noWrap/>
            <w:hideMark/>
          </w:tcPr>
          <w:p>
            <w:pPr>
              <w:rPr>
                <w:rFonts w:asciiTheme="minorHAnsi" w:hAnsiTheme="minorHAnsi" w:cstheme="minorHAnsi"/>
                <w:noProof/>
              </w:rPr>
            </w:pPr>
          </w:p>
        </w:tc>
        <w:tc>
          <w:tcPr>
            <w:tcW w:w="923" w:type="dxa"/>
            <w:noWrap/>
            <w:hideMark/>
          </w:tcPr>
          <w:p>
            <w:pPr>
              <w:rPr>
                <w:rFonts w:asciiTheme="minorHAnsi" w:hAnsiTheme="minorHAnsi" w:cstheme="minorHAnsi"/>
                <w:b/>
                <w:bCs/>
                <w:noProof/>
              </w:rPr>
            </w:pPr>
            <w:r>
              <w:rPr>
                <w:rFonts w:asciiTheme="minorHAnsi" w:hAnsiTheme="minorHAnsi" w:cstheme="minorHAnsi"/>
                <w:b/>
                <w:noProof/>
              </w:rPr>
              <w:t>15</w:t>
            </w:r>
          </w:p>
        </w:tc>
        <w:tc>
          <w:tcPr>
            <w:tcW w:w="923" w:type="dxa"/>
            <w:noWrap/>
            <w:hideMark/>
          </w:tcPr>
          <w:p>
            <w:pPr>
              <w:rPr>
                <w:rFonts w:asciiTheme="minorHAnsi" w:hAnsiTheme="minorHAnsi" w:cstheme="minorHAnsi"/>
                <w:b/>
                <w:bCs/>
                <w:noProof/>
              </w:rPr>
            </w:pPr>
            <w:r>
              <w:rPr>
                <w:rFonts w:asciiTheme="minorHAnsi" w:hAnsiTheme="minorHAnsi" w:cstheme="minorHAnsi"/>
                <w:b/>
                <w:noProof/>
              </w:rPr>
              <w:t>147</w:t>
            </w:r>
          </w:p>
        </w:tc>
        <w:tc>
          <w:tcPr>
            <w:tcW w:w="923" w:type="dxa"/>
            <w:noWrap/>
            <w:hideMark/>
          </w:tcPr>
          <w:p>
            <w:pPr>
              <w:rPr>
                <w:rFonts w:asciiTheme="minorHAnsi" w:hAnsiTheme="minorHAnsi" w:cstheme="minorHAnsi"/>
                <w:b/>
                <w:bCs/>
                <w:noProof/>
              </w:rPr>
            </w:pPr>
            <w:r>
              <w:rPr>
                <w:rFonts w:asciiTheme="minorHAnsi" w:hAnsiTheme="minorHAnsi" w:cstheme="minorHAnsi"/>
                <w:b/>
                <w:noProof/>
              </w:rPr>
              <w:t>0</w:t>
            </w:r>
          </w:p>
        </w:tc>
        <w:tc>
          <w:tcPr>
            <w:tcW w:w="923" w:type="dxa"/>
            <w:noWrap/>
            <w:hideMark/>
          </w:tcPr>
          <w:p>
            <w:pPr>
              <w:rPr>
                <w:rFonts w:asciiTheme="minorHAnsi" w:hAnsiTheme="minorHAnsi" w:cstheme="minorHAnsi"/>
                <w:b/>
                <w:bCs/>
                <w:noProof/>
              </w:rPr>
            </w:pPr>
            <w:r>
              <w:rPr>
                <w:rFonts w:asciiTheme="minorHAnsi" w:hAnsiTheme="minorHAnsi" w:cstheme="minorHAnsi"/>
                <w:b/>
                <w:noProof/>
              </w:rPr>
              <w:t>2</w:t>
            </w:r>
          </w:p>
        </w:tc>
        <w:tc>
          <w:tcPr>
            <w:tcW w:w="1562" w:type="dxa"/>
            <w:noWrap/>
            <w:hideMark/>
          </w:tcPr>
          <w:p>
            <w:pPr>
              <w:rPr>
                <w:rFonts w:asciiTheme="minorHAnsi" w:hAnsiTheme="minorHAnsi" w:cstheme="minorHAnsi"/>
                <w:b/>
                <w:bCs/>
                <w:noProof/>
              </w:rPr>
            </w:pPr>
            <w:r>
              <w:rPr>
                <w:rFonts w:asciiTheme="minorHAnsi" w:hAnsiTheme="minorHAnsi" w:cstheme="minorHAnsi"/>
                <w:b/>
                <w:noProof/>
              </w:rPr>
              <w:t>164</w:t>
            </w:r>
          </w:p>
        </w:tc>
        <w:tc>
          <w:tcPr>
            <w:tcW w:w="1085" w:type="dxa"/>
          </w:tcPr>
          <w:p>
            <w:pPr>
              <w:rPr>
                <w:rFonts w:asciiTheme="minorHAnsi" w:hAnsiTheme="minorHAnsi" w:cstheme="minorHAnsi"/>
                <w:b/>
                <w:bCs/>
                <w:noProof/>
              </w:rPr>
            </w:pPr>
            <w:r>
              <w:rPr>
                <w:rFonts w:asciiTheme="minorHAnsi" w:hAnsiTheme="minorHAnsi" w:cstheme="minorHAnsi"/>
                <w:b/>
                <w:noProof/>
              </w:rPr>
              <w:t>--</w:t>
            </w:r>
          </w:p>
        </w:tc>
      </w:tr>
      <w:tr>
        <w:trPr>
          <w:trHeight w:val="292"/>
        </w:trPr>
        <w:tc>
          <w:tcPr>
            <w:tcW w:w="2336" w:type="dxa"/>
            <w:vMerge/>
            <w:noWrap/>
            <w:hideMark/>
          </w:tcPr>
          <w:p>
            <w:pPr>
              <w:rPr>
                <w:rFonts w:asciiTheme="minorHAnsi" w:hAnsiTheme="minorHAnsi" w:cstheme="minorHAnsi"/>
                <w:b/>
                <w:noProof/>
                <w:highlight w:val="yellow"/>
              </w:rPr>
            </w:pPr>
          </w:p>
        </w:tc>
        <w:tc>
          <w:tcPr>
            <w:tcW w:w="1356" w:type="dxa"/>
            <w:noWrap/>
            <w:hideMark/>
          </w:tcPr>
          <w:p>
            <w:pPr>
              <w:rPr>
                <w:rFonts w:asciiTheme="minorHAnsi" w:hAnsiTheme="minorHAnsi" w:cstheme="minorHAnsi"/>
                <w:noProof/>
              </w:rPr>
            </w:pPr>
            <w:r>
              <w:rPr>
                <w:rFonts w:asciiTheme="minorHAnsi" w:hAnsiTheme="minorHAnsi" w:cstheme="minorHAnsi"/>
                <w:noProof/>
              </w:rPr>
              <w:t>Croația</w:t>
            </w:r>
          </w:p>
        </w:tc>
        <w:tc>
          <w:tcPr>
            <w:tcW w:w="923" w:type="dxa"/>
            <w:noWrap/>
            <w:hideMark/>
          </w:tcPr>
          <w:p>
            <w:pPr>
              <w:rPr>
                <w:rFonts w:asciiTheme="minorHAnsi" w:hAnsiTheme="minorHAnsi" w:cstheme="minorHAnsi"/>
                <w:noProof/>
              </w:rPr>
            </w:pPr>
            <w:r>
              <w:rPr>
                <w:rFonts w:asciiTheme="minorHAnsi" w:hAnsiTheme="minorHAnsi" w:cstheme="minorHAnsi"/>
                <w:noProof/>
              </w:rPr>
              <w:t>2</w:t>
            </w:r>
          </w:p>
        </w:tc>
        <w:tc>
          <w:tcPr>
            <w:tcW w:w="923" w:type="dxa"/>
            <w:noWrap/>
            <w:hideMark/>
          </w:tcPr>
          <w:p>
            <w:pPr>
              <w:rPr>
                <w:rFonts w:asciiTheme="minorHAnsi" w:hAnsiTheme="minorHAnsi" w:cstheme="minorHAnsi"/>
                <w:noProof/>
              </w:rPr>
            </w:pPr>
            <w:r>
              <w:rPr>
                <w:rFonts w:asciiTheme="minorHAnsi" w:hAnsiTheme="minorHAnsi" w:cstheme="minorHAnsi"/>
                <w:noProof/>
              </w:rPr>
              <w:t>17</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1562" w:type="dxa"/>
            <w:noWrap/>
            <w:hideMark/>
          </w:tcPr>
          <w:p>
            <w:pPr>
              <w:rPr>
                <w:rFonts w:asciiTheme="minorHAnsi" w:hAnsiTheme="minorHAnsi" w:cstheme="minorHAnsi"/>
                <w:noProof/>
              </w:rPr>
            </w:pPr>
            <w:r>
              <w:rPr>
                <w:rFonts w:asciiTheme="minorHAnsi" w:hAnsiTheme="minorHAnsi" w:cstheme="minorHAnsi"/>
                <w:noProof/>
              </w:rPr>
              <w:t>19</w:t>
            </w:r>
          </w:p>
        </w:tc>
        <w:tc>
          <w:tcPr>
            <w:tcW w:w="1085" w:type="dxa"/>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vMerge/>
            <w:noWrap/>
            <w:hideMark/>
          </w:tcPr>
          <w:p>
            <w:pPr>
              <w:rPr>
                <w:rFonts w:asciiTheme="minorHAnsi" w:hAnsiTheme="minorHAnsi" w:cstheme="minorHAnsi"/>
                <w:b/>
                <w:noProof/>
                <w:highlight w:val="yellow"/>
              </w:rPr>
            </w:pPr>
          </w:p>
        </w:tc>
        <w:tc>
          <w:tcPr>
            <w:tcW w:w="1356" w:type="dxa"/>
            <w:noWrap/>
            <w:hideMark/>
          </w:tcPr>
          <w:p>
            <w:pPr>
              <w:rPr>
                <w:rFonts w:asciiTheme="minorHAnsi" w:hAnsiTheme="minorHAnsi" w:cstheme="minorHAnsi"/>
                <w:noProof/>
              </w:rPr>
            </w:pPr>
            <w:r>
              <w:rPr>
                <w:rFonts w:asciiTheme="minorHAnsi" w:hAnsiTheme="minorHAnsi" w:cstheme="minorHAnsi"/>
                <w:noProof/>
              </w:rPr>
              <w:t>Grecia</w:t>
            </w:r>
          </w:p>
        </w:tc>
        <w:tc>
          <w:tcPr>
            <w:tcW w:w="923" w:type="dxa"/>
            <w:noWrap/>
            <w:hideMark/>
          </w:tcPr>
          <w:p>
            <w:pPr>
              <w:rPr>
                <w:rFonts w:asciiTheme="minorHAnsi" w:hAnsiTheme="minorHAnsi" w:cstheme="minorHAnsi"/>
                <w:noProof/>
              </w:rPr>
            </w:pPr>
            <w:r>
              <w:rPr>
                <w:rFonts w:asciiTheme="minorHAnsi" w:hAnsiTheme="minorHAnsi" w:cstheme="minorHAnsi"/>
                <w:noProof/>
              </w:rPr>
              <w:t>1</w:t>
            </w:r>
          </w:p>
        </w:tc>
        <w:tc>
          <w:tcPr>
            <w:tcW w:w="923" w:type="dxa"/>
            <w:noWrap/>
            <w:hideMark/>
          </w:tcPr>
          <w:p>
            <w:pPr>
              <w:rPr>
                <w:rFonts w:asciiTheme="minorHAnsi" w:hAnsiTheme="minorHAnsi" w:cstheme="minorHAnsi"/>
                <w:noProof/>
              </w:rPr>
            </w:pPr>
            <w:r>
              <w:rPr>
                <w:rFonts w:asciiTheme="minorHAnsi" w:hAnsiTheme="minorHAnsi" w:cstheme="minorHAnsi"/>
                <w:noProof/>
              </w:rPr>
              <w:t>1</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1562" w:type="dxa"/>
            <w:noWrap/>
            <w:hideMark/>
          </w:tcPr>
          <w:p>
            <w:pPr>
              <w:rPr>
                <w:rFonts w:asciiTheme="minorHAnsi" w:hAnsiTheme="minorHAnsi" w:cstheme="minorHAnsi"/>
                <w:noProof/>
              </w:rPr>
            </w:pPr>
            <w:r>
              <w:rPr>
                <w:rFonts w:asciiTheme="minorHAnsi" w:hAnsiTheme="minorHAnsi" w:cstheme="minorHAnsi"/>
                <w:noProof/>
              </w:rPr>
              <w:t>2</w:t>
            </w:r>
          </w:p>
        </w:tc>
        <w:tc>
          <w:tcPr>
            <w:tcW w:w="1085" w:type="dxa"/>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vMerge/>
            <w:noWrap/>
            <w:hideMark/>
          </w:tcPr>
          <w:p>
            <w:pPr>
              <w:rPr>
                <w:rFonts w:asciiTheme="minorHAnsi" w:hAnsiTheme="minorHAnsi" w:cstheme="minorHAnsi"/>
                <w:b/>
                <w:noProof/>
                <w:highlight w:val="yellow"/>
              </w:rPr>
            </w:pPr>
          </w:p>
        </w:tc>
        <w:tc>
          <w:tcPr>
            <w:tcW w:w="1356" w:type="dxa"/>
            <w:noWrap/>
            <w:hideMark/>
          </w:tcPr>
          <w:p>
            <w:pPr>
              <w:rPr>
                <w:rFonts w:asciiTheme="minorHAnsi" w:hAnsiTheme="minorHAnsi" w:cstheme="minorHAnsi"/>
                <w:noProof/>
              </w:rPr>
            </w:pPr>
            <w:r>
              <w:rPr>
                <w:rFonts w:asciiTheme="minorHAnsi" w:hAnsiTheme="minorHAnsi" w:cstheme="minorHAnsi"/>
                <w:noProof/>
              </w:rPr>
              <w:t>Italia</w:t>
            </w:r>
          </w:p>
        </w:tc>
        <w:tc>
          <w:tcPr>
            <w:tcW w:w="923" w:type="dxa"/>
            <w:noWrap/>
            <w:hideMark/>
          </w:tcPr>
          <w:p>
            <w:pPr>
              <w:rPr>
                <w:rFonts w:asciiTheme="minorHAnsi" w:hAnsiTheme="minorHAnsi" w:cstheme="minorHAnsi"/>
                <w:noProof/>
              </w:rPr>
            </w:pPr>
            <w:r>
              <w:rPr>
                <w:rFonts w:asciiTheme="minorHAnsi" w:hAnsiTheme="minorHAnsi" w:cstheme="minorHAnsi"/>
                <w:noProof/>
              </w:rPr>
              <w:t>11</w:t>
            </w:r>
          </w:p>
        </w:tc>
        <w:tc>
          <w:tcPr>
            <w:tcW w:w="923" w:type="dxa"/>
            <w:noWrap/>
            <w:hideMark/>
          </w:tcPr>
          <w:p>
            <w:pPr>
              <w:rPr>
                <w:rFonts w:asciiTheme="minorHAnsi" w:hAnsiTheme="minorHAnsi" w:cstheme="minorHAnsi"/>
                <w:noProof/>
              </w:rPr>
            </w:pPr>
            <w:r>
              <w:rPr>
                <w:rFonts w:asciiTheme="minorHAnsi" w:hAnsiTheme="minorHAnsi" w:cstheme="minorHAnsi"/>
                <w:noProof/>
              </w:rPr>
              <w:t>127</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2</w:t>
            </w:r>
          </w:p>
        </w:tc>
        <w:tc>
          <w:tcPr>
            <w:tcW w:w="1562" w:type="dxa"/>
            <w:noWrap/>
            <w:hideMark/>
          </w:tcPr>
          <w:p>
            <w:pPr>
              <w:rPr>
                <w:rFonts w:asciiTheme="minorHAnsi" w:hAnsiTheme="minorHAnsi" w:cstheme="minorHAnsi"/>
                <w:noProof/>
              </w:rPr>
            </w:pPr>
            <w:r>
              <w:rPr>
                <w:rFonts w:asciiTheme="minorHAnsi" w:hAnsiTheme="minorHAnsi" w:cstheme="minorHAnsi"/>
                <w:noProof/>
              </w:rPr>
              <w:t>140</w:t>
            </w:r>
          </w:p>
        </w:tc>
        <w:tc>
          <w:tcPr>
            <w:tcW w:w="1085" w:type="dxa"/>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vMerge/>
            <w:tcBorders>
              <w:bottom w:val="single" w:sz="4" w:space="0" w:color="auto"/>
            </w:tcBorders>
            <w:noWrap/>
            <w:hideMark/>
          </w:tcPr>
          <w:p>
            <w:pPr>
              <w:rPr>
                <w:rFonts w:asciiTheme="minorHAnsi" w:hAnsiTheme="minorHAnsi" w:cstheme="minorHAnsi"/>
                <w:b/>
                <w:noProof/>
                <w:highlight w:val="yellow"/>
              </w:rPr>
            </w:pPr>
          </w:p>
        </w:tc>
        <w:tc>
          <w:tcPr>
            <w:tcW w:w="1356" w:type="dxa"/>
            <w:tcBorders>
              <w:bottom w:val="single" w:sz="4" w:space="0" w:color="auto"/>
            </w:tcBorders>
            <w:noWrap/>
            <w:hideMark/>
          </w:tcPr>
          <w:p>
            <w:pPr>
              <w:rPr>
                <w:rFonts w:asciiTheme="minorHAnsi" w:hAnsiTheme="minorHAnsi" w:cstheme="minorHAnsi"/>
                <w:noProof/>
              </w:rPr>
            </w:pPr>
            <w:r>
              <w:rPr>
                <w:rFonts w:asciiTheme="minorHAnsi" w:hAnsiTheme="minorHAnsi" w:cstheme="minorHAnsi"/>
                <w:noProof/>
              </w:rPr>
              <w:t>Spania</w:t>
            </w:r>
          </w:p>
        </w:tc>
        <w:tc>
          <w:tcPr>
            <w:tcW w:w="923" w:type="dxa"/>
            <w:tcBorders>
              <w:bottom w:val="single" w:sz="4" w:space="0" w:color="auto"/>
            </w:tcBorders>
            <w:noWrap/>
            <w:hideMark/>
          </w:tcPr>
          <w:p>
            <w:pPr>
              <w:rPr>
                <w:rFonts w:asciiTheme="minorHAnsi" w:hAnsiTheme="minorHAnsi" w:cstheme="minorHAnsi"/>
                <w:noProof/>
              </w:rPr>
            </w:pPr>
            <w:r>
              <w:rPr>
                <w:rFonts w:asciiTheme="minorHAnsi" w:hAnsiTheme="minorHAnsi" w:cstheme="minorHAnsi"/>
                <w:noProof/>
              </w:rPr>
              <w:t>1</w:t>
            </w:r>
          </w:p>
        </w:tc>
        <w:tc>
          <w:tcPr>
            <w:tcW w:w="923" w:type="dxa"/>
            <w:tcBorders>
              <w:bottom w:val="single" w:sz="4" w:space="0" w:color="auto"/>
            </w:tcBorders>
            <w:noWrap/>
            <w:hideMark/>
          </w:tcPr>
          <w:p>
            <w:pPr>
              <w:rPr>
                <w:rFonts w:asciiTheme="minorHAnsi" w:hAnsiTheme="minorHAnsi" w:cstheme="minorHAnsi"/>
                <w:noProof/>
              </w:rPr>
            </w:pPr>
            <w:r>
              <w:rPr>
                <w:rFonts w:asciiTheme="minorHAnsi" w:hAnsiTheme="minorHAnsi" w:cstheme="minorHAnsi"/>
                <w:noProof/>
              </w:rPr>
              <w:t>2</w:t>
            </w:r>
          </w:p>
        </w:tc>
        <w:tc>
          <w:tcPr>
            <w:tcW w:w="923" w:type="dxa"/>
            <w:tcBorders>
              <w:bottom w:val="single" w:sz="4" w:space="0" w:color="auto"/>
            </w:tcBorders>
            <w:noWrap/>
            <w:hideMark/>
          </w:tcPr>
          <w:p>
            <w:pPr>
              <w:rPr>
                <w:rFonts w:asciiTheme="minorHAnsi" w:hAnsiTheme="minorHAnsi" w:cstheme="minorHAnsi"/>
                <w:noProof/>
              </w:rPr>
            </w:pPr>
            <w:r>
              <w:rPr>
                <w:rFonts w:asciiTheme="minorHAnsi" w:hAnsiTheme="minorHAnsi" w:cstheme="minorHAnsi"/>
                <w:noProof/>
              </w:rPr>
              <w:t>0</w:t>
            </w:r>
          </w:p>
        </w:tc>
        <w:tc>
          <w:tcPr>
            <w:tcW w:w="923" w:type="dxa"/>
            <w:tcBorders>
              <w:bottom w:val="single" w:sz="4" w:space="0" w:color="auto"/>
            </w:tcBorders>
            <w:noWrap/>
            <w:hideMark/>
          </w:tcPr>
          <w:p>
            <w:pPr>
              <w:rPr>
                <w:rFonts w:asciiTheme="minorHAnsi" w:hAnsiTheme="minorHAnsi" w:cstheme="minorHAnsi"/>
                <w:noProof/>
              </w:rPr>
            </w:pPr>
            <w:r>
              <w:rPr>
                <w:rFonts w:asciiTheme="minorHAnsi" w:hAnsiTheme="minorHAnsi" w:cstheme="minorHAnsi"/>
                <w:noProof/>
              </w:rPr>
              <w:t>0</w:t>
            </w:r>
          </w:p>
        </w:tc>
        <w:tc>
          <w:tcPr>
            <w:tcW w:w="1562" w:type="dxa"/>
            <w:tcBorders>
              <w:bottom w:val="single" w:sz="4" w:space="0" w:color="auto"/>
            </w:tcBorders>
            <w:noWrap/>
            <w:hideMark/>
          </w:tcPr>
          <w:p>
            <w:pPr>
              <w:rPr>
                <w:rFonts w:asciiTheme="minorHAnsi" w:hAnsiTheme="minorHAnsi" w:cstheme="minorHAnsi"/>
                <w:noProof/>
              </w:rPr>
            </w:pPr>
            <w:r>
              <w:rPr>
                <w:rFonts w:asciiTheme="minorHAnsi" w:hAnsiTheme="minorHAnsi" w:cstheme="minorHAnsi"/>
                <w:noProof/>
              </w:rPr>
              <w:t>3</w:t>
            </w:r>
          </w:p>
        </w:tc>
        <w:tc>
          <w:tcPr>
            <w:tcW w:w="1085" w:type="dxa"/>
            <w:tcBorders>
              <w:bottom w:val="single" w:sz="4" w:space="0" w:color="auto"/>
            </w:tcBorders>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vMerge w:val="restart"/>
            <w:noWrap/>
            <w:hideMark/>
          </w:tcPr>
          <w:p>
            <w:pPr>
              <w:rPr>
                <w:rFonts w:asciiTheme="minorHAnsi" w:hAnsiTheme="minorHAnsi" w:cstheme="minorHAnsi"/>
                <w:b/>
                <w:noProof/>
                <w:highlight w:val="yellow"/>
              </w:rPr>
            </w:pPr>
            <w:r>
              <w:rPr>
                <w:rFonts w:asciiTheme="minorHAnsi" w:hAnsiTheme="minorHAnsi" w:cstheme="minorHAnsi"/>
                <w:b/>
                <w:noProof/>
              </w:rPr>
              <w:t>Marea Nordului și Oceanul Atlantic</w:t>
            </w:r>
          </w:p>
        </w:tc>
        <w:tc>
          <w:tcPr>
            <w:tcW w:w="1356" w:type="dxa"/>
            <w:noWrap/>
            <w:hideMark/>
          </w:tcPr>
          <w:p>
            <w:pPr>
              <w:rPr>
                <w:rFonts w:asciiTheme="minorHAnsi" w:hAnsiTheme="minorHAnsi" w:cstheme="minorHAnsi"/>
                <w:noProof/>
                <w:highlight w:val="yellow"/>
              </w:rPr>
            </w:pPr>
          </w:p>
        </w:tc>
        <w:tc>
          <w:tcPr>
            <w:tcW w:w="923" w:type="dxa"/>
            <w:noWrap/>
            <w:hideMark/>
          </w:tcPr>
          <w:p>
            <w:pPr>
              <w:rPr>
                <w:rFonts w:asciiTheme="minorHAnsi" w:hAnsiTheme="minorHAnsi" w:cstheme="minorHAnsi"/>
                <w:b/>
                <w:bCs/>
                <w:noProof/>
              </w:rPr>
            </w:pPr>
            <w:r>
              <w:rPr>
                <w:rFonts w:asciiTheme="minorHAnsi" w:hAnsiTheme="minorHAnsi" w:cstheme="minorHAnsi"/>
                <w:b/>
                <w:noProof/>
              </w:rPr>
              <w:t>42</w:t>
            </w:r>
          </w:p>
        </w:tc>
        <w:tc>
          <w:tcPr>
            <w:tcW w:w="923" w:type="dxa"/>
            <w:noWrap/>
            <w:hideMark/>
          </w:tcPr>
          <w:p>
            <w:pPr>
              <w:rPr>
                <w:rFonts w:asciiTheme="minorHAnsi" w:hAnsiTheme="minorHAnsi" w:cstheme="minorHAnsi"/>
                <w:b/>
                <w:bCs/>
                <w:noProof/>
              </w:rPr>
            </w:pPr>
            <w:r>
              <w:rPr>
                <w:rFonts w:asciiTheme="minorHAnsi" w:hAnsiTheme="minorHAnsi" w:cstheme="minorHAnsi"/>
                <w:b/>
                <w:noProof/>
              </w:rPr>
              <w:t>100</w:t>
            </w:r>
          </w:p>
        </w:tc>
        <w:tc>
          <w:tcPr>
            <w:tcW w:w="923" w:type="dxa"/>
            <w:noWrap/>
            <w:hideMark/>
          </w:tcPr>
          <w:p>
            <w:pPr>
              <w:rPr>
                <w:rFonts w:asciiTheme="minorHAnsi" w:hAnsiTheme="minorHAnsi" w:cstheme="minorHAnsi"/>
                <w:b/>
                <w:bCs/>
                <w:noProof/>
              </w:rPr>
            </w:pPr>
            <w:r>
              <w:rPr>
                <w:rFonts w:asciiTheme="minorHAnsi" w:hAnsiTheme="minorHAnsi" w:cstheme="minorHAnsi"/>
                <w:b/>
                <w:noProof/>
              </w:rPr>
              <w:t>5</w:t>
            </w:r>
          </w:p>
        </w:tc>
        <w:tc>
          <w:tcPr>
            <w:tcW w:w="923" w:type="dxa"/>
            <w:noWrap/>
            <w:hideMark/>
          </w:tcPr>
          <w:p>
            <w:pPr>
              <w:rPr>
                <w:rFonts w:asciiTheme="minorHAnsi" w:hAnsiTheme="minorHAnsi" w:cstheme="minorHAnsi"/>
                <w:b/>
                <w:bCs/>
                <w:noProof/>
              </w:rPr>
            </w:pPr>
            <w:r>
              <w:rPr>
                <w:rFonts w:asciiTheme="minorHAnsi" w:hAnsiTheme="minorHAnsi" w:cstheme="minorHAnsi"/>
                <w:b/>
                <w:noProof/>
              </w:rPr>
              <w:t>0</w:t>
            </w:r>
          </w:p>
        </w:tc>
        <w:tc>
          <w:tcPr>
            <w:tcW w:w="1562" w:type="dxa"/>
            <w:noWrap/>
            <w:hideMark/>
          </w:tcPr>
          <w:p>
            <w:pPr>
              <w:rPr>
                <w:rFonts w:asciiTheme="minorHAnsi" w:hAnsiTheme="minorHAnsi" w:cstheme="minorHAnsi"/>
                <w:b/>
                <w:bCs/>
                <w:noProof/>
              </w:rPr>
            </w:pPr>
            <w:r>
              <w:rPr>
                <w:rFonts w:asciiTheme="minorHAnsi" w:hAnsiTheme="minorHAnsi" w:cstheme="minorHAnsi"/>
                <w:b/>
                <w:noProof/>
              </w:rPr>
              <w:t>147</w:t>
            </w:r>
          </w:p>
        </w:tc>
        <w:tc>
          <w:tcPr>
            <w:tcW w:w="1085" w:type="dxa"/>
          </w:tcPr>
          <w:p>
            <w:pPr>
              <w:rPr>
                <w:rFonts w:asciiTheme="minorHAnsi" w:hAnsiTheme="minorHAnsi" w:cstheme="minorHAnsi"/>
                <w:b/>
                <w:bCs/>
                <w:noProof/>
              </w:rPr>
            </w:pPr>
            <w:r>
              <w:rPr>
                <w:rFonts w:asciiTheme="minorHAnsi" w:hAnsiTheme="minorHAnsi" w:cstheme="minorHAnsi"/>
                <w:b/>
                <w:noProof/>
              </w:rPr>
              <w:t>--</w:t>
            </w:r>
          </w:p>
        </w:tc>
      </w:tr>
      <w:tr>
        <w:trPr>
          <w:trHeight w:val="292"/>
        </w:trPr>
        <w:tc>
          <w:tcPr>
            <w:tcW w:w="2336" w:type="dxa"/>
            <w:vMerge/>
            <w:noWrap/>
            <w:hideMark/>
          </w:tcPr>
          <w:p>
            <w:pPr>
              <w:rPr>
                <w:rFonts w:asciiTheme="minorHAnsi" w:hAnsiTheme="minorHAnsi" w:cstheme="minorHAnsi"/>
                <w:b/>
                <w:noProof/>
                <w:highlight w:val="yellow"/>
              </w:rPr>
            </w:pPr>
          </w:p>
        </w:tc>
        <w:tc>
          <w:tcPr>
            <w:tcW w:w="1356" w:type="dxa"/>
            <w:noWrap/>
            <w:hideMark/>
          </w:tcPr>
          <w:p>
            <w:pPr>
              <w:rPr>
                <w:rFonts w:asciiTheme="minorHAnsi" w:hAnsiTheme="minorHAnsi" w:cstheme="minorHAnsi"/>
                <w:noProof/>
              </w:rPr>
            </w:pPr>
            <w:r>
              <w:rPr>
                <w:rFonts w:asciiTheme="minorHAnsi" w:hAnsiTheme="minorHAnsi" w:cstheme="minorHAnsi"/>
                <w:noProof/>
              </w:rPr>
              <w:t>Danemarca</w:t>
            </w:r>
          </w:p>
        </w:tc>
        <w:tc>
          <w:tcPr>
            <w:tcW w:w="923" w:type="dxa"/>
            <w:noWrap/>
            <w:hideMark/>
          </w:tcPr>
          <w:p>
            <w:pPr>
              <w:rPr>
                <w:rFonts w:asciiTheme="minorHAnsi" w:hAnsiTheme="minorHAnsi" w:cstheme="minorHAnsi"/>
                <w:noProof/>
              </w:rPr>
            </w:pPr>
            <w:r>
              <w:rPr>
                <w:rFonts w:asciiTheme="minorHAnsi" w:hAnsiTheme="minorHAnsi" w:cstheme="minorHAnsi"/>
                <w:noProof/>
              </w:rPr>
              <w:t>10</w:t>
            </w:r>
          </w:p>
        </w:tc>
        <w:tc>
          <w:tcPr>
            <w:tcW w:w="923" w:type="dxa"/>
            <w:noWrap/>
            <w:hideMark/>
          </w:tcPr>
          <w:p>
            <w:pPr>
              <w:rPr>
                <w:rFonts w:asciiTheme="minorHAnsi" w:hAnsiTheme="minorHAnsi" w:cstheme="minorHAnsi"/>
                <w:noProof/>
              </w:rPr>
            </w:pPr>
            <w:r>
              <w:rPr>
                <w:rFonts w:asciiTheme="minorHAnsi" w:hAnsiTheme="minorHAnsi" w:cstheme="minorHAnsi"/>
                <w:noProof/>
              </w:rPr>
              <w:t>19</w:t>
            </w:r>
          </w:p>
        </w:tc>
        <w:tc>
          <w:tcPr>
            <w:tcW w:w="923" w:type="dxa"/>
            <w:noWrap/>
            <w:hideMark/>
          </w:tcPr>
          <w:p>
            <w:pPr>
              <w:rPr>
                <w:rFonts w:asciiTheme="minorHAnsi" w:hAnsiTheme="minorHAnsi" w:cstheme="minorHAnsi"/>
                <w:noProof/>
              </w:rPr>
            </w:pPr>
            <w:r>
              <w:rPr>
                <w:rFonts w:asciiTheme="minorHAnsi" w:hAnsiTheme="minorHAnsi" w:cstheme="minorHAnsi"/>
                <w:noProof/>
              </w:rPr>
              <w:t>1</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1562" w:type="dxa"/>
            <w:noWrap/>
            <w:hideMark/>
          </w:tcPr>
          <w:p>
            <w:pPr>
              <w:rPr>
                <w:rFonts w:asciiTheme="minorHAnsi" w:hAnsiTheme="minorHAnsi" w:cstheme="minorHAnsi"/>
                <w:noProof/>
              </w:rPr>
            </w:pPr>
            <w:r>
              <w:rPr>
                <w:rFonts w:asciiTheme="minorHAnsi" w:hAnsiTheme="minorHAnsi" w:cstheme="minorHAnsi"/>
                <w:noProof/>
              </w:rPr>
              <w:t>30</w:t>
            </w:r>
          </w:p>
        </w:tc>
        <w:tc>
          <w:tcPr>
            <w:tcW w:w="1085" w:type="dxa"/>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vMerge/>
            <w:noWrap/>
            <w:hideMark/>
          </w:tcPr>
          <w:p>
            <w:pPr>
              <w:rPr>
                <w:rFonts w:asciiTheme="minorHAnsi" w:hAnsiTheme="minorHAnsi" w:cstheme="minorHAnsi"/>
                <w:b/>
                <w:noProof/>
                <w:highlight w:val="yellow"/>
              </w:rPr>
            </w:pPr>
          </w:p>
        </w:tc>
        <w:tc>
          <w:tcPr>
            <w:tcW w:w="1356" w:type="dxa"/>
            <w:noWrap/>
            <w:hideMark/>
          </w:tcPr>
          <w:p>
            <w:pPr>
              <w:rPr>
                <w:rFonts w:asciiTheme="minorHAnsi" w:hAnsiTheme="minorHAnsi" w:cstheme="minorHAnsi"/>
                <w:noProof/>
              </w:rPr>
            </w:pPr>
            <w:r>
              <w:rPr>
                <w:rFonts w:asciiTheme="minorHAnsi" w:hAnsiTheme="minorHAnsi" w:cstheme="minorHAnsi"/>
                <w:noProof/>
              </w:rPr>
              <w:t>Germania</w:t>
            </w:r>
          </w:p>
        </w:tc>
        <w:tc>
          <w:tcPr>
            <w:tcW w:w="923" w:type="dxa"/>
            <w:noWrap/>
            <w:hideMark/>
          </w:tcPr>
          <w:p>
            <w:pPr>
              <w:rPr>
                <w:rFonts w:asciiTheme="minorHAnsi" w:hAnsiTheme="minorHAnsi" w:cstheme="minorHAnsi"/>
                <w:noProof/>
              </w:rPr>
            </w:pPr>
            <w:r>
              <w:rPr>
                <w:rFonts w:asciiTheme="minorHAnsi" w:hAnsiTheme="minorHAnsi" w:cstheme="minorHAnsi"/>
                <w:noProof/>
              </w:rPr>
              <w:t>1</w:t>
            </w:r>
          </w:p>
        </w:tc>
        <w:tc>
          <w:tcPr>
            <w:tcW w:w="923" w:type="dxa"/>
            <w:noWrap/>
            <w:hideMark/>
          </w:tcPr>
          <w:p>
            <w:pPr>
              <w:rPr>
                <w:rFonts w:asciiTheme="minorHAnsi" w:hAnsiTheme="minorHAnsi" w:cstheme="minorHAnsi"/>
                <w:noProof/>
              </w:rPr>
            </w:pPr>
            <w:r>
              <w:rPr>
                <w:rFonts w:asciiTheme="minorHAnsi" w:hAnsiTheme="minorHAnsi" w:cstheme="minorHAnsi"/>
                <w:noProof/>
              </w:rPr>
              <w:t>1</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1562" w:type="dxa"/>
            <w:noWrap/>
            <w:hideMark/>
          </w:tcPr>
          <w:p>
            <w:pPr>
              <w:rPr>
                <w:rFonts w:asciiTheme="minorHAnsi" w:hAnsiTheme="minorHAnsi" w:cstheme="minorHAnsi"/>
                <w:noProof/>
              </w:rPr>
            </w:pPr>
            <w:r>
              <w:rPr>
                <w:rFonts w:asciiTheme="minorHAnsi" w:hAnsiTheme="minorHAnsi" w:cstheme="minorHAnsi"/>
                <w:noProof/>
              </w:rPr>
              <w:t>2</w:t>
            </w:r>
          </w:p>
        </w:tc>
        <w:tc>
          <w:tcPr>
            <w:tcW w:w="1085" w:type="dxa"/>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vMerge/>
            <w:noWrap/>
            <w:hideMark/>
          </w:tcPr>
          <w:p>
            <w:pPr>
              <w:rPr>
                <w:rFonts w:asciiTheme="minorHAnsi" w:hAnsiTheme="minorHAnsi" w:cstheme="minorHAnsi"/>
                <w:b/>
                <w:noProof/>
                <w:highlight w:val="yellow"/>
              </w:rPr>
            </w:pPr>
          </w:p>
        </w:tc>
        <w:tc>
          <w:tcPr>
            <w:tcW w:w="1356" w:type="dxa"/>
            <w:noWrap/>
            <w:hideMark/>
          </w:tcPr>
          <w:p>
            <w:pPr>
              <w:rPr>
                <w:rFonts w:asciiTheme="minorHAnsi" w:hAnsiTheme="minorHAnsi" w:cstheme="minorHAnsi"/>
                <w:noProof/>
              </w:rPr>
            </w:pPr>
            <w:r>
              <w:rPr>
                <w:rFonts w:asciiTheme="minorHAnsi" w:hAnsiTheme="minorHAnsi" w:cstheme="minorHAnsi"/>
                <w:noProof/>
              </w:rPr>
              <w:t>Irlanda</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1562" w:type="dxa"/>
            <w:noWrap/>
            <w:hideMark/>
          </w:tcPr>
          <w:p>
            <w:pPr>
              <w:rPr>
                <w:rFonts w:asciiTheme="minorHAnsi" w:hAnsiTheme="minorHAnsi" w:cstheme="minorHAnsi"/>
                <w:noProof/>
              </w:rPr>
            </w:pPr>
            <w:r>
              <w:rPr>
                <w:rFonts w:asciiTheme="minorHAnsi" w:hAnsiTheme="minorHAnsi" w:cstheme="minorHAnsi"/>
                <w:noProof/>
              </w:rPr>
              <w:t>0</w:t>
            </w:r>
          </w:p>
        </w:tc>
        <w:tc>
          <w:tcPr>
            <w:tcW w:w="1085" w:type="dxa"/>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vMerge/>
            <w:noWrap/>
            <w:hideMark/>
          </w:tcPr>
          <w:p>
            <w:pPr>
              <w:rPr>
                <w:rFonts w:asciiTheme="minorHAnsi" w:hAnsiTheme="minorHAnsi" w:cstheme="minorHAnsi"/>
                <w:b/>
                <w:noProof/>
                <w:highlight w:val="yellow"/>
              </w:rPr>
            </w:pPr>
          </w:p>
        </w:tc>
        <w:tc>
          <w:tcPr>
            <w:tcW w:w="1356" w:type="dxa"/>
            <w:noWrap/>
            <w:hideMark/>
          </w:tcPr>
          <w:p>
            <w:pPr>
              <w:rPr>
                <w:rFonts w:asciiTheme="minorHAnsi" w:hAnsiTheme="minorHAnsi" w:cstheme="minorHAnsi"/>
                <w:noProof/>
              </w:rPr>
            </w:pPr>
            <w:r>
              <w:rPr>
                <w:rFonts w:asciiTheme="minorHAnsi" w:hAnsiTheme="minorHAnsi" w:cstheme="minorHAnsi"/>
                <w:noProof/>
              </w:rPr>
              <w:t>Țările de Jos</w:t>
            </w:r>
          </w:p>
        </w:tc>
        <w:tc>
          <w:tcPr>
            <w:tcW w:w="923" w:type="dxa"/>
            <w:noWrap/>
            <w:hideMark/>
          </w:tcPr>
          <w:p>
            <w:pPr>
              <w:rPr>
                <w:rFonts w:asciiTheme="minorHAnsi" w:hAnsiTheme="minorHAnsi" w:cstheme="minorHAnsi"/>
                <w:noProof/>
              </w:rPr>
            </w:pPr>
            <w:r>
              <w:rPr>
                <w:rFonts w:asciiTheme="minorHAnsi" w:hAnsiTheme="minorHAnsi" w:cstheme="minorHAnsi"/>
                <w:noProof/>
              </w:rPr>
              <w:t>31</w:t>
            </w:r>
          </w:p>
        </w:tc>
        <w:tc>
          <w:tcPr>
            <w:tcW w:w="923" w:type="dxa"/>
            <w:noWrap/>
            <w:hideMark/>
          </w:tcPr>
          <w:p>
            <w:pPr>
              <w:rPr>
                <w:rFonts w:asciiTheme="minorHAnsi" w:hAnsiTheme="minorHAnsi" w:cstheme="minorHAnsi"/>
                <w:noProof/>
              </w:rPr>
            </w:pPr>
            <w:r>
              <w:rPr>
                <w:rFonts w:asciiTheme="minorHAnsi" w:hAnsiTheme="minorHAnsi" w:cstheme="minorHAnsi"/>
                <w:noProof/>
              </w:rPr>
              <w:t>80</w:t>
            </w:r>
          </w:p>
        </w:tc>
        <w:tc>
          <w:tcPr>
            <w:tcW w:w="923" w:type="dxa"/>
            <w:noWrap/>
            <w:hideMark/>
          </w:tcPr>
          <w:p>
            <w:pPr>
              <w:rPr>
                <w:rFonts w:asciiTheme="minorHAnsi" w:hAnsiTheme="minorHAnsi" w:cstheme="minorHAnsi"/>
                <w:noProof/>
              </w:rPr>
            </w:pPr>
            <w:r>
              <w:rPr>
                <w:rFonts w:asciiTheme="minorHAnsi" w:hAnsiTheme="minorHAnsi" w:cstheme="minorHAnsi"/>
                <w:noProof/>
              </w:rPr>
              <w:t>4</w:t>
            </w:r>
          </w:p>
        </w:tc>
        <w:tc>
          <w:tcPr>
            <w:tcW w:w="923" w:type="dxa"/>
            <w:noWrap/>
            <w:hideMark/>
          </w:tcPr>
          <w:p>
            <w:pPr>
              <w:rPr>
                <w:rFonts w:asciiTheme="minorHAnsi" w:hAnsiTheme="minorHAnsi" w:cstheme="minorHAnsi"/>
                <w:noProof/>
              </w:rPr>
            </w:pPr>
            <w:r>
              <w:rPr>
                <w:rFonts w:asciiTheme="minorHAnsi" w:hAnsiTheme="minorHAnsi" w:cstheme="minorHAnsi"/>
                <w:noProof/>
              </w:rPr>
              <w:t>0</w:t>
            </w:r>
          </w:p>
        </w:tc>
        <w:tc>
          <w:tcPr>
            <w:tcW w:w="1562" w:type="dxa"/>
            <w:noWrap/>
            <w:hideMark/>
          </w:tcPr>
          <w:p>
            <w:pPr>
              <w:rPr>
                <w:rFonts w:asciiTheme="minorHAnsi" w:hAnsiTheme="minorHAnsi" w:cstheme="minorHAnsi"/>
                <w:noProof/>
              </w:rPr>
            </w:pPr>
            <w:r>
              <w:rPr>
                <w:rFonts w:asciiTheme="minorHAnsi" w:hAnsiTheme="minorHAnsi" w:cstheme="minorHAnsi"/>
                <w:noProof/>
              </w:rPr>
              <w:t>115</w:t>
            </w:r>
          </w:p>
        </w:tc>
        <w:tc>
          <w:tcPr>
            <w:tcW w:w="1085" w:type="dxa"/>
          </w:tcPr>
          <w:p>
            <w:pPr>
              <w:rPr>
                <w:rFonts w:asciiTheme="minorHAnsi" w:hAnsiTheme="minorHAnsi" w:cstheme="minorHAnsi"/>
                <w:noProof/>
              </w:rPr>
            </w:pPr>
            <w:r>
              <w:rPr>
                <w:rFonts w:asciiTheme="minorHAnsi" w:hAnsiTheme="minorHAnsi" w:cstheme="minorHAnsi"/>
                <w:noProof/>
              </w:rPr>
              <w:t>--</w:t>
            </w:r>
          </w:p>
        </w:tc>
      </w:tr>
      <w:tr>
        <w:trPr>
          <w:trHeight w:val="292"/>
        </w:trPr>
        <w:tc>
          <w:tcPr>
            <w:tcW w:w="2336" w:type="dxa"/>
            <w:tcBorders>
              <w:bottom w:val="single" w:sz="4" w:space="0" w:color="auto"/>
            </w:tcBorders>
            <w:noWrap/>
            <w:hideMark/>
          </w:tcPr>
          <w:p>
            <w:pPr>
              <w:rPr>
                <w:rFonts w:asciiTheme="minorHAnsi" w:hAnsiTheme="minorHAnsi" w:cstheme="minorHAnsi"/>
                <w:b/>
                <w:noProof/>
              </w:rPr>
            </w:pPr>
            <w:r>
              <w:rPr>
                <w:rFonts w:asciiTheme="minorHAnsi" w:hAnsiTheme="minorHAnsi" w:cstheme="minorHAnsi"/>
                <w:b/>
                <w:noProof/>
              </w:rPr>
              <w:t>Total (tip de instalație)</w:t>
            </w:r>
          </w:p>
        </w:tc>
        <w:tc>
          <w:tcPr>
            <w:tcW w:w="1356" w:type="dxa"/>
            <w:tcBorders>
              <w:bottom w:val="single" w:sz="4" w:space="0" w:color="auto"/>
            </w:tcBorders>
            <w:noWrap/>
            <w:hideMark/>
          </w:tcPr>
          <w:p>
            <w:pPr>
              <w:rPr>
                <w:rFonts w:asciiTheme="minorHAnsi" w:hAnsiTheme="minorHAnsi" w:cstheme="minorHAnsi"/>
                <w:noProof/>
              </w:rPr>
            </w:pPr>
          </w:p>
        </w:tc>
        <w:tc>
          <w:tcPr>
            <w:tcW w:w="923" w:type="dxa"/>
            <w:tcBorders>
              <w:bottom w:val="single" w:sz="4" w:space="0" w:color="auto"/>
            </w:tcBorders>
            <w:noWrap/>
            <w:hideMark/>
          </w:tcPr>
          <w:p>
            <w:pPr>
              <w:rPr>
                <w:rFonts w:asciiTheme="minorHAnsi" w:hAnsiTheme="minorHAnsi" w:cstheme="minorHAnsi"/>
                <w:b/>
                <w:bCs/>
                <w:noProof/>
              </w:rPr>
            </w:pPr>
            <w:r>
              <w:rPr>
                <w:rFonts w:asciiTheme="minorHAnsi" w:hAnsiTheme="minorHAnsi" w:cstheme="minorHAnsi"/>
                <w:b/>
                <w:noProof/>
              </w:rPr>
              <w:t>65</w:t>
            </w:r>
          </w:p>
        </w:tc>
        <w:tc>
          <w:tcPr>
            <w:tcW w:w="923" w:type="dxa"/>
            <w:tcBorders>
              <w:bottom w:val="single" w:sz="4" w:space="0" w:color="auto"/>
            </w:tcBorders>
            <w:noWrap/>
            <w:hideMark/>
          </w:tcPr>
          <w:p>
            <w:pPr>
              <w:rPr>
                <w:rFonts w:asciiTheme="minorHAnsi" w:hAnsiTheme="minorHAnsi" w:cstheme="minorHAnsi"/>
                <w:b/>
                <w:bCs/>
                <w:noProof/>
              </w:rPr>
            </w:pPr>
            <w:r>
              <w:rPr>
                <w:rFonts w:asciiTheme="minorHAnsi" w:hAnsiTheme="minorHAnsi" w:cstheme="minorHAnsi"/>
                <w:b/>
                <w:noProof/>
              </w:rPr>
              <w:t>252</w:t>
            </w:r>
          </w:p>
        </w:tc>
        <w:tc>
          <w:tcPr>
            <w:tcW w:w="923" w:type="dxa"/>
            <w:tcBorders>
              <w:bottom w:val="single" w:sz="4" w:space="0" w:color="auto"/>
            </w:tcBorders>
            <w:noWrap/>
            <w:hideMark/>
          </w:tcPr>
          <w:p>
            <w:pPr>
              <w:rPr>
                <w:rFonts w:asciiTheme="minorHAnsi" w:hAnsiTheme="minorHAnsi" w:cstheme="minorHAnsi"/>
                <w:b/>
                <w:bCs/>
                <w:noProof/>
              </w:rPr>
            </w:pPr>
            <w:r>
              <w:rPr>
                <w:rFonts w:asciiTheme="minorHAnsi" w:hAnsiTheme="minorHAnsi" w:cstheme="minorHAnsi"/>
                <w:b/>
                <w:noProof/>
              </w:rPr>
              <w:t>5</w:t>
            </w:r>
          </w:p>
        </w:tc>
        <w:tc>
          <w:tcPr>
            <w:tcW w:w="923" w:type="dxa"/>
            <w:tcBorders>
              <w:bottom w:val="single" w:sz="4" w:space="0" w:color="auto"/>
            </w:tcBorders>
            <w:noWrap/>
            <w:hideMark/>
          </w:tcPr>
          <w:p>
            <w:pPr>
              <w:rPr>
                <w:rFonts w:asciiTheme="minorHAnsi" w:hAnsiTheme="minorHAnsi" w:cstheme="minorHAnsi"/>
                <w:b/>
                <w:bCs/>
                <w:noProof/>
              </w:rPr>
            </w:pPr>
            <w:r>
              <w:rPr>
                <w:rFonts w:asciiTheme="minorHAnsi" w:hAnsiTheme="minorHAnsi" w:cstheme="minorHAnsi"/>
                <w:b/>
                <w:noProof/>
              </w:rPr>
              <w:t>2</w:t>
            </w:r>
          </w:p>
        </w:tc>
        <w:tc>
          <w:tcPr>
            <w:tcW w:w="1562" w:type="dxa"/>
            <w:tcBorders>
              <w:bottom w:val="single" w:sz="4" w:space="0" w:color="auto"/>
            </w:tcBorders>
            <w:noWrap/>
            <w:hideMark/>
          </w:tcPr>
          <w:p>
            <w:pPr>
              <w:rPr>
                <w:rFonts w:asciiTheme="minorHAnsi" w:hAnsiTheme="minorHAnsi" w:cstheme="minorHAnsi"/>
                <w:b/>
                <w:bCs/>
                <w:noProof/>
              </w:rPr>
            </w:pPr>
            <w:r>
              <w:rPr>
                <w:rFonts w:asciiTheme="minorHAnsi" w:hAnsiTheme="minorHAnsi" w:cstheme="minorHAnsi"/>
                <w:b/>
                <w:noProof/>
              </w:rPr>
              <w:t>324</w:t>
            </w:r>
          </w:p>
        </w:tc>
        <w:tc>
          <w:tcPr>
            <w:tcW w:w="1085" w:type="dxa"/>
            <w:tcBorders>
              <w:bottom w:val="single" w:sz="4" w:space="0" w:color="auto"/>
            </w:tcBorders>
          </w:tcPr>
          <w:p>
            <w:pPr>
              <w:rPr>
                <w:rFonts w:asciiTheme="minorHAnsi" w:hAnsiTheme="minorHAnsi" w:cstheme="minorHAnsi"/>
                <w:b/>
                <w:bCs/>
                <w:noProof/>
              </w:rPr>
            </w:pPr>
            <w:r>
              <w:rPr>
                <w:rFonts w:asciiTheme="minorHAnsi" w:hAnsiTheme="minorHAnsi" w:cstheme="minorHAnsi"/>
                <w:b/>
                <w:noProof/>
              </w:rPr>
              <w:t>--</w:t>
            </w:r>
          </w:p>
        </w:tc>
      </w:tr>
    </w:tbl>
    <w:tbl>
      <w:tblPr>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8"/>
        <w:gridCol w:w="1525"/>
      </w:tblGrid>
      <w:tr>
        <w:trPr>
          <w:trHeight w:val="353"/>
        </w:trPr>
        <w:tc>
          <w:tcPr>
            <w:tcW w:w="4255" w:type="pct"/>
            <w:tcBorders>
              <w:left w:val="nil"/>
              <w:bottom w:val="nil"/>
              <w:right w:val="nil"/>
            </w:tcBorders>
            <w:noWrap/>
          </w:tcPr>
          <w:p>
            <w:pPr>
              <w:spacing w:before="60" w:after="60" w:line="240" w:lineRule="auto"/>
              <w:rPr>
                <w:rFonts w:ascii="Times New Roman" w:hAnsi="Times New Roman"/>
                <w:bCs/>
                <w:noProof/>
              </w:rPr>
            </w:pPr>
            <w:r>
              <w:rPr>
                <w:rFonts w:ascii="Times New Roman" w:hAnsi="Times New Roman"/>
                <w:noProof/>
              </w:rPr>
              <w:t>(*) FMI: instalație fixă cu echipaj; FNP: instalație fixă neproductivă; FPI: instalație de producție plutitoare; NUI: Instalație fără echipaj în mod normal.</w:t>
            </w:r>
          </w:p>
        </w:tc>
        <w:tc>
          <w:tcPr>
            <w:tcW w:w="745" w:type="pct"/>
            <w:tcBorders>
              <w:left w:val="nil"/>
              <w:bottom w:val="nil"/>
              <w:right w:val="nil"/>
            </w:tcBorders>
          </w:tcPr>
          <w:p>
            <w:pPr>
              <w:spacing w:before="60" w:after="60" w:line="240" w:lineRule="auto"/>
              <w:rPr>
                <w:rFonts w:ascii="Times New Roman" w:hAnsi="Times New Roman"/>
                <w:b/>
                <w:bCs/>
                <w:noProof/>
              </w:rPr>
            </w:pPr>
          </w:p>
        </w:tc>
      </w:tr>
    </w:tbl>
    <w:p>
      <w:pPr>
        <w:spacing w:after="0" w:line="240" w:lineRule="auto"/>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rPr>
        <w:t>Peste jumătate dintre instalațiile offshore au intrat în funcțiune în perioada 1980-2000. În 2024 au intrat în funcțiune două instalații fixe noi</w:t>
      </w:r>
      <w:r>
        <w:rPr>
          <w:rStyle w:val="FootnoteReference"/>
          <w:rFonts w:ascii="Times New Roman" w:hAnsi="Times New Roman"/>
          <w:noProof/>
          <w:sz w:val="24"/>
          <w:szCs w:val="24"/>
        </w:rPr>
        <w:footnoteReference w:id="5"/>
      </w:r>
      <w:r>
        <w:rPr>
          <w:rFonts w:ascii="Times New Roman" w:hAnsi="Times New Roman"/>
          <w:noProof/>
          <w:sz w:val="24"/>
        </w:rPr>
        <w:t>. Din 2010, dezvoltarea de noi instalații de producție a scăzut semnificativ în regiunea Mării Nordului și a Oceanului Atlantic.</w:t>
      </w:r>
    </w:p>
    <w:p>
      <w:pPr>
        <w:jc w:val="both"/>
        <w:rPr>
          <w:rFonts w:ascii="Times New Roman" w:hAnsi="Times New Roman"/>
          <w:noProof/>
          <w:sz w:val="24"/>
          <w:szCs w:val="24"/>
        </w:rPr>
      </w:pPr>
      <w:r>
        <w:rPr>
          <w:rFonts w:ascii="Times New Roman" w:hAnsi="Times New Roman"/>
          <w:noProof/>
          <w:sz w:val="24"/>
        </w:rPr>
        <w:t>Aproximativ 76 % din petrolul și gazele produse în Uniunea Europeană (12 254 de kilotone echivalent petrol – denumite în continuare: „ktep”) sunt produse în Marea Nordului și în Oceanul Atlantic (a se vedea tabelul 2). Cei mai mari producători din Marea Nordului și din Oceanul Atlantic sunt Țările de Jos și Danemarca. Italia și Croația sunt cei mai mari producători din Marea Mediterană, urmate de Grecia. Spania nu a înregistrat nicio producție. În Marea Neagră, doar producția României este semnificativă.</w:t>
      </w:r>
    </w:p>
    <w:p>
      <w:pPr>
        <w:pStyle w:val="Caption"/>
        <w:rPr>
          <w:noProof/>
        </w:rPr>
      </w:pPr>
      <w:r>
        <w:rPr>
          <w:noProof/>
        </w:rPr>
        <w:t>Tabelul 2: Producția offshore de petrol și gaze din UE în ktep în 2024</w:t>
      </w:r>
    </w:p>
    <w:tbl>
      <w:tblPr>
        <w:tblStyle w:val="TableGrid"/>
        <w:tblW w:w="9072" w:type="dxa"/>
        <w:tblInd w:w="250" w:type="dxa"/>
        <w:tblLook w:val="04A0" w:firstRow="1" w:lastRow="0" w:firstColumn="1" w:lastColumn="0" w:noHBand="0" w:noVBand="1"/>
      </w:tblPr>
      <w:tblGrid>
        <w:gridCol w:w="2974"/>
        <w:gridCol w:w="1316"/>
        <w:gridCol w:w="1661"/>
        <w:gridCol w:w="1418"/>
        <w:gridCol w:w="1703"/>
      </w:tblGrid>
      <w:tr>
        <w:trPr>
          <w:trHeight w:val="300"/>
        </w:trPr>
        <w:tc>
          <w:tcPr>
            <w:tcW w:w="2974" w:type="dxa"/>
            <w:tcBorders>
              <w:top w:val="single" w:sz="4" w:space="0" w:color="auto"/>
              <w:left w:val="single" w:sz="4" w:space="0" w:color="auto"/>
              <w:bottom w:val="single" w:sz="4" w:space="0" w:color="auto"/>
              <w:right w:val="single" w:sz="4" w:space="0" w:color="auto"/>
            </w:tcBorders>
            <w:noWrap/>
            <w:hideMark/>
          </w:tcPr>
          <w:p>
            <w:pPr>
              <w:rPr>
                <w:rFonts w:asciiTheme="minorHAnsi" w:hAnsiTheme="minorHAnsi" w:cstheme="minorHAnsi"/>
                <w:b/>
                <w:noProof/>
              </w:rPr>
            </w:pPr>
            <w:r>
              <w:rPr>
                <w:rFonts w:asciiTheme="minorHAnsi" w:hAnsiTheme="minorHAnsi" w:cstheme="minorHAnsi"/>
                <w:b/>
                <w:noProof/>
              </w:rPr>
              <w:t>Regiune</w:t>
            </w:r>
          </w:p>
        </w:tc>
        <w:tc>
          <w:tcPr>
            <w:tcW w:w="1316" w:type="dxa"/>
            <w:tcBorders>
              <w:left w:val="single" w:sz="4" w:space="0" w:color="auto"/>
            </w:tcBorders>
            <w:noWrap/>
            <w:hideMark/>
          </w:tcPr>
          <w:p>
            <w:pPr>
              <w:rPr>
                <w:rFonts w:asciiTheme="minorHAnsi" w:hAnsiTheme="minorHAnsi" w:cstheme="minorHAnsi"/>
                <w:b/>
                <w:noProof/>
              </w:rPr>
            </w:pPr>
            <w:r>
              <w:rPr>
                <w:rFonts w:asciiTheme="minorHAnsi" w:hAnsiTheme="minorHAnsi" w:cstheme="minorHAnsi"/>
                <w:b/>
                <w:noProof/>
              </w:rPr>
              <w:t>Țară</w:t>
            </w:r>
          </w:p>
        </w:tc>
        <w:tc>
          <w:tcPr>
            <w:tcW w:w="1661" w:type="dxa"/>
            <w:noWrap/>
            <w:hideMark/>
          </w:tcPr>
          <w:p>
            <w:pPr>
              <w:rPr>
                <w:rFonts w:asciiTheme="minorHAnsi" w:hAnsiTheme="minorHAnsi" w:cstheme="minorHAnsi"/>
                <w:b/>
                <w:noProof/>
              </w:rPr>
            </w:pPr>
            <w:r>
              <w:rPr>
                <w:rFonts w:asciiTheme="minorHAnsi" w:hAnsiTheme="minorHAnsi" w:cstheme="minorHAnsi"/>
                <w:b/>
                <w:noProof/>
              </w:rPr>
              <w:t>ktep</w:t>
            </w:r>
          </w:p>
        </w:tc>
        <w:tc>
          <w:tcPr>
            <w:tcW w:w="1418" w:type="dxa"/>
            <w:noWrap/>
            <w:hideMark/>
          </w:tcPr>
          <w:p>
            <w:pPr>
              <w:rPr>
                <w:rFonts w:asciiTheme="minorHAnsi" w:hAnsiTheme="minorHAnsi" w:cstheme="minorHAnsi"/>
                <w:b/>
                <w:noProof/>
              </w:rPr>
            </w:pPr>
            <w:r>
              <w:rPr>
                <w:rFonts w:asciiTheme="minorHAnsi" w:hAnsiTheme="minorHAnsi" w:cstheme="minorHAnsi"/>
                <w:b/>
                <w:noProof/>
              </w:rPr>
              <w:t>% din totalul UE</w:t>
            </w:r>
          </w:p>
        </w:tc>
        <w:tc>
          <w:tcPr>
            <w:tcW w:w="1703" w:type="dxa"/>
          </w:tcPr>
          <w:p>
            <w:pPr>
              <w:rPr>
                <w:rFonts w:asciiTheme="minorHAnsi" w:hAnsiTheme="minorHAnsi" w:cstheme="minorHAnsi"/>
                <w:b/>
                <w:noProof/>
              </w:rPr>
            </w:pPr>
            <w:r>
              <w:rPr>
                <w:rFonts w:asciiTheme="minorHAnsi" w:hAnsiTheme="minorHAnsi" w:cstheme="minorHAnsi"/>
                <w:b/>
                <w:noProof/>
              </w:rPr>
              <w:t>Variație (în %) față de 2023</w:t>
            </w:r>
          </w:p>
        </w:tc>
      </w:tr>
      <w:tr>
        <w:trPr>
          <w:trHeight w:val="300"/>
        </w:trPr>
        <w:tc>
          <w:tcPr>
            <w:tcW w:w="2974" w:type="dxa"/>
            <w:tcBorders>
              <w:top w:val="single" w:sz="4" w:space="0" w:color="auto"/>
              <w:left w:val="single" w:sz="4" w:space="0" w:color="auto"/>
              <w:bottom w:val="nil"/>
              <w:right w:val="single" w:sz="4" w:space="0" w:color="auto"/>
            </w:tcBorders>
            <w:noWrap/>
            <w:hideMark/>
          </w:tcPr>
          <w:p>
            <w:pPr>
              <w:rPr>
                <w:rFonts w:asciiTheme="minorHAnsi" w:hAnsiTheme="minorHAnsi" w:cstheme="minorHAnsi"/>
                <w:b/>
                <w:noProof/>
              </w:rPr>
            </w:pPr>
            <w:r>
              <w:rPr>
                <w:rFonts w:asciiTheme="minorHAnsi" w:hAnsiTheme="minorHAnsi" w:cstheme="minorHAnsi"/>
                <w:b/>
                <w:noProof/>
              </w:rPr>
              <w:t>Marea Baltică</w:t>
            </w:r>
          </w:p>
        </w:tc>
        <w:tc>
          <w:tcPr>
            <w:tcW w:w="1316" w:type="dxa"/>
            <w:tcBorders>
              <w:left w:val="single" w:sz="4" w:space="0" w:color="auto"/>
            </w:tcBorders>
            <w:noWrap/>
            <w:hideMark/>
          </w:tcPr>
          <w:p>
            <w:pPr>
              <w:rPr>
                <w:rFonts w:asciiTheme="minorHAnsi" w:hAnsiTheme="minorHAnsi" w:cstheme="minorHAnsi"/>
                <w:b/>
                <w:noProof/>
              </w:rPr>
            </w:pPr>
          </w:p>
        </w:tc>
        <w:tc>
          <w:tcPr>
            <w:tcW w:w="1661" w:type="dxa"/>
            <w:noWrap/>
            <w:hideMark/>
          </w:tcPr>
          <w:p>
            <w:pPr>
              <w:jc w:val="center"/>
              <w:rPr>
                <w:rFonts w:asciiTheme="minorHAnsi" w:hAnsiTheme="minorHAnsi" w:cstheme="minorHAnsi"/>
                <w:b/>
                <w:bCs/>
                <w:noProof/>
              </w:rPr>
            </w:pPr>
            <w:r>
              <w:rPr>
                <w:rFonts w:asciiTheme="minorHAnsi" w:hAnsiTheme="minorHAnsi" w:cstheme="minorHAnsi"/>
                <w:noProof/>
              </w:rPr>
              <w:t>301,29</w:t>
            </w:r>
          </w:p>
        </w:tc>
        <w:tc>
          <w:tcPr>
            <w:tcW w:w="1418" w:type="dxa"/>
            <w:noWrap/>
            <w:hideMark/>
          </w:tcPr>
          <w:p>
            <w:pPr>
              <w:jc w:val="center"/>
              <w:rPr>
                <w:rFonts w:asciiTheme="minorHAnsi" w:hAnsiTheme="minorHAnsi" w:cstheme="minorHAnsi"/>
                <w:b/>
                <w:bCs/>
                <w:noProof/>
              </w:rPr>
            </w:pPr>
            <w:r>
              <w:rPr>
                <w:rFonts w:asciiTheme="minorHAnsi" w:hAnsiTheme="minorHAnsi" w:cstheme="minorHAnsi"/>
                <w:noProof/>
              </w:rPr>
              <w:t>1,87 %</w:t>
            </w:r>
          </w:p>
        </w:tc>
        <w:tc>
          <w:tcPr>
            <w:tcW w:w="1703" w:type="dxa"/>
          </w:tcPr>
          <w:p>
            <w:pPr>
              <w:jc w:val="center"/>
              <w:rPr>
                <w:rFonts w:asciiTheme="minorHAnsi" w:hAnsiTheme="minorHAnsi" w:cstheme="minorHAnsi"/>
                <w:b/>
                <w:bCs/>
                <w:noProof/>
              </w:rPr>
            </w:pPr>
            <w:r>
              <w:rPr>
                <w:rFonts w:asciiTheme="minorHAnsi" w:hAnsiTheme="minorHAnsi" w:cstheme="minorHAnsi"/>
                <w:noProof/>
              </w:rPr>
              <w:t>6,09 %</w:t>
            </w:r>
          </w:p>
        </w:tc>
      </w:tr>
      <w:tr>
        <w:trPr>
          <w:trHeight w:val="300"/>
        </w:trPr>
        <w:tc>
          <w:tcPr>
            <w:tcW w:w="2974" w:type="dxa"/>
            <w:tcBorders>
              <w:top w:val="nil"/>
              <w:left w:val="single" w:sz="4" w:space="0" w:color="auto"/>
              <w:bottom w:val="single" w:sz="4" w:space="0" w:color="auto"/>
              <w:right w:val="single" w:sz="4" w:space="0" w:color="auto"/>
            </w:tcBorders>
            <w:noWrap/>
          </w:tcPr>
          <w:p>
            <w:pPr>
              <w:rPr>
                <w:rFonts w:asciiTheme="minorHAnsi" w:hAnsiTheme="minorHAnsi" w:cstheme="minorHAnsi"/>
                <w:b/>
                <w:noProof/>
              </w:rPr>
            </w:pPr>
          </w:p>
        </w:tc>
        <w:tc>
          <w:tcPr>
            <w:tcW w:w="1316" w:type="dxa"/>
            <w:tcBorders>
              <w:left w:val="single" w:sz="4" w:space="0" w:color="auto"/>
            </w:tcBorders>
            <w:noWrap/>
            <w:hideMark/>
          </w:tcPr>
          <w:p>
            <w:pPr>
              <w:rPr>
                <w:rFonts w:asciiTheme="minorHAnsi" w:hAnsiTheme="minorHAnsi" w:cstheme="minorHAnsi"/>
                <w:noProof/>
              </w:rPr>
            </w:pPr>
            <w:r>
              <w:rPr>
                <w:rFonts w:asciiTheme="minorHAnsi" w:hAnsiTheme="minorHAnsi" w:cstheme="minorHAnsi"/>
                <w:noProof/>
              </w:rPr>
              <w:t>Polonia</w:t>
            </w:r>
          </w:p>
        </w:tc>
        <w:tc>
          <w:tcPr>
            <w:tcW w:w="1661" w:type="dxa"/>
            <w:noWrap/>
            <w:hideMark/>
          </w:tcPr>
          <w:p>
            <w:pPr>
              <w:jc w:val="center"/>
              <w:rPr>
                <w:rFonts w:asciiTheme="minorHAnsi" w:hAnsiTheme="minorHAnsi" w:cstheme="minorHAnsi"/>
                <w:noProof/>
              </w:rPr>
            </w:pPr>
            <w:r>
              <w:rPr>
                <w:rFonts w:asciiTheme="minorHAnsi" w:hAnsiTheme="minorHAnsi" w:cstheme="minorHAnsi"/>
                <w:noProof/>
              </w:rPr>
              <w:t>301,29</w:t>
            </w:r>
          </w:p>
        </w:tc>
        <w:tc>
          <w:tcPr>
            <w:tcW w:w="1418" w:type="dxa"/>
            <w:noWrap/>
            <w:hideMark/>
          </w:tcPr>
          <w:p>
            <w:pPr>
              <w:jc w:val="center"/>
              <w:rPr>
                <w:rFonts w:asciiTheme="minorHAnsi" w:hAnsiTheme="minorHAnsi" w:cstheme="minorHAnsi"/>
                <w:noProof/>
              </w:rPr>
            </w:pPr>
            <w:r>
              <w:rPr>
                <w:rFonts w:asciiTheme="minorHAnsi" w:hAnsiTheme="minorHAnsi" w:cstheme="minorHAnsi"/>
                <w:noProof/>
              </w:rPr>
              <w:t>1,87 %</w:t>
            </w:r>
          </w:p>
        </w:tc>
        <w:tc>
          <w:tcPr>
            <w:tcW w:w="1703" w:type="dxa"/>
          </w:tcPr>
          <w:p>
            <w:pPr>
              <w:jc w:val="center"/>
              <w:rPr>
                <w:rFonts w:asciiTheme="minorHAnsi" w:eastAsia="Times New Roman" w:hAnsiTheme="minorHAnsi" w:cstheme="minorHAnsi"/>
                <w:noProof/>
                <w:color w:val="000000"/>
              </w:rPr>
            </w:pPr>
            <w:r>
              <w:rPr>
                <w:rFonts w:asciiTheme="minorHAnsi" w:hAnsiTheme="minorHAnsi" w:cstheme="minorHAnsi"/>
                <w:noProof/>
              </w:rPr>
              <w:t>6,09 %</w:t>
            </w:r>
          </w:p>
        </w:tc>
      </w:tr>
      <w:tr>
        <w:trPr>
          <w:trHeight w:val="300"/>
        </w:trPr>
        <w:tc>
          <w:tcPr>
            <w:tcW w:w="2974" w:type="dxa"/>
            <w:tcBorders>
              <w:top w:val="single" w:sz="4" w:space="0" w:color="auto"/>
              <w:left w:val="single" w:sz="4" w:space="0" w:color="auto"/>
              <w:bottom w:val="nil"/>
              <w:right w:val="single" w:sz="4" w:space="0" w:color="auto"/>
            </w:tcBorders>
            <w:noWrap/>
            <w:hideMark/>
          </w:tcPr>
          <w:p>
            <w:pPr>
              <w:rPr>
                <w:rFonts w:asciiTheme="minorHAnsi" w:hAnsiTheme="minorHAnsi" w:cstheme="minorHAnsi"/>
                <w:b/>
                <w:noProof/>
              </w:rPr>
            </w:pPr>
            <w:r>
              <w:rPr>
                <w:rFonts w:asciiTheme="minorHAnsi" w:hAnsiTheme="minorHAnsi" w:cstheme="minorHAnsi"/>
                <w:b/>
                <w:noProof/>
              </w:rPr>
              <w:t>Marea Neagră</w:t>
            </w:r>
          </w:p>
        </w:tc>
        <w:tc>
          <w:tcPr>
            <w:tcW w:w="1316" w:type="dxa"/>
            <w:tcBorders>
              <w:left w:val="single" w:sz="4" w:space="0" w:color="auto"/>
            </w:tcBorders>
            <w:noWrap/>
            <w:hideMark/>
          </w:tcPr>
          <w:p>
            <w:pPr>
              <w:rPr>
                <w:rFonts w:asciiTheme="minorHAnsi" w:hAnsiTheme="minorHAnsi" w:cstheme="minorHAnsi"/>
                <w:noProof/>
              </w:rPr>
            </w:pPr>
          </w:p>
        </w:tc>
        <w:tc>
          <w:tcPr>
            <w:tcW w:w="1661" w:type="dxa"/>
            <w:noWrap/>
            <w:hideMark/>
          </w:tcPr>
          <w:p>
            <w:pPr>
              <w:jc w:val="center"/>
              <w:rPr>
                <w:rFonts w:asciiTheme="minorHAnsi" w:hAnsiTheme="minorHAnsi" w:cstheme="minorHAnsi"/>
                <w:b/>
                <w:bCs/>
                <w:noProof/>
              </w:rPr>
            </w:pPr>
            <w:r>
              <w:rPr>
                <w:rFonts w:asciiTheme="minorHAnsi" w:hAnsiTheme="minorHAnsi" w:cstheme="minorHAnsi"/>
                <w:noProof/>
              </w:rPr>
              <w:t>1 709,131</w:t>
            </w:r>
          </w:p>
        </w:tc>
        <w:tc>
          <w:tcPr>
            <w:tcW w:w="1418" w:type="dxa"/>
            <w:noWrap/>
            <w:hideMark/>
          </w:tcPr>
          <w:p>
            <w:pPr>
              <w:jc w:val="center"/>
              <w:rPr>
                <w:rFonts w:asciiTheme="minorHAnsi" w:hAnsiTheme="minorHAnsi" w:cstheme="minorHAnsi"/>
                <w:b/>
                <w:bCs/>
                <w:noProof/>
              </w:rPr>
            </w:pPr>
            <w:r>
              <w:rPr>
                <w:rFonts w:asciiTheme="minorHAnsi" w:hAnsiTheme="minorHAnsi" w:cstheme="minorHAnsi"/>
                <w:noProof/>
              </w:rPr>
              <w:t>10,63 %</w:t>
            </w:r>
          </w:p>
        </w:tc>
        <w:tc>
          <w:tcPr>
            <w:tcW w:w="1703" w:type="dxa"/>
          </w:tcPr>
          <w:p>
            <w:pPr>
              <w:jc w:val="center"/>
              <w:rPr>
                <w:rFonts w:asciiTheme="minorHAnsi" w:eastAsia="Times New Roman" w:hAnsiTheme="minorHAnsi" w:cstheme="minorHAnsi"/>
                <w:b/>
                <w:bCs/>
                <w:noProof/>
                <w:color w:val="000000"/>
              </w:rPr>
            </w:pPr>
            <w:r>
              <w:rPr>
                <w:rFonts w:asciiTheme="minorHAnsi" w:hAnsiTheme="minorHAnsi" w:cstheme="minorHAnsi"/>
                <w:noProof/>
              </w:rPr>
              <w:t>-4,30 %</w:t>
            </w:r>
          </w:p>
        </w:tc>
      </w:tr>
      <w:tr>
        <w:trPr>
          <w:trHeight w:val="300"/>
        </w:trPr>
        <w:tc>
          <w:tcPr>
            <w:tcW w:w="2974" w:type="dxa"/>
            <w:tcBorders>
              <w:top w:val="nil"/>
              <w:left w:val="single" w:sz="4" w:space="0" w:color="auto"/>
              <w:bottom w:val="nil"/>
              <w:right w:val="single" w:sz="4" w:space="0" w:color="auto"/>
            </w:tcBorders>
            <w:noWrap/>
          </w:tcPr>
          <w:p>
            <w:pPr>
              <w:rPr>
                <w:rFonts w:asciiTheme="minorHAnsi" w:hAnsiTheme="minorHAnsi" w:cstheme="minorHAnsi"/>
                <w:b/>
                <w:noProof/>
              </w:rPr>
            </w:pPr>
          </w:p>
        </w:tc>
        <w:tc>
          <w:tcPr>
            <w:tcW w:w="1316" w:type="dxa"/>
            <w:tcBorders>
              <w:left w:val="single" w:sz="4" w:space="0" w:color="auto"/>
            </w:tcBorders>
            <w:noWrap/>
            <w:hideMark/>
          </w:tcPr>
          <w:p>
            <w:pPr>
              <w:rPr>
                <w:rFonts w:asciiTheme="minorHAnsi" w:hAnsiTheme="minorHAnsi" w:cstheme="minorHAnsi"/>
                <w:noProof/>
              </w:rPr>
            </w:pPr>
            <w:r>
              <w:rPr>
                <w:rFonts w:asciiTheme="minorHAnsi" w:hAnsiTheme="minorHAnsi" w:cstheme="minorHAnsi"/>
                <w:noProof/>
              </w:rPr>
              <w:t>Bulgaria</w:t>
            </w:r>
          </w:p>
        </w:tc>
        <w:tc>
          <w:tcPr>
            <w:tcW w:w="1661" w:type="dxa"/>
            <w:noWrap/>
            <w:hideMark/>
          </w:tcPr>
          <w:p>
            <w:pPr>
              <w:jc w:val="center"/>
              <w:rPr>
                <w:rFonts w:asciiTheme="minorHAnsi" w:hAnsiTheme="minorHAnsi" w:cstheme="minorHAnsi"/>
                <w:noProof/>
              </w:rPr>
            </w:pPr>
            <w:r>
              <w:rPr>
                <w:rFonts w:asciiTheme="minorHAnsi" w:hAnsiTheme="minorHAnsi" w:cstheme="minorHAnsi"/>
                <w:noProof/>
              </w:rPr>
              <w:t>4,667</w:t>
            </w:r>
          </w:p>
        </w:tc>
        <w:tc>
          <w:tcPr>
            <w:tcW w:w="1418" w:type="dxa"/>
            <w:noWrap/>
            <w:hideMark/>
          </w:tcPr>
          <w:p>
            <w:pPr>
              <w:jc w:val="center"/>
              <w:rPr>
                <w:rFonts w:asciiTheme="minorHAnsi" w:hAnsiTheme="minorHAnsi" w:cstheme="minorHAnsi"/>
                <w:noProof/>
              </w:rPr>
            </w:pPr>
            <w:r>
              <w:rPr>
                <w:rFonts w:asciiTheme="minorHAnsi" w:hAnsiTheme="minorHAnsi" w:cstheme="minorHAnsi"/>
                <w:noProof/>
              </w:rPr>
              <w:t>0,03 %</w:t>
            </w:r>
          </w:p>
        </w:tc>
        <w:tc>
          <w:tcPr>
            <w:tcW w:w="1703" w:type="dxa"/>
          </w:tcPr>
          <w:p>
            <w:pPr>
              <w:jc w:val="center"/>
              <w:rPr>
                <w:rFonts w:asciiTheme="minorHAnsi" w:eastAsia="Times New Roman" w:hAnsiTheme="minorHAnsi" w:cstheme="minorHAnsi"/>
                <w:noProof/>
                <w:color w:val="000000"/>
              </w:rPr>
            </w:pPr>
            <w:r>
              <w:rPr>
                <w:rFonts w:asciiTheme="minorHAnsi" w:hAnsiTheme="minorHAnsi" w:cstheme="minorHAnsi"/>
                <w:noProof/>
              </w:rPr>
              <w:t>–33,33 %</w:t>
            </w:r>
          </w:p>
        </w:tc>
      </w:tr>
      <w:tr>
        <w:trPr>
          <w:trHeight w:val="300"/>
        </w:trPr>
        <w:tc>
          <w:tcPr>
            <w:tcW w:w="2974" w:type="dxa"/>
            <w:tcBorders>
              <w:top w:val="nil"/>
              <w:left w:val="single" w:sz="4" w:space="0" w:color="auto"/>
              <w:bottom w:val="single" w:sz="4" w:space="0" w:color="auto"/>
              <w:right w:val="single" w:sz="4" w:space="0" w:color="auto"/>
            </w:tcBorders>
            <w:noWrap/>
          </w:tcPr>
          <w:p>
            <w:pPr>
              <w:rPr>
                <w:rFonts w:asciiTheme="minorHAnsi" w:hAnsiTheme="minorHAnsi" w:cstheme="minorHAnsi"/>
                <w:b/>
                <w:noProof/>
              </w:rPr>
            </w:pPr>
          </w:p>
        </w:tc>
        <w:tc>
          <w:tcPr>
            <w:tcW w:w="1316" w:type="dxa"/>
            <w:tcBorders>
              <w:left w:val="single" w:sz="4" w:space="0" w:color="auto"/>
              <w:bottom w:val="single" w:sz="4" w:space="0" w:color="auto"/>
            </w:tcBorders>
            <w:noWrap/>
          </w:tcPr>
          <w:p>
            <w:pPr>
              <w:rPr>
                <w:rFonts w:asciiTheme="minorHAnsi" w:hAnsiTheme="minorHAnsi" w:cstheme="minorHAnsi"/>
                <w:noProof/>
              </w:rPr>
            </w:pPr>
            <w:r>
              <w:rPr>
                <w:rFonts w:asciiTheme="minorHAnsi" w:hAnsiTheme="minorHAnsi" w:cstheme="minorHAnsi"/>
                <w:noProof/>
              </w:rPr>
              <w:t>România</w:t>
            </w:r>
          </w:p>
        </w:tc>
        <w:tc>
          <w:tcPr>
            <w:tcW w:w="1661" w:type="dxa"/>
            <w:noWrap/>
          </w:tcPr>
          <w:p>
            <w:pPr>
              <w:jc w:val="center"/>
              <w:rPr>
                <w:rFonts w:asciiTheme="minorHAnsi" w:hAnsiTheme="minorHAnsi" w:cstheme="minorHAnsi"/>
                <w:noProof/>
              </w:rPr>
            </w:pPr>
            <w:r>
              <w:rPr>
                <w:rFonts w:asciiTheme="minorHAnsi" w:hAnsiTheme="minorHAnsi" w:cstheme="minorHAnsi"/>
                <w:noProof/>
              </w:rPr>
              <w:t>1 704,464</w:t>
            </w:r>
          </w:p>
        </w:tc>
        <w:tc>
          <w:tcPr>
            <w:tcW w:w="1418" w:type="dxa"/>
            <w:noWrap/>
          </w:tcPr>
          <w:p>
            <w:pPr>
              <w:jc w:val="center"/>
              <w:rPr>
                <w:rFonts w:asciiTheme="minorHAnsi" w:eastAsia="Times New Roman" w:hAnsiTheme="minorHAnsi" w:cstheme="minorHAnsi"/>
                <w:noProof/>
                <w:color w:val="000000"/>
              </w:rPr>
            </w:pPr>
            <w:r>
              <w:rPr>
                <w:rFonts w:asciiTheme="minorHAnsi" w:hAnsiTheme="minorHAnsi" w:cstheme="minorHAnsi"/>
                <w:noProof/>
              </w:rPr>
              <w:t>10,60 %</w:t>
            </w:r>
          </w:p>
        </w:tc>
        <w:tc>
          <w:tcPr>
            <w:tcW w:w="1703" w:type="dxa"/>
          </w:tcPr>
          <w:p>
            <w:pPr>
              <w:jc w:val="center"/>
              <w:rPr>
                <w:rFonts w:asciiTheme="minorHAnsi" w:eastAsia="Times New Roman" w:hAnsiTheme="minorHAnsi" w:cstheme="minorHAnsi"/>
                <w:noProof/>
                <w:color w:val="000000"/>
              </w:rPr>
            </w:pPr>
            <w:r>
              <w:rPr>
                <w:rFonts w:asciiTheme="minorHAnsi" w:hAnsiTheme="minorHAnsi" w:cstheme="minorHAnsi"/>
                <w:noProof/>
              </w:rPr>
              <w:t>–4,14 %</w:t>
            </w:r>
          </w:p>
        </w:tc>
      </w:tr>
      <w:tr>
        <w:trPr>
          <w:trHeight w:val="300"/>
        </w:trPr>
        <w:tc>
          <w:tcPr>
            <w:tcW w:w="2974" w:type="dxa"/>
            <w:tcBorders>
              <w:top w:val="single" w:sz="4" w:space="0" w:color="auto"/>
              <w:left w:val="single" w:sz="4" w:space="0" w:color="auto"/>
              <w:bottom w:val="nil"/>
              <w:right w:val="single" w:sz="4" w:space="0" w:color="auto"/>
            </w:tcBorders>
            <w:noWrap/>
          </w:tcPr>
          <w:p>
            <w:pPr>
              <w:rPr>
                <w:rFonts w:asciiTheme="minorHAnsi" w:hAnsiTheme="minorHAnsi" w:cstheme="minorHAnsi"/>
                <w:b/>
                <w:noProof/>
              </w:rPr>
            </w:pPr>
            <w:r>
              <w:rPr>
                <w:rFonts w:asciiTheme="minorHAnsi" w:hAnsiTheme="minorHAnsi" w:cstheme="minorHAnsi"/>
                <w:b/>
                <w:noProof/>
              </w:rPr>
              <w:t>Marea Mediterană</w:t>
            </w:r>
          </w:p>
        </w:tc>
        <w:tc>
          <w:tcPr>
            <w:tcW w:w="1316" w:type="dxa"/>
            <w:tcBorders>
              <w:left w:val="single" w:sz="4" w:space="0" w:color="auto"/>
              <w:right w:val="single" w:sz="4" w:space="0" w:color="auto"/>
            </w:tcBorders>
            <w:noWrap/>
          </w:tcPr>
          <w:p>
            <w:pPr>
              <w:rPr>
                <w:rFonts w:asciiTheme="minorHAnsi" w:hAnsiTheme="minorHAnsi" w:cstheme="minorHAnsi"/>
                <w:noProof/>
              </w:rPr>
            </w:pPr>
          </w:p>
        </w:tc>
        <w:tc>
          <w:tcPr>
            <w:tcW w:w="1661" w:type="dxa"/>
            <w:tcBorders>
              <w:left w:val="single" w:sz="4" w:space="0" w:color="auto"/>
            </w:tcBorders>
            <w:noWrap/>
          </w:tcPr>
          <w:p>
            <w:pPr>
              <w:jc w:val="center"/>
              <w:rPr>
                <w:rFonts w:asciiTheme="minorHAnsi" w:eastAsia="Times New Roman" w:hAnsiTheme="minorHAnsi" w:cstheme="minorHAnsi"/>
                <w:b/>
                <w:bCs/>
                <w:noProof/>
                <w:color w:val="000000"/>
              </w:rPr>
            </w:pPr>
            <w:r>
              <w:rPr>
                <w:rFonts w:asciiTheme="minorHAnsi" w:hAnsiTheme="minorHAnsi" w:cstheme="minorHAnsi"/>
                <w:noProof/>
              </w:rPr>
              <w:t>1 817,17</w:t>
            </w:r>
          </w:p>
        </w:tc>
        <w:tc>
          <w:tcPr>
            <w:tcW w:w="1418" w:type="dxa"/>
            <w:noWrap/>
          </w:tcPr>
          <w:p>
            <w:pPr>
              <w:jc w:val="center"/>
              <w:rPr>
                <w:rFonts w:asciiTheme="minorHAnsi" w:eastAsia="Times New Roman" w:hAnsiTheme="minorHAnsi" w:cstheme="minorHAnsi"/>
                <w:b/>
                <w:bCs/>
                <w:noProof/>
                <w:color w:val="000000"/>
              </w:rPr>
            </w:pPr>
            <w:r>
              <w:rPr>
                <w:rFonts w:asciiTheme="minorHAnsi" w:hAnsiTheme="minorHAnsi" w:cstheme="minorHAnsi"/>
                <w:noProof/>
              </w:rPr>
              <w:t>11,30 %</w:t>
            </w:r>
          </w:p>
        </w:tc>
        <w:tc>
          <w:tcPr>
            <w:tcW w:w="1703" w:type="dxa"/>
          </w:tcPr>
          <w:p>
            <w:pPr>
              <w:jc w:val="center"/>
              <w:rPr>
                <w:rFonts w:asciiTheme="minorHAnsi" w:eastAsia="Times New Roman" w:hAnsiTheme="minorHAnsi" w:cstheme="minorHAnsi"/>
                <w:b/>
                <w:bCs/>
                <w:noProof/>
                <w:color w:val="000000"/>
              </w:rPr>
            </w:pPr>
            <w:r>
              <w:rPr>
                <w:rFonts w:asciiTheme="minorHAnsi" w:hAnsiTheme="minorHAnsi" w:cstheme="minorHAnsi"/>
                <w:noProof/>
              </w:rPr>
              <w:t>–4,21 %</w:t>
            </w:r>
          </w:p>
        </w:tc>
      </w:tr>
      <w:tr>
        <w:trPr>
          <w:trHeight w:val="300"/>
        </w:trPr>
        <w:tc>
          <w:tcPr>
            <w:tcW w:w="2974" w:type="dxa"/>
            <w:tcBorders>
              <w:top w:val="nil"/>
              <w:left w:val="single" w:sz="4" w:space="0" w:color="auto"/>
              <w:bottom w:val="nil"/>
              <w:right w:val="single" w:sz="4" w:space="0" w:color="auto"/>
            </w:tcBorders>
            <w:noWrap/>
          </w:tcPr>
          <w:p>
            <w:pPr>
              <w:rPr>
                <w:rFonts w:asciiTheme="minorHAnsi" w:hAnsiTheme="minorHAnsi" w:cstheme="minorHAnsi"/>
                <w:b/>
                <w:noProof/>
              </w:rPr>
            </w:pPr>
          </w:p>
        </w:tc>
        <w:tc>
          <w:tcPr>
            <w:tcW w:w="1316" w:type="dxa"/>
            <w:tcBorders>
              <w:left w:val="single" w:sz="4" w:space="0" w:color="auto"/>
            </w:tcBorders>
            <w:noWrap/>
            <w:vAlign w:val="bottom"/>
          </w:tcPr>
          <w:p>
            <w:pPr>
              <w:rPr>
                <w:rFonts w:asciiTheme="minorHAnsi" w:hAnsiTheme="minorHAnsi" w:cstheme="minorHAnsi"/>
                <w:noProof/>
              </w:rPr>
            </w:pPr>
            <w:r>
              <w:rPr>
                <w:rFonts w:asciiTheme="minorHAnsi" w:hAnsiTheme="minorHAnsi" w:cstheme="minorHAnsi"/>
                <w:noProof/>
                <w:color w:val="000000"/>
              </w:rPr>
              <w:t>Croația</w:t>
            </w:r>
          </w:p>
        </w:tc>
        <w:tc>
          <w:tcPr>
            <w:tcW w:w="1661" w:type="dxa"/>
            <w:noWrap/>
          </w:tcPr>
          <w:p>
            <w:pPr>
              <w:jc w:val="center"/>
              <w:rPr>
                <w:rFonts w:asciiTheme="minorHAnsi" w:hAnsiTheme="minorHAnsi" w:cstheme="minorHAnsi"/>
                <w:noProof/>
              </w:rPr>
            </w:pPr>
            <w:r>
              <w:rPr>
                <w:rFonts w:asciiTheme="minorHAnsi" w:hAnsiTheme="minorHAnsi" w:cstheme="minorHAnsi"/>
                <w:noProof/>
              </w:rPr>
              <w:t>157,53</w:t>
            </w:r>
          </w:p>
        </w:tc>
        <w:tc>
          <w:tcPr>
            <w:tcW w:w="1418" w:type="dxa"/>
            <w:noWrap/>
          </w:tcPr>
          <w:p>
            <w:pPr>
              <w:jc w:val="center"/>
              <w:rPr>
                <w:rFonts w:asciiTheme="minorHAnsi" w:hAnsiTheme="minorHAnsi" w:cstheme="minorHAnsi"/>
                <w:noProof/>
              </w:rPr>
            </w:pPr>
            <w:r>
              <w:rPr>
                <w:rFonts w:asciiTheme="minorHAnsi" w:hAnsiTheme="minorHAnsi" w:cstheme="minorHAnsi"/>
                <w:noProof/>
              </w:rPr>
              <w:t>0,98 %</w:t>
            </w:r>
          </w:p>
        </w:tc>
        <w:tc>
          <w:tcPr>
            <w:tcW w:w="1703" w:type="dxa"/>
          </w:tcPr>
          <w:p>
            <w:pPr>
              <w:jc w:val="center"/>
              <w:rPr>
                <w:rFonts w:asciiTheme="minorHAnsi" w:eastAsia="Times New Roman" w:hAnsiTheme="minorHAnsi" w:cstheme="minorHAnsi"/>
                <w:noProof/>
                <w:color w:val="000000"/>
              </w:rPr>
            </w:pPr>
            <w:r>
              <w:rPr>
                <w:rFonts w:asciiTheme="minorHAnsi" w:hAnsiTheme="minorHAnsi" w:cstheme="minorHAnsi"/>
                <w:noProof/>
              </w:rPr>
              <w:t>–18,38 %</w:t>
            </w:r>
          </w:p>
        </w:tc>
      </w:tr>
      <w:tr>
        <w:trPr>
          <w:trHeight w:val="300"/>
        </w:trPr>
        <w:tc>
          <w:tcPr>
            <w:tcW w:w="2974" w:type="dxa"/>
            <w:tcBorders>
              <w:top w:val="nil"/>
              <w:left w:val="single" w:sz="4" w:space="0" w:color="auto"/>
              <w:bottom w:val="nil"/>
              <w:right w:val="single" w:sz="4" w:space="0" w:color="auto"/>
            </w:tcBorders>
            <w:noWrap/>
          </w:tcPr>
          <w:p>
            <w:pPr>
              <w:rPr>
                <w:rFonts w:asciiTheme="minorHAnsi" w:hAnsiTheme="minorHAnsi" w:cstheme="minorHAnsi"/>
                <w:b/>
                <w:noProof/>
              </w:rPr>
            </w:pPr>
          </w:p>
        </w:tc>
        <w:tc>
          <w:tcPr>
            <w:tcW w:w="1316" w:type="dxa"/>
            <w:tcBorders>
              <w:left w:val="single" w:sz="4" w:space="0" w:color="auto"/>
            </w:tcBorders>
            <w:noWrap/>
            <w:vAlign w:val="bottom"/>
          </w:tcPr>
          <w:p>
            <w:pPr>
              <w:rPr>
                <w:rFonts w:asciiTheme="minorHAnsi" w:hAnsiTheme="minorHAnsi" w:cstheme="minorHAnsi"/>
                <w:noProof/>
              </w:rPr>
            </w:pPr>
            <w:r>
              <w:rPr>
                <w:rFonts w:asciiTheme="minorHAnsi" w:hAnsiTheme="minorHAnsi" w:cstheme="minorHAnsi"/>
                <w:noProof/>
                <w:color w:val="000000"/>
              </w:rPr>
              <w:t>Grecia</w:t>
            </w:r>
          </w:p>
        </w:tc>
        <w:tc>
          <w:tcPr>
            <w:tcW w:w="1661" w:type="dxa"/>
            <w:noWrap/>
          </w:tcPr>
          <w:p>
            <w:pPr>
              <w:jc w:val="center"/>
              <w:rPr>
                <w:rFonts w:asciiTheme="minorHAnsi" w:hAnsiTheme="minorHAnsi" w:cstheme="minorHAnsi"/>
                <w:noProof/>
              </w:rPr>
            </w:pPr>
            <w:r>
              <w:rPr>
                <w:rFonts w:asciiTheme="minorHAnsi" w:hAnsiTheme="minorHAnsi" w:cstheme="minorHAnsi"/>
                <w:noProof/>
              </w:rPr>
              <w:t>53,64</w:t>
            </w:r>
          </w:p>
        </w:tc>
        <w:tc>
          <w:tcPr>
            <w:tcW w:w="1418" w:type="dxa"/>
            <w:noWrap/>
          </w:tcPr>
          <w:p>
            <w:pPr>
              <w:jc w:val="center"/>
              <w:rPr>
                <w:rFonts w:asciiTheme="minorHAnsi" w:hAnsiTheme="minorHAnsi" w:cstheme="minorHAnsi"/>
                <w:noProof/>
              </w:rPr>
            </w:pPr>
            <w:r>
              <w:rPr>
                <w:rFonts w:asciiTheme="minorHAnsi" w:hAnsiTheme="minorHAnsi" w:cstheme="minorHAnsi"/>
                <w:noProof/>
              </w:rPr>
              <w:t>0,33 %</w:t>
            </w:r>
          </w:p>
        </w:tc>
        <w:tc>
          <w:tcPr>
            <w:tcW w:w="1703" w:type="dxa"/>
          </w:tcPr>
          <w:p>
            <w:pPr>
              <w:jc w:val="center"/>
              <w:rPr>
                <w:rFonts w:asciiTheme="minorHAnsi" w:eastAsia="Times New Roman" w:hAnsiTheme="minorHAnsi" w:cstheme="minorHAnsi"/>
                <w:noProof/>
                <w:color w:val="000000"/>
              </w:rPr>
            </w:pPr>
            <w:r>
              <w:rPr>
                <w:rFonts w:asciiTheme="minorHAnsi" w:hAnsiTheme="minorHAnsi" w:cstheme="minorHAnsi"/>
                <w:noProof/>
              </w:rPr>
              <w:t>–10,60 %</w:t>
            </w:r>
          </w:p>
        </w:tc>
      </w:tr>
      <w:tr>
        <w:trPr>
          <w:trHeight w:val="300"/>
        </w:trPr>
        <w:tc>
          <w:tcPr>
            <w:tcW w:w="2974" w:type="dxa"/>
            <w:tcBorders>
              <w:top w:val="nil"/>
              <w:left w:val="single" w:sz="4" w:space="0" w:color="auto"/>
              <w:bottom w:val="nil"/>
              <w:right w:val="single" w:sz="4" w:space="0" w:color="auto"/>
            </w:tcBorders>
            <w:noWrap/>
          </w:tcPr>
          <w:p>
            <w:pPr>
              <w:rPr>
                <w:rFonts w:asciiTheme="minorHAnsi" w:hAnsiTheme="minorHAnsi" w:cstheme="minorHAnsi"/>
                <w:b/>
                <w:noProof/>
              </w:rPr>
            </w:pPr>
          </w:p>
        </w:tc>
        <w:tc>
          <w:tcPr>
            <w:tcW w:w="1316" w:type="dxa"/>
            <w:tcBorders>
              <w:left w:val="single" w:sz="4" w:space="0" w:color="auto"/>
            </w:tcBorders>
            <w:noWrap/>
            <w:vAlign w:val="bottom"/>
          </w:tcPr>
          <w:p>
            <w:pPr>
              <w:rPr>
                <w:rFonts w:asciiTheme="minorHAnsi" w:eastAsia="Times New Roman" w:hAnsiTheme="minorHAnsi" w:cstheme="minorHAnsi"/>
                <w:noProof/>
                <w:color w:val="000000"/>
              </w:rPr>
            </w:pPr>
            <w:r>
              <w:rPr>
                <w:rFonts w:asciiTheme="minorHAnsi" w:hAnsiTheme="minorHAnsi" w:cstheme="minorHAnsi"/>
                <w:noProof/>
                <w:color w:val="000000"/>
              </w:rPr>
              <w:t>Italia</w:t>
            </w:r>
          </w:p>
        </w:tc>
        <w:tc>
          <w:tcPr>
            <w:tcW w:w="1661" w:type="dxa"/>
            <w:noWrap/>
          </w:tcPr>
          <w:p>
            <w:pPr>
              <w:jc w:val="center"/>
              <w:rPr>
                <w:rFonts w:asciiTheme="minorHAnsi" w:hAnsiTheme="minorHAnsi" w:cstheme="minorHAnsi"/>
                <w:noProof/>
              </w:rPr>
            </w:pPr>
            <w:r>
              <w:rPr>
                <w:rFonts w:asciiTheme="minorHAnsi" w:hAnsiTheme="minorHAnsi" w:cstheme="minorHAnsi"/>
                <w:noProof/>
              </w:rPr>
              <w:t>1 606</w:t>
            </w:r>
          </w:p>
        </w:tc>
        <w:tc>
          <w:tcPr>
            <w:tcW w:w="1418" w:type="dxa"/>
            <w:noWrap/>
          </w:tcPr>
          <w:p>
            <w:pPr>
              <w:jc w:val="center"/>
              <w:rPr>
                <w:rFonts w:asciiTheme="minorHAnsi" w:eastAsia="Times New Roman" w:hAnsiTheme="minorHAnsi" w:cstheme="minorHAnsi"/>
                <w:noProof/>
                <w:color w:val="000000"/>
              </w:rPr>
            </w:pPr>
            <w:r>
              <w:rPr>
                <w:rFonts w:asciiTheme="minorHAnsi" w:hAnsiTheme="minorHAnsi" w:cstheme="minorHAnsi"/>
                <w:noProof/>
              </w:rPr>
              <w:t>9,99 %</w:t>
            </w:r>
          </w:p>
        </w:tc>
        <w:tc>
          <w:tcPr>
            <w:tcW w:w="1703" w:type="dxa"/>
          </w:tcPr>
          <w:p>
            <w:pPr>
              <w:jc w:val="center"/>
              <w:rPr>
                <w:rFonts w:asciiTheme="minorHAnsi" w:eastAsia="Times New Roman" w:hAnsiTheme="minorHAnsi" w:cstheme="minorHAnsi"/>
                <w:noProof/>
                <w:color w:val="000000"/>
              </w:rPr>
            </w:pPr>
            <w:r>
              <w:rPr>
                <w:rFonts w:asciiTheme="minorHAnsi" w:hAnsiTheme="minorHAnsi" w:cstheme="minorHAnsi"/>
                <w:noProof/>
              </w:rPr>
              <w:t>–2,37 %</w:t>
            </w:r>
          </w:p>
        </w:tc>
      </w:tr>
      <w:tr>
        <w:trPr>
          <w:trHeight w:val="300"/>
        </w:trPr>
        <w:tc>
          <w:tcPr>
            <w:tcW w:w="2974" w:type="dxa"/>
            <w:tcBorders>
              <w:top w:val="nil"/>
              <w:left w:val="single" w:sz="4" w:space="0" w:color="auto"/>
              <w:bottom w:val="single" w:sz="4" w:space="0" w:color="auto"/>
              <w:right w:val="single" w:sz="4" w:space="0" w:color="auto"/>
            </w:tcBorders>
            <w:noWrap/>
          </w:tcPr>
          <w:p>
            <w:pPr>
              <w:rPr>
                <w:rFonts w:asciiTheme="minorHAnsi" w:hAnsiTheme="minorHAnsi" w:cstheme="minorHAnsi"/>
                <w:b/>
                <w:noProof/>
              </w:rPr>
            </w:pPr>
          </w:p>
        </w:tc>
        <w:tc>
          <w:tcPr>
            <w:tcW w:w="1316" w:type="dxa"/>
            <w:tcBorders>
              <w:left w:val="single" w:sz="4" w:space="0" w:color="auto"/>
            </w:tcBorders>
            <w:noWrap/>
            <w:vAlign w:val="bottom"/>
          </w:tcPr>
          <w:p>
            <w:pPr>
              <w:rPr>
                <w:rFonts w:asciiTheme="minorHAnsi" w:hAnsiTheme="minorHAnsi" w:cstheme="minorHAnsi"/>
                <w:noProof/>
              </w:rPr>
            </w:pPr>
            <w:r>
              <w:rPr>
                <w:rFonts w:asciiTheme="minorHAnsi" w:hAnsiTheme="minorHAnsi" w:cstheme="minorHAnsi"/>
                <w:noProof/>
                <w:color w:val="000000"/>
              </w:rPr>
              <w:t>Spania</w:t>
            </w:r>
          </w:p>
        </w:tc>
        <w:tc>
          <w:tcPr>
            <w:tcW w:w="1661" w:type="dxa"/>
            <w:noWrap/>
          </w:tcPr>
          <w:p>
            <w:pPr>
              <w:jc w:val="center"/>
              <w:rPr>
                <w:rFonts w:asciiTheme="minorHAnsi" w:hAnsiTheme="minorHAnsi" w:cstheme="minorHAnsi"/>
                <w:noProof/>
              </w:rPr>
            </w:pPr>
            <w:r>
              <w:rPr>
                <w:rFonts w:asciiTheme="minorHAnsi" w:hAnsiTheme="minorHAnsi" w:cstheme="minorHAnsi"/>
                <w:noProof/>
              </w:rPr>
              <w:t>0</w:t>
            </w:r>
          </w:p>
        </w:tc>
        <w:tc>
          <w:tcPr>
            <w:tcW w:w="1418" w:type="dxa"/>
            <w:noWrap/>
          </w:tcPr>
          <w:p>
            <w:pPr>
              <w:jc w:val="center"/>
              <w:rPr>
                <w:rFonts w:asciiTheme="minorHAnsi" w:hAnsiTheme="minorHAnsi" w:cstheme="minorHAnsi"/>
                <w:noProof/>
              </w:rPr>
            </w:pPr>
            <w:r>
              <w:rPr>
                <w:rFonts w:asciiTheme="minorHAnsi" w:hAnsiTheme="minorHAnsi" w:cstheme="minorHAnsi"/>
                <w:noProof/>
              </w:rPr>
              <w:t>0,0 %</w:t>
            </w:r>
          </w:p>
        </w:tc>
        <w:tc>
          <w:tcPr>
            <w:tcW w:w="1703" w:type="dxa"/>
          </w:tcPr>
          <w:p>
            <w:pPr>
              <w:jc w:val="center"/>
              <w:rPr>
                <w:rFonts w:asciiTheme="minorHAnsi" w:eastAsia="Times New Roman" w:hAnsiTheme="minorHAnsi" w:cstheme="minorHAnsi"/>
                <w:noProof/>
                <w:color w:val="000000"/>
              </w:rPr>
            </w:pPr>
            <w:r>
              <w:rPr>
                <w:rFonts w:asciiTheme="minorHAnsi" w:hAnsiTheme="minorHAnsi" w:cstheme="minorHAnsi"/>
                <w:noProof/>
              </w:rPr>
              <w:t>--</w:t>
            </w:r>
          </w:p>
        </w:tc>
      </w:tr>
      <w:tr>
        <w:trPr>
          <w:trHeight w:val="300"/>
        </w:trPr>
        <w:tc>
          <w:tcPr>
            <w:tcW w:w="2974" w:type="dxa"/>
            <w:tcBorders>
              <w:top w:val="single" w:sz="4" w:space="0" w:color="auto"/>
              <w:left w:val="single" w:sz="4" w:space="0" w:color="auto"/>
              <w:bottom w:val="nil"/>
              <w:right w:val="single" w:sz="4" w:space="0" w:color="auto"/>
            </w:tcBorders>
            <w:noWrap/>
          </w:tcPr>
          <w:p>
            <w:pPr>
              <w:rPr>
                <w:rFonts w:asciiTheme="minorHAnsi" w:hAnsiTheme="minorHAnsi" w:cstheme="minorHAnsi"/>
                <w:b/>
                <w:noProof/>
              </w:rPr>
            </w:pPr>
            <w:r>
              <w:rPr>
                <w:rFonts w:asciiTheme="minorHAnsi" w:hAnsiTheme="minorHAnsi" w:cstheme="minorHAnsi"/>
                <w:b/>
                <w:noProof/>
              </w:rPr>
              <w:t>Marea Nordului și Oceanul Atlantic</w:t>
            </w:r>
          </w:p>
        </w:tc>
        <w:tc>
          <w:tcPr>
            <w:tcW w:w="1316" w:type="dxa"/>
            <w:tcBorders>
              <w:left w:val="single" w:sz="4" w:space="0" w:color="auto"/>
            </w:tcBorders>
            <w:noWrap/>
          </w:tcPr>
          <w:p>
            <w:pPr>
              <w:rPr>
                <w:rFonts w:asciiTheme="minorHAnsi" w:hAnsiTheme="minorHAnsi" w:cstheme="minorHAnsi"/>
                <w:noProof/>
              </w:rPr>
            </w:pPr>
          </w:p>
        </w:tc>
        <w:tc>
          <w:tcPr>
            <w:tcW w:w="1661" w:type="dxa"/>
            <w:noWrap/>
          </w:tcPr>
          <w:p>
            <w:pPr>
              <w:jc w:val="center"/>
              <w:rPr>
                <w:rFonts w:asciiTheme="minorHAnsi" w:eastAsia="Times New Roman" w:hAnsiTheme="minorHAnsi" w:cstheme="minorHAnsi"/>
                <w:b/>
                <w:bCs/>
                <w:noProof/>
                <w:color w:val="000000"/>
              </w:rPr>
            </w:pPr>
            <w:r>
              <w:rPr>
                <w:rFonts w:asciiTheme="minorHAnsi" w:hAnsiTheme="minorHAnsi" w:cstheme="minorHAnsi"/>
                <w:noProof/>
              </w:rPr>
              <w:t>12 254</w:t>
            </w:r>
          </w:p>
        </w:tc>
        <w:tc>
          <w:tcPr>
            <w:tcW w:w="1418" w:type="dxa"/>
            <w:noWrap/>
          </w:tcPr>
          <w:p>
            <w:pPr>
              <w:jc w:val="center"/>
              <w:rPr>
                <w:rFonts w:asciiTheme="minorHAnsi" w:eastAsia="Times New Roman" w:hAnsiTheme="minorHAnsi" w:cstheme="minorHAnsi"/>
                <w:b/>
                <w:bCs/>
                <w:noProof/>
                <w:color w:val="000000"/>
              </w:rPr>
            </w:pPr>
            <w:r>
              <w:rPr>
                <w:rFonts w:asciiTheme="minorHAnsi" w:hAnsiTheme="minorHAnsi" w:cstheme="minorHAnsi"/>
                <w:noProof/>
              </w:rPr>
              <w:t>76,20 %</w:t>
            </w:r>
          </w:p>
        </w:tc>
        <w:tc>
          <w:tcPr>
            <w:tcW w:w="1703" w:type="dxa"/>
          </w:tcPr>
          <w:p>
            <w:pPr>
              <w:jc w:val="center"/>
              <w:rPr>
                <w:rFonts w:asciiTheme="minorHAnsi" w:eastAsia="Times New Roman" w:hAnsiTheme="minorHAnsi" w:cstheme="minorHAnsi"/>
                <w:b/>
                <w:bCs/>
                <w:noProof/>
                <w:color w:val="000000"/>
              </w:rPr>
            </w:pPr>
            <w:r>
              <w:rPr>
                <w:rFonts w:asciiTheme="minorHAnsi" w:hAnsiTheme="minorHAnsi" w:cstheme="minorHAnsi"/>
                <w:noProof/>
              </w:rPr>
              <w:t>6,08 %</w:t>
            </w:r>
          </w:p>
        </w:tc>
      </w:tr>
      <w:tr>
        <w:trPr>
          <w:trHeight w:val="300"/>
        </w:trPr>
        <w:tc>
          <w:tcPr>
            <w:tcW w:w="2974" w:type="dxa"/>
            <w:tcBorders>
              <w:top w:val="nil"/>
              <w:left w:val="single" w:sz="4" w:space="0" w:color="auto"/>
              <w:bottom w:val="nil"/>
              <w:right w:val="single" w:sz="4" w:space="0" w:color="auto"/>
            </w:tcBorders>
            <w:noWrap/>
          </w:tcPr>
          <w:p>
            <w:pPr>
              <w:rPr>
                <w:rFonts w:asciiTheme="minorHAnsi" w:hAnsiTheme="minorHAnsi" w:cstheme="minorHAnsi"/>
                <w:b/>
                <w:noProof/>
              </w:rPr>
            </w:pPr>
          </w:p>
        </w:tc>
        <w:tc>
          <w:tcPr>
            <w:tcW w:w="1316" w:type="dxa"/>
            <w:tcBorders>
              <w:left w:val="single" w:sz="4" w:space="0" w:color="auto"/>
            </w:tcBorders>
            <w:noWrap/>
            <w:vAlign w:val="bottom"/>
          </w:tcPr>
          <w:p>
            <w:pPr>
              <w:rPr>
                <w:rFonts w:asciiTheme="minorHAnsi" w:hAnsiTheme="minorHAnsi" w:cstheme="minorHAnsi"/>
                <w:noProof/>
              </w:rPr>
            </w:pPr>
            <w:r>
              <w:rPr>
                <w:rFonts w:asciiTheme="minorHAnsi" w:hAnsiTheme="minorHAnsi" w:cstheme="minorHAnsi"/>
                <w:noProof/>
                <w:color w:val="000000"/>
              </w:rPr>
              <w:t>Danemarca</w:t>
            </w:r>
          </w:p>
        </w:tc>
        <w:tc>
          <w:tcPr>
            <w:tcW w:w="1661" w:type="dxa"/>
            <w:noWrap/>
            <w:hideMark/>
          </w:tcPr>
          <w:p>
            <w:pPr>
              <w:jc w:val="center"/>
              <w:rPr>
                <w:rFonts w:asciiTheme="minorHAnsi" w:hAnsiTheme="minorHAnsi" w:cstheme="minorHAnsi"/>
                <w:noProof/>
              </w:rPr>
            </w:pPr>
            <w:r>
              <w:rPr>
                <w:rFonts w:asciiTheme="minorHAnsi" w:hAnsiTheme="minorHAnsi" w:cstheme="minorHAnsi"/>
                <w:noProof/>
              </w:rPr>
              <w:t>4 534</w:t>
            </w:r>
          </w:p>
        </w:tc>
        <w:tc>
          <w:tcPr>
            <w:tcW w:w="1418" w:type="dxa"/>
            <w:noWrap/>
            <w:hideMark/>
          </w:tcPr>
          <w:p>
            <w:pPr>
              <w:jc w:val="center"/>
              <w:rPr>
                <w:rFonts w:asciiTheme="minorHAnsi" w:hAnsiTheme="minorHAnsi" w:cstheme="minorHAnsi"/>
                <w:noProof/>
              </w:rPr>
            </w:pPr>
            <w:r>
              <w:rPr>
                <w:rFonts w:asciiTheme="minorHAnsi" w:hAnsiTheme="minorHAnsi" w:cstheme="minorHAnsi"/>
                <w:noProof/>
              </w:rPr>
              <w:t>28,19 %</w:t>
            </w:r>
          </w:p>
        </w:tc>
        <w:tc>
          <w:tcPr>
            <w:tcW w:w="1703" w:type="dxa"/>
          </w:tcPr>
          <w:p>
            <w:pPr>
              <w:jc w:val="center"/>
              <w:rPr>
                <w:rFonts w:asciiTheme="minorHAnsi" w:eastAsia="Times New Roman" w:hAnsiTheme="minorHAnsi" w:cstheme="minorHAnsi"/>
                <w:noProof/>
                <w:color w:val="000000"/>
              </w:rPr>
            </w:pPr>
            <w:r>
              <w:rPr>
                <w:rFonts w:asciiTheme="minorHAnsi" w:hAnsiTheme="minorHAnsi" w:cstheme="minorHAnsi"/>
                <w:noProof/>
              </w:rPr>
              <w:t>–3,53 %</w:t>
            </w:r>
          </w:p>
        </w:tc>
      </w:tr>
      <w:tr>
        <w:trPr>
          <w:trHeight w:val="300"/>
        </w:trPr>
        <w:tc>
          <w:tcPr>
            <w:tcW w:w="2974" w:type="dxa"/>
            <w:tcBorders>
              <w:top w:val="nil"/>
              <w:left w:val="single" w:sz="4" w:space="0" w:color="auto"/>
              <w:bottom w:val="nil"/>
              <w:right w:val="single" w:sz="4" w:space="0" w:color="auto"/>
            </w:tcBorders>
            <w:noWrap/>
          </w:tcPr>
          <w:p>
            <w:pPr>
              <w:rPr>
                <w:rFonts w:asciiTheme="minorHAnsi" w:hAnsiTheme="minorHAnsi" w:cstheme="minorHAnsi"/>
                <w:b/>
                <w:noProof/>
              </w:rPr>
            </w:pPr>
          </w:p>
        </w:tc>
        <w:tc>
          <w:tcPr>
            <w:tcW w:w="1316" w:type="dxa"/>
            <w:tcBorders>
              <w:left w:val="single" w:sz="4" w:space="0" w:color="auto"/>
            </w:tcBorders>
            <w:noWrap/>
          </w:tcPr>
          <w:p>
            <w:pPr>
              <w:rPr>
                <w:rFonts w:asciiTheme="minorHAnsi" w:eastAsia="Times New Roman" w:hAnsiTheme="minorHAnsi" w:cstheme="minorHAnsi"/>
                <w:noProof/>
                <w:color w:val="000000"/>
              </w:rPr>
            </w:pPr>
            <w:r>
              <w:rPr>
                <w:rFonts w:asciiTheme="minorHAnsi" w:hAnsiTheme="minorHAnsi" w:cstheme="minorHAnsi"/>
                <w:noProof/>
                <w:color w:val="000000"/>
              </w:rPr>
              <w:t>Germania</w:t>
            </w:r>
          </w:p>
        </w:tc>
        <w:tc>
          <w:tcPr>
            <w:tcW w:w="1661" w:type="dxa"/>
            <w:noWrap/>
          </w:tcPr>
          <w:p>
            <w:pPr>
              <w:jc w:val="center"/>
              <w:rPr>
                <w:rFonts w:asciiTheme="minorHAnsi" w:hAnsiTheme="minorHAnsi" w:cstheme="minorHAnsi"/>
                <w:noProof/>
              </w:rPr>
            </w:pPr>
            <w:r>
              <w:rPr>
                <w:rFonts w:asciiTheme="minorHAnsi" w:hAnsiTheme="minorHAnsi" w:cstheme="minorHAnsi"/>
                <w:noProof/>
              </w:rPr>
              <w:t>730</w:t>
            </w:r>
          </w:p>
        </w:tc>
        <w:tc>
          <w:tcPr>
            <w:tcW w:w="1418" w:type="dxa"/>
            <w:noWrap/>
          </w:tcPr>
          <w:p>
            <w:pPr>
              <w:jc w:val="center"/>
              <w:rPr>
                <w:rFonts w:asciiTheme="minorHAnsi" w:eastAsia="Times New Roman" w:hAnsiTheme="minorHAnsi" w:cstheme="minorHAnsi"/>
                <w:noProof/>
                <w:color w:val="000000"/>
              </w:rPr>
            </w:pPr>
            <w:r>
              <w:rPr>
                <w:rFonts w:asciiTheme="minorHAnsi" w:hAnsiTheme="minorHAnsi" w:cstheme="minorHAnsi"/>
                <w:noProof/>
              </w:rPr>
              <w:t>4,54 %</w:t>
            </w:r>
          </w:p>
        </w:tc>
        <w:tc>
          <w:tcPr>
            <w:tcW w:w="1703" w:type="dxa"/>
          </w:tcPr>
          <w:p>
            <w:pPr>
              <w:jc w:val="center"/>
              <w:rPr>
                <w:rFonts w:asciiTheme="minorHAnsi" w:eastAsia="Times New Roman" w:hAnsiTheme="minorHAnsi" w:cstheme="minorHAnsi"/>
                <w:noProof/>
                <w:color w:val="000000"/>
              </w:rPr>
            </w:pPr>
            <w:r>
              <w:rPr>
                <w:rFonts w:asciiTheme="minorHAnsi" w:hAnsiTheme="minorHAnsi" w:cstheme="minorHAnsi"/>
                <w:noProof/>
              </w:rPr>
              <w:t>3,40 %</w:t>
            </w:r>
          </w:p>
        </w:tc>
      </w:tr>
      <w:tr>
        <w:trPr>
          <w:trHeight w:val="300"/>
        </w:trPr>
        <w:tc>
          <w:tcPr>
            <w:tcW w:w="2974" w:type="dxa"/>
            <w:tcBorders>
              <w:top w:val="nil"/>
              <w:left w:val="single" w:sz="4" w:space="0" w:color="auto"/>
              <w:bottom w:val="single" w:sz="4" w:space="0" w:color="auto"/>
              <w:right w:val="single" w:sz="4" w:space="0" w:color="auto"/>
            </w:tcBorders>
            <w:noWrap/>
          </w:tcPr>
          <w:p>
            <w:pPr>
              <w:rPr>
                <w:rFonts w:asciiTheme="minorHAnsi" w:hAnsiTheme="minorHAnsi" w:cstheme="minorHAnsi"/>
                <w:b/>
                <w:noProof/>
              </w:rPr>
            </w:pPr>
          </w:p>
        </w:tc>
        <w:tc>
          <w:tcPr>
            <w:tcW w:w="1316" w:type="dxa"/>
            <w:tcBorders>
              <w:left w:val="single" w:sz="4" w:space="0" w:color="auto"/>
            </w:tcBorders>
            <w:noWrap/>
          </w:tcPr>
          <w:p>
            <w:pPr>
              <w:rPr>
                <w:rFonts w:asciiTheme="minorHAnsi" w:eastAsia="Times New Roman" w:hAnsiTheme="minorHAnsi" w:cstheme="minorHAnsi"/>
                <w:noProof/>
                <w:color w:val="000000"/>
              </w:rPr>
            </w:pPr>
            <w:r>
              <w:rPr>
                <w:rFonts w:asciiTheme="minorHAnsi" w:hAnsiTheme="minorHAnsi" w:cstheme="minorHAnsi"/>
                <w:noProof/>
                <w:color w:val="000000"/>
              </w:rPr>
              <w:t>Țările de Jos</w:t>
            </w:r>
          </w:p>
        </w:tc>
        <w:tc>
          <w:tcPr>
            <w:tcW w:w="1661" w:type="dxa"/>
            <w:noWrap/>
          </w:tcPr>
          <w:p>
            <w:pPr>
              <w:spacing w:line="720" w:lineRule="auto"/>
              <w:jc w:val="center"/>
              <w:rPr>
                <w:rFonts w:asciiTheme="minorHAnsi" w:eastAsia="Times New Roman" w:hAnsiTheme="minorHAnsi" w:cstheme="minorHAnsi"/>
                <w:noProof/>
                <w:color w:val="000000"/>
              </w:rPr>
            </w:pPr>
            <w:r>
              <w:rPr>
                <w:rFonts w:asciiTheme="minorHAnsi" w:hAnsiTheme="minorHAnsi" w:cstheme="minorHAnsi"/>
                <w:noProof/>
              </w:rPr>
              <w:t>6 990</w:t>
            </w:r>
          </w:p>
        </w:tc>
        <w:tc>
          <w:tcPr>
            <w:tcW w:w="1418" w:type="dxa"/>
            <w:noWrap/>
          </w:tcPr>
          <w:p>
            <w:pPr>
              <w:jc w:val="center"/>
              <w:rPr>
                <w:rFonts w:asciiTheme="minorHAnsi" w:hAnsiTheme="minorHAnsi" w:cstheme="minorHAnsi"/>
                <w:noProof/>
              </w:rPr>
            </w:pPr>
            <w:r>
              <w:rPr>
                <w:rFonts w:asciiTheme="minorHAnsi" w:hAnsiTheme="minorHAnsi" w:cstheme="minorHAnsi"/>
                <w:noProof/>
              </w:rPr>
              <w:t>43,47 %</w:t>
            </w:r>
          </w:p>
        </w:tc>
        <w:tc>
          <w:tcPr>
            <w:tcW w:w="1703" w:type="dxa"/>
          </w:tcPr>
          <w:p>
            <w:pPr>
              <w:jc w:val="center"/>
              <w:rPr>
                <w:rFonts w:asciiTheme="minorHAnsi" w:eastAsia="Times New Roman" w:hAnsiTheme="minorHAnsi" w:cstheme="minorHAnsi"/>
                <w:noProof/>
                <w:color w:val="000000"/>
              </w:rPr>
            </w:pPr>
            <w:r>
              <w:rPr>
                <w:rFonts w:asciiTheme="minorHAnsi" w:hAnsiTheme="minorHAnsi" w:cstheme="minorHAnsi"/>
                <w:noProof/>
              </w:rPr>
              <w:t>13,73 %</w:t>
            </w:r>
          </w:p>
        </w:tc>
      </w:tr>
      <w:tr>
        <w:trPr>
          <w:trHeight w:val="512"/>
        </w:trPr>
        <w:tc>
          <w:tcPr>
            <w:tcW w:w="2974" w:type="dxa"/>
            <w:tcBorders>
              <w:top w:val="single" w:sz="4" w:space="0" w:color="auto"/>
              <w:left w:val="single" w:sz="4" w:space="0" w:color="auto"/>
              <w:bottom w:val="single" w:sz="4" w:space="0" w:color="auto"/>
              <w:right w:val="single" w:sz="4" w:space="0" w:color="auto"/>
            </w:tcBorders>
            <w:noWrap/>
          </w:tcPr>
          <w:p>
            <w:pPr>
              <w:rPr>
                <w:rFonts w:asciiTheme="minorHAnsi" w:hAnsiTheme="minorHAnsi" w:cstheme="minorHAnsi"/>
                <w:b/>
                <w:noProof/>
              </w:rPr>
            </w:pPr>
            <w:r>
              <w:rPr>
                <w:rFonts w:asciiTheme="minorHAnsi" w:hAnsiTheme="minorHAnsi" w:cstheme="minorHAnsi"/>
                <w:b/>
                <w:noProof/>
              </w:rPr>
              <w:t>Total</w:t>
            </w:r>
          </w:p>
        </w:tc>
        <w:tc>
          <w:tcPr>
            <w:tcW w:w="1316" w:type="dxa"/>
            <w:tcBorders>
              <w:left w:val="single" w:sz="4" w:space="0" w:color="auto"/>
            </w:tcBorders>
            <w:noWrap/>
          </w:tcPr>
          <w:p>
            <w:pPr>
              <w:rPr>
                <w:rFonts w:asciiTheme="minorHAnsi" w:hAnsiTheme="minorHAnsi" w:cstheme="minorHAnsi"/>
                <w:noProof/>
              </w:rPr>
            </w:pPr>
          </w:p>
        </w:tc>
        <w:tc>
          <w:tcPr>
            <w:tcW w:w="1661" w:type="dxa"/>
            <w:noWrap/>
          </w:tcPr>
          <w:p>
            <w:pPr>
              <w:jc w:val="center"/>
              <w:rPr>
                <w:rFonts w:asciiTheme="minorHAnsi" w:hAnsiTheme="minorHAnsi" w:cstheme="minorHAnsi"/>
                <w:b/>
                <w:bCs/>
                <w:noProof/>
              </w:rPr>
            </w:pPr>
            <w:r>
              <w:rPr>
                <w:rFonts w:asciiTheme="minorHAnsi" w:hAnsiTheme="minorHAnsi" w:cstheme="minorHAnsi"/>
                <w:noProof/>
              </w:rPr>
              <w:t>16 081,591</w:t>
            </w:r>
          </w:p>
        </w:tc>
        <w:tc>
          <w:tcPr>
            <w:tcW w:w="1418" w:type="dxa"/>
            <w:noWrap/>
          </w:tcPr>
          <w:p>
            <w:pPr>
              <w:jc w:val="center"/>
              <w:rPr>
                <w:rFonts w:asciiTheme="minorHAnsi" w:hAnsiTheme="minorHAnsi" w:cstheme="minorHAnsi"/>
                <w:b/>
                <w:bCs/>
                <w:noProof/>
              </w:rPr>
            </w:pPr>
            <w:r>
              <w:rPr>
                <w:rFonts w:asciiTheme="minorHAnsi" w:hAnsiTheme="minorHAnsi" w:cstheme="minorHAnsi"/>
                <w:noProof/>
              </w:rPr>
              <w:t>100,00 %</w:t>
            </w:r>
          </w:p>
        </w:tc>
        <w:tc>
          <w:tcPr>
            <w:tcW w:w="1703" w:type="dxa"/>
          </w:tcPr>
          <w:p>
            <w:pPr>
              <w:jc w:val="center"/>
              <w:rPr>
                <w:rFonts w:asciiTheme="minorHAnsi" w:hAnsiTheme="minorHAnsi" w:cstheme="minorHAnsi"/>
                <w:b/>
                <w:bCs/>
                <w:noProof/>
              </w:rPr>
            </w:pPr>
            <w:r>
              <w:rPr>
                <w:rFonts w:asciiTheme="minorHAnsi" w:hAnsiTheme="minorHAnsi" w:cstheme="minorHAnsi"/>
                <w:noProof/>
              </w:rPr>
              <w:t>3,63 %</w:t>
            </w:r>
          </w:p>
        </w:tc>
      </w:tr>
    </w:tbl>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rPr>
        <w:lastRenderedPageBreak/>
        <w:t>La nivelul UE, producția de gaze și petrol în 2024 a crescut cu 3,63 % (cca. 563,6 ktep), comparativ cu 2023. În timp ce producția a scăzut în majoritatea țărilor, creșterea globală se datorează în principal unei creșteri cu + 13,8 % a producției în Țările de Jos, principalul producător din UE.</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rPr>
        <w:t xml:space="preserve">În 2024, 69 % din producția totală din UE măsurată în ktep a fost reprezentată de gaze, iar 31 % de petrol. </w:t>
      </w:r>
    </w:p>
    <w:p>
      <w:pPr>
        <w:spacing w:after="0"/>
        <w:jc w:val="both"/>
        <w:rPr>
          <w:rFonts w:ascii="Times New Roman" w:hAnsi="Times New Roman"/>
          <w:noProof/>
          <w:sz w:val="24"/>
          <w:szCs w:val="24"/>
        </w:rPr>
      </w:pPr>
      <w:r>
        <w:rPr>
          <w:rFonts w:ascii="Times New Roman" w:hAnsi="Times New Roman"/>
          <w:noProof/>
          <w:sz w:val="24"/>
        </w:rPr>
        <w:t>Danemarca (3 143 ktep) a rămas cel mai important producător de petrol, urmată de Germania (719 ktep), Italia (389 ktep), Polonia (298 ktep), Țările de Jos (275 ktep) și Grecia (51 ktep). În ceea ce privește gazele naturale, Țările de Jos au rămas cel mai important producător (6 692 ktep), urmate de România (1 613 ktep), Danemarca (1 391 ktep) și Italia (1 217 ktep).</w:t>
      </w:r>
    </w:p>
    <w:p>
      <w:pPr>
        <w:spacing w:after="0"/>
        <w:jc w:val="both"/>
        <w:rPr>
          <w:rFonts w:ascii="Times New Roman" w:hAnsi="Times New Roman"/>
          <w:noProof/>
          <w:sz w:val="24"/>
          <w:szCs w:val="24"/>
        </w:rPr>
      </w:pPr>
    </w:p>
    <w:p>
      <w:pPr>
        <w:pStyle w:val="Heading2"/>
        <w:spacing w:after="120"/>
        <w:rPr>
          <w:rFonts w:ascii="Times New Roman" w:hAnsi="Times New Roman" w:cs="Times New Roman"/>
          <w:noProof/>
          <w:color w:val="auto"/>
        </w:rPr>
      </w:pPr>
      <w:bookmarkStart w:id="7" w:name="_Toc231993443"/>
      <w:r>
        <w:rPr>
          <w:rFonts w:ascii="Times New Roman" w:hAnsi="Times New Roman" w:cs="Times New Roman"/>
          <w:noProof/>
          <w:color w:val="auto"/>
        </w:rPr>
        <w:t>4.2 Inspecțiile, investigațiile, măsurile de asigurare a respectării legii și cadrul de reglementare din sectorul offshore</w:t>
      </w:r>
      <w:bookmarkEnd w:id="7"/>
    </w:p>
    <w:p>
      <w:pPr>
        <w:jc w:val="both"/>
        <w:rPr>
          <w:rFonts w:ascii="Times New Roman" w:hAnsi="Times New Roman"/>
          <w:noProof/>
          <w:sz w:val="24"/>
          <w:szCs w:val="24"/>
        </w:rPr>
      </w:pPr>
      <w:r>
        <w:rPr>
          <w:rFonts w:ascii="Times New Roman" w:hAnsi="Times New Roman"/>
          <w:noProof/>
          <w:sz w:val="24"/>
        </w:rPr>
        <w:t>Autoritățile competente ale statelor membre au inspectat în mod regulat instalațiile offshore aflate sub jurisdicția lor în 2024 (a se vedea tabelul 3). Cu cât o țară are mai multe instalații offshore, cu atât numărul de inspecții pe care le efectuează în mod obișnuit este mai mare.</w:t>
      </w:r>
    </w:p>
    <w:p>
      <w:pPr>
        <w:jc w:val="both"/>
        <w:rPr>
          <w:rFonts w:ascii="Times New Roman" w:hAnsi="Times New Roman"/>
          <w:noProof/>
          <w:sz w:val="24"/>
          <w:szCs w:val="24"/>
        </w:rPr>
      </w:pPr>
      <w:r>
        <w:rPr>
          <w:rFonts w:ascii="Times New Roman" w:hAnsi="Times New Roman"/>
          <w:noProof/>
          <w:sz w:val="24"/>
        </w:rPr>
        <w:t xml:space="preserve">În comparație cu 2023, numărul total de inspecții în UE a scăzut (de la 435 la 371). Acest număr a scăzut, de asemenea, în majoritatea statelor membre. </w:t>
      </w:r>
    </w:p>
    <w:p>
      <w:pPr>
        <w:pStyle w:val="Caption"/>
        <w:rPr>
          <w:noProof/>
        </w:rPr>
      </w:pPr>
      <w:r>
        <w:rPr>
          <w:noProof/>
        </w:rPr>
        <w:t>Tabelul 3: Inspecții offshore pe regiune și stat membru în 2024</w:t>
      </w:r>
    </w:p>
    <w:tbl>
      <w:tblPr>
        <w:tblStyle w:val="TableGrid"/>
        <w:tblW w:w="10065" w:type="dxa"/>
        <w:tblInd w:w="108" w:type="dxa"/>
        <w:tblLook w:val="04A0" w:firstRow="1" w:lastRow="0" w:firstColumn="1" w:lastColumn="0" w:noHBand="0" w:noVBand="1"/>
      </w:tblPr>
      <w:tblGrid>
        <w:gridCol w:w="2391"/>
        <w:gridCol w:w="2673"/>
        <w:gridCol w:w="1451"/>
        <w:gridCol w:w="2274"/>
        <w:gridCol w:w="1276"/>
      </w:tblGrid>
      <w:tr>
        <w:trPr>
          <w:trHeight w:val="300"/>
        </w:trPr>
        <w:tc>
          <w:tcPr>
            <w:tcW w:w="2391" w:type="dxa"/>
            <w:noWrap/>
            <w:hideMark/>
          </w:tcPr>
          <w:p>
            <w:pPr>
              <w:rPr>
                <w:rFonts w:asciiTheme="minorHAnsi" w:hAnsiTheme="minorHAnsi" w:cstheme="minorHAnsi"/>
                <w:b/>
                <w:noProof/>
              </w:rPr>
            </w:pPr>
            <w:r>
              <w:rPr>
                <w:rFonts w:asciiTheme="minorHAnsi" w:hAnsiTheme="minorHAnsi" w:cstheme="minorHAnsi"/>
                <w:b/>
                <w:noProof/>
              </w:rPr>
              <w:t>Regiune</w:t>
            </w:r>
          </w:p>
        </w:tc>
        <w:tc>
          <w:tcPr>
            <w:tcW w:w="2673" w:type="dxa"/>
            <w:noWrap/>
            <w:hideMark/>
          </w:tcPr>
          <w:p>
            <w:pPr>
              <w:rPr>
                <w:rFonts w:asciiTheme="minorHAnsi" w:hAnsiTheme="minorHAnsi" w:cstheme="minorHAnsi"/>
                <w:b/>
                <w:noProof/>
              </w:rPr>
            </w:pPr>
            <w:r>
              <w:rPr>
                <w:rFonts w:asciiTheme="minorHAnsi" w:hAnsiTheme="minorHAnsi" w:cstheme="minorHAnsi"/>
                <w:b/>
                <w:noProof/>
              </w:rPr>
              <w:t>Țară</w:t>
            </w:r>
          </w:p>
        </w:tc>
        <w:tc>
          <w:tcPr>
            <w:tcW w:w="1451" w:type="dxa"/>
            <w:noWrap/>
            <w:hideMark/>
          </w:tcPr>
          <w:p>
            <w:pPr>
              <w:rPr>
                <w:rFonts w:asciiTheme="minorHAnsi" w:hAnsiTheme="minorHAnsi" w:cstheme="minorHAnsi"/>
                <w:b/>
                <w:noProof/>
              </w:rPr>
            </w:pPr>
            <w:r>
              <w:rPr>
                <w:rFonts w:asciiTheme="minorHAnsi" w:hAnsiTheme="minorHAnsi" w:cstheme="minorHAnsi"/>
                <w:b/>
                <w:noProof/>
              </w:rPr>
              <w:t>Inspecții</w:t>
            </w:r>
          </w:p>
        </w:tc>
        <w:tc>
          <w:tcPr>
            <w:tcW w:w="2274" w:type="dxa"/>
            <w:noWrap/>
            <w:hideMark/>
          </w:tcPr>
          <w:p>
            <w:pPr>
              <w:rPr>
                <w:rFonts w:asciiTheme="minorHAnsi" w:hAnsiTheme="minorHAnsi" w:cstheme="minorHAnsi"/>
                <w:b/>
                <w:noProof/>
              </w:rPr>
            </w:pPr>
            <w:r>
              <w:rPr>
                <w:rFonts w:asciiTheme="minorHAnsi" w:hAnsiTheme="minorHAnsi" w:cstheme="minorHAnsi"/>
                <w:b/>
                <w:noProof/>
              </w:rPr>
              <w:t>Zile lucrătoare petrecute la bordul instalației (durata deplasării nu este inclusă)</w:t>
            </w:r>
          </w:p>
        </w:tc>
        <w:tc>
          <w:tcPr>
            <w:tcW w:w="1276" w:type="dxa"/>
            <w:noWrap/>
            <w:hideMark/>
          </w:tcPr>
          <w:p>
            <w:pPr>
              <w:rPr>
                <w:rFonts w:asciiTheme="minorHAnsi" w:hAnsiTheme="minorHAnsi" w:cstheme="minorHAnsi"/>
                <w:b/>
                <w:noProof/>
              </w:rPr>
            </w:pPr>
            <w:r>
              <w:rPr>
                <w:rFonts w:asciiTheme="minorHAnsi" w:hAnsiTheme="minorHAnsi" w:cstheme="minorHAnsi"/>
                <w:b/>
                <w:noProof/>
              </w:rPr>
              <w:t>Număr de instalații inspectate</w:t>
            </w:r>
          </w:p>
        </w:tc>
      </w:tr>
      <w:tr>
        <w:trPr>
          <w:trHeight w:val="300"/>
        </w:trPr>
        <w:tc>
          <w:tcPr>
            <w:tcW w:w="2391" w:type="dxa"/>
            <w:tcBorders>
              <w:bottom w:val="single" w:sz="4" w:space="0" w:color="FFFFFF" w:themeColor="background1"/>
              <w:righ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Marea Baltică</w:t>
            </w:r>
          </w:p>
        </w:tc>
        <w:tc>
          <w:tcPr>
            <w:tcW w:w="2673" w:type="dxa"/>
            <w:tcBorders>
              <w:left w:val="single" w:sz="4" w:space="0" w:color="FFFFFF" w:themeColor="background1"/>
            </w:tcBorders>
            <w:noWrap/>
            <w:hideMark/>
          </w:tcPr>
          <w:p>
            <w:pPr>
              <w:rPr>
                <w:rFonts w:asciiTheme="minorHAnsi" w:hAnsiTheme="minorHAnsi" w:cstheme="minorHAnsi"/>
                <w:b/>
                <w:noProof/>
              </w:rPr>
            </w:pPr>
          </w:p>
        </w:tc>
        <w:tc>
          <w:tcPr>
            <w:tcW w:w="1451" w:type="dxa"/>
            <w:noWrap/>
            <w:hideMark/>
          </w:tcPr>
          <w:p>
            <w:pPr>
              <w:rPr>
                <w:rFonts w:asciiTheme="minorHAnsi" w:hAnsiTheme="minorHAnsi" w:cstheme="minorHAnsi"/>
                <w:b/>
                <w:bCs/>
                <w:noProof/>
              </w:rPr>
            </w:pPr>
            <w:r>
              <w:rPr>
                <w:rFonts w:asciiTheme="minorHAnsi" w:hAnsiTheme="minorHAnsi" w:cstheme="minorHAnsi"/>
                <w:b/>
                <w:noProof/>
              </w:rPr>
              <w:t>2</w:t>
            </w:r>
          </w:p>
        </w:tc>
        <w:tc>
          <w:tcPr>
            <w:tcW w:w="2274" w:type="dxa"/>
            <w:noWrap/>
            <w:hideMark/>
          </w:tcPr>
          <w:p>
            <w:pPr>
              <w:rPr>
                <w:rFonts w:asciiTheme="minorHAnsi" w:hAnsiTheme="minorHAnsi" w:cstheme="minorHAnsi"/>
                <w:b/>
                <w:bCs/>
                <w:noProof/>
              </w:rPr>
            </w:pPr>
            <w:r>
              <w:rPr>
                <w:rFonts w:asciiTheme="minorHAnsi" w:hAnsiTheme="minorHAnsi" w:cstheme="minorHAnsi"/>
                <w:b/>
                <w:noProof/>
              </w:rPr>
              <w:t>4</w:t>
            </w:r>
          </w:p>
        </w:tc>
        <w:tc>
          <w:tcPr>
            <w:tcW w:w="1276" w:type="dxa"/>
            <w:noWrap/>
            <w:hideMark/>
          </w:tcPr>
          <w:p>
            <w:pPr>
              <w:rPr>
                <w:rFonts w:asciiTheme="minorHAnsi" w:hAnsiTheme="minorHAnsi" w:cstheme="minorHAnsi"/>
                <w:b/>
                <w:bCs/>
                <w:noProof/>
              </w:rPr>
            </w:pPr>
            <w:r>
              <w:rPr>
                <w:rFonts w:asciiTheme="minorHAnsi" w:hAnsiTheme="minorHAnsi" w:cstheme="minorHAnsi"/>
                <w:b/>
                <w:noProof/>
              </w:rPr>
              <w:t>3</w:t>
            </w:r>
          </w:p>
        </w:tc>
      </w:tr>
      <w:tr>
        <w:trPr>
          <w:trHeight w:val="300"/>
        </w:trPr>
        <w:tc>
          <w:tcPr>
            <w:tcW w:w="2391" w:type="dxa"/>
            <w:tcBorders>
              <w:top w:val="single" w:sz="4" w:space="0" w:color="FFFFFF" w:themeColor="background1"/>
            </w:tcBorders>
            <w:noWrap/>
          </w:tcPr>
          <w:p>
            <w:pPr>
              <w:rPr>
                <w:rFonts w:asciiTheme="minorHAnsi" w:hAnsiTheme="minorHAnsi" w:cstheme="minorHAnsi"/>
                <w:b/>
                <w:noProof/>
              </w:rPr>
            </w:pPr>
          </w:p>
        </w:tc>
        <w:tc>
          <w:tcPr>
            <w:tcW w:w="2673" w:type="dxa"/>
            <w:noWrap/>
            <w:hideMark/>
          </w:tcPr>
          <w:p>
            <w:pPr>
              <w:rPr>
                <w:rFonts w:asciiTheme="minorHAnsi" w:hAnsiTheme="minorHAnsi" w:cstheme="minorHAnsi"/>
                <w:noProof/>
              </w:rPr>
            </w:pPr>
            <w:r>
              <w:rPr>
                <w:rFonts w:asciiTheme="minorHAnsi" w:hAnsiTheme="minorHAnsi" w:cstheme="minorHAnsi"/>
                <w:noProof/>
              </w:rPr>
              <w:t>Polonia</w:t>
            </w:r>
          </w:p>
        </w:tc>
        <w:tc>
          <w:tcPr>
            <w:tcW w:w="1451" w:type="dxa"/>
            <w:noWrap/>
            <w:hideMark/>
          </w:tcPr>
          <w:p>
            <w:pPr>
              <w:rPr>
                <w:rFonts w:asciiTheme="minorHAnsi" w:hAnsiTheme="minorHAnsi" w:cstheme="minorHAnsi"/>
                <w:noProof/>
              </w:rPr>
            </w:pPr>
            <w:r>
              <w:rPr>
                <w:rFonts w:asciiTheme="minorHAnsi" w:hAnsiTheme="minorHAnsi" w:cstheme="minorHAnsi"/>
                <w:noProof/>
              </w:rPr>
              <w:t>2</w:t>
            </w:r>
          </w:p>
        </w:tc>
        <w:tc>
          <w:tcPr>
            <w:tcW w:w="2274" w:type="dxa"/>
            <w:noWrap/>
            <w:hideMark/>
          </w:tcPr>
          <w:p>
            <w:pPr>
              <w:rPr>
                <w:rFonts w:asciiTheme="minorHAnsi" w:hAnsiTheme="minorHAnsi" w:cstheme="minorHAnsi"/>
                <w:noProof/>
              </w:rPr>
            </w:pPr>
            <w:r>
              <w:rPr>
                <w:rFonts w:asciiTheme="minorHAnsi" w:hAnsiTheme="minorHAnsi" w:cstheme="minorHAnsi"/>
                <w:noProof/>
              </w:rPr>
              <w:t>4</w:t>
            </w:r>
          </w:p>
        </w:tc>
        <w:tc>
          <w:tcPr>
            <w:tcW w:w="1276" w:type="dxa"/>
            <w:noWrap/>
            <w:hideMark/>
          </w:tcPr>
          <w:p>
            <w:pPr>
              <w:rPr>
                <w:rFonts w:asciiTheme="minorHAnsi" w:hAnsiTheme="minorHAnsi" w:cstheme="minorHAnsi"/>
                <w:noProof/>
              </w:rPr>
            </w:pPr>
            <w:r>
              <w:rPr>
                <w:rFonts w:asciiTheme="minorHAnsi" w:hAnsiTheme="minorHAnsi" w:cstheme="minorHAnsi"/>
                <w:noProof/>
              </w:rPr>
              <w:t>3</w:t>
            </w:r>
          </w:p>
        </w:tc>
      </w:tr>
      <w:tr>
        <w:trPr>
          <w:trHeight w:val="300"/>
        </w:trPr>
        <w:tc>
          <w:tcPr>
            <w:tcW w:w="2391" w:type="dxa"/>
            <w:tcBorders>
              <w:bottom w:val="single" w:sz="4" w:space="0" w:color="FFFFFF" w:themeColor="background1"/>
              <w:righ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Marea Neagră</w:t>
            </w:r>
          </w:p>
        </w:tc>
        <w:tc>
          <w:tcPr>
            <w:tcW w:w="2673" w:type="dxa"/>
            <w:tcBorders>
              <w:left w:val="single" w:sz="4" w:space="0" w:color="FFFFFF" w:themeColor="background1"/>
            </w:tcBorders>
            <w:noWrap/>
            <w:hideMark/>
          </w:tcPr>
          <w:p>
            <w:pPr>
              <w:rPr>
                <w:rFonts w:asciiTheme="minorHAnsi" w:hAnsiTheme="minorHAnsi" w:cstheme="minorHAnsi"/>
                <w:b/>
                <w:noProof/>
              </w:rPr>
            </w:pPr>
          </w:p>
        </w:tc>
        <w:tc>
          <w:tcPr>
            <w:tcW w:w="1451" w:type="dxa"/>
            <w:noWrap/>
            <w:hideMark/>
          </w:tcPr>
          <w:p>
            <w:pPr>
              <w:rPr>
                <w:rFonts w:asciiTheme="minorHAnsi" w:hAnsiTheme="minorHAnsi" w:cstheme="minorHAnsi"/>
                <w:b/>
                <w:bCs/>
                <w:noProof/>
              </w:rPr>
            </w:pPr>
            <w:r>
              <w:rPr>
                <w:rFonts w:asciiTheme="minorHAnsi" w:hAnsiTheme="minorHAnsi" w:cstheme="minorHAnsi"/>
                <w:b/>
                <w:noProof/>
              </w:rPr>
              <w:t>28</w:t>
            </w:r>
          </w:p>
        </w:tc>
        <w:tc>
          <w:tcPr>
            <w:tcW w:w="2274" w:type="dxa"/>
            <w:noWrap/>
            <w:hideMark/>
          </w:tcPr>
          <w:p>
            <w:pPr>
              <w:rPr>
                <w:rFonts w:asciiTheme="minorHAnsi" w:hAnsiTheme="minorHAnsi" w:cstheme="minorHAnsi"/>
                <w:b/>
                <w:bCs/>
                <w:noProof/>
              </w:rPr>
            </w:pPr>
            <w:r>
              <w:rPr>
                <w:rFonts w:asciiTheme="minorHAnsi" w:hAnsiTheme="minorHAnsi" w:cstheme="minorHAnsi"/>
                <w:b/>
                <w:noProof/>
              </w:rPr>
              <w:t>204</w:t>
            </w:r>
          </w:p>
        </w:tc>
        <w:tc>
          <w:tcPr>
            <w:tcW w:w="1276" w:type="dxa"/>
            <w:noWrap/>
            <w:hideMark/>
          </w:tcPr>
          <w:p>
            <w:pPr>
              <w:rPr>
                <w:rFonts w:asciiTheme="minorHAnsi" w:hAnsiTheme="minorHAnsi" w:cstheme="minorHAnsi"/>
                <w:b/>
                <w:bCs/>
                <w:noProof/>
              </w:rPr>
            </w:pPr>
            <w:r>
              <w:rPr>
                <w:rFonts w:asciiTheme="minorHAnsi" w:hAnsiTheme="minorHAnsi" w:cstheme="minorHAnsi"/>
                <w:b/>
                <w:noProof/>
              </w:rPr>
              <w:t>11</w:t>
            </w:r>
          </w:p>
        </w:tc>
      </w:tr>
      <w:tr>
        <w:trPr>
          <w:trHeight w:val="300"/>
        </w:trPr>
        <w:tc>
          <w:tcPr>
            <w:tcW w:w="2391" w:type="dxa"/>
            <w:tcBorders>
              <w:bottom w:val="single" w:sz="4" w:space="0" w:color="FFFFFF" w:themeColor="background1"/>
              <w:right w:val="single" w:sz="4" w:space="0" w:color="FFFFFF" w:themeColor="background1"/>
            </w:tcBorders>
            <w:noWrap/>
          </w:tcPr>
          <w:p>
            <w:pPr>
              <w:rPr>
                <w:rFonts w:asciiTheme="minorHAnsi" w:hAnsiTheme="minorHAnsi" w:cstheme="minorHAnsi"/>
                <w:b/>
                <w:noProof/>
              </w:rPr>
            </w:pPr>
          </w:p>
        </w:tc>
        <w:tc>
          <w:tcPr>
            <w:tcW w:w="2673" w:type="dxa"/>
            <w:noWrap/>
          </w:tcPr>
          <w:p>
            <w:pPr>
              <w:rPr>
                <w:rFonts w:asciiTheme="minorHAnsi" w:hAnsiTheme="minorHAnsi" w:cstheme="minorHAnsi"/>
                <w:b/>
                <w:noProof/>
              </w:rPr>
            </w:pPr>
            <w:r>
              <w:rPr>
                <w:rFonts w:asciiTheme="minorHAnsi" w:hAnsiTheme="minorHAnsi" w:cstheme="minorHAnsi"/>
                <w:noProof/>
              </w:rPr>
              <w:t>Bulgaria</w:t>
            </w:r>
          </w:p>
        </w:tc>
        <w:tc>
          <w:tcPr>
            <w:tcW w:w="1451" w:type="dxa"/>
            <w:noWrap/>
          </w:tcPr>
          <w:p>
            <w:pPr>
              <w:rPr>
                <w:rFonts w:asciiTheme="minorHAnsi" w:hAnsiTheme="minorHAnsi" w:cstheme="minorHAnsi"/>
                <w:b/>
                <w:bCs/>
                <w:noProof/>
                <w:color w:val="000000"/>
              </w:rPr>
            </w:pPr>
            <w:r>
              <w:rPr>
                <w:rFonts w:asciiTheme="minorHAnsi" w:hAnsiTheme="minorHAnsi" w:cstheme="minorHAnsi"/>
                <w:noProof/>
              </w:rPr>
              <w:t>0</w:t>
            </w:r>
          </w:p>
        </w:tc>
        <w:tc>
          <w:tcPr>
            <w:tcW w:w="2274" w:type="dxa"/>
            <w:noWrap/>
          </w:tcPr>
          <w:p>
            <w:pPr>
              <w:rPr>
                <w:rFonts w:asciiTheme="minorHAnsi" w:hAnsiTheme="minorHAnsi" w:cstheme="minorHAnsi"/>
                <w:bCs/>
                <w:noProof/>
                <w:color w:val="000000"/>
              </w:rPr>
            </w:pPr>
            <w:r>
              <w:rPr>
                <w:rFonts w:asciiTheme="minorHAnsi" w:hAnsiTheme="minorHAnsi" w:cstheme="minorHAnsi"/>
                <w:noProof/>
              </w:rPr>
              <w:t>0</w:t>
            </w:r>
          </w:p>
        </w:tc>
        <w:tc>
          <w:tcPr>
            <w:tcW w:w="1276" w:type="dxa"/>
            <w:noWrap/>
          </w:tcPr>
          <w:p>
            <w:pPr>
              <w:rPr>
                <w:rFonts w:asciiTheme="minorHAnsi" w:hAnsiTheme="minorHAnsi" w:cstheme="minorHAnsi"/>
                <w:bCs/>
                <w:noProof/>
                <w:color w:val="000000"/>
              </w:rPr>
            </w:pPr>
            <w:r>
              <w:rPr>
                <w:rFonts w:asciiTheme="minorHAnsi" w:hAnsiTheme="minorHAnsi" w:cstheme="minorHAnsi"/>
                <w:noProof/>
              </w:rPr>
              <w:t>0</w:t>
            </w:r>
          </w:p>
        </w:tc>
      </w:tr>
      <w:tr>
        <w:trPr>
          <w:trHeight w:val="300"/>
        </w:trPr>
        <w:tc>
          <w:tcPr>
            <w:tcW w:w="2391" w:type="dxa"/>
            <w:tcBorders>
              <w:top w:val="single" w:sz="4" w:space="0" w:color="FFFFFF" w:themeColor="background1"/>
            </w:tcBorders>
            <w:noWrap/>
          </w:tcPr>
          <w:p>
            <w:pPr>
              <w:rPr>
                <w:rFonts w:asciiTheme="minorHAnsi" w:hAnsiTheme="minorHAnsi" w:cstheme="minorHAnsi"/>
                <w:b/>
                <w:noProof/>
              </w:rPr>
            </w:pPr>
          </w:p>
        </w:tc>
        <w:tc>
          <w:tcPr>
            <w:tcW w:w="2673" w:type="dxa"/>
            <w:noWrap/>
          </w:tcPr>
          <w:p>
            <w:pPr>
              <w:rPr>
                <w:rFonts w:asciiTheme="minorHAnsi" w:hAnsiTheme="minorHAnsi" w:cstheme="minorHAnsi"/>
                <w:noProof/>
              </w:rPr>
            </w:pPr>
            <w:r>
              <w:rPr>
                <w:rFonts w:asciiTheme="minorHAnsi" w:hAnsiTheme="minorHAnsi" w:cstheme="minorHAnsi"/>
                <w:noProof/>
              </w:rPr>
              <w:t>România</w:t>
            </w:r>
          </w:p>
        </w:tc>
        <w:tc>
          <w:tcPr>
            <w:tcW w:w="1451" w:type="dxa"/>
            <w:noWrap/>
          </w:tcPr>
          <w:p>
            <w:pPr>
              <w:rPr>
                <w:rFonts w:asciiTheme="minorHAnsi" w:hAnsiTheme="minorHAnsi" w:cstheme="minorHAnsi"/>
                <w:noProof/>
                <w:color w:val="000000"/>
              </w:rPr>
            </w:pPr>
            <w:r>
              <w:rPr>
                <w:rFonts w:asciiTheme="minorHAnsi" w:hAnsiTheme="minorHAnsi" w:cstheme="minorHAnsi"/>
                <w:noProof/>
              </w:rPr>
              <w:t>28</w:t>
            </w:r>
          </w:p>
        </w:tc>
        <w:tc>
          <w:tcPr>
            <w:tcW w:w="2274" w:type="dxa"/>
            <w:noWrap/>
          </w:tcPr>
          <w:p>
            <w:pPr>
              <w:rPr>
                <w:rFonts w:asciiTheme="minorHAnsi" w:hAnsiTheme="minorHAnsi" w:cstheme="minorHAnsi"/>
                <w:noProof/>
                <w:color w:val="000000"/>
              </w:rPr>
            </w:pPr>
            <w:r>
              <w:rPr>
                <w:rFonts w:asciiTheme="minorHAnsi" w:hAnsiTheme="minorHAnsi" w:cstheme="minorHAnsi"/>
                <w:noProof/>
              </w:rPr>
              <w:t>204</w:t>
            </w:r>
          </w:p>
        </w:tc>
        <w:tc>
          <w:tcPr>
            <w:tcW w:w="1276" w:type="dxa"/>
            <w:noWrap/>
          </w:tcPr>
          <w:p>
            <w:pPr>
              <w:rPr>
                <w:rFonts w:asciiTheme="minorHAnsi" w:hAnsiTheme="minorHAnsi" w:cstheme="minorHAnsi"/>
                <w:noProof/>
                <w:color w:val="000000"/>
              </w:rPr>
            </w:pPr>
            <w:r>
              <w:rPr>
                <w:rFonts w:asciiTheme="minorHAnsi" w:hAnsiTheme="minorHAnsi" w:cstheme="minorHAnsi"/>
                <w:noProof/>
              </w:rPr>
              <w:t>11</w:t>
            </w:r>
          </w:p>
        </w:tc>
      </w:tr>
      <w:tr>
        <w:trPr>
          <w:trHeight w:val="300"/>
        </w:trPr>
        <w:tc>
          <w:tcPr>
            <w:tcW w:w="2391" w:type="dxa"/>
            <w:tcBorders>
              <w:bottom w:val="single" w:sz="4" w:space="0" w:color="FFFFFF" w:themeColor="background1"/>
              <w:righ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Marea Mediterană</w:t>
            </w:r>
          </w:p>
        </w:tc>
        <w:tc>
          <w:tcPr>
            <w:tcW w:w="2673" w:type="dxa"/>
            <w:tcBorders>
              <w:left w:val="single" w:sz="4" w:space="0" w:color="FFFFFF" w:themeColor="background1"/>
            </w:tcBorders>
            <w:noWrap/>
            <w:hideMark/>
          </w:tcPr>
          <w:p>
            <w:pPr>
              <w:rPr>
                <w:rFonts w:asciiTheme="minorHAnsi" w:hAnsiTheme="minorHAnsi" w:cstheme="minorHAnsi"/>
                <w:b/>
                <w:noProof/>
              </w:rPr>
            </w:pPr>
          </w:p>
        </w:tc>
        <w:tc>
          <w:tcPr>
            <w:tcW w:w="1451" w:type="dxa"/>
            <w:noWrap/>
            <w:hideMark/>
          </w:tcPr>
          <w:p>
            <w:pPr>
              <w:rPr>
                <w:rFonts w:asciiTheme="minorHAnsi" w:hAnsiTheme="minorHAnsi" w:cstheme="minorHAnsi"/>
                <w:b/>
                <w:bCs/>
                <w:noProof/>
              </w:rPr>
            </w:pPr>
            <w:r>
              <w:rPr>
                <w:rFonts w:asciiTheme="minorHAnsi" w:hAnsiTheme="minorHAnsi" w:cstheme="minorHAnsi"/>
                <w:b/>
                <w:noProof/>
              </w:rPr>
              <w:t>216</w:t>
            </w:r>
          </w:p>
        </w:tc>
        <w:tc>
          <w:tcPr>
            <w:tcW w:w="2274" w:type="dxa"/>
            <w:noWrap/>
            <w:hideMark/>
          </w:tcPr>
          <w:p>
            <w:pPr>
              <w:rPr>
                <w:rFonts w:asciiTheme="minorHAnsi" w:hAnsiTheme="minorHAnsi" w:cstheme="minorHAnsi"/>
                <w:b/>
                <w:bCs/>
                <w:noProof/>
              </w:rPr>
            </w:pPr>
            <w:r>
              <w:rPr>
                <w:rFonts w:asciiTheme="minorHAnsi" w:hAnsiTheme="minorHAnsi" w:cstheme="minorHAnsi"/>
                <w:b/>
                <w:noProof/>
              </w:rPr>
              <w:t>280</w:t>
            </w:r>
          </w:p>
        </w:tc>
        <w:tc>
          <w:tcPr>
            <w:tcW w:w="1276" w:type="dxa"/>
            <w:noWrap/>
            <w:hideMark/>
          </w:tcPr>
          <w:p>
            <w:pPr>
              <w:rPr>
                <w:rFonts w:asciiTheme="minorHAnsi" w:hAnsiTheme="minorHAnsi" w:cstheme="minorHAnsi"/>
                <w:b/>
                <w:bCs/>
                <w:noProof/>
              </w:rPr>
            </w:pPr>
            <w:r>
              <w:rPr>
                <w:rFonts w:asciiTheme="minorHAnsi" w:hAnsiTheme="minorHAnsi" w:cstheme="minorHAnsi"/>
                <w:b/>
                <w:noProof/>
              </w:rPr>
              <w:t>202</w:t>
            </w:r>
          </w:p>
        </w:tc>
      </w:tr>
      <w:tr>
        <w:trPr>
          <w:trHeight w:val="300"/>
        </w:trPr>
        <w:tc>
          <w:tcPr>
            <w:tcW w:w="2391" w:type="dxa"/>
            <w:tcBorders>
              <w:top w:val="single" w:sz="4" w:space="0" w:color="FFFFFF" w:themeColor="background1"/>
              <w:bottom w:val="single" w:sz="4" w:space="0" w:color="FFFFFF" w:themeColor="background1"/>
            </w:tcBorders>
            <w:noWrap/>
          </w:tcPr>
          <w:p>
            <w:pPr>
              <w:rPr>
                <w:rFonts w:asciiTheme="minorHAnsi" w:hAnsiTheme="minorHAnsi" w:cstheme="minorHAnsi"/>
                <w:b/>
                <w:noProof/>
              </w:rPr>
            </w:pPr>
          </w:p>
        </w:tc>
        <w:tc>
          <w:tcPr>
            <w:tcW w:w="2673" w:type="dxa"/>
            <w:noWrap/>
          </w:tcPr>
          <w:p>
            <w:pPr>
              <w:rPr>
                <w:rFonts w:asciiTheme="minorHAnsi" w:hAnsiTheme="minorHAnsi" w:cstheme="minorHAnsi"/>
                <w:noProof/>
              </w:rPr>
            </w:pPr>
            <w:r>
              <w:rPr>
                <w:rFonts w:asciiTheme="minorHAnsi" w:hAnsiTheme="minorHAnsi" w:cstheme="minorHAnsi"/>
                <w:noProof/>
              </w:rPr>
              <w:t>Croația</w:t>
            </w:r>
          </w:p>
        </w:tc>
        <w:tc>
          <w:tcPr>
            <w:tcW w:w="1451" w:type="dxa"/>
            <w:noWrap/>
          </w:tcPr>
          <w:p>
            <w:pPr>
              <w:rPr>
                <w:rFonts w:asciiTheme="minorHAnsi" w:hAnsiTheme="minorHAnsi" w:cstheme="minorHAnsi"/>
                <w:noProof/>
              </w:rPr>
            </w:pPr>
            <w:r>
              <w:rPr>
                <w:rFonts w:asciiTheme="minorHAnsi" w:hAnsiTheme="minorHAnsi" w:cstheme="minorHAnsi"/>
                <w:noProof/>
              </w:rPr>
              <w:t>23</w:t>
            </w:r>
          </w:p>
        </w:tc>
        <w:tc>
          <w:tcPr>
            <w:tcW w:w="2274" w:type="dxa"/>
            <w:noWrap/>
          </w:tcPr>
          <w:p>
            <w:pPr>
              <w:rPr>
                <w:rFonts w:asciiTheme="minorHAnsi" w:hAnsiTheme="minorHAnsi" w:cstheme="minorHAnsi"/>
                <w:noProof/>
              </w:rPr>
            </w:pPr>
            <w:r>
              <w:rPr>
                <w:rFonts w:asciiTheme="minorHAnsi" w:hAnsiTheme="minorHAnsi" w:cstheme="minorHAnsi"/>
                <w:noProof/>
              </w:rPr>
              <w:t>40</w:t>
            </w:r>
          </w:p>
        </w:tc>
        <w:tc>
          <w:tcPr>
            <w:tcW w:w="1276" w:type="dxa"/>
            <w:noWrap/>
          </w:tcPr>
          <w:p>
            <w:pPr>
              <w:rPr>
                <w:rFonts w:asciiTheme="minorHAnsi" w:hAnsiTheme="minorHAnsi" w:cstheme="minorHAnsi"/>
                <w:noProof/>
              </w:rPr>
            </w:pPr>
            <w:r>
              <w:rPr>
                <w:rFonts w:asciiTheme="minorHAnsi" w:hAnsiTheme="minorHAnsi" w:cstheme="minorHAnsi"/>
                <w:noProof/>
              </w:rPr>
              <w:t>9</w:t>
            </w:r>
          </w:p>
        </w:tc>
      </w:tr>
      <w:tr>
        <w:trPr>
          <w:trHeight w:val="300"/>
        </w:trPr>
        <w:tc>
          <w:tcPr>
            <w:tcW w:w="2391" w:type="dxa"/>
            <w:tcBorders>
              <w:top w:val="single" w:sz="4" w:space="0" w:color="FFFFFF" w:themeColor="background1"/>
              <w:bottom w:val="single" w:sz="4" w:space="0" w:color="FFFFFF" w:themeColor="background1"/>
            </w:tcBorders>
            <w:noWrap/>
          </w:tcPr>
          <w:p>
            <w:pPr>
              <w:rPr>
                <w:rFonts w:asciiTheme="minorHAnsi" w:hAnsiTheme="minorHAnsi" w:cstheme="minorHAnsi"/>
                <w:b/>
                <w:noProof/>
              </w:rPr>
            </w:pPr>
          </w:p>
        </w:tc>
        <w:tc>
          <w:tcPr>
            <w:tcW w:w="2673" w:type="dxa"/>
            <w:noWrap/>
          </w:tcPr>
          <w:p>
            <w:pPr>
              <w:rPr>
                <w:rFonts w:asciiTheme="minorHAnsi" w:hAnsiTheme="minorHAnsi" w:cstheme="minorHAnsi"/>
                <w:noProof/>
              </w:rPr>
            </w:pPr>
            <w:r>
              <w:rPr>
                <w:rFonts w:asciiTheme="minorHAnsi" w:hAnsiTheme="minorHAnsi" w:cstheme="minorHAnsi"/>
                <w:noProof/>
              </w:rPr>
              <w:t>Cipru</w:t>
            </w:r>
          </w:p>
        </w:tc>
        <w:tc>
          <w:tcPr>
            <w:tcW w:w="1451" w:type="dxa"/>
            <w:noWrap/>
          </w:tcPr>
          <w:p>
            <w:pPr>
              <w:rPr>
                <w:rFonts w:asciiTheme="minorHAnsi" w:hAnsiTheme="minorHAnsi" w:cstheme="minorHAnsi"/>
                <w:noProof/>
                <w:color w:val="000000"/>
              </w:rPr>
            </w:pPr>
            <w:r>
              <w:rPr>
                <w:rFonts w:asciiTheme="minorHAnsi" w:hAnsiTheme="minorHAnsi" w:cstheme="minorHAnsi"/>
                <w:noProof/>
              </w:rPr>
              <w:t>0</w:t>
            </w:r>
          </w:p>
        </w:tc>
        <w:tc>
          <w:tcPr>
            <w:tcW w:w="2274" w:type="dxa"/>
            <w:noWrap/>
          </w:tcPr>
          <w:p>
            <w:pPr>
              <w:rPr>
                <w:rFonts w:asciiTheme="minorHAnsi" w:hAnsiTheme="minorHAnsi" w:cstheme="minorHAnsi"/>
                <w:noProof/>
                <w:color w:val="000000"/>
              </w:rPr>
            </w:pPr>
            <w:r>
              <w:rPr>
                <w:rFonts w:asciiTheme="minorHAnsi" w:hAnsiTheme="minorHAnsi" w:cstheme="minorHAnsi"/>
                <w:noProof/>
              </w:rPr>
              <w:t>0</w:t>
            </w:r>
          </w:p>
        </w:tc>
        <w:tc>
          <w:tcPr>
            <w:tcW w:w="1276" w:type="dxa"/>
            <w:noWrap/>
          </w:tcPr>
          <w:p>
            <w:pPr>
              <w:rPr>
                <w:rFonts w:asciiTheme="minorHAnsi" w:hAnsiTheme="minorHAnsi" w:cstheme="minorHAnsi"/>
                <w:noProof/>
                <w:color w:val="000000"/>
              </w:rPr>
            </w:pPr>
            <w:r>
              <w:rPr>
                <w:rFonts w:asciiTheme="minorHAnsi" w:hAnsiTheme="minorHAnsi" w:cstheme="minorHAnsi"/>
                <w:noProof/>
              </w:rPr>
              <w:t>0</w:t>
            </w:r>
          </w:p>
        </w:tc>
      </w:tr>
      <w:tr>
        <w:trPr>
          <w:trHeight w:val="300"/>
        </w:trPr>
        <w:tc>
          <w:tcPr>
            <w:tcW w:w="2391" w:type="dxa"/>
            <w:tcBorders>
              <w:top w:val="single" w:sz="4" w:space="0" w:color="FFFFFF" w:themeColor="background1"/>
              <w:bottom w:val="single" w:sz="4" w:space="0" w:color="FFFFFF" w:themeColor="background1"/>
            </w:tcBorders>
            <w:noWrap/>
          </w:tcPr>
          <w:p>
            <w:pPr>
              <w:rPr>
                <w:rFonts w:asciiTheme="minorHAnsi" w:hAnsiTheme="minorHAnsi" w:cstheme="minorHAnsi"/>
                <w:b/>
                <w:noProof/>
              </w:rPr>
            </w:pPr>
          </w:p>
        </w:tc>
        <w:tc>
          <w:tcPr>
            <w:tcW w:w="2673" w:type="dxa"/>
            <w:noWrap/>
          </w:tcPr>
          <w:p>
            <w:pPr>
              <w:rPr>
                <w:rFonts w:asciiTheme="minorHAnsi" w:hAnsiTheme="minorHAnsi" w:cstheme="minorHAnsi"/>
                <w:noProof/>
              </w:rPr>
            </w:pPr>
            <w:r>
              <w:rPr>
                <w:rFonts w:asciiTheme="minorHAnsi" w:hAnsiTheme="minorHAnsi" w:cstheme="minorHAnsi"/>
                <w:noProof/>
              </w:rPr>
              <w:t>Grecia</w:t>
            </w:r>
          </w:p>
        </w:tc>
        <w:tc>
          <w:tcPr>
            <w:tcW w:w="1451" w:type="dxa"/>
            <w:noWrap/>
          </w:tcPr>
          <w:p>
            <w:pPr>
              <w:rPr>
                <w:rFonts w:asciiTheme="minorHAnsi" w:hAnsiTheme="minorHAnsi" w:cstheme="minorHAnsi"/>
                <w:noProof/>
              </w:rPr>
            </w:pPr>
            <w:r>
              <w:rPr>
                <w:rFonts w:asciiTheme="minorHAnsi" w:hAnsiTheme="minorHAnsi" w:cstheme="minorHAnsi"/>
                <w:noProof/>
              </w:rPr>
              <w:t>2</w:t>
            </w:r>
          </w:p>
        </w:tc>
        <w:tc>
          <w:tcPr>
            <w:tcW w:w="2274" w:type="dxa"/>
            <w:noWrap/>
          </w:tcPr>
          <w:p>
            <w:pPr>
              <w:rPr>
                <w:rFonts w:asciiTheme="minorHAnsi" w:hAnsiTheme="minorHAnsi" w:cstheme="minorHAnsi"/>
                <w:noProof/>
              </w:rPr>
            </w:pPr>
            <w:r>
              <w:rPr>
                <w:rFonts w:asciiTheme="minorHAnsi" w:hAnsiTheme="minorHAnsi" w:cstheme="minorHAnsi"/>
                <w:noProof/>
              </w:rPr>
              <w:t>20</w:t>
            </w:r>
          </w:p>
        </w:tc>
        <w:tc>
          <w:tcPr>
            <w:tcW w:w="1276" w:type="dxa"/>
            <w:noWrap/>
          </w:tcPr>
          <w:p>
            <w:pPr>
              <w:rPr>
                <w:rFonts w:asciiTheme="minorHAnsi" w:hAnsiTheme="minorHAnsi" w:cstheme="minorHAnsi"/>
                <w:noProof/>
              </w:rPr>
            </w:pPr>
            <w:r>
              <w:rPr>
                <w:rFonts w:asciiTheme="minorHAnsi" w:hAnsiTheme="minorHAnsi" w:cstheme="minorHAnsi"/>
                <w:noProof/>
              </w:rPr>
              <w:t>2</w:t>
            </w:r>
          </w:p>
        </w:tc>
      </w:tr>
      <w:tr>
        <w:trPr>
          <w:trHeight w:val="300"/>
        </w:trPr>
        <w:tc>
          <w:tcPr>
            <w:tcW w:w="2391" w:type="dxa"/>
            <w:tcBorders>
              <w:top w:val="single" w:sz="4" w:space="0" w:color="FFFFFF" w:themeColor="background1"/>
              <w:bottom w:val="single" w:sz="4" w:space="0" w:color="FFFFFF" w:themeColor="background1"/>
            </w:tcBorders>
            <w:noWrap/>
          </w:tcPr>
          <w:p>
            <w:pPr>
              <w:rPr>
                <w:rFonts w:asciiTheme="minorHAnsi" w:hAnsiTheme="minorHAnsi" w:cstheme="minorHAnsi"/>
                <w:b/>
                <w:noProof/>
              </w:rPr>
            </w:pPr>
          </w:p>
        </w:tc>
        <w:tc>
          <w:tcPr>
            <w:tcW w:w="2673" w:type="dxa"/>
            <w:noWrap/>
          </w:tcPr>
          <w:p>
            <w:pPr>
              <w:rPr>
                <w:rFonts w:asciiTheme="minorHAnsi" w:hAnsiTheme="minorHAnsi" w:cstheme="minorHAnsi"/>
                <w:noProof/>
              </w:rPr>
            </w:pPr>
            <w:r>
              <w:rPr>
                <w:rFonts w:asciiTheme="minorHAnsi" w:hAnsiTheme="minorHAnsi" w:cstheme="minorHAnsi"/>
                <w:noProof/>
              </w:rPr>
              <w:t>Italia</w:t>
            </w:r>
          </w:p>
        </w:tc>
        <w:tc>
          <w:tcPr>
            <w:tcW w:w="1451" w:type="dxa"/>
            <w:noWrap/>
          </w:tcPr>
          <w:p>
            <w:pPr>
              <w:rPr>
                <w:rFonts w:asciiTheme="minorHAnsi" w:hAnsiTheme="minorHAnsi" w:cstheme="minorHAnsi"/>
                <w:noProof/>
              </w:rPr>
            </w:pPr>
            <w:r>
              <w:rPr>
                <w:rFonts w:asciiTheme="minorHAnsi" w:hAnsiTheme="minorHAnsi" w:cstheme="minorHAnsi"/>
                <w:noProof/>
              </w:rPr>
              <w:t>189</w:t>
            </w:r>
          </w:p>
        </w:tc>
        <w:tc>
          <w:tcPr>
            <w:tcW w:w="2274" w:type="dxa"/>
            <w:noWrap/>
          </w:tcPr>
          <w:p>
            <w:pPr>
              <w:rPr>
                <w:rFonts w:asciiTheme="minorHAnsi" w:hAnsiTheme="minorHAnsi" w:cstheme="minorHAnsi"/>
                <w:noProof/>
              </w:rPr>
            </w:pPr>
            <w:r>
              <w:rPr>
                <w:rFonts w:asciiTheme="minorHAnsi" w:hAnsiTheme="minorHAnsi" w:cstheme="minorHAnsi"/>
                <w:noProof/>
              </w:rPr>
              <w:t>219</w:t>
            </w:r>
          </w:p>
        </w:tc>
        <w:tc>
          <w:tcPr>
            <w:tcW w:w="1276" w:type="dxa"/>
            <w:noWrap/>
          </w:tcPr>
          <w:p>
            <w:pPr>
              <w:rPr>
                <w:rFonts w:asciiTheme="minorHAnsi" w:hAnsiTheme="minorHAnsi" w:cstheme="minorHAnsi"/>
                <w:noProof/>
              </w:rPr>
            </w:pPr>
            <w:r>
              <w:rPr>
                <w:rFonts w:asciiTheme="minorHAnsi" w:hAnsiTheme="minorHAnsi" w:cstheme="minorHAnsi"/>
                <w:noProof/>
              </w:rPr>
              <w:t>189</w:t>
            </w:r>
          </w:p>
        </w:tc>
      </w:tr>
      <w:tr>
        <w:trPr>
          <w:trHeight w:val="300"/>
        </w:trPr>
        <w:tc>
          <w:tcPr>
            <w:tcW w:w="2391" w:type="dxa"/>
            <w:tcBorders>
              <w:top w:val="single" w:sz="4" w:space="0" w:color="FFFFFF" w:themeColor="background1"/>
              <w:bottom w:val="single" w:sz="4" w:space="0" w:color="FFFFFF" w:themeColor="background1"/>
            </w:tcBorders>
            <w:noWrap/>
          </w:tcPr>
          <w:p>
            <w:pPr>
              <w:rPr>
                <w:rFonts w:asciiTheme="minorHAnsi" w:hAnsiTheme="minorHAnsi" w:cstheme="minorHAnsi"/>
                <w:b/>
                <w:noProof/>
              </w:rPr>
            </w:pPr>
          </w:p>
        </w:tc>
        <w:tc>
          <w:tcPr>
            <w:tcW w:w="2673" w:type="dxa"/>
            <w:noWrap/>
          </w:tcPr>
          <w:p>
            <w:pPr>
              <w:rPr>
                <w:rFonts w:asciiTheme="minorHAnsi" w:hAnsiTheme="minorHAnsi" w:cstheme="minorHAnsi"/>
                <w:noProof/>
              </w:rPr>
            </w:pPr>
            <w:r>
              <w:rPr>
                <w:rFonts w:asciiTheme="minorHAnsi" w:hAnsiTheme="minorHAnsi" w:cstheme="minorHAnsi"/>
                <w:noProof/>
              </w:rPr>
              <w:t>Spania</w:t>
            </w:r>
          </w:p>
        </w:tc>
        <w:tc>
          <w:tcPr>
            <w:tcW w:w="1451" w:type="dxa"/>
            <w:noWrap/>
          </w:tcPr>
          <w:p>
            <w:pPr>
              <w:rPr>
                <w:rFonts w:asciiTheme="minorHAnsi" w:hAnsiTheme="minorHAnsi" w:cstheme="minorHAnsi"/>
                <w:noProof/>
              </w:rPr>
            </w:pPr>
            <w:r>
              <w:rPr>
                <w:rFonts w:asciiTheme="minorHAnsi" w:hAnsiTheme="minorHAnsi" w:cstheme="minorHAnsi"/>
                <w:noProof/>
              </w:rPr>
              <w:t>2</w:t>
            </w:r>
          </w:p>
        </w:tc>
        <w:tc>
          <w:tcPr>
            <w:tcW w:w="2274" w:type="dxa"/>
            <w:noWrap/>
          </w:tcPr>
          <w:p>
            <w:pPr>
              <w:rPr>
                <w:rFonts w:asciiTheme="minorHAnsi" w:hAnsiTheme="minorHAnsi" w:cstheme="minorHAnsi"/>
                <w:noProof/>
              </w:rPr>
            </w:pPr>
            <w:r>
              <w:rPr>
                <w:rFonts w:asciiTheme="minorHAnsi" w:hAnsiTheme="minorHAnsi" w:cstheme="minorHAnsi"/>
                <w:noProof/>
              </w:rPr>
              <w:t>1</w:t>
            </w:r>
          </w:p>
        </w:tc>
        <w:tc>
          <w:tcPr>
            <w:tcW w:w="1276" w:type="dxa"/>
            <w:noWrap/>
          </w:tcPr>
          <w:p>
            <w:pPr>
              <w:rPr>
                <w:rFonts w:asciiTheme="minorHAnsi" w:hAnsiTheme="minorHAnsi" w:cstheme="minorHAnsi"/>
                <w:noProof/>
              </w:rPr>
            </w:pPr>
            <w:r>
              <w:rPr>
                <w:rFonts w:asciiTheme="minorHAnsi" w:hAnsiTheme="minorHAnsi" w:cstheme="minorHAnsi"/>
                <w:noProof/>
              </w:rPr>
              <w:t>2</w:t>
            </w:r>
          </w:p>
        </w:tc>
      </w:tr>
      <w:tr>
        <w:trPr>
          <w:trHeight w:val="300"/>
        </w:trPr>
        <w:tc>
          <w:tcPr>
            <w:tcW w:w="2391" w:type="dxa"/>
            <w:tcBorders>
              <w:bottom w:val="single" w:sz="4" w:space="0" w:color="FFFFFF" w:themeColor="background1"/>
              <w:righ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Marea Nordului și Oceanul Atlantic</w:t>
            </w:r>
          </w:p>
        </w:tc>
        <w:tc>
          <w:tcPr>
            <w:tcW w:w="2673" w:type="dxa"/>
            <w:tcBorders>
              <w:left w:val="single" w:sz="4" w:space="0" w:color="FFFFFF" w:themeColor="background1"/>
            </w:tcBorders>
            <w:noWrap/>
            <w:hideMark/>
          </w:tcPr>
          <w:p>
            <w:pPr>
              <w:rPr>
                <w:rFonts w:asciiTheme="minorHAnsi" w:hAnsiTheme="minorHAnsi" w:cstheme="minorHAnsi"/>
                <w:b/>
                <w:noProof/>
              </w:rPr>
            </w:pPr>
          </w:p>
        </w:tc>
        <w:tc>
          <w:tcPr>
            <w:tcW w:w="1451" w:type="dxa"/>
            <w:noWrap/>
            <w:hideMark/>
          </w:tcPr>
          <w:p>
            <w:pPr>
              <w:rPr>
                <w:rFonts w:asciiTheme="minorHAnsi" w:hAnsiTheme="minorHAnsi" w:cstheme="minorHAnsi"/>
                <w:b/>
                <w:bCs/>
                <w:noProof/>
              </w:rPr>
            </w:pPr>
            <w:r>
              <w:rPr>
                <w:rFonts w:asciiTheme="minorHAnsi" w:hAnsiTheme="minorHAnsi" w:cstheme="minorHAnsi"/>
                <w:b/>
                <w:noProof/>
              </w:rPr>
              <w:t>125</w:t>
            </w:r>
          </w:p>
        </w:tc>
        <w:tc>
          <w:tcPr>
            <w:tcW w:w="2274" w:type="dxa"/>
            <w:noWrap/>
            <w:hideMark/>
          </w:tcPr>
          <w:p>
            <w:pPr>
              <w:rPr>
                <w:rFonts w:asciiTheme="minorHAnsi" w:hAnsiTheme="minorHAnsi" w:cstheme="minorHAnsi"/>
                <w:b/>
                <w:bCs/>
                <w:noProof/>
              </w:rPr>
            </w:pPr>
            <w:r>
              <w:rPr>
                <w:rFonts w:asciiTheme="minorHAnsi" w:hAnsiTheme="minorHAnsi" w:cstheme="minorHAnsi"/>
                <w:b/>
                <w:noProof/>
              </w:rPr>
              <w:t>254,5</w:t>
            </w:r>
          </w:p>
        </w:tc>
        <w:tc>
          <w:tcPr>
            <w:tcW w:w="1276" w:type="dxa"/>
            <w:noWrap/>
            <w:hideMark/>
          </w:tcPr>
          <w:p>
            <w:pPr>
              <w:rPr>
                <w:rFonts w:asciiTheme="minorHAnsi" w:hAnsiTheme="minorHAnsi" w:cstheme="minorHAnsi"/>
                <w:b/>
                <w:bCs/>
                <w:noProof/>
              </w:rPr>
            </w:pPr>
            <w:r>
              <w:rPr>
                <w:rFonts w:asciiTheme="minorHAnsi" w:hAnsiTheme="minorHAnsi" w:cstheme="minorHAnsi"/>
                <w:b/>
                <w:noProof/>
              </w:rPr>
              <w:t>83</w:t>
            </w:r>
          </w:p>
        </w:tc>
      </w:tr>
      <w:tr>
        <w:trPr>
          <w:trHeight w:val="300"/>
        </w:trPr>
        <w:tc>
          <w:tcPr>
            <w:tcW w:w="2391" w:type="dxa"/>
            <w:tcBorders>
              <w:top w:val="single" w:sz="4" w:space="0" w:color="FFFFFF" w:themeColor="background1"/>
              <w:bottom w:val="single" w:sz="4" w:space="0" w:color="FFFFFF" w:themeColor="background1"/>
            </w:tcBorders>
            <w:noWrap/>
          </w:tcPr>
          <w:p>
            <w:pPr>
              <w:rPr>
                <w:rFonts w:asciiTheme="minorHAnsi" w:hAnsiTheme="minorHAnsi" w:cstheme="minorHAnsi"/>
                <w:b/>
                <w:noProof/>
                <w:highlight w:val="yellow"/>
              </w:rPr>
            </w:pPr>
          </w:p>
        </w:tc>
        <w:tc>
          <w:tcPr>
            <w:tcW w:w="2673" w:type="dxa"/>
            <w:noWrap/>
          </w:tcPr>
          <w:p>
            <w:pPr>
              <w:rPr>
                <w:rFonts w:asciiTheme="minorHAnsi" w:hAnsiTheme="minorHAnsi" w:cstheme="minorHAnsi"/>
                <w:noProof/>
              </w:rPr>
            </w:pPr>
            <w:r>
              <w:rPr>
                <w:rFonts w:asciiTheme="minorHAnsi" w:hAnsiTheme="minorHAnsi" w:cstheme="minorHAnsi"/>
                <w:noProof/>
              </w:rPr>
              <w:t>Danemarca</w:t>
            </w:r>
          </w:p>
        </w:tc>
        <w:tc>
          <w:tcPr>
            <w:tcW w:w="1451" w:type="dxa"/>
            <w:noWrap/>
          </w:tcPr>
          <w:p>
            <w:pPr>
              <w:rPr>
                <w:rFonts w:asciiTheme="minorHAnsi" w:hAnsiTheme="minorHAnsi" w:cstheme="minorHAnsi"/>
                <w:noProof/>
              </w:rPr>
            </w:pPr>
            <w:r>
              <w:rPr>
                <w:rFonts w:asciiTheme="minorHAnsi" w:hAnsiTheme="minorHAnsi" w:cstheme="minorHAnsi"/>
                <w:noProof/>
              </w:rPr>
              <w:t>24</w:t>
            </w:r>
          </w:p>
        </w:tc>
        <w:tc>
          <w:tcPr>
            <w:tcW w:w="2274" w:type="dxa"/>
            <w:noWrap/>
          </w:tcPr>
          <w:p>
            <w:pPr>
              <w:rPr>
                <w:rFonts w:asciiTheme="minorHAnsi" w:hAnsiTheme="minorHAnsi" w:cstheme="minorHAnsi"/>
                <w:noProof/>
              </w:rPr>
            </w:pPr>
            <w:r>
              <w:rPr>
                <w:rFonts w:asciiTheme="minorHAnsi" w:hAnsiTheme="minorHAnsi" w:cstheme="minorHAnsi"/>
                <w:noProof/>
              </w:rPr>
              <w:t>94,5</w:t>
            </w:r>
          </w:p>
        </w:tc>
        <w:tc>
          <w:tcPr>
            <w:tcW w:w="1276" w:type="dxa"/>
            <w:noWrap/>
          </w:tcPr>
          <w:p>
            <w:pPr>
              <w:rPr>
                <w:rFonts w:asciiTheme="minorHAnsi" w:hAnsiTheme="minorHAnsi" w:cstheme="minorHAnsi"/>
                <w:noProof/>
              </w:rPr>
            </w:pPr>
            <w:r>
              <w:rPr>
                <w:rFonts w:asciiTheme="minorHAnsi" w:hAnsiTheme="minorHAnsi" w:cstheme="minorHAnsi"/>
                <w:noProof/>
              </w:rPr>
              <w:t>24</w:t>
            </w:r>
          </w:p>
        </w:tc>
      </w:tr>
      <w:tr>
        <w:trPr>
          <w:trHeight w:val="300"/>
        </w:trPr>
        <w:tc>
          <w:tcPr>
            <w:tcW w:w="2391" w:type="dxa"/>
            <w:tcBorders>
              <w:top w:val="single" w:sz="4" w:space="0" w:color="FFFFFF" w:themeColor="background1"/>
              <w:bottom w:val="single" w:sz="4" w:space="0" w:color="FFFFFF" w:themeColor="background1"/>
            </w:tcBorders>
            <w:noWrap/>
          </w:tcPr>
          <w:p>
            <w:pPr>
              <w:rPr>
                <w:rFonts w:asciiTheme="minorHAnsi" w:hAnsiTheme="minorHAnsi" w:cstheme="minorHAnsi"/>
                <w:b/>
                <w:noProof/>
                <w:highlight w:val="yellow"/>
              </w:rPr>
            </w:pPr>
          </w:p>
        </w:tc>
        <w:tc>
          <w:tcPr>
            <w:tcW w:w="2673" w:type="dxa"/>
            <w:noWrap/>
          </w:tcPr>
          <w:p>
            <w:pPr>
              <w:rPr>
                <w:rFonts w:asciiTheme="minorHAnsi" w:hAnsiTheme="minorHAnsi" w:cstheme="minorHAnsi"/>
                <w:noProof/>
              </w:rPr>
            </w:pPr>
            <w:r>
              <w:rPr>
                <w:rFonts w:asciiTheme="minorHAnsi" w:hAnsiTheme="minorHAnsi" w:cstheme="minorHAnsi"/>
                <w:noProof/>
              </w:rPr>
              <w:t>Germania</w:t>
            </w:r>
          </w:p>
        </w:tc>
        <w:tc>
          <w:tcPr>
            <w:tcW w:w="1451" w:type="dxa"/>
            <w:noWrap/>
          </w:tcPr>
          <w:p>
            <w:pPr>
              <w:rPr>
                <w:rFonts w:asciiTheme="minorHAnsi" w:hAnsiTheme="minorHAnsi" w:cstheme="minorHAnsi"/>
                <w:noProof/>
              </w:rPr>
            </w:pPr>
            <w:r>
              <w:rPr>
                <w:rFonts w:asciiTheme="minorHAnsi" w:hAnsiTheme="minorHAnsi" w:cstheme="minorHAnsi"/>
                <w:noProof/>
              </w:rPr>
              <w:t>3</w:t>
            </w:r>
          </w:p>
        </w:tc>
        <w:tc>
          <w:tcPr>
            <w:tcW w:w="2274" w:type="dxa"/>
            <w:noWrap/>
          </w:tcPr>
          <w:p>
            <w:pPr>
              <w:rPr>
                <w:rFonts w:asciiTheme="minorHAnsi" w:hAnsiTheme="minorHAnsi" w:cstheme="minorHAnsi"/>
                <w:noProof/>
              </w:rPr>
            </w:pPr>
            <w:r>
              <w:rPr>
                <w:rFonts w:asciiTheme="minorHAnsi" w:hAnsiTheme="minorHAnsi" w:cstheme="minorHAnsi"/>
                <w:noProof/>
              </w:rPr>
              <w:t>4</w:t>
            </w:r>
          </w:p>
        </w:tc>
        <w:tc>
          <w:tcPr>
            <w:tcW w:w="1276" w:type="dxa"/>
            <w:noWrap/>
          </w:tcPr>
          <w:p>
            <w:pPr>
              <w:rPr>
                <w:rFonts w:asciiTheme="minorHAnsi" w:hAnsiTheme="minorHAnsi" w:cstheme="minorHAnsi"/>
                <w:noProof/>
              </w:rPr>
            </w:pPr>
            <w:r>
              <w:rPr>
                <w:rFonts w:asciiTheme="minorHAnsi" w:hAnsiTheme="minorHAnsi" w:cstheme="minorHAnsi"/>
                <w:noProof/>
              </w:rPr>
              <w:t>1</w:t>
            </w:r>
          </w:p>
        </w:tc>
      </w:tr>
      <w:tr>
        <w:trPr>
          <w:trHeight w:val="300"/>
        </w:trPr>
        <w:tc>
          <w:tcPr>
            <w:tcW w:w="2391" w:type="dxa"/>
            <w:tcBorders>
              <w:top w:val="single" w:sz="4" w:space="0" w:color="FFFFFF" w:themeColor="background1"/>
              <w:bottom w:val="single" w:sz="4" w:space="0" w:color="FFFFFF" w:themeColor="background1"/>
            </w:tcBorders>
            <w:noWrap/>
          </w:tcPr>
          <w:p>
            <w:pPr>
              <w:rPr>
                <w:rFonts w:asciiTheme="minorHAnsi" w:hAnsiTheme="minorHAnsi" w:cstheme="minorHAnsi"/>
                <w:b/>
                <w:noProof/>
                <w:highlight w:val="yellow"/>
              </w:rPr>
            </w:pPr>
          </w:p>
        </w:tc>
        <w:tc>
          <w:tcPr>
            <w:tcW w:w="2673" w:type="dxa"/>
            <w:noWrap/>
          </w:tcPr>
          <w:p>
            <w:pPr>
              <w:rPr>
                <w:rFonts w:asciiTheme="minorHAnsi" w:hAnsiTheme="minorHAnsi" w:cstheme="minorHAnsi"/>
                <w:noProof/>
              </w:rPr>
            </w:pPr>
            <w:r>
              <w:rPr>
                <w:rFonts w:asciiTheme="minorHAnsi" w:hAnsiTheme="minorHAnsi" w:cstheme="minorHAnsi"/>
                <w:noProof/>
              </w:rPr>
              <w:t>Țările de Jos</w:t>
            </w:r>
          </w:p>
        </w:tc>
        <w:tc>
          <w:tcPr>
            <w:tcW w:w="1451" w:type="dxa"/>
            <w:noWrap/>
          </w:tcPr>
          <w:p>
            <w:pPr>
              <w:rPr>
                <w:rFonts w:asciiTheme="minorHAnsi" w:hAnsiTheme="minorHAnsi" w:cstheme="minorHAnsi"/>
                <w:noProof/>
              </w:rPr>
            </w:pPr>
            <w:r>
              <w:rPr>
                <w:rFonts w:asciiTheme="minorHAnsi" w:hAnsiTheme="minorHAnsi" w:cstheme="minorHAnsi"/>
                <w:noProof/>
              </w:rPr>
              <w:t>98</w:t>
            </w:r>
          </w:p>
        </w:tc>
        <w:tc>
          <w:tcPr>
            <w:tcW w:w="2274" w:type="dxa"/>
            <w:noWrap/>
          </w:tcPr>
          <w:p>
            <w:pPr>
              <w:rPr>
                <w:rFonts w:asciiTheme="minorHAnsi" w:hAnsiTheme="minorHAnsi" w:cstheme="minorHAnsi"/>
                <w:noProof/>
              </w:rPr>
            </w:pPr>
            <w:r>
              <w:rPr>
                <w:rFonts w:asciiTheme="minorHAnsi" w:hAnsiTheme="minorHAnsi" w:cstheme="minorHAnsi"/>
                <w:noProof/>
              </w:rPr>
              <w:t>156</w:t>
            </w:r>
          </w:p>
        </w:tc>
        <w:tc>
          <w:tcPr>
            <w:tcW w:w="1276" w:type="dxa"/>
            <w:noWrap/>
          </w:tcPr>
          <w:p>
            <w:pPr>
              <w:rPr>
                <w:rFonts w:asciiTheme="minorHAnsi" w:hAnsiTheme="minorHAnsi" w:cstheme="minorHAnsi"/>
                <w:noProof/>
              </w:rPr>
            </w:pPr>
            <w:r>
              <w:rPr>
                <w:rFonts w:asciiTheme="minorHAnsi" w:hAnsiTheme="minorHAnsi" w:cstheme="minorHAnsi"/>
                <w:noProof/>
              </w:rPr>
              <w:t>58</w:t>
            </w:r>
          </w:p>
        </w:tc>
      </w:tr>
      <w:tr>
        <w:trPr>
          <w:trHeight w:val="300"/>
        </w:trPr>
        <w:tc>
          <w:tcPr>
            <w:tcW w:w="2391" w:type="dxa"/>
            <w:tcBorders>
              <w:right w:val="single" w:sz="4" w:space="0" w:color="FFFFFF" w:themeColor="background1"/>
            </w:tcBorders>
            <w:noWrap/>
          </w:tcPr>
          <w:p>
            <w:pPr>
              <w:rPr>
                <w:rFonts w:asciiTheme="minorHAnsi" w:hAnsiTheme="minorHAnsi" w:cstheme="minorHAnsi"/>
                <w:b/>
                <w:noProof/>
              </w:rPr>
            </w:pPr>
            <w:r>
              <w:rPr>
                <w:rFonts w:asciiTheme="minorHAnsi" w:hAnsiTheme="minorHAnsi" w:cstheme="minorHAnsi"/>
                <w:b/>
                <w:noProof/>
              </w:rPr>
              <w:lastRenderedPageBreak/>
              <w:t>Total</w:t>
            </w:r>
          </w:p>
        </w:tc>
        <w:tc>
          <w:tcPr>
            <w:tcW w:w="2673" w:type="dxa"/>
            <w:tcBorders>
              <w:left w:val="single" w:sz="4" w:space="0" w:color="FFFFFF" w:themeColor="background1"/>
            </w:tcBorders>
            <w:noWrap/>
          </w:tcPr>
          <w:p>
            <w:pPr>
              <w:rPr>
                <w:rFonts w:asciiTheme="minorHAnsi" w:hAnsiTheme="minorHAnsi" w:cstheme="minorHAnsi"/>
                <w:b/>
                <w:noProof/>
              </w:rPr>
            </w:pPr>
          </w:p>
        </w:tc>
        <w:tc>
          <w:tcPr>
            <w:tcW w:w="1451" w:type="dxa"/>
            <w:noWrap/>
          </w:tcPr>
          <w:p>
            <w:pPr>
              <w:rPr>
                <w:rFonts w:asciiTheme="minorHAnsi" w:hAnsiTheme="minorHAnsi" w:cstheme="minorHAnsi"/>
                <w:b/>
                <w:bCs/>
                <w:noProof/>
              </w:rPr>
            </w:pPr>
            <w:r>
              <w:rPr>
                <w:rFonts w:asciiTheme="minorHAnsi" w:hAnsiTheme="minorHAnsi" w:cstheme="minorHAnsi"/>
                <w:b/>
                <w:noProof/>
              </w:rPr>
              <w:t>371</w:t>
            </w:r>
          </w:p>
        </w:tc>
        <w:tc>
          <w:tcPr>
            <w:tcW w:w="2274" w:type="dxa"/>
            <w:noWrap/>
          </w:tcPr>
          <w:p>
            <w:pPr>
              <w:rPr>
                <w:rFonts w:asciiTheme="minorHAnsi" w:hAnsiTheme="minorHAnsi" w:cstheme="minorHAnsi"/>
                <w:b/>
                <w:bCs/>
                <w:noProof/>
              </w:rPr>
            </w:pPr>
            <w:r>
              <w:rPr>
                <w:rFonts w:asciiTheme="minorHAnsi" w:hAnsiTheme="minorHAnsi" w:cstheme="minorHAnsi"/>
                <w:b/>
                <w:noProof/>
              </w:rPr>
              <w:t>742,5</w:t>
            </w:r>
          </w:p>
        </w:tc>
        <w:tc>
          <w:tcPr>
            <w:tcW w:w="1276" w:type="dxa"/>
            <w:noWrap/>
            <w:vAlign w:val="bottom"/>
          </w:tcPr>
          <w:p>
            <w:pPr>
              <w:rPr>
                <w:rFonts w:asciiTheme="minorHAnsi" w:hAnsiTheme="minorHAnsi" w:cstheme="minorHAnsi"/>
                <w:b/>
                <w:bCs/>
                <w:noProof/>
              </w:rPr>
            </w:pPr>
            <w:r>
              <w:rPr>
                <w:rFonts w:asciiTheme="minorHAnsi" w:hAnsiTheme="minorHAnsi" w:cstheme="minorHAnsi"/>
                <w:b/>
                <w:noProof/>
              </w:rPr>
              <w:t>299</w:t>
            </w:r>
            <w:r>
              <w:rPr>
                <w:rStyle w:val="FootnoteReference"/>
                <w:rFonts w:asciiTheme="minorHAnsi" w:hAnsiTheme="minorHAnsi" w:cstheme="minorHAnsi"/>
                <w:bCs/>
                <w:noProof/>
              </w:rPr>
              <w:footnoteReference w:id="6"/>
            </w:r>
          </w:p>
        </w:tc>
      </w:tr>
    </w:tbl>
    <w:p>
      <w:pPr>
        <w:rPr>
          <w:rFonts w:ascii="Times New Roman" w:hAnsi="Times New Roman"/>
          <w:noProof/>
        </w:rPr>
      </w:pPr>
    </w:p>
    <w:p>
      <w:pPr>
        <w:jc w:val="both"/>
        <w:rPr>
          <w:rFonts w:ascii="Times New Roman" w:hAnsi="Times New Roman"/>
          <w:noProof/>
          <w:sz w:val="24"/>
          <w:szCs w:val="24"/>
        </w:rPr>
      </w:pPr>
      <w:r>
        <w:rPr>
          <w:rFonts w:ascii="Times New Roman" w:hAnsi="Times New Roman"/>
          <w:noProof/>
          <w:sz w:val="24"/>
        </w:rPr>
        <w:t xml:space="preserve">Articolul 18 din Directiva privind siguranța activităților offshore impune statelor membre să se asigure că autoritățile competente ale statelor membre au anumite drepturi și competențe în ceea ce privește operațiunile și instalațiile aflate sub jurisdicția lor. Printre aceste competențe se numără dreptul de a interzice exploatarea instalațiilor, dreptul de a solicita operatorilor să ia măsuri care să asigure respectarea gestionării riscurilor și dreptul de a lua măsuri care să asigure siguranța continuă a operațiunilor. </w:t>
      </w:r>
    </w:p>
    <w:p>
      <w:pPr>
        <w:jc w:val="both"/>
        <w:rPr>
          <w:rFonts w:ascii="Times New Roman" w:hAnsi="Times New Roman"/>
          <w:noProof/>
          <w:sz w:val="24"/>
          <w:szCs w:val="24"/>
        </w:rPr>
      </w:pPr>
      <w:r>
        <w:rPr>
          <w:rFonts w:ascii="Times New Roman" w:hAnsi="Times New Roman"/>
          <w:noProof/>
          <w:sz w:val="24"/>
        </w:rPr>
        <w:t>În 2024, au existat trei investigații privind accidente majore. Dintre acestea, două sunt finalizate (Italia și Danemarca), iar una este încă în curs (Croația).</w:t>
      </w:r>
    </w:p>
    <w:p>
      <w:pPr>
        <w:jc w:val="both"/>
        <w:rPr>
          <w:rFonts w:ascii="Times New Roman" w:hAnsi="Times New Roman"/>
          <w:noProof/>
          <w:sz w:val="24"/>
          <w:szCs w:val="24"/>
        </w:rPr>
      </w:pPr>
      <w:r>
        <w:rPr>
          <w:rFonts w:ascii="Times New Roman" w:hAnsi="Times New Roman"/>
          <w:noProof/>
          <w:sz w:val="24"/>
        </w:rPr>
        <w:t xml:space="preserve">Nu au fost luate măsuri de asigurare a respectării legislației în cursul anului 2024. </w:t>
      </w:r>
    </w:p>
    <w:p>
      <w:pPr>
        <w:pStyle w:val="Heading1"/>
        <w:ind w:left="720" w:hanging="720"/>
        <w:rPr>
          <w:rFonts w:ascii="Times New Roman" w:hAnsi="Times New Roman"/>
          <w:color w:val="auto"/>
        </w:rPr>
      </w:pPr>
      <w:bookmarkStart w:id="8" w:name="_Toc231993444"/>
      <w:r>
        <w:rPr>
          <w:rFonts w:ascii="Times New Roman" w:hAnsi="Times New Roman"/>
          <w:color w:val="auto"/>
        </w:rPr>
        <w:t>5.</w:t>
      </w:r>
      <w:r>
        <w:rPr>
          <w:rFonts w:ascii="Times New Roman" w:hAnsi="Times New Roman"/>
        </w:rPr>
        <w:tab/>
      </w:r>
      <w:r>
        <w:rPr>
          <w:rFonts w:ascii="Times New Roman" w:hAnsi="Times New Roman"/>
          <w:color w:val="auto"/>
        </w:rPr>
        <w:t>INCIDENTE ȘI PERFORMANȚĂ ÎN MATERIE DE SIGURANȚĂ</w:t>
      </w:r>
      <w:bookmarkEnd w:id="8"/>
    </w:p>
    <w:p>
      <w:pPr>
        <w:jc w:val="both"/>
        <w:rPr>
          <w:rFonts w:ascii="Times New Roman" w:hAnsi="Times New Roman"/>
          <w:noProof/>
          <w:sz w:val="24"/>
          <w:szCs w:val="24"/>
        </w:rPr>
      </w:pPr>
      <w:r>
        <w:rPr>
          <w:rFonts w:ascii="Times New Roman" w:hAnsi="Times New Roman"/>
          <w:noProof/>
          <w:sz w:val="24"/>
        </w:rPr>
        <w:t xml:space="preserve">Operatorii și proprietarii de instalații, precum și autoritățile competente ale statelor membre trebuie să raporteze un accident sau o situație de pericol grav (denumit „eveniment”). Pe de altă parte, un eveniment în sine poate fi clasificat în funcție de unul sau mai multe incidente. De exemplu, trebuie notificate două categorii de incidente pentru același eveniment în cazul în care a existat (a) o scurgere neintenționată de gaze care (b) a necesitat și evacuarea personalului. </w:t>
      </w:r>
    </w:p>
    <w:p>
      <w:pPr>
        <w:jc w:val="both"/>
        <w:rPr>
          <w:rFonts w:ascii="Times New Roman" w:hAnsi="Times New Roman"/>
          <w:noProof/>
          <w:sz w:val="24"/>
          <w:szCs w:val="24"/>
        </w:rPr>
      </w:pPr>
      <w:r>
        <w:rPr>
          <w:rFonts w:ascii="Times New Roman" w:hAnsi="Times New Roman"/>
          <w:noProof/>
          <w:sz w:val="24"/>
        </w:rPr>
        <w:t>Statele membre au raportat 72 de evenimente</w:t>
      </w:r>
      <w:r>
        <w:rPr>
          <w:rStyle w:val="FootnoteReference"/>
          <w:rFonts w:ascii="Times New Roman" w:hAnsi="Times New Roman"/>
          <w:noProof/>
          <w:sz w:val="24"/>
          <w:szCs w:val="24"/>
        </w:rPr>
        <w:footnoteReference w:id="7"/>
      </w:r>
      <w:r>
        <w:rPr>
          <w:rFonts w:ascii="Times New Roman" w:hAnsi="Times New Roman"/>
          <w:noProof/>
          <w:sz w:val="24"/>
        </w:rPr>
        <w:t xml:space="preserve"> în 2024, față de 44 în 2023:</w:t>
      </w:r>
    </w:p>
    <w:p>
      <w:pPr>
        <w:pStyle w:val="ListParagraph"/>
        <w:numPr>
          <w:ilvl w:val="0"/>
          <w:numId w:val="4"/>
        </w:numPr>
        <w:spacing w:after="0"/>
        <w:jc w:val="both"/>
        <w:rPr>
          <w:rFonts w:ascii="Times New Roman" w:hAnsi="Times New Roman"/>
          <w:noProof/>
          <w:sz w:val="24"/>
          <w:szCs w:val="24"/>
        </w:rPr>
      </w:pPr>
      <w:r>
        <w:rPr>
          <w:rFonts w:ascii="Times New Roman" w:hAnsi="Times New Roman"/>
          <w:noProof/>
          <w:sz w:val="24"/>
        </w:rPr>
        <w:t>Danemarca – 21 de evenimente, un accident major</w:t>
      </w:r>
      <w:r>
        <w:rPr>
          <w:rStyle w:val="FootnoteReference"/>
          <w:rFonts w:ascii="Times New Roman" w:hAnsi="Times New Roman"/>
          <w:noProof/>
          <w:sz w:val="24"/>
          <w:szCs w:val="24"/>
        </w:rPr>
        <w:footnoteReference w:id="8"/>
      </w:r>
      <w:r>
        <w:rPr>
          <w:rFonts w:ascii="Times New Roman" w:hAnsi="Times New Roman"/>
          <w:noProof/>
          <w:sz w:val="24"/>
        </w:rPr>
        <w:t xml:space="preserve"> (12 evenimente în 2023)</w:t>
      </w:r>
      <w:r>
        <w:rPr>
          <w:rStyle w:val="FootnoteReference"/>
          <w:rFonts w:ascii="Times New Roman" w:hAnsi="Times New Roman"/>
          <w:noProof/>
          <w:sz w:val="24"/>
          <w:szCs w:val="24"/>
        </w:rPr>
        <w:footnoteReference w:id="9"/>
      </w:r>
      <w:r>
        <w:rPr>
          <w:rFonts w:ascii="Times New Roman" w:hAnsi="Times New Roman"/>
          <w:noProof/>
        </w:rPr>
        <w:t>.</w:t>
      </w:r>
    </w:p>
    <w:p>
      <w:pPr>
        <w:pStyle w:val="ListParagraph"/>
        <w:numPr>
          <w:ilvl w:val="0"/>
          <w:numId w:val="4"/>
        </w:numPr>
        <w:spacing w:after="0"/>
        <w:jc w:val="both"/>
        <w:rPr>
          <w:rFonts w:ascii="Times New Roman" w:hAnsi="Times New Roman"/>
          <w:noProof/>
          <w:sz w:val="24"/>
          <w:szCs w:val="24"/>
        </w:rPr>
      </w:pPr>
      <w:r>
        <w:rPr>
          <w:rFonts w:ascii="Times New Roman" w:hAnsi="Times New Roman"/>
          <w:noProof/>
          <w:sz w:val="24"/>
        </w:rPr>
        <w:t>Croația – 8 evenimente, niciun accident major (8 evenimente în 2023)</w:t>
      </w:r>
      <w:r>
        <w:rPr>
          <w:rStyle w:val="FootnoteReference"/>
          <w:rFonts w:ascii="Times New Roman" w:hAnsi="Times New Roman"/>
          <w:noProof/>
          <w:sz w:val="24"/>
          <w:szCs w:val="24"/>
        </w:rPr>
        <w:footnoteReference w:id="10"/>
      </w:r>
      <w:r>
        <w:rPr>
          <w:rFonts w:ascii="Times New Roman" w:hAnsi="Times New Roman"/>
          <w:noProof/>
        </w:rPr>
        <w:t>.</w:t>
      </w:r>
    </w:p>
    <w:p>
      <w:pPr>
        <w:pStyle w:val="ListParagraph"/>
        <w:numPr>
          <w:ilvl w:val="0"/>
          <w:numId w:val="4"/>
        </w:numPr>
        <w:spacing w:after="0"/>
        <w:jc w:val="both"/>
        <w:rPr>
          <w:rFonts w:ascii="Times New Roman" w:hAnsi="Times New Roman"/>
          <w:noProof/>
          <w:sz w:val="24"/>
          <w:szCs w:val="24"/>
        </w:rPr>
      </w:pPr>
      <w:r>
        <w:rPr>
          <w:rFonts w:ascii="Times New Roman" w:hAnsi="Times New Roman"/>
          <w:noProof/>
          <w:sz w:val="24"/>
        </w:rPr>
        <w:t>Țările de Jos – 45 de evenimente, niciun accident major</w:t>
      </w:r>
      <w:r>
        <w:rPr>
          <w:rStyle w:val="FootnoteReference"/>
          <w:rFonts w:ascii="Times New Roman" w:hAnsi="Times New Roman"/>
          <w:noProof/>
          <w:sz w:val="24"/>
          <w:szCs w:val="24"/>
        </w:rPr>
        <w:footnoteReference w:id="11"/>
      </w:r>
      <w:r>
        <w:rPr>
          <w:rFonts w:ascii="Times New Roman" w:hAnsi="Times New Roman"/>
          <w:noProof/>
          <w:sz w:val="24"/>
        </w:rPr>
        <w:t xml:space="preserve"> (24 de evenimente în 2023)</w:t>
      </w:r>
      <w:r>
        <w:rPr>
          <w:rStyle w:val="FootnoteReference"/>
          <w:rFonts w:ascii="Times New Roman" w:hAnsi="Times New Roman"/>
          <w:noProof/>
          <w:sz w:val="24"/>
          <w:szCs w:val="24"/>
        </w:rPr>
        <w:footnoteReference w:id="12"/>
      </w:r>
      <w:r>
        <w:rPr>
          <w:rFonts w:ascii="Times New Roman" w:hAnsi="Times New Roman"/>
          <w:noProof/>
        </w:rPr>
        <w:t>.</w:t>
      </w:r>
    </w:p>
    <w:p>
      <w:pPr>
        <w:pStyle w:val="ListParagraph"/>
        <w:numPr>
          <w:ilvl w:val="0"/>
          <w:numId w:val="4"/>
        </w:numPr>
        <w:spacing w:after="0"/>
        <w:jc w:val="both"/>
        <w:rPr>
          <w:rFonts w:ascii="Times New Roman" w:hAnsi="Times New Roman"/>
          <w:noProof/>
          <w:sz w:val="24"/>
          <w:szCs w:val="24"/>
        </w:rPr>
      </w:pPr>
      <w:r>
        <w:rPr>
          <w:rFonts w:ascii="Times New Roman" w:hAnsi="Times New Roman"/>
          <w:noProof/>
          <w:sz w:val="24"/>
        </w:rPr>
        <w:t>Grecia – 4 evenimente</w:t>
      </w:r>
      <w:r>
        <w:rPr>
          <w:rStyle w:val="FootnoteReference"/>
          <w:rFonts w:ascii="Times New Roman" w:hAnsi="Times New Roman"/>
          <w:noProof/>
          <w:sz w:val="24"/>
          <w:szCs w:val="24"/>
        </w:rPr>
        <w:footnoteReference w:id="13"/>
      </w:r>
      <w:r>
        <w:rPr>
          <w:rFonts w:ascii="Times New Roman" w:hAnsi="Times New Roman"/>
          <w:noProof/>
          <w:sz w:val="24"/>
        </w:rPr>
        <w:t>, niciun accident major (0 evenimente în 2023).</w:t>
      </w:r>
    </w:p>
    <w:p>
      <w:pPr>
        <w:pStyle w:val="ListParagraph"/>
        <w:numPr>
          <w:ilvl w:val="0"/>
          <w:numId w:val="4"/>
        </w:numPr>
        <w:spacing w:after="0"/>
        <w:jc w:val="both"/>
        <w:rPr>
          <w:rFonts w:ascii="Times New Roman" w:hAnsi="Times New Roman"/>
          <w:noProof/>
          <w:sz w:val="24"/>
          <w:szCs w:val="24"/>
        </w:rPr>
      </w:pPr>
      <w:r>
        <w:rPr>
          <w:rFonts w:ascii="Times New Roman" w:hAnsi="Times New Roman"/>
          <w:noProof/>
          <w:sz w:val="24"/>
        </w:rPr>
        <w:t>Italia – un accident major</w:t>
      </w:r>
      <w:r>
        <w:rPr>
          <w:rStyle w:val="FootnoteReference"/>
          <w:rFonts w:ascii="Times New Roman" w:hAnsi="Times New Roman"/>
          <w:noProof/>
          <w:sz w:val="24"/>
          <w:szCs w:val="24"/>
        </w:rPr>
        <w:footnoteReference w:id="14"/>
      </w:r>
      <w:r>
        <w:rPr>
          <w:rFonts w:ascii="Times New Roman" w:hAnsi="Times New Roman"/>
          <w:noProof/>
          <w:sz w:val="24"/>
        </w:rPr>
        <w:t xml:space="preserve"> (0 în 2023 și 0 evenimente).</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rPr>
        <w:lastRenderedPageBreak/>
        <w:t>Dintre incidentele care au avut loc în 2024, 81,94 % au constat în scurgeri neintenționate de gaze și/sau petrol și/sau substanțe periculoase, 16,67 % în defectarea unui element critic de siguranță și de mediu, și 1,39 % în coliziuni ale navelor. Niciunul dintre aceste incidente nu a condus la pierderi de vieți omenești. În fine, nu s-a raportat nicio pierdere a controlului asupra sondei și niciun accident de elicopter.</w:t>
      </w:r>
    </w:p>
    <w:p>
      <w:pPr>
        <w:spacing w:after="0"/>
        <w:jc w:val="both"/>
        <w:rPr>
          <w:rFonts w:ascii="Times New Roman" w:hAnsi="Times New Roman"/>
          <w:noProof/>
          <w:sz w:val="24"/>
          <w:szCs w:val="24"/>
        </w:rPr>
      </w:pPr>
    </w:p>
    <w:p>
      <w:pPr>
        <w:pStyle w:val="Caption"/>
        <w:rPr>
          <w:noProof/>
        </w:rPr>
      </w:pPr>
      <w:r>
        <w:rPr>
          <w:noProof/>
        </w:rPr>
        <w:t>Tabelul 4: Incidente pe categorii (prevăzute în anexa IX la Directiva privind siguranța operațiunilor offshore) în 2024</w:t>
      </w:r>
    </w:p>
    <w:tbl>
      <w:tblPr>
        <w:tblStyle w:val="TableGrid"/>
        <w:tblW w:w="10025" w:type="dxa"/>
        <w:tblLook w:val="04A0" w:firstRow="1" w:lastRow="0" w:firstColumn="1" w:lastColumn="0" w:noHBand="0" w:noVBand="1"/>
      </w:tblPr>
      <w:tblGrid>
        <w:gridCol w:w="479"/>
        <w:gridCol w:w="5250"/>
        <w:gridCol w:w="709"/>
        <w:gridCol w:w="1215"/>
        <w:gridCol w:w="1556"/>
        <w:gridCol w:w="916"/>
      </w:tblGrid>
      <w:tr>
        <w:trPr>
          <w:trHeight w:val="300"/>
        </w:trPr>
        <w:tc>
          <w:tcPr>
            <w:tcW w:w="5729" w:type="dxa"/>
            <w:gridSpan w:val="2"/>
            <w:noWrap/>
            <w:hideMark/>
          </w:tcPr>
          <w:p>
            <w:pPr>
              <w:rPr>
                <w:rFonts w:asciiTheme="minorHAnsi" w:hAnsiTheme="minorHAnsi" w:cstheme="minorHAnsi"/>
                <w:b/>
                <w:noProof/>
              </w:rPr>
            </w:pPr>
            <w:r>
              <w:rPr>
                <w:rFonts w:asciiTheme="minorHAnsi" w:hAnsiTheme="minorHAnsi" w:cstheme="minorHAnsi"/>
                <w:b/>
                <w:noProof/>
              </w:rPr>
              <w:t>Categorie</w:t>
            </w:r>
          </w:p>
        </w:tc>
        <w:tc>
          <w:tcPr>
            <w:tcW w:w="709" w:type="dxa"/>
            <w:noWrap/>
            <w:hideMark/>
          </w:tcPr>
          <w:p>
            <w:pPr>
              <w:rPr>
                <w:rFonts w:asciiTheme="minorHAnsi" w:hAnsiTheme="minorHAnsi" w:cstheme="minorHAnsi"/>
                <w:b/>
                <w:noProof/>
              </w:rPr>
            </w:pPr>
            <w:r>
              <w:rPr>
                <w:rFonts w:asciiTheme="minorHAnsi" w:hAnsiTheme="minorHAnsi" w:cstheme="minorHAnsi"/>
                <w:b/>
                <w:noProof/>
              </w:rPr>
              <w:t>Total</w:t>
            </w:r>
          </w:p>
        </w:tc>
        <w:tc>
          <w:tcPr>
            <w:tcW w:w="1215" w:type="dxa"/>
            <w:noWrap/>
            <w:hideMark/>
          </w:tcPr>
          <w:p>
            <w:pPr>
              <w:rPr>
                <w:rFonts w:asciiTheme="minorHAnsi" w:hAnsiTheme="minorHAnsi" w:cstheme="minorHAnsi"/>
                <w:b/>
                <w:noProof/>
              </w:rPr>
            </w:pPr>
            <w:r>
              <w:rPr>
                <w:rFonts w:asciiTheme="minorHAnsi" w:hAnsiTheme="minorHAnsi" w:cstheme="minorHAnsi"/>
                <w:b/>
                <w:noProof/>
              </w:rPr>
              <w:t>Pondere în totalul categoriei</w:t>
            </w:r>
          </w:p>
        </w:tc>
        <w:tc>
          <w:tcPr>
            <w:tcW w:w="1556" w:type="dxa"/>
            <w:noWrap/>
            <w:hideMark/>
          </w:tcPr>
          <w:p>
            <w:pPr>
              <w:rPr>
                <w:rFonts w:asciiTheme="minorHAnsi" w:hAnsiTheme="minorHAnsi" w:cstheme="minorHAnsi"/>
                <w:b/>
                <w:noProof/>
              </w:rPr>
            </w:pPr>
            <w:r>
              <w:rPr>
                <w:rFonts w:asciiTheme="minorHAnsi" w:hAnsiTheme="minorHAnsi" w:cstheme="minorHAnsi"/>
                <w:b/>
                <w:noProof/>
              </w:rPr>
              <w:t>Pondere în totalul incidentelor</w:t>
            </w:r>
          </w:p>
        </w:tc>
        <w:tc>
          <w:tcPr>
            <w:tcW w:w="816" w:type="dxa"/>
          </w:tcPr>
          <w:p>
            <w:pPr>
              <w:rPr>
                <w:rFonts w:asciiTheme="minorHAnsi" w:hAnsiTheme="minorHAnsi" w:cstheme="minorHAnsi"/>
                <w:b/>
                <w:noProof/>
              </w:rPr>
            </w:pPr>
            <w:r>
              <w:rPr>
                <w:rFonts w:asciiTheme="minorHAnsi" w:hAnsiTheme="minorHAnsi" w:cstheme="minorHAnsi"/>
                <w:b/>
                <w:noProof/>
              </w:rPr>
              <w:t>Creștere relativă față de 2023</w:t>
            </w:r>
          </w:p>
        </w:tc>
      </w:tr>
      <w:tr>
        <w:trPr>
          <w:trHeight w:val="300"/>
        </w:trPr>
        <w:tc>
          <w:tcPr>
            <w:tcW w:w="479" w:type="dxa"/>
            <w:tcBorders>
              <w:righ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(a)</w:t>
            </w:r>
          </w:p>
        </w:tc>
        <w:tc>
          <w:tcPr>
            <w:tcW w:w="5250" w:type="dxa"/>
            <w:tcBorders>
              <w:lef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Scurgeri neintenționate – total</w:t>
            </w:r>
          </w:p>
        </w:tc>
        <w:tc>
          <w:tcPr>
            <w:tcW w:w="709" w:type="dxa"/>
            <w:noWrap/>
            <w:hideMark/>
          </w:tcPr>
          <w:p>
            <w:pPr>
              <w:rPr>
                <w:rFonts w:asciiTheme="minorHAnsi" w:hAnsiTheme="minorHAnsi" w:cstheme="minorHAnsi"/>
                <w:b/>
                <w:bCs/>
                <w:noProof/>
              </w:rPr>
            </w:pPr>
            <w:r>
              <w:rPr>
                <w:rFonts w:asciiTheme="minorHAnsi" w:hAnsiTheme="minorHAnsi" w:cstheme="minorHAnsi"/>
                <w:b/>
                <w:noProof/>
              </w:rPr>
              <w:t>59</w:t>
            </w:r>
          </w:p>
        </w:tc>
        <w:tc>
          <w:tcPr>
            <w:tcW w:w="1215" w:type="dxa"/>
            <w:noWrap/>
            <w:hideMark/>
          </w:tcPr>
          <w:p>
            <w:pPr>
              <w:rPr>
                <w:rFonts w:asciiTheme="minorHAnsi" w:hAnsiTheme="minorHAnsi" w:cstheme="minorHAnsi"/>
                <w:b/>
                <w:bCs/>
                <w:noProof/>
              </w:rPr>
            </w:pPr>
            <w:r>
              <w:rPr>
                <w:rFonts w:asciiTheme="minorHAnsi" w:hAnsiTheme="minorHAnsi" w:cstheme="minorHAnsi"/>
                <w:b/>
                <w:noProof/>
              </w:rPr>
              <w:t>100 %</w:t>
            </w:r>
          </w:p>
        </w:tc>
        <w:tc>
          <w:tcPr>
            <w:tcW w:w="1556" w:type="dxa"/>
            <w:noWrap/>
            <w:hideMark/>
          </w:tcPr>
          <w:p>
            <w:pPr>
              <w:rPr>
                <w:rFonts w:asciiTheme="minorHAnsi" w:hAnsiTheme="minorHAnsi" w:cstheme="minorHAnsi"/>
                <w:b/>
                <w:bCs/>
                <w:noProof/>
              </w:rPr>
            </w:pPr>
            <w:r>
              <w:rPr>
                <w:rFonts w:asciiTheme="minorHAnsi" w:hAnsiTheme="minorHAnsi" w:cstheme="minorHAnsi"/>
                <w:b/>
                <w:noProof/>
              </w:rPr>
              <w:t>81,94 %</w:t>
            </w:r>
          </w:p>
        </w:tc>
        <w:tc>
          <w:tcPr>
            <w:tcW w:w="816" w:type="dxa"/>
          </w:tcPr>
          <w:p>
            <w:pPr>
              <w:rPr>
                <w:rFonts w:asciiTheme="minorHAnsi" w:hAnsiTheme="minorHAnsi" w:cstheme="minorHAnsi"/>
                <w:b/>
                <w:bCs/>
                <w:noProof/>
              </w:rPr>
            </w:pPr>
            <w:r>
              <w:rPr>
                <w:rFonts w:asciiTheme="minorHAnsi" w:hAnsiTheme="minorHAnsi" w:cstheme="minorHAnsi"/>
                <w:b/>
                <w:noProof/>
              </w:rPr>
              <w:t>+55 %</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Incendii cauzate de petrol/gaze în stare de ardere</w:t>
            </w:r>
          </w:p>
        </w:tc>
        <w:tc>
          <w:tcPr>
            <w:tcW w:w="709" w:type="dxa"/>
            <w:noWrap/>
            <w:hideMark/>
          </w:tcPr>
          <w:p>
            <w:pPr>
              <w:rPr>
                <w:rFonts w:asciiTheme="minorHAnsi" w:hAnsiTheme="minorHAnsi" w:cstheme="minorHAnsi"/>
                <w:noProof/>
              </w:rPr>
            </w:pPr>
            <w:r>
              <w:rPr>
                <w:rFonts w:asciiTheme="minorHAnsi" w:hAnsiTheme="minorHAnsi" w:cstheme="minorHAnsi"/>
                <w:noProof/>
              </w:rPr>
              <w:t>0</w:t>
            </w:r>
          </w:p>
        </w:tc>
        <w:tc>
          <w:tcPr>
            <w:tcW w:w="1215" w:type="dxa"/>
            <w:noWrap/>
            <w:hideMark/>
          </w:tcPr>
          <w:p>
            <w:pPr>
              <w:rPr>
                <w:rFonts w:asciiTheme="minorHAnsi" w:hAnsiTheme="minorHAnsi" w:cstheme="minorHAnsi"/>
                <w:noProof/>
              </w:rPr>
            </w:pPr>
            <w:r>
              <w:rPr>
                <w:rFonts w:asciiTheme="minorHAnsi" w:hAnsiTheme="minorHAnsi" w:cstheme="minorHAnsi"/>
                <w:noProof/>
              </w:rPr>
              <w:t>0 %</w:t>
            </w:r>
          </w:p>
        </w:tc>
        <w:tc>
          <w:tcPr>
            <w:tcW w:w="1556" w:type="dxa"/>
            <w:noWrap/>
            <w:hideMark/>
          </w:tcPr>
          <w:p>
            <w:pPr>
              <w:rPr>
                <w:rFonts w:asciiTheme="minorHAnsi" w:hAnsiTheme="minorHAnsi" w:cstheme="minorHAnsi"/>
                <w:noProof/>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Explozii cauzate de petrol/gaze în stare de ardere</w:t>
            </w:r>
          </w:p>
        </w:tc>
        <w:tc>
          <w:tcPr>
            <w:tcW w:w="709" w:type="dxa"/>
            <w:noWrap/>
            <w:hideMark/>
          </w:tcPr>
          <w:p>
            <w:pPr>
              <w:rPr>
                <w:rFonts w:asciiTheme="minorHAnsi" w:hAnsiTheme="minorHAnsi" w:cstheme="minorHAnsi"/>
                <w:noProof/>
              </w:rPr>
            </w:pPr>
            <w:r>
              <w:rPr>
                <w:rFonts w:asciiTheme="minorHAnsi" w:hAnsiTheme="minorHAnsi" w:cstheme="minorHAnsi"/>
                <w:noProof/>
              </w:rPr>
              <w:t>0</w:t>
            </w:r>
          </w:p>
        </w:tc>
        <w:tc>
          <w:tcPr>
            <w:tcW w:w="1215" w:type="dxa"/>
            <w:noWrap/>
            <w:hideMark/>
          </w:tcPr>
          <w:p>
            <w:pPr>
              <w:rPr>
                <w:rFonts w:asciiTheme="minorHAnsi" w:hAnsiTheme="minorHAnsi" w:cstheme="minorHAnsi"/>
                <w:noProof/>
              </w:rPr>
            </w:pPr>
            <w:r>
              <w:rPr>
                <w:rFonts w:asciiTheme="minorHAnsi" w:hAnsiTheme="minorHAnsi" w:cstheme="minorHAnsi"/>
                <w:noProof/>
              </w:rPr>
              <w:t>0 %</w:t>
            </w:r>
          </w:p>
        </w:tc>
        <w:tc>
          <w:tcPr>
            <w:tcW w:w="1556" w:type="dxa"/>
            <w:noWrap/>
            <w:hideMark/>
          </w:tcPr>
          <w:p>
            <w:pPr>
              <w:rPr>
                <w:rFonts w:asciiTheme="minorHAnsi" w:hAnsiTheme="minorHAnsi" w:cstheme="minorHAnsi"/>
                <w:noProof/>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 xml:space="preserve">Gaze fără ardere </w:t>
            </w:r>
          </w:p>
        </w:tc>
        <w:tc>
          <w:tcPr>
            <w:tcW w:w="709" w:type="dxa"/>
            <w:noWrap/>
            <w:hideMark/>
          </w:tcPr>
          <w:p>
            <w:pPr>
              <w:rPr>
                <w:rFonts w:asciiTheme="minorHAnsi" w:hAnsiTheme="minorHAnsi" w:cstheme="minorHAnsi"/>
                <w:noProof/>
              </w:rPr>
            </w:pPr>
            <w:r>
              <w:rPr>
                <w:rFonts w:asciiTheme="minorHAnsi" w:hAnsiTheme="minorHAnsi" w:cstheme="minorHAnsi"/>
                <w:noProof/>
              </w:rPr>
              <w:t>20</w:t>
            </w:r>
          </w:p>
        </w:tc>
        <w:tc>
          <w:tcPr>
            <w:tcW w:w="1215" w:type="dxa"/>
            <w:noWrap/>
            <w:hideMark/>
          </w:tcPr>
          <w:p>
            <w:pPr>
              <w:rPr>
                <w:rFonts w:asciiTheme="minorHAnsi" w:hAnsiTheme="minorHAnsi" w:cstheme="minorHAnsi"/>
                <w:noProof/>
              </w:rPr>
            </w:pPr>
            <w:r>
              <w:rPr>
                <w:rFonts w:asciiTheme="minorHAnsi" w:hAnsiTheme="minorHAnsi" w:cstheme="minorHAnsi"/>
                <w:noProof/>
              </w:rPr>
              <w:t>34 %</w:t>
            </w:r>
          </w:p>
        </w:tc>
        <w:tc>
          <w:tcPr>
            <w:tcW w:w="1556" w:type="dxa"/>
            <w:noWrap/>
            <w:hideMark/>
          </w:tcPr>
          <w:p>
            <w:pPr>
              <w:rPr>
                <w:rFonts w:asciiTheme="minorHAnsi" w:hAnsiTheme="minorHAnsi" w:cstheme="minorHAnsi"/>
                <w:noProof/>
              </w:rPr>
            </w:pPr>
            <w:r>
              <w:rPr>
                <w:rFonts w:asciiTheme="minorHAnsi" w:hAnsiTheme="minorHAnsi" w:cstheme="minorHAnsi"/>
                <w:noProof/>
              </w:rPr>
              <w:t>27,78 %</w:t>
            </w:r>
          </w:p>
        </w:tc>
        <w:tc>
          <w:tcPr>
            <w:tcW w:w="816" w:type="dxa"/>
          </w:tcPr>
          <w:p>
            <w:pPr>
              <w:rPr>
                <w:rFonts w:asciiTheme="minorHAnsi" w:hAnsiTheme="minorHAnsi" w:cstheme="minorHAnsi"/>
                <w:noProof/>
              </w:rPr>
            </w:pPr>
            <w:r>
              <w:rPr>
                <w:rFonts w:asciiTheme="minorHAnsi" w:hAnsiTheme="minorHAnsi" w:cstheme="minorHAnsi"/>
                <w:noProof/>
              </w:rPr>
              <w:t>+43 %</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 xml:space="preserve">Petrol fără ardere </w:t>
            </w:r>
          </w:p>
        </w:tc>
        <w:tc>
          <w:tcPr>
            <w:tcW w:w="709" w:type="dxa"/>
            <w:noWrap/>
            <w:hideMark/>
          </w:tcPr>
          <w:p>
            <w:pPr>
              <w:rPr>
                <w:rFonts w:asciiTheme="minorHAnsi" w:hAnsiTheme="minorHAnsi" w:cstheme="minorHAnsi"/>
                <w:noProof/>
              </w:rPr>
            </w:pPr>
            <w:r>
              <w:rPr>
                <w:rFonts w:asciiTheme="minorHAnsi" w:hAnsiTheme="minorHAnsi" w:cstheme="minorHAnsi"/>
                <w:noProof/>
              </w:rPr>
              <w:t>8</w:t>
            </w:r>
          </w:p>
        </w:tc>
        <w:tc>
          <w:tcPr>
            <w:tcW w:w="1215" w:type="dxa"/>
            <w:noWrap/>
            <w:hideMark/>
          </w:tcPr>
          <w:p>
            <w:pPr>
              <w:rPr>
                <w:rFonts w:asciiTheme="minorHAnsi" w:hAnsiTheme="minorHAnsi" w:cstheme="minorHAnsi"/>
                <w:noProof/>
              </w:rPr>
            </w:pPr>
            <w:r>
              <w:rPr>
                <w:rFonts w:asciiTheme="minorHAnsi" w:hAnsiTheme="minorHAnsi" w:cstheme="minorHAnsi"/>
                <w:noProof/>
              </w:rPr>
              <w:t>14 %</w:t>
            </w:r>
          </w:p>
        </w:tc>
        <w:tc>
          <w:tcPr>
            <w:tcW w:w="1556" w:type="dxa"/>
            <w:noWrap/>
            <w:hideMark/>
          </w:tcPr>
          <w:p>
            <w:pPr>
              <w:rPr>
                <w:rFonts w:asciiTheme="minorHAnsi" w:hAnsiTheme="minorHAnsi" w:cstheme="minorHAnsi"/>
                <w:noProof/>
              </w:rPr>
            </w:pPr>
            <w:r>
              <w:rPr>
                <w:rFonts w:asciiTheme="minorHAnsi" w:hAnsiTheme="minorHAnsi" w:cstheme="minorHAnsi"/>
                <w:noProof/>
              </w:rPr>
              <w:t>11,11 %</w:t>
            </w:r>
          </w:p>
        </w:tc>
        <w:tc>
          <w:tcPr>
            <w:tcW w:w="816" w:type="dxa"/>
          </w:tcPr>
          <w:p>
            <w:pPr>
              <w:rPr>
                <w:rFonts w:asciiTheme="minorHAnsi" w:hAnsiTheme="minorHAnsi" w:cstheme="minorHAnsi"/>
                <w:noProof/>
              </w:rPr>
            </w:pPr>
            <w:r>
              <w:rPr>
                <w:rFonts w:asciiTheme="minorHAnsi" w:hAnsiTheme="minorHAnsi" w:cstheme="minorHAnsi"/>
                <w:noProof/>
              </w:rPr>
              <w:t>+14 %</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 xml:space="preserve">Substanță periculoasă </w:t>
            </w:r>
          </w:p>
        </w:tc>
        <w:tc>
          <w:tcPr>
            <w:tcW w:w="709" w:type="dxa"/>
            <w:noWrap/>
            <w:hideMark/>
          </w:tcPr>
          <w:p>
            <w:pPr>
              <w:rPr>
                <w:rFonts w:asciiTheme="minorHAnsi" w:hAnsiTheme="minorHAnsi" w:cstheme="minorHAnsi"/>
                <w:noProof/>
              </w:rPr>
            </w:pPr>
            <w:r>
              <w:rPr>
                <w:rFonts w:asciiTheme="minorHAnsi" w:hAnsiTheme="minorHAnsi" w:cstheme="minorHAnsi"/>
                <w:noProof/>
              </w:rPr>
              <w:t>31</w:t>
            </w:r>
          </w:p>
        </w:tc>
        <w:tc>
          <w:tcPr>
            <w:tcW w:w="1215" w:type="dxa"/>
            <w:noWrap/>
            <w:hideMark/>
          </w:tcPr>
          <w:p>
            <w:pPr>
              <w:rPr>
                <w:rFonts w:asciiTheme="minorHAnsi" w:hAnsiTheme="minorHAnsi" w:cstheme="minorHAnsi"/>
                <w:noProof/>
              </w:rPr>
            </w:pPr>
            <w:r>
              <w:rPr>
                <w:rFonts w:asciiTheme="minorHAnsi" w:hAnsiTheme="minorHAnsi" w:cstheme="minorHAnsi"/>
                <w:noProof/>
              </w:rPr>
              <w:t>52 %</w:t>
            </w:r>
          </w:p>
        </w:tc>
        <w:tc>
          <w:tcPr>
            <w:tcW w:w="1556" w:type="dxa"/>
            <w:noWrap/>
            <w:hideMark/>
          </w:tcPr>
          <w:p>
            <w:pPr>
              <w:rPr>
                <w:rFonts w:asciiTheme="minorHAnsi" w:hAnsiTheme="minorHAnsi" w:cstheme="minorHAnsi"/>
                <w:noProof/>
              </w:rPr>
            </w:pPr>
            <w:r>
              <w:rPr>
                <w:rFonts w:asciiTheme="minorHAnsi" w:hAnsiTheme="minorHAnsi" w:cstheme="minorHAnsi"/>
                <w:noProof/>
              </w:rPr>
              <w:t>43,06 %</w:t>
            </w:r>
          </w:p>
        </w:tc>
        <w:tc>
          <w:tcPr>
            <w:tcW w:w="816" w:type="dxa"/>
          </w:tcPr>
          <w:p>
            <w:pPr>
              <w:rPr>
                <w:rFonts w:asciiTheme="minorHAnsi" w:hAnsiTheme="minorHAnsi" w:cstheme="minorHAnsi"/>
                <w:noProof/>
              </w:rPr>
            </w:pPr>
            <w:r>
              <w:rPr>
                <w:rFonts w:asciiTheme="minorHAnsi" w:hAnsiTheme="minorHAnsi" w:cstheme="minorHAnsi"/>
                <w:noProof/>
              </w:rPr>
              <w:t>+82 %</w:t>
            </w:r>
          </w:p>
        </w:tc>
      </w:tr>
      <w:tr>
        <w:trPr>
          <w:trHeight w:val="300"/>
        </w:trPr>
        <w:tc>
          <w:tcPr>
            <w:tcW w:w="479" w:type="dxa"/>
            <w:tcBorders>
              <w:righ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(b)</w:t>
            </w:r>
          </w:p>
        </w:tc>
        <w:tc>
          <w:tcPr>
            <w:tcW w:w="5250" w:type="dxa"/>
            <w:tcBorders>
              <w:lef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Pierderea controlului asupra sondei – total</w:t>
            </w:r>
          </w:p>
        </w:tc>
        <w:tc>
          <w:tcPr>
            <w:tcW w:w="709" w:type="dxa"/>
            <w:noWrap/>
            <w:hideMark/>
          </w:tcPr>
          <w:p>
            <w:pPr>
              <w:rPr>
                <w:rFonts w:asciiTheme="minorHAnsi" w:hAnsiTheme="minorHAnsi" w:cstheme="minorHAnsi"/>
                <w:b/>
                <w:bCs/>
                <w:noProof/>
              </w:rPr>
            </w:pPr>
            <w:r>
              <w:rPr>
                <w:rFonts w:asciiTheme="minorHAnsi" w:hAnsiTheme="minorHAnsi" w:cstheme="minorHAnsi"/>
                <w:noProof/>
              </w:rPr>
              <w:t>0</w:t>
            </w:r>
          </w:p>
        </w:tc>
        <w:tc>
          <w:tcPr>
            <w:tcW w:w="1215" w:type="dxa"/>
            <w:noWrap/>
            <w:hideMark/>
          </w:tcPr>
          <w:p>
            <w:pPr>
              <w:rPr>
                <w:rFonts w:asciiTheme="minorHAnsi" w:hAnsiTheme="minorHAnsi" w:cstheme="minorHAnsi"/>
                <w:b/>
                <w:bCs/>
                <w:noProof/>
              </w:rPr>
            </w:pPr>
            <w:r>
              <w:rPr>
                <w:rFonts w:asciiTheme="minorHAnsi" w:hAnsiTheme="minorHAnsi" w:cstheme="minorHAnsi"/>
                <w:noProof/>
              </w:rPr>
              <w:t>0 %</w:t>
            </w:r>
          </w:p>
        </w:tc>
        <w:tc>
          <w:tcPr>
            <w:tcW w:w="1556" w:type="dxa"/>
            <w:noWrap/>
            <w:hideMark/>
          </w:tcPr>
          <w:p>
            <w:pPr>
              <w:rPr>
                <w:rFonts w:asciiTheme="minorHAnsi" w:hAnsiTheme="minorHAnsi" w:cstheme="minorHAnsi"/>
                <w:b/>
                <w:bCs/>
                <w:noProof/>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–100 %</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Erupții</w:t>
            </w:r>
          </w:p>
        </w:tc>
        <w:tc>
          <w:tcPr>
            <w:tcW w:w="709" w:type="dxa"/>
            <w:noWrap/>
            <w:hideMark/>
          </w:tcPr>
          <w:p>
            <w:pPr>
              <w:rPr>
                <w:rFonts w:asciiTheme="minorHAnsi" w:hAnsiTheme="minorHAnsi" w:cstheme="minorHAnsi"/>
                <w:noProof/>
              </w:rPr>
            </w:pPr>
            <w:r>
              <w:rPr>
                <w:rFonts w:asciiTheme="minorHAnsi" w:hAnsiTheme="minorHAnsi" w:cstheme="minorHAnsi"/>
                <w:noProof/>
              </w:rPr>
              <w:t>0</w:t>
            </w:r>
          </w:p>
        </w:tc>
        <w:tc>
          <w:tcPr>
            <w:tcW w:w="1215" w:type="dxa"/>
            <w:noWrap/>
            <w:hideMark/>
          </w:tcPr>
          <w:p>
            <w:pPr>
              <w:rPr>
                <w:rFonts w:asciiTheme="minorHAnsi" w:hAnsiTheme="minorHAnsi" w:cstheme="minorHAnsi"/>
                <w:noProof/>
              </w:rPr>
            </w:pPr>
            <w:r>
              <w:rPr>
                <w:rFonts w:asciiTheme="minorHAnsi" w:hAnsiTheme="minorHAnsi" w:cstheme="minorHAnsi"/>
                <w:noProof/>
              </w:rPr>
              <w:t>0 %</w:t>
            </w:r>
          </w:p>
        </w:tc>
        <w:tc>
          <w:tcPr>
            <w:tcW w:w="1556" w:type="dxa"/>
            <w:noWrap/>
            <w:hideMark/>
          </w:tcPr>
          <w:p>
            <w:pPr>
              <w:rPr>
                <w:rFonts w:asciiTheme="minorHAnsi" w:hAnsiTheme="minorHAnsi" w:cstheme="minorHAnsi"/>
                <w:noProof/>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Erupție/intrarea în funcțiune a sistemului de deviere</w:t>
            </w:r>
          </w:p>
        </w:tc>
        <w:tc>
          <w:tcPr>
            <w:tcW w:w="709" w:type="dxa"/>
            <w:noWrap/>
            <w:hideMark/>
          </w:tcPr>
          <w:p>
            <w:pPr>
              <w:rPr>
                <w:rFonts w:asciiTheme="minorHAnsi" w:hAnsiTheme="minorHAnsi" w:cstheme="minorHAnsi"/>
                <w:noProof/>
              </w:rPr>
            </w:pPr>
            <w:r>
              <w:rPr>
                <w:rFonts w:asciiTheme="minorHAnsi" w:hAnsiTheme="minorHAnsi" w:cstheme="minorHAnsi"/>
                <w:noProof/>
              </w:rPr>
              <w:t>0</w:t>
            </w:r>
          </w:p>
        </w:tc>
        <w:tc>
          <w:tcPr>
            <w:tcW w:w="1215" w:type="dxa"/>
            <w:noWrap/>
            <w:hideMark/>
          </w:tcPr>
          <w:p>
            <w:pPr>
              <w:rPr>
                <w:rFonts w:asciiTheme="minorHAnsi" w:hAnsiTheme="minorHAnsi" w:cstheme="minorHAnsi"/>
                <w:noProof/>
              </w:rPr>
            </w:pPr>
            <w:r>
              <w:rPr>
                <w:rFonts w:asciiTheme="minorHAnsi" w:hAnsiTheme="minorHAnsi" w:cstheme="minorHAnsi"/>
                <w:noProof/>
              </w:rPr>
              <w:t>0 %</w:t>
            </w:r>
          </w:p>
        </w:tc>
        <w:tc>
          <w:tcPr>
            <w:tcW w:w="1556" w:type="dxa"/>
            <w:noWrap/>
            <w:hideMark/>
          </w:tcPr>
          <w:p>
            <w:pPr>
              <w:rPr>
                <w:rFonts w:asciiTheme="minorHAnsi" w:hAnsiTheme="minorHAnsi" w:cstheme="minorHAnsi"/>
                <w:noProof/>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–100 %</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Defectarea unei bariere la sondă</w:t>
            </w:r>
          </w:p>
        </w:tc>
        <w:tc>
          <w:tcPr>
            <w:tcW w:w="709" w:type="dxa"/>
            <w:noWrap/>
            <w:hideMark/>
          </w:tcPr>
          <w:p>
            <w:pPr>
              <w:rPr>
                <w:rFonts w:asciiTheme="minorHAnsi" w:hAnsiTheme="minorHAnsi" w:cstheme="minorHAnsi"/>
                <w:noProof/>
              </w:rPr>
            </w:pPr>
            <w:r>
              <w:rPr>
                <w:rFonts w:asciiTheme="minorHAnsi" w:hAnsiTheme="minorHAnsi" w:cstheme="minorHAnsi"/>
                <w:noProof/>
              </w:rPr>
              <w:t>0</w:t>
            </w:r>
          </w:p>
        </w:tc>
        <w:tc>
          <w:tcPr>
            <w:tcW w:w="1215" w:type="dxa"/>
            <w:noWrap/>
            <w:hideMark/>
          </w:tcPr>
          <w:p>
            <w:pPr>
              <w:rPr>
                <w:rFonts w:asciiTheme="minorHAnsi" w:hAnsiTheme="minorHAnsi" w:cstheme="minorHAnsi"/>
                <w:noProof/>
              </w:rPr>
            </w:pPr>
            <w:r>
              <w:rPr>
                <w:rFonts w:asciiTheme="minorHAnsi" w:hAnsiTheme="minorHAnsi" w:cstheme="minorHAnsi"/>
                <w:noProof/>
              </w:rPr>
              <w:t>0 %</w:t>
            </w:r>
          </w:p>
        </w:tc>
        <w:tc>
          <w:tcPr>
            <w:tcW w:w="1556" w:type="dxa"/>
            <w:noWrap/>
            <w:hideMark/>
          </w:tcPr>
          <w:p>
            <w:pPr>
              <w:rPr>
                <w:rFonts w:asciiTheme="minorHAnsi" w:hAnsiTheme="minorHAnsi" w:cstheme="minorHAnsi"/>
                <w:noProof/>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 xml:space="preserve">(c) </w:t>
            </w:r>
          </w:p>
        </w:tc>
        <w:tc>
          <w:tcPr>
            <w:tcW w:w="5250" w:type="dxa"/>
            <w:tcBorders>
              <w:lef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Defectarea unui element critic de siguranță și de mediu</w:t>
            </w:r>
          </w:p>
        </w:tc>
        <w:tc>
          <w:tcPr>
            <w:tcW w:w="709" w:type="dxa"/>
            <w:noWrap/>
            <w:hideMark/>
          </w:tcPr>
          <w:p>
            <w:pPr>
              <w:rPr>
                <w:rFonts w:asciiTheme="minorHAnsi" w:hAnsiTheme="minorHAnsi" w:cstheme="minorHAnsi"/>
                <w:b/>
                <w:bCs/>
                <w:noProof/>
              </w:rPr>
            </w:pPr>
            <w:r>
              <w:rPr>
                <w:rFonts w:asciiTheme="minorHAnsi" w:hAnsiTheme="minorHAnsi" w:cstheme="minorHAnsi"/>
                <w:b/>
                <w:noProof/>
              </w:rPr>
              <w:t>12</w:t>
            </w:r>
          </w:p>
        </w:tc>
        <w:tc>
          <w:tcPr>
            <w:tcW w:w="1215" w:type="dxa"/>
            <w:noWrap/>
            <w:hideMark/>
          </w:tcPr>
          <w:p>
            <w:pPr>
              <w:rPr>
                <w:rFonts w:asciiTheme="minorHAnsi" w:hAnsiTheme="minorHAnsi" w:cstheme="minorHAnsi"/>
                <w:b/>
                <w:bCs/>
                <w:noProof/>
              </w:rPr>
            </w:pPr>
            <w:r>
              <w:rPr>
                <w:rFonts w:asciiTheme="minorHAnsi" w:hAnsiTheme="minorHAnsi" w:cstheme="minorHAnsi"/>
                <w:b/>
                <w:noProof/>
              </w:rPr>
              <w:t>100 %</w:t>
            </w:r>
          </w:p>
        </w:tc>
        <w:tc>
          <w:tcPr>
            <w:tcW w:w="1556" w:type="dxa"/>
            <w:noWrap/>
            <w:hideMark/>
          </w:tcPr>
          <w:p>
            <w:pPr>
              <w:spacing w:line="360" w:lineRule="auto"/>
              <w:rPr>
                <w:rFonts w:asciiTheme="minorHAnsi" w:hAnsiTheme="minorHAnsi" w:cstheme="minorHAnsi"/>
                <w:b/>
                <w:bCs/>
                <w:noProof/>
              </w:rPr>
            </w:pPr>
            <w:r>
              <w:rPr>
                <w:rFonts w:asciiTheme="minorHAnsi" w:hAnsiTheme="minorHAnsi" w:cstheme="minorHAnsi"/>
                <w:b/>
                <w:noProof/>
              </w:rPr>
              <w:t>16,67 %</w:t>
            </w:r>
          </w:p>
        </w:tc>
        <w:tc>
          <w:tcPr>
            <w:tcW w:w="816" w:type="dxa"/>
          </w:tcPr>
          <w:p>
            <w:pPr>
              <w:spacing w:line="360" w:lineRule="auto"/>
              <w:rPr>
                <w:rFonts w:asciiTheme="minorHAnsi" w:hAnsiTheme="minorHAnsi" w:cstheme="minorHAnsi"/>
                <w:b/>
                <w:bCs/>
                <w:noProof/>
              </w:rPr>
            </w:pPr>
            <w:r>
              <w:rPr>
                <w:rFonts w:asciiTheme="minorHAnsi" w:hAnsiTheme="minorHAnsi" w:cstheme="minorHAnsi"/>
                <w:b/>
                <w:noProof/>
              </w:rPr>
              <w:t>300 %</w:t>
            </w:r>
          </w:p>
        </w:tc>
      </w:tr>
      <w:tr>
        <w:trPr>
          <w:trHeight w:val="300"/>
        </w:trPr>
        <w:tc>
          <w:tcPr>
            <w:tcW w:w="479" w:type="dxa"/>
            <w:tcBorders>
              <w:righ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(d)</w:t>
            </w:r>
          </w:p>
        </w:tc>
        <w:tc>
          <w:tcPr>
            <w:tcW w:w="5250" w:type="dxa"/>
            <w:tcBorders>
              <w:lef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Pierderea integrității structurale – total</w:t>
            </w:r>
          </w:p>
        </w:tc>
        <w:tc>
          <w:tcPr>
            <w:tcW w:w="709" w:type="dxa"/>
            <w:noWrap/>
            <w:hideMark/>
          </w:tcPr>
          <w:p>
            <w:pPr>
              <w:rPr>
                <w:rFonts w:asciiTheme="minorHAnsi" w:hAnsiTheme="minorHAnsi" w:cstheme="minorHAnsi"/>
                <w:b/>
                <w:bCs/>
                <w:noProof/>
              </w:rPr>
            </w:pPr>
            <w:r>
              <w:rPr>
                <w:rFonts w:asciiTheme="minorHAnsi" w:hAnsiTheme="minorHAnsi" w:cstheme="minorHAnsi"/>
                <w:b/>
                <w:noProof/>
              </w:rPr>
              <w:t>0</w:t>
            </w:r>
          </w:p>
        </w:tc>
        <w:tc>
          <w:tcPr>
            <w:tcW w:w="1215" w:type="dxa"/>
            <w:noWrap/>
            <w:hideMark/>
          </w:tcPr>
          <w:p>
            <w:pPr>
              <w:rPr>
                <w:rFonts w:asciiTheme="minorHAnsi" w:hAnsiTheme="minorHAnsi" w:cstheme="minorHAnsi"/>
                <w:b/>
                <w:bCs/>
                <w:noProof/>
              </w:rPr>
            </w:pPr>
            <w:r>
              <w:rPr>
                <w:rFonts w:asciiTheme="minorHAnsi" w:hAnsiTheme="minorHAnsi" w:cstheme="minorHAnsi"/>
                <w:b/>
                <w:noProof/>
              </w:rPr>
              <w:t>0 %</w:t>
            </w:r>
          </w:p>
        </w:tc>
        <w:tc>
          <w:tcPr>
            <w:tcW w:w="1556" w:type="dxa"/>
            <w:noWrap/>
            <w:hideMark/>
          </w:tcPr>
          <w:p>
            <w:pPr>
              <w:rPr>
                <w:rFonts w:asciiTheme="minorHAnsi" w:hAnsiTheme="minorHAnsi" w:cstheme="minorHAnsi"/>
                <w:b/>
                <w:bCs/>
                <w:noProof/>
              </w:rPr>
            </w:pPr>
            <w:r>
              <w:rPr>
                <w:rFonts w:asciiTheme="minorHAnsi" w:hAnsiTheme="minorHAnsi" w:cstheme="minorHAnsi"/>
                <w:b/>
                <w:noProof/>
              </w:rPr>
              <w:t>0,00 %</w:t>
            </w:r>
          </w:p>
        </w:tc>
        <w:tc>
          <w:tcPr>
            <w:tcW w:w="816" w:type="dxa"/>
          </w:tcPr>
          <w:p>
            <w:pPr>
              <w:rPr>
                <w:rFonts w:asciiTheme="minorHAnsi" w:hAnsiTheme="minorHAnsi" w:cstheme="minorHAnsi"/>
                <w:b/>
                <w:bCs/>
                <w:noProof/>
              </w:rPr>
            </w:pPr>
            <w:r>
              <w:rPr>
                <w:rFonts w:asciiTheme="minorHAnsi" w:hAnsiTheme="minorHAnsi" w:cstheme="minorHAnsi"/>
                <w:b/>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Pierderea integrității structurale</w:t>
            </w:r>
          </w:p>
        </w:tc>
        <w:tc>
          <w:tcPr>
            <w:tcW w:w="709" w:type="dxa"/>
            <w:noWrap/>
            <w:hideMark/>
          </w:tcPr>
          <w:p>
            <w:pPr>
              <w:rPr>
                <w:rFonts w:asciiTheme="minorHAnsi" w:hAnsiTheme="minorHAnsi" w:cstheme="minorHAnsi"/>
                <w:noProof/>
              </w:rPr>
            </w:pPr>
            <w:r>
              <w:rPr>
                <w:rFonts w:asciiTheme="minorHAnsi" w:hAnsiTheme="minorHAnsi" w:cstheme="minorHAnsi"/>
                <w:noProof/>
              </w:rPr>
              <w:t>0</w:t>
            </w:r>
          </w:p>
        </w:tc>
        <w:tc>
          <w:tcPr>
            <w:tcW w:w="1215" w:type="dxa"/>
            <w:noWrap/>
            <w:hideMark/>
          </w:tcPr>
          <w:p>
            <w:pPr>
              <w:rPr>
                <w:rFonts w:asciiTheme="minorHAnsi" w:hAnsiTheme="minorHAnsi" w:cstheme="minorHAnsi"/>
                <w:noProof/>
              </w:rPr>
            </w:pPr>
            <w:r>
              <w:rPr>
                <w:rFonts w:asciiTheme="minorHAnsi" w:hAnsiTheme="minorHAnsi" w:cstheme="minorHAnsi"/>
                <w:noProof/>
              </w:rPr>
              <w:t>--</w:t>
            </w:r>
          </w:p>
        </w:tc>
        <w:tc>
          <w:tcPr>
            <w:tcW w:w="1556" w:type="dxa"/>
            <w:noWrap/>
            <w:hideMark/>
          </w:tcPr>
          <w:p>
            <w:pPr>
              <w:rPr>
                <w:rFonts w:asciiTheme="minorHAnsi" w:hAnsiTheme="minorHAnsi" w:cstheme="minorHAnsi"/>
                <w:noProof/>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Pierderea stabilității/flotabilității</w:t>
            </w:r>
          </w:p>
        </w:tc>
        <w:tc>
          <w:tcPr>
            <w:tcW w:w="709" w:type="dxa"/>
            <w:noWrap/>
            <w:hideMark/>
          </w:tcPr>
          <w:p>
            <w:pPr>
              <w:rPr>
                <w:rFonts w:asciiTheme="minorHAnsi" w:hAnsiTheme="minorHAnsi" w:cstheme="minorHAnsi"/>
                <w:noProof/>
              </w:rPr>
            </w:pPr>
            <w:r>
              <w:rPr>
                <w:rFonts w:asciiTheme="minorHAnsi" w:hAnsiTheme="minorHAnsi" w:cstheme="minorHAnsi"/>
                <w:noProof/>
              </w:rPr>
              <w:t>0</w:t>
            </w:r>
          </w:p>
        </w:tc>
        <w:tc>
          <w:tcPr>
            <w:tcW w:w="1215" w:type="dxa"/>
            <w:noWrap/>
            <w:hideMark/>
          </w:tcPr>
          <w:p>
            <w:pPr>
              <w:rPr>
                <w:rFonts w:asciiTheme="minorHAnsi" w:hAnsiTheme="minorHAnsi" w:cstheme="minorHAnsi"/>
                <w:noProof/>
              </w:rPr>
            </w:pPr>
            <w:r>
              <w:rPr>
                <w:rFonts w:asciiTheme="minorHAnsi" w:hAnsiTheme="minorHAnsi" w:cstheme="minorHAnsi"/>
                <w:noProof/>
              </w:rPr>
              <w:t>--</w:t>
            </w:r>
          </w:p>
        </w:tc>
        <w:tc>
          <w:tcPr>
            <w:tcW w:w="1556" w:type="dxa"/>
            <w:noWrap/>
            <w:hideMark/>
          </w:tcPr>
          <w:p>
            <w:pPr>
              <w:rPr>
                <w:rFonts w:asciiTheme="minorHAnsi" w:hAnsiTheme="minorHAnsi" w:cstheme="minorHAnsi"/>
                <w:noProof/>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noProof/>
              </w:rPr>
            </w:pPr>
          </w:p>
        </w:tc>
        <w:tc>
          <w:tcPr>
            <w:tcW w:w="5250" w:type="dxa"/>
            <w:tcBorders>
              <w:left w:val="single" w:sz="4" w:space="0" w:color="FFFFFF" w:themeColor="background1"/>
            </w:tcBorders>
            <w:noWrap/>
            <w:hideMark/>
          </w:tcPr>
          <w:p>
            <w:pPr>
              <w:rPr>
                <w:rFonts w:asciiTheme="minorHAnsi" w:hAnsiTheme="minorHAnsi" w:cstheme="minorHAnsi"/>
                <w:noProof/>
              </w:rPr>
            </w:pPr>
            <w:r>
              <w:rPr>
                <w:rFonts w:asciiTheme="minorHAnsi" w:hAnsiTheme="minorHAnsi" w:cstheme="minorHAnsi"/>
                <w:noProof/>
              </w:rPr>
              <w:t>Pierderea poziției</w:t>
            </w:r>
          </w:p>
        </w:tc>
        <w:tc>
          <w:tcPr>
            <w:tcW w:w="709" w:type="dxa"/>
            <w:noWrap/>
            <w:hideMark/>
          </w:tcPr>
          <w:p>
            <w:pPr>
              <w:rPr>
                <w:rFonts w:asciiTheme="minorHAnsi" w:hAnsiTheme="minorHAnsi" w:cstheme="minorHAnsi"/>
                <w:noProof/>
              </w:rPr>
            </w:pPr>
            <w:r>
              <w:rPr>
                <w:rFonts w:asciiTheme="minorHAnsi" w:hAnsiTheme="minorHAnsi" w:cstheme="minorHAnsi"/>
                <w:noProof/>
              </w:rPr>
              <w:t>0</w:t>
            </w:r>
          </w:p>
        </w:tc>
        <w:tc>
          <w:tcPr>
            <w:tcW w:w="1215" w:type="dxa"/>
            <w:noWrap/>
            <w:hideMark/>
          </w:tcPr>
          <w:p>
            <w:pPr>
              <w:rPr>
                <w:rFonts w:asciiTheme="minorHAnsi" w:hAnsiTheme="minorHAnsi" w:cstheme="minorHAnsi"/>
                <w:noProof/>
              </w:rPr>
            </w:pPr>
            <w:r>
              <w:rPr>
                <w:rFonts w:asciiTheme="minorHAnsi" w:hAnsiTheme="minorHAnsi" w:cstheme="minorHAnsi"/>
                <w:noProof/>
              </w:rPr>
              <w:t>--</w:t>
            </w:r>
          </w:p>
        </w:tc>
        <w:tc>
          <w:tcPr>
            <w:tcW w:w="1556" w:type="dxa"/>
            <w:noWrap/>
            <w:hideMark/>
          </w:tcPr>
          <w:p>
            <w:pPr>
              <w:rPr>
                <w:rFonts w:asciiTheme="minorHAnsi" w:hAnsiTheme="minorHAnsi" w:cstheme="minorHAnsi"/>
                <w:noProof/>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(e)</w:t>
            </w:r>
          </w:p>
        </w:tc>
        <w:tc>
          <w:tcPr>
            <w:tcW w:w="5250" w:type="dxa"/>
            <w:tcBorders>
              <w:lef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Coliziuni de nave</w:t>
            </w:r>
          </w:p>
        </w:tc>
        <w:tc>
          <w:tcPr>
            <w:tcW w:w="709" w:type="dxa"/>
            <w:noWrap/>
            <w:hideMark/>
          </w:tcPr>
          <w:p>
            <w:pPr>
              <w:rPr>
                <w:rFonts w:asciiTheme="minorHAnsi" w:hAnsiTheme="minorHAnsi" w:cstheme="minorHAnsi"/>
                <w:b/>
                <w:bCs/>
                <w:noProof/>
              </w:rPr>
            </w:pPr>
            <w:r>
              <w:rPr>
                <w:rFonts w:asciiTheme="minorHAnsi" w:hAnsiTheme="minorHAnsi" w:cstheme="minorHAnsi"/>
                <w:b/>
                <w:noProof/>
              </w:rPr>
              <w:t>1</w:t>
            </w:r>
          </w:p>
        </w:tc>
        <w:tc>
          <w:tcPr>
            <w:tcW w:w="1215" w:type="dxa"/>
            <w:noWrap/>
          </w:tcPr>
          <w:p>
            <w:pPr>
              <w:rPr>
                <w:rFonts w:asciiTheme="minorHAnsi" w:hAnsiTheme="minorHAnsi" w:cstheme="minorHAnsi"/>
                <w:b/>
                <w:bCs/>
                <w:noProof/>
              </w:rPr>
            </w:pPr>
            <w:r>
              <w:rPr>
                <w:rFonts w:asciiTheme="minorHAnsi" w:hAnsiTheme="minorHAnsi" w:cstheme="minorHAnsi"/>
                <w:b/>
                <w:noProof/>
              </w:rPr>
              <w:t>100 %</w:t>
            </w:r>
          </w:p>
        </w:tc>
        <w:tc>
          <w:tcPr>
            <w:tcW w:w="1556" w:type="dxa"/>
            <w:noWrap/>
          </w:tcPr>
          <w:p>
            <w:pPr>
              <w:rPr>
                <w:rFonts w:asciiTheme="minorHAnsi" w:hAnsiTheme="minorHAnsi" w:cstheme="minorHAnsi"/>
                <w:b/>
                <w:bCs/>
                <w:noProof/>
                <w:highlight w:val="yellow"/>
              </w:rPr>
            </w:pPr>
            <w:r>
              <w:rPr>
                <w:rFonts w:asciiTheme="minorHAnsi" w:hAnsiTheme="minorHAnsi" w:cstheme="minorHAnsi"/>
                <w:b/>
                <w:noProof/>
              </w:rPr>
              <w:t>1,39 %</w:t>
            </w:r>
          </w:p>
        </w:tc>
        <w:tc>
          <w:tcPr>
            <w:tcW w:w="816" w:type="dxa"/>
          </w:tcPr>
          <w:p>
            <w:pPr>
              <w:rPr>
                <w:rFonts w:asciiTheme="minorHAnsi" w:hAnsiTheme="minorHAnsi" w:cstheme="minorHAnsi"/>
                <w:b/>
                <w:bCs/>
                <w:noProof/>
              </w:rPr>
            </w:pPr>
            <w:r>
              <w:rPr>
                <w:rFonts w:asciiTheme="minorHAnsi" w:hAnsiTheme="minorHAnsi" w:cstheme="minorHAnsi"/>
                <w:b/>
                <w:noProof/>
              </w:rPr>
              <w:t>NOU</w:t>
            </w:r>
          </w:p>
        </w:tc>
      </w:tr>
      <w:tr>
        <w:trPr>
          <w:trHeight w:val="300"/>
        </w:trPr>
        <w:tc>
          <w:tcPr>
            <w:tcW w:w="479" w:type="dxa"/>
            <w:tcBorders>
              <w:righ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(f)</w:t>
            </w:r>
          </w:p>
        </w:tc>
        <w:tc>
          <w:tcPr>
            <w:tcW w:w="5250" w:type="dxa"/>
            <w:tcBorders>
              <w:lef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Accidente de elicopter</w:t>
            </w:r>
          </w:p>
        </w:tc>
        <w:tc>
          <w:tcPr>
            <w:tcW w:w="709" w:type="dxa"/>
            <w:noWrap/>
            <w:hideMark/>
          </w:tcPr>
          <w:p>
            <w:pPr>
              <w:rPr>
                <w:rFonts w:asciiTheme="minorHAnsi" w:hAnsiTheme="minorHAnsi" w:cstheme="minorHAnsi"/>
                <w:b/>
                <w:bCs/>
                <w:noProof/>
              </w:rPr>
            </w:pPr>
            <w:r>
              <w:rPr>
                <w:rFonts w:asciiTheme="minorHAnsi" w:hAnsiTheme="minorHAnsi" w:cstheme="minorHAnsi"/>
                <w:b/>
                <w:noProof/>
              </w:rPr>
              <w:t>0</w:t>
            </w:r>
          </w:p>
        </w:tc>
        <w:tc>
          <w:tcPr>
            <w:tcW w:w="1215" w:type="dxa"/>
            <w:noWrap/>
          </w:tcPr>
          <w:p>
            <w:pPr>
              <w:rPr>
                <w:rFonts w:asciiTheme="minorHAnsi" w:hAnsiTheme="minorHAnsi" w:cstheme="minorHAnsi"/>
                <w:b/>
                <w:bCs/>
                <w:noProof/>
              </w:rPr>
            </w:pPr>
            <w:r>
              <w:rPr>
                <w:rFonts w:asciiTheme="minorHAnsi" w:hAnsiTheme="minorHAnsi" w:cstheme="minorHAnsi"/>
                <w:b/>
                <w:noProof/>
              </w:rPr>
              <w:t>--</w:t>
            </w:r>
          </w:p>
        </w:tc>
        <w:tc>
          <w:tcPr>
            <w:tcW w:w="1556" w:type="dxa"/>
            <w:noWrap/>
          </w:tcPr>
          <w:p>
            <w:pPr>
              <w:rPr>
                <w:rFonts w:asciiTheme="minorHAnsi" w:hAnsiTheme="minorHAnsi" w:cstheme="minorHAnsi"/>
                <w:b/>
                <w:bCs/>
                <w:noProof/>
                <w:highlight w:val="yellow"/>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(g)</w:t>
            </w:r>
          </w:p>
        </w:tc>
        <w:tc>
          <w:tcPr>
            <w:tcW w:w="5250" w:type="dxa"/>
            <w:tcBorders>
              <w:lef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Accidente mortale</w:t>
            </w:r>
            <w:r>
              <w:rPr>
                <w:rFonts w:asciiTheme="minorHAnsi" w:hAnsiTheme="minorHAnsi" w:cstheme="minorHAnsi"/>
                <w:b/>
                <w:noProof/>
                <w:vertAlign w:val="superscript"/>
              </w:rPr>
              <w:t xml:space="preserve"> (*)</w:t>
            </w:r>
          </w:p>
        </w:tc>
        <w:tc>
          <w:tcPr>
            <w:tcW w:w="709" w:type="dxa"/>
            <w:noWrap/>
            <w:hideMark/>
          </w:tcPr>
          <w:p>
            <w:pPr>
              <w:rPr>
                <w:rFonts w:asciiTheme="minorHAnsi" w:hAnsiTheme="minorHAnsi" w:cstheme="minorHAnsi"/>
                <w:b/>
                <w:bCs/>
                <w:noProof/>
              </w:rPr>
            </w:pPr>
            <w:r>
              <w:rPr>
                <w:rFonts w:asciiTheme="minorHAnsi" w:hAnsiTheme="minorHAnsi" w:cstheme="minorHAnsi"/>
                <w:b/>
                <w:noProof/>
              </w:rPr>
              <w:t>0</w:t>
            </w:r>
          </w:p>
        </w:tc>
        <w:tc>
          <w:tcPr>
            <w:tcW w:w="1215" w:type="dxa"/>
            <w:noWrap/>
          </w:tcPr>
          <w:p>
            <w:pPr>
              <w:rPr>
                <w:rFonts w:asciiTheme="minorHAnsi" w:hAnsiTheme="minorHAnsi" w:cstheme="minorHAnsi"/>
                <w:b/>
                <w:bCs/>
                <w:noProof/>
              </w:rPr>
            </w:pPr>
            <w:r>
              <w:rPr>
                <w:rFonts w:asciiTheme="minorHAnsi" w:hAnsiTheme="minorHAnsi" w:cstheme="minorHAnsi"/>
                <w:b/>
                <w:noProof/>
              </w:rPr>
              <w:t>--</w:t>
            </w:r>
          </w:p>
        </w:tc>
        <w:tc>
          <w:tcPr>
            <w:tcW w:w="1556" w:type="dxa"/>
            <w:noWrap/>
          </w:tcPr>
          <w:p>
            <w:pPr>
              <w:rPr>
                <w:rFonts w:asciiTheme="minorHAnsi" w:hAnsiTheme="minorHAnsi" w:cstheme="minorHAnsi"/>
                <w:b/>
                <w:bCs/>
                <w:noProof/>
                <w:highlight w:val="yellow"/>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(h)</w:t>
            </w:r>
          </w:p>
        </w:tc>
        <w:tc>
          <w:tcPr>
            <w:tcW w:w="5250" w:type="dxa"/>
            <w:tcBorders>
              <w:lef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Vătămare gravă a cel puțin cinci persoane în același accident</w:t>
            </w:r>
          </w:p>
        </w:tc>
        <w:tc>
          <w:tcPr>
            <w:tcW w:w="709" w:type="dxa"/>
            <w:noWrap/>
            <w:hideMark/>
          </w:tcPr>
          <w:p>
            <w:pPr>
              <w:rPr>
                <w:rFonts w:asciiTheme="minorHAnsi" w:hAnsiTheme="minorHAnsi" w:cstheme="minorHAnsi"/>
                <w:b/>
                <w:bCs/>
                <w:noProof/>
              </w:rPr>
            </w:pPr>
            <w:r>
              <w:rPr>
                <w:rFonts w:asciiTheme="minorHAnsi" w:hAnsiTheme="minorHAnsi" w:cstheme="minorHAnsi"/>
                <w:b/>
                <w:noProof/>
              </w:rPr>
              <w:t>0</w:t>
            </w:r>
          </w:p>
        </w:tc>
        <w:tc>
          <w:tcPr>
            <w:tcW w:w="1215" w:type="dxa"/>
            <w:noWrap/>
          </w:tcPr>
          <w:p>
            <w:pPr>
              <w:rPr>
                <w:rFonts w:asciiTheme="minorHAnsi" w:hAnsiTheme="minorHAnsi" w:cstheme="minorHAnsi"/>
                <w:b/>
                <w:bCs/>
                <w:noProof/>
              </w:rPr>
            </w:pPr>
            <w:r>
              <w:rPr>
                <w:rFonts w:asciiTheme="minorHAnsi" w:hAnsiTheme="minorHAnsi" w:cstheme="minorHAnsi"/>
                <w:b/>
                <w:noProof/>
              </w:rPr>
              <w:t>--</w:t>
            </w:r>
          </w:p>
        </w:tc>
        <w:tc>
          <w:tcPr>
            <w:tcW w:w="1556" w:type="dxa"/>
            <w:noWrap/>
          </w:tcPr>
          <w:p>
            <w:pPr>
              <w:rPr>
                <w:rFonts w:asciiTheme="minorHAnsi" w:hAnsiTheme="minorHAnsi" w:cstheme="minorHAnsi"/>
                <w:b/>
                <w:bCs/>
                <w:noProof/>
                <w:highlight w:val="yellow"/>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(i)</w:t>
            </w:r>
          </w:p>
        </w:tc>
        <w:tc>
          <w:tcPr>
            <w:tcW w:w="5250" w:type="dxa"/>
            <w:tcBorders>
              <w:lef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Evacuarea personalului</w:t>
            </w:r>
          </w:p>
        </w:tc>
        <w:tc>
          <w:tcPr>
            <w:tcW w:w="709" w:type="dxa"/>
            <w:noWrap/>
            <w:hideMark/>
          </w:tcPr>
          <w:p>
            <w:pPr>
              <w:rPr>
                <w:rFonts w:asciiTheme="minorHAnsi" w:hAnsiTheme="minorHAnsi" w:cstheme="minorHAnsi"/>
                <w:b/>
                <w:bCs/>
                <w:noProof/>
              </w:rPr>
            </w:pPr>
            <w:r>
              <w:rPr>
                <w:rFonts w:asciiTheme="minorHAnsi" w:hAnsiTheme="minorHAnsi" w:cstheme="minorHAnsi"/>
                <w:b/>
                <w:noProof/>
              </w:rPr>
              <w:t>0</w:t>
            </w:r>
          </w:p>
        </w:tc>
        <w:tc>
          <w:tcPr>
            <w:tcW w:w="1215" w:type="dxa"/>
            <w:noWrap/>
          </w:tcPr>
          <w:p>
            <w:pPr>
              <w:rPr>
                <w:rFonts w:asciiTheme="minorHAnsi" w:hAnsiTheme="minorHAnsi" w:cstheme="minorHAnsi"/>
                <w:b/>
                <w:bCs/>
                <w:noProof/>
              </w:rPr>
            </w:pPr>
            <w:r>
              <w:rPr>
                <w:rFonts w:asciiTheme="minorHAnsi" w:hAnsiTheme="minorHAnsi" w:cstheme="minorHAnsi"/>
                <w:b/>
                <w:noProof/>
              </w:rPr>
              <w:t>--</w:t>
            </w:r>
          </w:p>
        </w:tc>
        <w:tc>
          <w:tcPr>
            <w:tcW w:w="1556" w:type="dxa"/>
            <w:noWrap/>
          </w:tcPr>
          <w:p>
            <w:pPr>
              <w:rPr>
                <w:rFonts w:asciiTheme="minorHAnsi" w:hAnsiTheme="minorHAnsi" w:cstheme="minorHAnsi"/>
                <w:b/>
                <w:bCs/>
                <w:noProof/>
                <w:highlight w:val="yellow"/>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479" w:type="dxa"/>
            <w:tcBorders>
              <w:right w:val="single" w:sz="4" w:space="0" w:color="FFFFFF" w:themeColor="background1"/>
            </w:tcBorders>
            <w:noWrap/>
            <w:hideMark/>
          </w:tcPr>
          <w:p>
            <w:pPr>
              <w:rPr>
                <w:rFonts w:asciiTheme="minorHAnsi" w:hAnsiTheme="minorHAnsi" w:cstheme="minorHAnsi"/>
                <w:b/>
                <w:bCs/>
                <w:noProof/>
              </w:rPr>
            </w:pPr>
            <w:r>
              <w:rPr>
                <w:rFonts w:asciiTheme="minorHAnsi" w:hAnsiTheme="minorHAnsi" w:cstheme="minorHAnsi"/>
                <w:b/>
                <w:noProof/>
              </w:rPr>
              <w:t>(j)</w:t>
            </w:r>
          </w:p>
        </w:tc>
        <w:tc>
          <w:tcPr>
            <w:tcW w:w="5250" w:type="dxa"/>
            <w:tcBorders>
              <w:left w:val="single" w:sz="4" w:space="0" w:color="FFFFFF" w:themeColor="background1"/>
            </w:tcBorders>
            <w:noWrap/>
            <w:hideMark/>
          </w:tcPr>
          <w:p>
            <w:pPr>
              <w:rPr>
                <w:rFonts w:asciiTheme="minorHAnsi" w:hAnsiTheme="minorHAnsi" w:cstheme="minorHAnsi"/>
                <w:b/>
                <w:noProof/>
              </w:rPr>
            </w:pPr>
            <w:r>
              <w:rPr>
                <w:rFonts w:asciiTheme="minorHAnsi" w:hAnsiTheme="minorHAnsi" w:cstheme="minorHAnsi"/>
                <w:b/>
                <w:noProof/>
              </w:rPr>
              <w:t>Accidente de mediu</w:t>
            </w:r>
          </w:p>
        </w:tc>
        <w:tc>
          <w:tcPr>
            <w:tcW w:w="709" w:type="dxa"/>
            <w:noWrap/>
            <w:hideMark/>
          </w:tcPr>
          <w:p>
            <w:pPr>
              <w:rPr>
                <w:rFonts w:asciiTheme="minorHAnsi" w:hAnsiTheme="minorHAnsi" w:cstheme="minorHAnsi"/>
                <w:b/>
                <w:bCs/>
                <w:noProof/>
              </w:rPr>
            </w:pPr>
            <w:r>
              <w:rPr>
                <w:rFonts w:asciiTheme="minorHAnsi" w:hAnsiTheme="minorHAnsi" w:cstheme="minorHAnsi"/>
                <w:b/>
                <w:noProof/>
              </w:rPr>
              <w:t>0</w:t>
            </w:r>
          </w:p>
        </w:tc>
        <w:tc>
          <w:tcPr>
            <w:tcW w:w="1215" w:type="dxa"/>
            <w:noWrap/>
          </w:tcPr>
          <w:p>
            <w:pPr>
              <w:rPr>
                <w:rFonts w:asciiTheme="minorHAnsi" w:hAnsiTheme="minorHAnsi" w:cstheme="minorHAnsi"/>
                <w:b/>
                <w:bCs/>
                <w:noProof/>
              </w:rPr>
            </w:pPr>
            <w:r>
              <w:rPr>
                <w:rFonts w:asciiTheme="minorHAnsi" w:hAnsiTheme="minorHAnsi" w:cstheme="minorHAnsi"/>
                <w:b/>
                <w:noProof/>
              </w:rPr>
              <w:t>--</w:t>
            </w:r>
          </w:p>
        </w:tc>
        <w:tc>
          <w:tcPr>
            <w:tcW w:w="1556" w:type="dxa"/>
            <w:noWrap/>
          </w:tcPr>
          <w:p>
            <w:pPr>
              <w:rPr>
                <w:rFonts w:asciiTheme="minorHAnsi" w:hAnsiTheme="minorHAnsi" w:cstheme="minorHAnsi"/>
                <w:b/>
                <w:bCs/>
                <w:noProof/>
                <w:highlight w:val="yellow"/>
              </w:rPr>
            </w:pPr>
            <w:r>
              <w:rPr>
                <w:rFonts w:asciiTheme="minorHAnsi" w:hAnsiTheme="minorHAnsi" w:cstheme="minorHAnsi"/>
                <w:noProof/>
              </w:rPr>
              <w:t>0,00 %</w:t>
            </w:r>
          </w:p>
        </w:tc>
        <w:tc>
          <w:tcPr>
            <w:tcW w:w="816" w:type="dxa"/>
          </w:tcPr>
          <w:p>
            <w:pPr>
              <w:rPr>
                <w:rFonts w:asciiTheme="minorHAnsi" w:hAnsiTheme="minorHAnsi" w:cstheme="minorHAnsi"/>
                <w:noProof/>
              </w:rPr>
            </w:pPr>
            <w:r>
              <w:rPr>
                <w:rFonts w:asciiTheme="minorHAnsi" w:hAnsiTheme="minorHAnsi" w:cstheme="minorHAnsi"/>
                <w:noProof/>
              </w:rPr>
              <w:t>--</w:t>
            </w:r>
          </w:p>
        </w:tc>
      </w:tr>
      <w:tr>
        <w:trPr>
          <w:trHeight w:val="300"/>
        </w:trPr>
        <w:tc>
          <w:tcPr>
            <w:tcW w:w="5729" w:type="dxa"/>
            <w:gridSpan w:val="2"/>
            <w:noWrap/>
            <w:hideMark/>
          </w:tcPr>
          <w:p>
            <w:pPr>
              <w:rPr>
                <w:rFonts w:asciiTheme="minorHAnsi" w:hAnsiTheme="minorHAnsi" w:cstheme="minorHAnsi"/>
                <w:b/>
                <w:noProof/>
              </w:rPr>
            </w:pPr>
            <w:r>
              <w:rPr>
                <w:rFonts w:asciiTheme="minorHAnsi" w:hAnsiTheme="minorHAnsi" w:cstheme="minorHAnsi"/>
                <w:b/>
                <w:noProof/>
              </w:rPr>
              <w:t>Total</w:t>
            </w:r>
          </w:p>
        </w:tc>
        <w:tc>
          <w:tcPr>
            <w:tcW w:w="709" w:type="dxa"/>
            <w:noWrap/>
            <w:hideMark/>
          </w:tcPr>
          <w:p>
            <w:pPr>
              <w:rPr>
                <w:rFonts w:asciiTheme="minorHAnsi" w:hAnsiTheme="minorHAnsi" w:cstheme="minorHAnsi"/>
                <w:b/>
                <w:noProof/>
              </w:rPr>
            </w:pPr>
            <w:r>
              <w:rPr>
                <w:rFonts w:asciiTheme="minorHAnsi" w:hAnsiTheme="minorHAnsi" w:cstheme="minorHAnsi"/>
                <w:b/>
                <w:noProof/>
              </w:rPr>
              <w:t>72</w:t>
            </w:r>
          </w:p>
        </w:tc>
        <w:tc>
          <w:tcPr>
            <w:tcW w:w="1215" w:type="dxa"/>
            <w:noWrap/>
          </w:tcPr>
          <w:p>
            <w:pPr>
              <w:rPr>
                <w:rFonts w:asciiTheme="minorHAnsi" w:hAnsiTheme="minorHAnsi" w:cstheme="minorHAnsi"/>
                <w:b/>
                <w:noProof/>
              </w:rPr>
            </w:pPr>
          </w:p>
        </w:tc>
        <w:tc>
          <w:tcPr>
            <w:tcW w:w="1556" w:type="dxa"/>
            <w:noWrap/>
            <w:hideMark/>
          </w:tcPr>
          <w:p>
            <w:pPr>
              <w:rPr>
                <w:rFonts w:asciiTheme="minorHAnsi" w:hAnsiTheme="minorHAnsi" w:cstheme="minorHAnsi"/>
                <w:b/>
                <w:noProof/>
              </w:rPr>
            </w:pPr>
            <w:r>
              <w:rPr>
                <w:rFonts w:asciiTheme="minorHAnsi" w:hAnsiTheme="minorHAnsi" w:cstheme="minorHAnsi"/>
                <w:b/>
                <w:noProof/>
              </w:rPr>
              <w:t>100,00 %</w:t>
            </w:r>
          </w:p>
        </w:tc>
        <w:tc>
          <w:tcPr>
            <w:tcW w:w="816" w:type="dxa"/>
          </w:tcPr>
          <w:p>
            <w:pPr>
              <w:rPr>
                <w:rFonts w:asciiTheme="minorHAnsi" w:hAnsiTheme="minorHAnsi" w:cstheme="minorHAnsi"/>
                <w:b/>
                <w:noProof/>
              </w:rPr>
            </w:pPr>
            <w:r>
              <w:rPr>
                <w:rFonts w:asciiTheme="minorHAnsi" w:hAnsiTheme="minorHAnsi" w:cstheme="minorHAnsi"/>
                <w:b/>
                <w:noProof/>
              </w:rPr>
              <w:t>+64 %</w:t>
            </w:r>
          </w:p>
        </w:tc>
      </w:tr>
      <w:tr>
        <w:trPr>
          <w:trHeight w:val="300"/>
        </w:trPr>
        <w:tc>
          <w:tcPr>
            <w:tcW w:w="9209" w:type="dxa"/>
            <w:gridSpan w:val="5"/>
            <w:noWrap/>
          </w:tcPr>
          <w:p>
            <w:pPr>
              <w:rPr>
                <w:rFonts w:asciiTheme="minorHAnsi" w:hAnsiTheme="minorHAnsi" w:cstheme="minorHAnsi"/>
                <w:noProof/>
              </w:rPr>
            </w:pPr>
            <w:r>
              <w:rPr>
                <w:rFonts w:asciiTheme="minorHAnsi" w:hAnsiTheme="minorHAnsi" w:cstheme="minorHAnsi"/>
                <w:noProof/>
              </w:rPr>
              <w:t xml:space="preserve">(*) </w:t>
            </w:r>
            <w:r>
              <w:rPr>
                <w:rFonts w:asciiTheme="minorHAnsi" w:hAnsiTheme="minorHAnsi" w:cstheme="minorHAnsi"/>
                <w:i/>
                <w:noProof/>
              </w:rPr>
              <w:t>Numai dacă au legătură cu un accident major.</w:t>
            </w:r>
          </w:p>
        </w:tc>
        <w:tc>
          <w:tcPr>
            <w:tcW w:w="816" w:type="dxa"/>
          </w:tcPr>
          <w:p>
            <w:pPr>
              <w:rPr>
                <w:rFonts w:asciiTheme="minorHAnsi" w:hAnsiTheme="minorHAnsi" w:cstheme="minorHAnsi"/>
                <w:noProof/>
              </w:rPr>
            </w:pPr>
          </w:p>
        </w:tc>
      </w:tr>
    </w:tbl>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rPr>
        <w:t>În UE, numărul total al incidentelor a crescut de la 44 în 2023 la 72 în 2024 (+64 %). Această diferență provine în principal din creșterea numărului de eliberări neintenționate de la 38 la 59 (+ 55 %) și de defecțiuni ale elementelor critice de siguranță și de mediu, de la 3 la 12 (300 %). Nu au fost raportate incidente care să implice pierderea controlului asupra sondei (comparativ cu trei în 2023). A fost raportată o coliziune cu o navă (nicio coliziune în 2023).</w:t>
      </w:r>
    </w:p>
    <w:p>
      <w:pPr>
        <w:jc w:val="both"/>
        <w:rPr>
          <w:rFonts w:ascii="Times New Roman" w:hAnsi="Times New Roman"/>
          <w:noProof/>
          <w:sz w:val="24"/>
          <w:szCs w:val="24"/>
        </w:rPr>
      </w:pPr>
      <w:r>
        <w:rPr>
          <w:rFonts w:ascii="Times New Roman" w:hAnsi="Times New Roman"/>
          <w:noProof/>
          <w:sz w:val="24"/>
        </w:rPr>
        <w:lastRenderedPageBreak/>
        <w:t>Eliberările neintenționate au vizat substanțe periculoase (17 incidente, 45 %), gaze (14 incidente, 37 %) și petrol (7 incidente, 18 %).</w:t>
      </w:r>
    </w:p>
    <w:p>
      <w:pPr>
        <w:jc w:val="both"/>
        <w:rPr>
          <w:rFonts w:ascii="Times New Roman" w:hAnsi="Times New Roman"/>
          <w:noProof/>
          <w:sz w:val="24"/>
          <w:szCs w:val="24"/>
        </w:rPr>
      </w:pPr>
      <w:r>
        <w:rPr>
          <w:rFonts w:ascii="Times New Roman" w:hAnsi="Times New Roman"/>
          <w:noProof/>
          <w:sz w:val="24"/>
        </w:rPr>
        <w:t>Două incidente au fost clasificate drept accidente majore în cursul anului 2024. Autoritățile competente ale statelor membre au evaluat, împreună cu operatorii, cauzele incidentelor pentru a stabili dacă erau necesare investigații sau măsuri de asigurare a respectării legii. Autoritățile nu au solicitat măsuri de asigurare a respectării legii.</w:t>
      </w:r>
    </w:p>
    <w:p>
      <w:pPr>
        <w:jc w:val="both"/>
        <w:rPr>
          <w:rFonts w:ascii="Times New Roman" w:hAnsi="Times New Roman"/>
          <w:noProof/>
        </w:rPr>
      </w:pPr>
      <w:r>
        <w:rPr>
          <w:rFonts w:ascii="Times New Roman" w:hAnsi="Times New Roman"/>
          <w:noProof/>
        </w:rPr>
        <w:t>6.</w:t>
      </w:r>
      <w:r>
        <w:rPr>
          <w:rFonts w:ascii="Times New Roman" w:hAnsi="Times New Roman"/>
          <w:noProof/>
        </w:rPr>
        <w:tab/>
        <w:t>CONCLUZII</w:t>
      </w:r>
    </w:p>
    <w:p>
      <w:pPr>
        <w:jc w:val="both"/>
        <w:rPr>
          <w:rFonts w:ascii="Times New Roman" w:hAnsi="Times New Roman"/>
          <w:noProof/>
          <w:sz w:val="24"/>
          <w:szCs w:val="24"/>
        </w:rPr>
      </w:pPr>
      <w:r>
        <w:rPr>
          <w:rFonts w:ascii="Times New Roman" w:hAnsi="Times New Roman"/>
          <w:noProof/>
          <w:sz w:val="24"/>
        </w:rPr>
        <w:t xml:space="preserve">În 2024, în UE existau 324 de instalații petroliere și gaziere offshore. </w:t>
      </w:r>
    </w:p>
    <w:p>
      <w:pPr>
        <w:jc w:val="both"/>
        <w:rPr>
          <w:rFonts w:ascii="Times New Roman" w:hAnsi="Times New Roman"/>
          <w:noProof/>
          <w:sz w:val="24"/>
          <w:szCs w:val="24"/>
        </w:rPr>
      </w:pPr>
      <w:r>
        <w:rPr>
          <w:rFonts w:ascii="Times New Roman" w:hAnsi="Times New Roman"/>
          <w:noProof/>
          <w:sz w:val="24"/>
        </w:rPr>
        <w:t xml:space="preserve">Producția de petrol și gaze a crescut de la 15 518 ktep în 2023 la 16 082 ktep în 2024 (o creștere de 3,6 % a producției, comparativ cu o scădere de 4,6 % </w:t>
      </w:r>
      <w:bookmarkStart w:id="9" w:name="_Hlk224896736"/>
      <w:r>
        <w:rPr>
          <w:rFonts w:ascii="Times New Roman" w:hAnsi="Times New Roman"/>
          <w:noProof/>
          <w:sz w:val="24"/>
        </w:rPr>
        <w:t>în 2023 față de 2022</w:t>
      </w:r>
      <w:bookmarkEnd w:id="9"/>
      <w:r>
        <w:rPr>
          <w:rFonts w:ascii="Times New Roman" w:hAnsi="Times New Roman"/>
          <w:noProof/>
          <w:sz w:val="24"/>
        </w:rPr>
        <w:t xml:space="preserve">). Danemarca și Țările de Jos au produs 72 % din totalul petrolului și gazelor offshore ale UE. </w:t>
      </w:r>
    </w:p>
    <w:p>
      <w:pPr>
        <w:jc w:val="both"/>
        <w:rPr>
          <w:rFonts w:ascii="Times New Roman" w:hAnsi="Times New Roman"/>
          <w:noProof/>
          <w:sz w:val="24"/>
          <w:szCs w:val="24"/>
        </w:rPr>
      </w:pPr>
      <w:r>
        <w:rPr>
          <w:rFonts w:ascii="Times New Roman" w:hAnsi="Times New Roman"/>
          <w:noProof/>
          <w:sz w:val="24"/>
        </w:rPr>
        <w:t>Comisia a evaluat siguranța operațiunilor petroliere și gaziere offshore din UE pe baza informațiilor furnizate de statele membre în conformitate cu Regulamentul de punere în aplicare. Acuratețea evaluării Comisiei depinde, așadar, de exactitatea acestor informații.</w:t>
      </w:r>
    </w:p>
    <w:p>
      <w:pPr>
        <w:jc w:val="both"/>
        <w:rPr>
          <w:rFonts w:ascii="Times New Roman" w:hAnsi="Times New Roman"/>
          <w:noProof/>
          <w:sz w:val="24"/>
          <w:szCs w:val="24"/>
        </w:rPr>
      </w:pPr>
      <w:r>
        <w:rPr>
          <w:rFonts w:ascii="Times New Roman" w:hAnsi="Times New Roman"/>
          <w:noProof/>
          <w:sz w:val="24"/>
        </w:rPr>
        <w:t>În 2024, autoritățile competente ale statelor membre și-au continuat eforturile de asigurare a unui nivel ridicat de siguranță în legătură cu operațiunile petroliere și gaziere offshore, prin inspectarea a 299 de instalații (față de 388 în 2023). În cursul anului 2024 nu au fost raportate măsuri de asigurare a respectării legii.</w:t>
      </w:r>
    </w:p>
    <w:p>
      <w:pPr>
        <w:jc w:val="both"/>
        <w:rPr>
          <w:rFonts w:ascii="Times New Roman" w:hAnsi="Times New Roman"/>
          <w:noProof/>
          <w:sz w:val="24"/>
          <w:szCs w:val="24"/>
        </w:rPr>
      </w:pPr>
      <w:r>
        <w:rPr>
          <w:rFonts w:ascii="Times New Roman" w:hAnsi="Times New Roman"/>
          <w:noProof/>
          <w:sz w:val="24"/>
        </w:rPr>
        <w:t>Numărul total al incidentelor a crescut de la 44 în 2023 la 72 în 2024. În 2024, au avut loc două accidente majore, în comparație cu niciunul în 2023. Nu a fost raportat niciun deces. Autoritățile competente nu au luat nicio măsură de asigurare a respectării legii. S-au produs 39 de vătămări</w:t>
      </w:r>
      <w:r>
        <w:rPr>
          <w:rStyle w:val="FootnoteReference"/>
          <w:rFonts w:ascii="Times New Roman" w:hAnsi="Times New Roman"/>
          <w:noProof/>
          <w:sz w:val="24"/>
          <w:szCs w:val="24"/>
        </w:rPr>
        <w:footnoteReference w:id="15"/>
      </w:r>
      <w:r>
        <w:rPr>
          <w:rFonts w:ascii="Times New Roman" w:hAnsi="Times New Roman"/>
          <w:noProof/>
          <w:sz w:val="24"/>
        </w:rPr>
        <w:t xml:space="preserve"> și 13 vătămări grave</w:t>
      </w:r>
      <w:r>
        <w:rPr>
          <w:rStyle w:val="FootnoteReference"/>
          <w:rFonts w:ascii="Times New Roman" w:hAnsi="Times New Roman"/>
          <w:noProof/>
          <w:sz w:val="24"/>
          <w:szCs w:val="24"/>
        </w:rPr>
        <w:footnoteReference w:id="16"/>
      </w:r>
      <w:r>
        <w:rPr>
          <w:rFonts w:ascii="Times New Roman" w:hAnsi="Times New Roman"/>
          <w:noProof/>
          <w:sz w:val="24"/>
        </w:rPr>
        <w:t xml:space="preserve">. </w:t>
      </w:r>
    </w:p>
    <w:p>
      <w:pPr>
        <w:jc w:val="both"/>
        <w:rPr>
          <w:rFonts w:ascii="Times New Roman" w:hAnsi="Times New Roman"/>
          <w:noProof/>
          <w:sz w:val="24"/>
          <w:szCs w:val="24"/>
        </w:rPr>
      </w:pPr>
      <w:r>
        <w:rPr>
          <w:rFonts w:ascii="Times New Roman" w:hAnsi="Times New Roman"/>
          <w:noProof/>
          <w:sz w:val="24"/>
        </w:rPr>
        <w:t>În concluzie, datorită inspecțiilor obligatorii și măsurilor luate, conform dispozițiilor Directivei privind siguranța operațiunilor offshore, activitatea autorităților competente ale statelor membre a condus din nou la operațiuni petroliere și gaziere offshore sigure.</w:t>
      </w:r>
    </w:p>
    <w:p>
      <w:pPr>
        <w:jc w:val="both"/>
        <w:rPr>
          <w:rFonts w:ascii="Times New Roman" w:hAnsi="Times New Roman"/>
          <w:noProof/>
          <w:sz w:val="24"/>
          <w:szCs w:val="24"/>
        </w:rPr>
      </w:pPr>
      <w:r>
        <w:rPr>
          <w:rFonts w:ascii="Times New Roman" w:hAnsi="Times New Roman"/>
          <w:noProof/>
          <w:sz w:val="24"/>
        </w:rPr>
        <w:t>Pentru a menține nivelul ridicat de siguranță, Comisia continuă să colaboreze îndeaproape cu Grupul autorităților offshore din Uniunea Europeană (</w:t>
      </w:r>
      <w:r>
        <w:rPr>
          <w:rFonts w:ascii="Times New Roman" w:hAnsi="Times New Roman"/>
          <w:i/>
          <w:iCs/>
          <w:noProof/>
          <w:sz w:val="24"/>
        </w:rPr>
        <w:t>European Union Offshore Authorities Group</w:t>
      </w:r>
      <w:r>
        <w:rPr>
          <w:rFonts w:ascii="Times New Roman" w:hAnsi="Times New Roman"/>
          <w:noProof/>
          <w:sz w:val="24"/>
        </w:rPr>
        <w:t>, EUOAG). EUOAG promovează bunele practici pentru executarea tuturor operațiunilor în condiții de siguranță și asistă autoritățile competente ale statelor membre reprezentate în cadrul grupului.</w:t>
      </w:r>
    </w:p>
    <w:p>
      <w:pPr>
        <w:jc w:val="both"/>
        <w:rPr>
          <w:rFonts w:ascii="Times New Roman" w:hAnsi="Times New Roman"/>
          <w:noProof/>
          <w:sz w:val="24"/>
          <w:szCs w:val="24"/>
        </w:rPr>
      </w:pPr>
    </w:p>
    <w:p>
      <w:pPr>
        <w:rPr>
          <w:rFonts w:ascii="Times New Roman" w:hAnsi="Times New Roman"/>
          <w:noProof/>
        </w:rPr>
      </w:pPr>
    </w:p>
    <w:sectPr>
      <w:headerReference w:type="even" r:id="rId24"/>
      <w:headerReference w:type="default" r:id="rId25"/>
      <w:footerReference w:type="even" r:id="rId26"/>
      <w:footerReference w:type="default" r:id="rId27"/>
      <w:headerReference w:type="first" r:id="rId28"/>
      <w:footerReference w:type="first" r:id="rId29"/>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STZhongsong">
    <w:altName w:val="Arial Unicode MS"/>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t>1</w:t>
    </w:r>
    <w: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t>5</w:t>
    </w:r>
    <w: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rPr>
      </w:pPr>
      <w:r>
        <w:rPr>
          <w:rFonts w:ascii="Times New Roman" w:hAnsi="Times New Roman"/>
          <w:vertAlign w:val="superscript"/>
        </w:rPr>
        <w:footnoteRef/>
      </w:r>
      <w:r>
        <w:rPr>
          <w:rFonts w:ascii="Times New Roman" w:hAnsi="Times New Roman"/>
        </w:rPr>
        <w:t xml:space="preserve"> JO L 178, 28 iunie 2013, p. 66.</w:t>
      </w:r>
    </w:p>
  </w:footnote>
  <w:footnote w:id="2">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JO L 302, 22 octombrie 2014, p. 2.</w:t>
      </w:r>
    </w:p>
  </w:footnote>
  <w:footnote w:id="3">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Document de orientare privind Regulamentul de punere în aplicare (UE) nr. 1112/2014 al Comisiei din 13 octombrie 2014.</w:t>
      </w:r>
    </w:p>
  </w:footnote>
  <w:footnote w:id="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Instalațiile de foraj offshore mobile nu sunt incluse în datele din secțiunea 4.1.</w:t>
      </w:r>
    </w:p>
  </w:footnote>
  <w:footnote w:id="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Patru în Italia, una în Țările de Jos.</w:t>
      </w:r>
    </w:p>
  </w:footnote>
  <w:footnote w:id="6">
    <w:p>
      <w:pPr>
        <w:pStyle w:val="FootnoteText"/>
        <w:tabs>
          <w:tab w:val="left" w:pos="6850"/>
        </w:tabs>
        <w:jc w:val="both"/>
        <w:rPr>
          <w:rFonts w:ascii="Times New Roman" w:hAnsi="Times New Roman"/>
        </w:rPr>
      </w:pPr>
      <w:r>
        <w:rPr>
          <w:rStyle w:val="FootnoteReference"/>
          <w:rFonts w:ascii="Times New Roman" w:hAnsi="Times New Roman"/>
        </w:rPr>
        <w:footnoteRef/>
      </w:r>
      <w:r>
        <w:rPr>
          <w:rFonts w:ascii="Times New Roman" w:hAnsi="Times New Roman"/>
        </w:rPr>
        <w:t xml:space="preserve"> O instalație poate fi inspectată de mai multe ori în cursul unui an de raportare; prin urmare, „numărul de inspecții” (371) este diferit de cel al „instalațiilor totale” (299), din cauza </w:t>
      </w:r>
      <w:r>
        <w:rPr>
          <w:rStyle w:val="cf01"/>
          <w:rFonts w:ascii="Times New Roman" w:hAnsi="Times New Roman" w:cs="Times New Roman"/>
        </w:rPr>
        <w:t>numărului de instalații dezafectate de-a lungul anului și a numărului de instalații care puse în funcțiune de-a lungul anului</w:t>
      </w:r>
      <w:r>
        <w:rPr>
          <w:rFonts w:ascii="Times New Roman" w:hAnsi="Times New Roman"/>
        </w:rPr>
        <w:t>.</w:t>
      </w:r>
    </w:p>
  </w:footnote>
  <w:footnote w:id="7">
    <w:p>
      <w:pPr>
        <w:pStyle w:val="FootnoteText"/>
        <w:rPr>
          <w:rFonts w:ascii="Times New Roman" w:hAnsi="Times New Roman"/>
        </w:rPr>
      </w:pPr>
      <w:r>
        <w:rPr>
          <w:rFonts w:ascii="Times New Roman" w:hAnsi="Times New Roman"/>
          <w:vertAlign w:val="superscript"/>
        </w:rPr>
        <w:footnoteRef/>
      </w:r>
      <w:r>
        <w:rPr>
          <w:rFonts w:ascii="Times New Roman" w:hAnsi="Times New Roman"/>
        </w:rPr>
        <w:t xml:space="preserve"> Obligația de raportare nu include anumite evenimente (de exemplu, pe cele care nu sunt legate de operațiuni).</w:t>
      </w:r>
    </w:p>
  </w:footnote>
  <w:footnote w:id="8">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Style w:val="normaltextrun"/>
          <w:rFonts w:ascii="Times New Roman" w:hAnsi="Times New Roman"/>
          <w:color w:val="000000"/>
          <w:bdr w:val="none" w:sz="0" w:space="0" w:color="auto" w:frame="1"/>
        </w:rPr>
        <w:t>Scurgerea de gaze pe platforma Tyra East în legătură cu începerea producției în urma unei întreruperi a operațiunilor.</w:t>
      </w:r>
    </w:p>
  </w:footnote>
  <w:footnote w:id="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În cazul Danemarcei, 14 incidente au constat în scurgeri neintenționate. 7 incidente nu s-au încadrat în nicio categorie în secțiunea 4.2. Anexa IX Categorii de incidente. </w:t>
      </w:r>
    </w:p>
  </w:footnote>
  <w:footnote w:id="10">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În cazul Croației, dintre cele 8 evenimente, 5 au fost cauzate de scurgeri neintenționate, iar 3, de defecțiuni ale elementelor critice de siguranță și de mediu (SECE).</w:t>
      </w:r>
    </w:p>
  </w:footnote>
  <w:footnote w:id="11">
    <w:p>
      <w:pPr>
        <w:spacing w:after="0"/>
        <w:jc w:val="both"/>
        <w:rPr>
          <w:rFonts w:ascii="Times New Roman" w:hAnsi="Times New Roman"/>
        </w:rPr>
      </w:pPr>
      <w:r>
        <w:rPr>
          <w:rStyle w:val="FootnoteReference"/>
          <w:rFonts w:ascii="Times New Roman" w:hAnsi="Times New Roman"/>
          <w:sz w:val="20"/>
          <w:szCs w:val="20"/>
        </w:rPr>
        <w:footnoteRef/>
      </w:r>
      <w:r>
        <w:rPr>
          <w:rFonts w:ascii="Times New Roman" w:hAnsi="Times New Roman"/>
          <w:sz w:val="20"/>
        </w:rPr>
        <w:t xml:space="preserve"> Accidentele majore cuprind incidentele care ar putea provoca decese sau vătămări grave (chiar dacă nu s-a înregistrat nicio astfel de consecință).</w:t>
      </w:r>
    </w:p>
  </w:footnote>
  <w:footnote w:id="12">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În cazul Țărilor de Jos, incidentele au constat în 5 defecțiuni ale unui element critic de siguranță și de mediu (SECE) și în 40 de scurgeri neintenționate.</w:t>
      </w:r>
    </w:p>
  </w:footnote>
  <w:footnote w:id="13">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În cazul Greciei, toate cele 4 incidente au fost defecțiuni ale unui element critic de siguranță și de mediu (SECE).</w:t>
      </w:r>
    </w:p>
  </w:footnote>
  <w:footnote w:id="1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Italia a raportat un incident de coliziune a navelor.</w:t>
      </w:r>
    </w:p>
  </w:footnote>
  <w:footnote w:id="1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Italia 3, România 1, Danemarca 24 și Țările de Jos 11.</w:t>
      </w:r>
    </w:p>
  </w:footnote>
  <w:footnote w:id="16">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Italia 8, Țările de Jos 1, Danemarca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4812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A6A04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0B2B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825A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68D6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AAD4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D03E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A62F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FAD4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E6AE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6675A"/>
    <w:multiLevelType w:val="hybridMultilevel"/>
    <w:tmpl w:val="0CA473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B282E53"/>
    <w:multiLevelType w:val="hybridMultilevel"/>
    <w:tmpl w:val="D6C4DF50"/>
    <w:lvl w:ilvl="0" w:tplc="ED987C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C96107"/>
    <w:multiLevelType w:val="hybridMultilevel"/>
    <w:tmpl w:val="341A19A4"/>
    <w:lvl w:ilvl="0" w:tplc="82BAB730">
      <w:start w:val="10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9D0E32"/>
    <w:multiLevelType w:val="hybridMultilevel"/>
    <w:tmpl w:val="ACC44588"/>
    <w:lvl w:ilvl="0" w:tplc="06924E46">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3D0569"/>
    <w:multiLevelType w:val="hybridMultilevel"/>
    <w:tmpl w:val="708C29DA"/>
    <w:lvl w:ilvl="0" w:tplc="D08C0E2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3E4B61"/>
    <w:multiLevelType w:val="hybridMultilevel"/>
    <w:tmpl w:val="332223DA"/>
    <w:lvl w:ilvl="0" w:tplc="78F25C22">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ED2062D"/>
    <w:multiLevelType w:val="hybridMultilevel"/>
    <w:tmpl w:val="3C1A009C"/>
    <w:lvl w:ilvl="0" w:tplc="3B6C0054">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1944CB"/>
    <w:multiLevelType w:val="hybridMultilevel"/>
    <w:tmpl w:val="577C9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DD1944"/>
    <w:multiLevelType w:val="hybridMultilevel"/>
    <w:tmpl w:val="0D304F36"/>
    <w:lvl w:ilvl="0" w:tplc="6124312E">
      <w:start w:val="10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061CA3"/>
    <w:multiLevelType w:val="hybridMultilevel"/>
    <w:tmpl w:val="86E68B9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384157BF"/>
    <w:multiLevelType w:val="hybridMultilevel"/>
    <w:tmpl w:val="0C06A5DE"/>
    <w:lvl w:ilvl="0" w:tplc="C89ECC04">
      <w:start w:val="1"/>
      <w:numFmt w:val="decimal"/>
      <w:lvlText w:val="%1."/>
      <w:lvlJc w:val="left"/>
      <w:pPr>
        <w:ind w:left="1020" w:hanging="360"/>
      </w:pPr>
    </w:lvl>
    <w:lvl w:ilvl="1" w:tplc="556EF004">
      <w:start w:val="1"/>
      <w:numFmt w:val="decimal"/>
      <w:lvlText w:val="%2."/>
      <w:lvlJc w:val="left"/>
      <w:pPr>
        <w:ind w:left="1020" w:hanging="360"/>
      </w:pPr>
    </w:lvl>
    <w:lvl w:ilvl="2" w:tplc="829ABF50">
      <w:start w:val="1"/>
      <w:numFmt w:val="decimal"/>
      <w:lvlText w:val="%3."/>
      <w:lvlJc w:val="left"/>
      <w:pPr>
        <w:ind w:left="1020" w:hanging="360"/>
      </w:pPr>
    </w:lvl>
    <w:lvl w:ilvl="3" w:tplc="E77413C0">
      <w:start w:val="1"/>
      <w:numFmt w:val="decimal"/>
      <w:lvlText w:val="%4."/>
      <w:lvlJc w:val="left"/>
      <w:pPr>
        <w:ind w:left="1020" w:hanging="360"/>
      </w:pPr>
    </w:lvl>
    <w:lvl w:ilvl="4" w:tplc="09A8BBAE">
      <w:start w:val="1"/>
      <w:numFmt w:val="decimal"/>
      <w:lvlText w:val="%5."/>
      <w:lvlJc w:val="left"/>
      <w:pPr>
        <w:ind w:left="1020" w:hanging="360"/>
      </w:pPr>
    </w:lvl>
    <w:lvl w:ilvl="5" w:tplc="7DB04AC0">
      <w:start w:val="1"/>
      <w:numFmt w:val="decimal"/>
      <w:lvlText w:val="%6."/>
      <w:lvlJc w:val="left"/>
      <w:pPr>
        <w:ind w:left="1020" w:hanging="360"/>
      </w:pPr>
    </w:lvl>
    <w:lvl w:ilvl="6" w:tplc="09AE9862">
      <w:start w:val="1"/>
      <w:numFmt w:val="decimal"/>
      <w:lvlText w:val="%7."/>
      <w:lvlJc w:val="left"/>
      <w:pPr>
        <w:ind w:left="1020" w:hanging="360"/>
      </w:pPr>
    </w:lvl>
    <w:lvl w:ilvl="7" w:tplc="5B44D924">
      <w:start w:val="1"/>
      <w:numFmt w:val="decimal"/>
      <w:lvlText w:val="%8."/>
      <w:lvlJc w:val="left"/>
      <w:pPr>
        <w:ind w:left="1020" w:hanging="360"/>
      </w:pPr>
    </w:lvl>
    <w:lvl w:ilvl="8" w:tplc="E5F0D5D4">
      <w:start w:val="1"/>
      <w:numFmt w:val="decimal"/>
      <w:lvlText w:val="%9."/>
      <w:lvlJc w:val="left"/>
      <w:pPr>
        <w:ind w:left="1020" w:hanging="360"/>
      </w:pPr>
    </w:lvl>
  </w:abstractNum>
  <w:abstractNum w:abstractNumId="21" w15:restartNumberingAfterBreak="0">
    <w:nsid w:val="41B04368"/>
    <w:multiLevelType w:val="hybridMultilevel"/>
    <w:tmpl w:val="DE44938A"/>
    <w:lvl w:ilvl="0" w:tplc="AC0E200C">
      <w:start w:val="8"/>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38179E0"/>
    <w:multiLevelType w:val="hybridMultilevel"/>
    <w:tmpl w:val="B518FD42"/>
    <w:lvl w:ilvl="0" w:tplc="ED987C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6C7BB3"/>
    <w:multiLevelType w:val="hybridMultilevel"/>
    <w:tmpl w:val="F9ACF6CE"/>
    <w:lvl w:ilvl="0" w:tplc="4A0037C2">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592971"/>
    <w:multiLevelType w:val="hybridMultilevel"/>
    <w:tmpl w:val="0C12691A"/>
    <w:lvl w:ilvl="0" w:tplc="EF6E0B48">
      <w:start w:val="3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55264B"/>
    <w:multiLevelType w:val="hybridMultilevel"/>
    <w:tmpl w:val="DE9C802C"/>
    <w:lvl w:ilvl="0" w:tplc="4998C5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0FD4CA5"/>
    <w:multiLevelType w:val="hybridMultilevel"/>
    <w:tmpl w:val="ADBA36E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6F21C5"/>
    <w:multiLevelType w:val="hybridMultilevel"/>
    <w:tmpl w:val="549A0660"/>
    <w:lvl w:ilvl="0" w:tplc="ED987C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6E13C6"/>
    <w:multiLevelType w:val="hybridMultilevel"/>
    <w:tmpl w:val="47969F2C"/>
    <w:lvl w:ilvl="0" w:tplc="E1E81474">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A1449B"/>
    <w:multiLevelType w:val="hybridMultilevel"/>
    <w:tmpl w:val="77F09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CD34AD6"/>
    <w:multiLevelType w:val="hybridMultilevel"/>
    <w:tmpl w:val="8F4CC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755D0D"/>
    <w:multiLevelType w:val="hybridMultilevel"/>
    <w:tmpl w:val="0F662790"/>
    <w:lvl w:ilvl="0" w:tplc="1790340A">
      <w:start w:val="1"/>
      <w:numFmt w:val="decimal"/>
      <w:lvlText w:val="%1."/>
      <w:lvlJc w:val="left"/>
      <w:pPr>
        <w:ind w:left="1020" w:hanging="360"/>
      </w:pPr>
    </w:lvl>
    <w:lvl w:ilvl="1" w:tplc="D9A88D68">
      <w:start w:val="1"/>
      <w:numFmt w:val="decimal"/>
      <w:lvlText w:val="%2."/>
      <w:lvlJc w:val="left"/>
      <w:pPr>
        <w:ind w:left="1020" w:hanging="360"/>
      </w:pPr>
    </w:lvl>
    <w:lvl w:ilvl="2" w:tplc="62EC7B38">
      <w:start w:val="1"/>
      <w:numFmt w:val="decimal"/>
      <w:lvlText w:val="%3."/>
      <w:lvlJc w:val="left"/>
      <w:pPr>
        <w:ind w:left="1020" w:hanging="360"/>
      </w:pPr>
    </w:lvl>
    <w:lvl w:ilvl="3" w:tplc="AE6E469C">
      <w:start w:val="1"/>
      <w:numFmt w:val="decimal"/>
      <w:lvlText w:val="%4."/>
      <w:lvlJc w:val="left"/>
      <w:pPr>
        <w:ind w:left="1020" w:hanging="360"/>
      </w:pPr>
    </w:lvl>
    <w:lvl w:ilvl="4" w:tplc="663C9274">
      <w:start w:val="1"/>
      <w:numFmt w:val="decimal"/>
      <w:lvlText w:val="%5."/>
      <w:lvlJc w:val="left"/>
      <w:pPr>
        <w:ind w:left="1020" w:hanging="360"/>
      </w:pPr>
    </w:lvl>
    <w:lvl w:ilvl="5" w:tplc="DC7AB28A">
      <w:start w:val="1"/>
      <w:numFmt w:val="decimal"/>
      <w:lvlText w:val="%6."/>
      <w:lvlJc w:val="left"/>
      <w:pPr>
        <w:ind w:left="1020" w:hanging="360"/>
      </w:pPr>
    </w:lvl>
    <w:lvl w:ilvl="6" w:tplc="D4EABD14">
      <w:start w:val="1"/>
      <w:numFmt w:val="decimal"/>
      <w:lvlText w:val="%7."/>
      <w:lvlJc w:val="left"/>
      <w:pPr>
        <w:ind w:left="1020" w:hanging="360"/>
      </w:pPr>
    </w:lvl>
    <w:lvl w:ilvl="7" w:tplc="28BC2392">
      <w:start w:val="1"/>
      <w:numFmt w:val="decimal"/>
      <w:lvlText w:val="%8."/>
      <w:lvlJc w:val="left"/>
      <w:pPr>
        <w:ind w:left="1020" w:hanging="360"/>
      </w:pPr>
    </w:lvl>
    <w:lvl w:ilvl="8" w:tplc="E73EE58C">
      <w:start w:val="1"/>
      <w:numFmt w:val="decimal"/>
      <w:lvlText w:val="%9."/>
      <w:lvlJc w:val="left"/>
      <w:pPr>
        <w:ind w:left="1020" w:hanging="360"/>
      </w:pPr>
    </w:lvl>
  </w:abstractNum>
  <w:abstractNum w:abstractNumId="32" w15:restartNumberingAfterBreak="0">
    <w:nsid w:val="6B957452"/>
    <w:multiLevelType w:val="hybridMultilevel"/>
    <w:tmpl w:val="346444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9"/>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num>
  <w:num w:numId="4">
    <w:abstractNumId w:val="11"/>
  </w:num>
  <w:num w:numId="5">
    <w:abstractNumId w:val="27"/>
  </w:num>
  <w:num w:numId="6">
    <w:abstractNumId w:val="14"/>
  </w:num>
  <w:num w:numId="7">
    <w:abstractNumId w:val="2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1"/>
  </w:num>
  <w:num w:numId="19">
    <w:abstractNumId w:val="10"/>
  </w:num>
  <w:num w:numId="20">
    <w:abstractNumId w:val="26"/>
  </w:num>
  <w:num w:numId="21">
    <w:abstractNumId w:val="25"/>
  </w:num>
  <w:num w:numId="22">
    <w:abstractNumId w:val="30"/>
  </w:num>
  <w:num w:numId="23">
    <w:abstractNumId w:val="24"/>
  </w:num>
  <w:num w:numId="24">
    <w:abstractNumId w:val="12"/>
  </w:num>
  <w:num w:numId="25">
    <w:abstractNumId w:val="16"/>
  </w:num>
  <w:num w:numId="26">
    <w:abstractNumId w:val="28"/>
  </w:num>
  <w:num w:numId="27">
    <w:abstractNumId w:val="23"/>
  </w:num>
  <w:num w:numId="28">
    <w:abstractNumId w:val="13"/>
  </w:num>
  <w:num w:numId="29">
    <w:abstractNumId w:val="17"/>
  </w:num>
  <w:num w:numId="30">
    <w:abstractNumId w:val="18"/>
  </w:num>
  <w:num w:numId="31">
    <w:abstractNumId w:val="19"/>
  </w:num>
  <w:num w:numId="32">
    <w:abstractNumId w:val="15"/>
  </w:num>
  <w:num w:numId="33">
    <w:abstractNumId w:val="20"/>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AC46890F-6205-4126-9897-DB7BEEA0207C"/>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
    <w:docVar w:name="LW_EMISSION_SUFFIX" w:val=" "/>
    <w:docVar w:name="LW_ID_DOCTYPE_NONLW" w:val="CP-00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ul anual al Comisiei Europene privind siguran\u539?a opera\u539?iunilor petroliere \u537?i gaziere offshore pentru anul 2024&lt;/FMT&gt;"/>
    <w:docVar w:name="LW_TYPE.DOC.CP" w:val="RAPORT AL COMISIE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8DFEC943-7CBD-4A7F-9448-F2B89E4A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kern w:val="0"/>
      <w14:ligatures w14:val="none"/>
    </w:rPr>
  </w:style>
  <w:style w:type="paragraph" w:styleId="Heading1">
    <w:name w:val="heading 1"/>
    <w:basedOn w:val="Normal"/>
    <w:next w:val="Normal"/>
    <w:link w:val="Heading1Char"/>
    <w:uiPriority w:val="9"/>
    <w:qFormat/>
    <w:pPr>
      <w:keepNext/>
      <w:keepLines/>
      <w:spacing w:before="240" w:after="360"/>
      <w:outlineLvl w:val="0"/>
    </w:pPr>
    <w:rPr>
      <w:rFonts w:ascii="Cambria" w:eastAsia="Times New Roman" w:hAnsi="Cambria"/>
      <w:noProof/>
      <w:color w:val="365F91"/>
      <w:sz w:val="32"/>
      <w:szCs w:val="32"/>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contracts">
    <w:name w:val="Heading 2 contracts"/>
    <w:basedOn w:val="Heading2"/>
    <w:link w:val="Heading2contractsChar"/>
    <w:qFormat/>
    <w:pPr>
      <w:keepNext w:val="0"/>
      <w:keepLines w:val="0"/>
      <w:adjustRightInd w:val="0"/>
      <w:spacing w:before="240" w:beforeAutospacing="1" w:after="120" w:afterAutospacing="1" w:line="240" w:lineRule="auto"/>
      <w:ind w:left="1985"/>
      <w:jc w:val="both"/>
    </w:pPr>
    <w:rPr>
      <w:rFonts w:ascii="Times New Roman Bold" w:eastAsia="STZhongsong" w:hAnsi="Times New Roman Bold" w:cs="Times New Roman"/>
      <w:bCs w:val="0"/>
      <w:caps/>
      <w:smallCaps/>
      <w:color w:val="auto"/>
      <w:sz w:val="28"/>
      <w:szCs w:val="20"/>
      <w:u w:val="single"/>
      <w:lang w:eastAsia="zh-CN"/>
    </w:rPr>
  </w:style>
  <w:style w:type="character" w:customStyle="1" w:styleId="Heading2contractsChar">
    <w:name w:val="Heading 2 contracts Char"/>
    <w:link w:val="Heading2contracts"/>
    <w:rPr>
      <w:rFonts w:ascii="Times New Roman Bold" w:eastAsia="STZhongsong" w:hAnsi="Times New Roman Bold" w:cs="Times New Roman"/>
      <w:b/>
      <w:caps/>
      <w:smallCaps/>
      <w:sz w:val="28"/>
      <w:szCs w:val="20"/>
      <w:u w:val="single"/>
      <w:lang w:eastAsia="zh-CN"/>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Heading3contract">
    <w:name w:val="Heading 3 contract"/>
    <w:basedOn w:val="Heading3"/>
    <w:next w:val="Normal"/>
    <w:qFormat/>
    <w:pPr>
      <w:keepNext w:val="0"/>
      <w:keepLines w:val="0"/>
      <w:adjustRightInd w:val="0"/>
      <w:spacing w:before="120" w:after="120" w:line="240" w:lineRule="auto"/>
      <w:ind w:left="567"/>
      <w:jc w:val="both"/>
    </w:pPr>
    <w:rPr>
      <w:rFonts w:ascii="Times New Roman" w:eastAsia="STZhongsong" w:hAnsi="Times New Roman" w:cs="Times New Roman"/>
      <w:b w:val="0"/>
      <w:bCs w:val="0"/>
      <w:i/>
      <w:color w:val="auto"/>
      <w:szCs w:val="24"/>
      <w:lang w:eastAsia="zh-CN"/>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Pr>
      <w:rFonts w:ascii="Cambria" w:eastAsia="Times New Roman" w:hAnsi="Cambria" w:cs="Times New Roman"/>
      <w:noProof/>
      <w:color w:val="365F91"/>
      <w:kern w:val="0"/>
      <w:sz w:val="32"/>
      <w:szCs w:val="32"/>
      <w14:ligatures w14:val="none"/>
    </w:rPr>
  </w:style>
  <w:style w:type="character" w:customStyle="1" w:styleId="Heading4Char">
    <w:name w:val="Heading 4 Char"/>
    <w:basedOn w:val="DefaultParagraphFont"/>
    <w:link w:val="Heading4"/>
    <w:uiPriority w:val="9"/>
    <w:semiHidden/>
    <w:rPr>
      <w:rFonts w:ascii="Cambria" w:eastAsia="Times New Roman" w:hAnsi="Cambria" w:cs="Times New Roman"/>
      <w:b/>
      <w:bCs/>
      <w:i/>
      <w:iCs/>
      <w:color w:val="4F81BD"/>
      <w:kern w:val="0"/>
      <w14:ligatures w14:val="none"/>
    </w:rPr>
  </w:style>
  <w:style w:type="character" w:customStyle="1" w:styleId="Heading5Char">
    <w:name w:val="Heading 5 Char"/>
    <w:basedOn w:val="DefaultParagraphFont"/>
    <w:link w:val="Heading5"/>
    <w:uiPriority w:val="9"/>
    <w:semiHidden/>
    <w:rPr>
      <w:rFonts w:ascii="Cambria" w:eastAsia="Times New Roman" w:hAnsi="Cambria" w:cs="Times New Roman"/>
      <w:color w:val="243F60"/>
      <w:kern w:val="0"/>
      <w14:ligatures w14:val="none"/>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rFonts w:ascii="Calibri" w:eastAsia="Calibri" w:hAnsi="Calibri" w:cs="Times New Roman"/>
      <w:kern w:val="0"/>
      <w:sz w:val="20"/>
      <w:szCs w:val="20"/>
      <w14:ligatures w14:val="none"/>
    </w:rPr>
  </w:style>
  <w:style w:type="paragraph" w:styleId="ListParagraph">
    <w:name w:val="List Paragraph"/>
    <w:basedOn w:val="Normal"/>
    <w:uiPriority w:val="34"/>
    <w:qFormat/>
    <w:pPr>
      <w:ind w:left="720"/>
      <w:contextualSpacing/>
    </w:pPr>
  </w:style>
  <w:style w:type="character" w:styleId="FootnoteReference">
    <w:name w:val="footnote reference"/>
    <w:uiPriority w:val="99"/>
    <w:semiHidden/>
    <w:unhideWhenUsed/>
    <w:rPr>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eastAsia="Calibri" w:hAnsi="Times New Roman" w:cs="Times New Roman"/>
      <w:kern w:val="0"/>
      <w:sz w:val="24"/>
      <w14:ligatures w14:val="none"/>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basedOn w:val="DefaultParagraphFont"/>
    <w:link w:val="Footer"/>
    <w:uiPriority w:val="99"/>
    <w:rPr>
      <w:rFonts w:ascii="Times New Roman" w:eastAsia="Calibri"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eastAsia="Calibri" w:hAnsi="Times New Roman" w:cs="Times New Roman"/>
      <w:kern w:val="0"/>
      <w:sz w:val="24"/>
      <w14:ligatures w14:val="non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eastAsia="Calibri" w:hAnsi="Times New Roman" w:cs="Times New Roman"/>
      <w:kern w:val="0"/>
      <w:sz w:val="24"/>
      <w14:ligatures w14:val="none"/>
    </w:rPr>
  </w:style>
  <w:style w:type="table" w:styleId="TableGrid">
    <w:name w:val="Table Grid"/>
    <w:basedOn w:val="TableNormal"/>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pPr>
      <w:keepNext/>
      <w:spacing w:line="240" w:lineRule="auto"/>
    </w:pPr>
    <w:rPr>
      <w:rFonts w:ascii="Times New Roman" w:hAnsi="Times New Roman"/>
      <w:i/>
      <w:iCs/>
      <w:sz w:val="24"/>
      <w:szCs w:val="24"/>
    </w:rPr>
  </w:style>
  <w:style w:type="table" w:customStyle="1" w:styleId="TByColumn">
    <w:name w:val="TByColumn"/>
    <w:basedOn w:val="TableNormal"/>
    <w:uiPriority w:val="99"/>
    <w:pPr>
      <w:spacing w:after="0" w:line="240" w:lineRule="auto"/>
    </w:pPr>
    <w:rPr>
      <w:rFonts w:ascii="Calibri" w:eastAsia="Calibri" w:hAnsi="Calibri" w:cs="Times New Roman"/>
      <w:kern w:val="0"/>
      <w:sz w:val="20"/>
      <w:szCs w:val="20"/>
      <w14:ligatures w14:val="none"/>
    </w:rPr>
    <w:tblPr>
      <w:tblBorders>
        <w:left w:val="single" w:sz="18" w:space="0" w:color="auto"/>
        <w:right w:val="single" w:sz="18" w:space="0" w:color="auto"/>
        <w:insideH w:val="single" w:sz="2" w:space="0" w:color="A6A6A6"/>
        <w:insideV w:val="single" w:sz="18" w:space="0" w:color="auto"/>
      </w:tblBorders>
    </w:tblPr>
    <w:tblStylePr w:type="firstRow">
      <w:rPr>
        <w:color w:val="F2F2F2"/>
      </w:rPr>
      <w:tblPr/>
      <w:tcPr>
        <w:shd w:val="clear" w:color="auto" w:fill="365F91"/>
      </w:tcPr>
    </w:tblStylePr>
    <w:tblStylePr w:type="lastRow">
      <w:rPr>
        <w:b/>
      </w:rPr>
      <w:tblPr/>
      <w:tcPr>
        <w:shd w:val="clear" w:color="auto" w:fill="DBE5F1"/>
      </w:tcPr>
    </w:tblStylePr>
    <w:tblStylePr w:type="lastCol">
      <w:rPr>
        <w:b/>
        <w:i w:val="0"/>
      </w:rPr>
      <w:tblPr/>
      <w:tcPr>
        <w:shd w:val="clear" w:color="auto" w:fill="DBE5F1"/>
      </w:tcPr>
    </w:tblStyle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kern w:val="0"/>
      <w:sz w:val="16"/>
      <w:szCs w:val="16"/>
      <w14:ligatures w14:val="non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Calibri" w:eastAsia="Calibri" w:hAnsi="Calibri" w:cs="Times New Roman"/>
      <w:kern w:val="0"/>
      <w:sz w:val="20"/>
      <w:szCs w:val="20"/>
      <w14:ligatures w14:val="none"/>
    </w:rPr>
  </w:style>
  <w:style w:type="character" w:styleId="EndnoteReference">
    <w:name w:val="endnote reference"/>
    <w:uiPriority w:val="99"/>
    <w:semiHidden/>
    <w:unhideWhenUsed/>
    <w:rPr>
      <w:vertAlign w:val="superscript"/>
    </w:rPr>
  </w:style>
  <w:style w:type="character" w:styleId="CommentReference">
    <w:name w:val="annotation reference"/>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kern w:val="0"/>
      <w:sz w:val="20"/>
      <w:szCs w:val="20"/>
      <w14:ligatures w14:val="none"/>
    </w:rPr>
  </w:style>
  <w:style w:type="paragraph" w:styleId="Revision">
    <w:name w:val="Revision"/>
    <w:hidden/>
    <w:uiPriority w:val="99"/>
    <w:semiHidden/>
    <w:pPr>
      <w:spacing w:after="0" w:line="240" w:lineRule="auto"/>
    </w:pPr>
    <w:rPr>
      <w:rFonts w:ascii="Calibri" w:eastAsia="Calibri" w:hAnsi="Calibri" w:cs="Times New Roman"/>
      <w:kern w:val="0"/>
      <w14:ligatures w14:val="none"/>
    </w:rPr>
  </w:style>
  <w:style w:type="paragraph" w:styleId="TOCHeading">
    <w:name w:val="TOC Heading"/>
    <w:basedOn w:val="Heading1"/>
    <w:next w:val="Normal"/>
    <w:uiPriority w:val="39"/>
    <w:unhideWhenUsed/>
    <w:qFormat/>
    <w:pPr>
      <w:spacing w:line="259" w:lineRule="auto"/>
      <w:outlineLvl w:val="9"/>
    </w:pPr>
  </w:style>
  <w:style w:type="paragraph" w:styleId="TOC2">
    <w:name w:val="toc 2"/>
    <w:basedOn w:val="Normal"/>
    <w:next w:val="Normal"/>
    <w:autoRedefine/>
    <w:uiPriority w:val="39"/>
    <w:unhideWhenUsed/>
    <w:pPr>
      <w:spacing w:after="100" w:line="259" w:lineRule="auto"/>
      <w:ind w:left="220"/>
    </w:pPr>
    <w:rPr>
      <w:rFonts w:eastAsia="Times New Roman"/>
    </w:rPr>
  </w:style>
  <w:style w:type="paragraph" w:styleId="TOC1">
    <w:name w:val="toc 1"/>
    <w:basedOn w:val="Normal"/>
    <w:next w:val="Normal"/>
    <w:autoRedefine/>
    <w:uiPriority w:val="39"/>
    <w:unhideWhenUsed/>
    <w:pPr>
      <w:tabs>
        <w:tab w:val="left" w:pos="440"/>
        <w:tab w:val="right" w:leader="dot" w:pos="9736"/>
      </w:tabs>
      <w:spacing w:after="100" w:line="259" w:lineRule="auto"/>
    </w:pPr>
    <w:rPr>
      <w:rFonts w:eastAsia="Times New Roman"/>
    </w:rPr>
  </w:style>
  <w:style w:type="paragraph" w:styleId="TOC3">
    <w:name w:val="toc 3"/>
    <w:basedOn w:val="Normal"/>
    <w:next w:val="Normal"/>
    <w:autoRedefine/>
    <w:uiPriority w:val="39"/>
    <w:unhideWhenUsed/>
    <w:pPr>
      <w:spacing w:after="100" w:line="259" w:lineRule="auto"/>
      <w:ind w:left="440"/>
    </w:pPr>
    <w:rPr>
      <w:rFonts w:eastAsia="Times New Roman"/>
    </w:rPr>
  </w:style>
  <w:style w:type="character" w:styleId="Hyperlink">
    <w:name w:val="Hyperlink"/>
    <w:uiPriority w:val="99"/>
    <w:unhideWhenUsed/>
    <w:rPr>
      <w:color w:val="0000FF"/>
      <w:u w:val="single"/>
    </w:rPr>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NoSpacing">
    <w:name w:val="No Spacing"/>
    <w:uiPriority w:val="1"/>
    <w:qFormat/>
    <w:pPr>
      <w:spacing w:after="0" w:line="240" w:lineRule="auto"/>
    </w:pPr>
    <w:rPr>
      <w:rFonts w:ascii="Calibri" w:eastAsia="Calibri" w:hAnsi="Calibri" w:cs="Times New Roman"/>
      <w:kern w:val="0"/>
      <w14:ligatures w14:val="none"/>
    </w:rPr>
  </w:style>
  <w:style w:type="table" w:customStyle="1" w:styleId="COMREP-TBL-STYLE-1">
    <w:name w:val="COMREP-TBL-STYLE-1"/>
    <w:basedOn w:val="TableGrid"/>
    <w:uiPriority w:val="99"/>
    <w:rPr>
      <w:sz w:val="22"/>
      <w:szCs w:val="22"/>
    </w:rPr>
    <w:tblPr/>
    <w:tblStylePr w:type="firstRow">
      <w:rPr>
        <w:b/>
      </w:rPr>
    </w:tblStylePr>
    <w:tblStylePr w:type="firstCol">
      <w:rPr>
        <w:b/>
      </w:rPr>
    </w:tblStylePr>
  </w:style>
  <w:style w:type="table" w:customStyle="1" w:styleId="COMREP-TBL-STYLE-11">
    <w:name w:val="COMREP-TBL-STYLE-11"/>
    <w:basedOn w:val="TableGrid"/>
    <w:uiPriority w:val="99"/>
    <w:rPr>
      <w:sz w:val="22"/>
      <w:szCs w:val="22"/>
    </w:rPr>
    <w:tblPr/>
    <w:tblStylePr w:type="firstRow">
      <w:rPr>
        <w:b/>
      </w:rPr>
    </w:tblStylePr>
    <w:tblStylePr w:type="firstCol">
      <w:rPr>
        <w:b/>
      </w:rPr>
    </w:tblStylePr>
  </w:style>
  <w:style w:type="table" w:customStyle="1" w:styleId="TableGrid1">
    <w:name w:val="Table Grid1"/>
    <w:basedOn w:val="TableNormal"/>
    <w:next w:val="TableGrid"/>
    <w:uiPriority w:val="3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firstCol">
      <w:rPr>
        <w:b/>
      </w:rPr>
    </w:tblStylePr>
  </w:style>
  <w:style w:type="table" w:customStyle="1" w:styleId="TableGrid2">
    <w:name w:val="Table Grid2"/>
    <w:basedOn w:val="TableNormal"/>
    <w:next w:val="TableGrid"/>
    <w:uiPriority w:val="3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firstCol">
      <w:rPr>
        <w:b/>
      </w:rPr>
    </w:tblStylePr>
  </w:style>
  <w:style w:type="paragraph" w:styleId="Title">
    <w:name w:val="Title"/>
    <w:basedOn w:val="Normal"/>
    <w:next w:val="Normal"/>
    <w:link w:val="TitleChar"/>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basedOn w:val="DefaultParagraphFont"/>
    <w:link w:val="Title"/>
    <w:uiPriority w:val="10"/>
    <w:rPr>
      <w:rFonts w:ascii="Calibri Light" w:eastAsia="Times New Roman" w:hAnsi="Calibri Light" w:cs="Times New Roman"/>
      <w:b/>
      <w:bCs/>
      <w:kern w:val="28"/>
      <w:sz w:val="32"/>
      <w:szCs w:val="32"/>
      <w14:ligatures w14:val="none"/>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table" w:customStyle="1" w:styleId="comrep">
    <w:name w:val="comrep"/>
    <w:basedOn w:val="TableNormal"/>
    <w:uiPriority w:val="99"/>
    <w:pPr>
      <w:spacing w:after="0" w:line="240" w:lineRule="auto"/>
    </w:pPr>
    <w:rPr>
      <w:rFonts w:ascii="Calibri" w:eastAsia="Calibri" w:hAnsi="Calibri" w:cs="Times New Roman"/>
      <w:kern w:val="0"/>
      <w:sz w:val="20"/>
      <w:szCs w:val="20"/>
      <w14:ligatures w14:val="none"/>
    </w:rPr>
    <w:tblPr/>
  </w:style>
  <w:style w:type="paragraph" w:customStyle="1" w:styleId="pf0">
    <w:name w:val="pf0"/>
    <w:basedOn w:val="Normal"/>
    <w:pPr>
      <w:spacing w:before="100" w:beforeAutospacing="1" w:after="100" w:afterAutospacing="1" w:line="240" w:lineRule="auto"/>
    </w:pPr>
    <w:rPr>
      <w:rFonts w:ascii="Times New Roman" w:eastAsia="Times New Roman" w:hAnsi="Times New Roman"/>
      <w:sz w:val="24"/>
      <w:szCs w:val="24"/>
      <w:lang w:eastAsia="en-IE"/>
    </w:rPr>
  </w:style>
  <w:style w:type="character" w:customStyle="1" w:styleId="cf01">
    <w:name w:val="cf01"/>
    <w:basedOn w:val="DefaultParagraphFont"/>
    <w:rPr>
      <w:rFonts w:ascii="Segoe UI" w:hAnsi="Segoe UI" w:cs="Segoe UI" w:hint="default"/>
      <w:sz w:val="18"/>
      <w:szCs w:val="18"/>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paragraph" w:styleId="TOC9">
    <w:name w:val="toc 9"/>
    <w:basedOn w:val="Normal"/>
    <w:next w:val="Normal"/>
    <w:autoRedefine/>
    <w:uiPriority w:val="39"/>
    <w:semiHidden/>
    <w:unhideWhenUsed/>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900342">
      <w:bodyDiv w:val="1"/>
      <w:marLeft w:val="0"/>
      <w:marRight w:val="0"/>
      <w:marTop w:val="0"/>
      <w:marBottom w:val="0"/>
      <w:divBdr>
        <w:top w:val="none" w:sz="0" w:space="0" w:color="auto"/>
        <w:left w:val="none" w:sz="0" w:space="0" w:color="auto"/>
        <w:bottom w:val="none" w:sz="0" w:space="0" w:color="auto"/>
        <w:right w:val="none" w:sz="0" w:space="0" w:color="auto"/>
      </w:divBdr>
    </w:div>
    <w:div w:id="1984843733">
      <w:bodyDiv w:val="1"/>
      <w:marLeft w:val="0"/>
      <w:marRight w:val="0"/>
      <w:marTop w:val="0"/>
      <w:marBottom w:val="0"/>
      <w:divBdr>
        <w:top w:val="none" w:sz="0" w:space="0" w:color="auto"/>
        <w:left w:val="none" w:sz="0" w:space="0" w:color="auto"/>
        <w:bottom w:val="none" w:sz="0" w:space="0" w:color="auto"/>
        <w:right w:val="none" w:sz="0" w:space="0" w:color="auto"/>
      </w:divBdr>
      <w:divsChild>
        <w:div w:id="858006180">
          <w:marLeft w:val="0"/>
          <w:marRight w:val="0"/>
          <w:marTop w:val="0"/>
          <w:marBottom w:val="0"/>
          <w:divBdr>
            <w:top w:val="none" w:sz="0" w:space="0" w:color="auto"/>
            <w:left w:val="none" w:sz="0" w:space="0" w:color="auto"/>
            <w:bottom w:val="none" w:sz="0" w:space="0" w:color="auto"/>
            <w:right w:val="none" w:sz="0" w:space="0" w:color="auto"/>
          </w:divBdr>
          <w:divsChild>
            <w:div w:id="153424158">
              <w:marLeft w:val="0"/>
              <w:marRight w:val="0"/>
              <w:marTop w:val="0"/>
              <w:marBottom w:val="0"/>
              <w:divBdr>
                <w:top w:val="none" w:sz="0" w:space="0" w:color="auto"/>
                <w:left w:val="none" w:sz="0" w:space="0" w:color="auto"/>
                <w:bottom w:val="none" w:sz="0" w:space="0" w:color="auto"/>
                <w:right w:val="none" w:sz="0" w:space="0" w:color="auto"/>
              </w:divBdr>
              <w:divsChild>
                <w:div w:id="1554539397">
                  <w:marLeft w:val="0"/>
                  <w:marRight w:val="0"/>
                  <w:marTop w:val="0"/>
                  <w:marBottom w:val="0"/>
                  <w:divBdr>
                    <w:top w:val="none" w:sz="0" w:space="0" w:color="auto"/>
                    <w:left w:val="none" w:sz="0" w:space="0" w:color="auto"/>
                    <w:bottom w:val="none" w:sz="0" w:space="0" w:color="auto"/>
                    <w:right w:val="none" w:sz="0" w:space="0" w:color="auto"/>
                  </w:divBdr>
                  <w:divsChild>
                    <w:div w:id="125778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22" ma:contentTypeDescription="Create a new document." ma:contentTypeScope="" ma:versionID="fbb80f741711f5736e4b6f5f78c46c5d">
  <xsd:schema xmlns:xsd="http://www.w3.org/2001/XMLSchema" xmlns:xs="http://www.w3.org/2001/XMLSchema" xmlns:p="http://schemas.microsoft.com/office/2006/metadata/properties" xmlns:ns1="http://schemas.microsoft.com/sharepoint/v3" xmlns:ns2="a5835c61-ca2e-49ee-8dca-a76e9f0344a3" xmlns:ns3="ba7bd860-1739-4001-af8a-147771a6eb05" targetNamespace="http://schemas.microsoft.com/office/2006/metadata/properties" ma:root="true" ma:fieldsID="32c373d6127aff8f81859294e2d215dd" ns1:_="" ns2:_="" ns3:_="">
    <xsd:import namespace="http://schemas.microsoft.com/sharepoint/v3"/>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LengthInSeconds" minOccurs="0"/>
                <xsd:element ref="ns2:Yea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Year" ma:index="27" nillable="true" ma:displayName="Year" ma:format="Dropdown" ma:internalName="Year">
      <xsd:simpleType>
        <xsd:restriction base="dms:Text">
          <xsd:maxLength value="255"/>
        </xsd:restriction>
      </xsd:simpleType>
    </xsd:element>
    <xsd:element name="MediaServiceLocation" ma:index="28" nillable="true" ma:displayName="Location" ma:descrip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a46e97b-16fe-4743-85d2-7cf9a78c8987}"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Year xmlns="a5835c61-ca2e-49ee-8dca-a76e9f0344a3" xsi:nil="true"/>
    <TaxCatchAll xmlns="ba7bd860-1739-4001-af8a-147771a6eb05" xsi:nil="true"/>
    <_ip_UnifiedCompliancePolicyProperties xmlns="http://schemas.microsoft.com/sharepoint/v3" xsi:nil="true"/>
    <lcf76f155ced4ddcb4097134ff3c332f xmlns="a5835c61-ca2e-49ee-8dca-a76e9f034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4B50FF-D0ED-46BF-9D84-F009B82A4168}">
  <ds:schemaRefs>
    <ds:schemaRef ds:uri="http://schemas.microsoft.com/sharepoint/v3/contenttype/forms"/>
  </ds:schemaRefs>
</ds:datastoreItem>
</file>

<file path=customXml/itemProps2.xml><?xml version="1.0" encoding="utf-8"?>
<ds:datastoreItem xmlns:ds="http://schemas.openxmlformats.org/officeDocument/2006/customXml" ds:itemID="{2B68EF70-1395-4402-981B-754882B3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D0ADCC-EE49-420B-A3F1-16555015F90E}">
  <ds:schemaRefs>
    <ds:schemaRef ds:uri="http://schemas.openxmlformats.org/officeDocument/2006/bibliography"/>
  </ds:schemaRefs>
</ds:datastoreItem>
</file>

<file path=customXml/itemProps4.xml><?xml version="1.0" encoding="utf-8"?>
<ds:datastoreItem xmlns:ds="http://schemas.openxmlformats.org/officeDocument/2006/customXml" ds:itemID="{9E9F8152-C889-42FE-9311-05D9B695A1F1}">
  <ds:schemaRefs>
    <ds:schemaRef ds:uri="http://schemas.microsoft.com/office/2006/metadata/properties"/>
    <ds:schemaRef ds:uri="http://schemas.microsoft.com/office/infopath/2007/PartnerControls"/>
    <ds:schemaRef ds:uri="http://schemas.microsoft.com/sharepoint/v3"/>
    <ds:schemaRef ds:uri="a5835c61-ca2e-49ee-8dca-a76e9f0344a3"/>
    <ds:schemaRef ds:uri="ba7bd860-1739-4001-af8a-147771a6eb05"/>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2650</Words>
  <Characters>15107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25</cp:revision>
  <dcterms:created xsi:type="dcterms:W3CDTF">2026-03-20T09:20:00Z</dcterms:created>
  <dcterms:modified xsi:type="dcterms:W3CDTF">2026-09-10T11:39:00Z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2026-01-30T16:12:11Z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cf48394a-df76-461b-b0f9-248b94ac8ce5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0x0101008B18F24F2D4E8140A461B5DCD99F9D2E</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CP-003</vt:lpwstr>
  </property>
</Properties>
</file>