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7C56F12-94EC-4920-907E-EA1FCF497106"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rFonts w:eastAsia="Arial Unicode MS"/>
          <w:noProof/>
        </w:rPr>
      </w:pPr>
      <w:r>
        <w:rPr>
          <w:noProof/>
        </w:rPr>
        <w:t>1.</w:t>
      </w:r>
      <w:r>
        <w:rPr>
          <w:noProof/>
        </w:rPr>
        <w:tab/>
        <w:t>Obiectul propunerii</w:t>
      </w:r>
    </w:p>
    <w:p>
      <w:pPr>
        <w:rPr>
          <w:rFonts w:eastAsia="Arial Unicode MS"/>
          <w:noProof/>
        </w:rPr>
      </w:pPr>
      <w:r>
        <w:rPr>
          <w:noProof/>
        </w:rPr>
        <w:t xml:space="preserve">Prezenta propunere vizează o decizie de stabilire a poziției care trebuie adoptată în numele Uniunii în cadrul Comitetului de cooperare vamală UE-Turcia </w:t>
      </w:r>
      <w:r>
        <w:rPr>
          <w:noProof/>
          <w:color w:val="000000" w:themeColor="text1"/>
        </w:rPr>
        <w:t xml:space="preserve">în ceea ce privește adoptarea preconizată a </w:t>
      </w:r>
      <w:r>
        <w:rPr>
          <w:noProof/>
        </w:rPr>
        <w:t>unei decizii de stabilire a normelor detaliate de aplicare a Deciziei nr. 1/95 a Consiliului de asociere CE-Turcia.</w:t>
      </w:r>
    </w:p>
    <w:p>
      <w:pPr>
        <w:pStyle w:val="ManualHeading1"/>
        <w:rPr>
          <w:noProof/>
        </w:rPr>
      </w:pPr>
      <w:r>
        <w:rPr>
          <w:noProof/>
        </w:rPr>
        <w:t>2.</w:t>
      </w:r>
      <w:r>
        <w:rPr>
          <w:noProof/>
        </w:rPr>
        <w:tab/>
        <w:t>Contextul propunerii</w:t>
      </w:r>
    </w:p>
    <w:p>
      <w:pPr>
        <w:pStyle w:val="ManualHeading2"/>
        <w:rPr>
          <w:noProof/>
          <w:color w:val="000000" w:themeColor="text1"/>
        </w:rPr>
      </w:pPr>
      <w:r>
        <w:rPr>
          <w:noProof/>
        </w:rPr>
        <w:t>2.1.</w:t>
      </w:r>
      <w:r>
        <w:rPr>
          <w:noProof/>
        </w:rPr>
        <w:tab/>
        <w:t>Acordul de instituire a unei asocieri între Comunitatea Economică Europeană și Turcia și Decizia nr. 1/95 a Consiliului de asociere CE-Turcia din 22 decembrie 1995 privind punerea în aplicare a fazei finale a uniunii vamale</w:t>
      </w:r>
    </w:p>
    <w:p>
      <w:pPr>
        <w:rPr>
          <w:noProof/>
        </w:rPr>
      </w:pPr>
      <w:r>
        <w:rPr>
          <w:noProof/>
          <w:color w:val="000000" w:themeColor="text1"/>
        </w:rPr>
        <w:t>Acordul de instituire a unei asocieri între Comunitatea Economică Europeană și Turcia, semnat la Ankara la 12 septembrie 1963 (denumit în continuare „acordul de asociere”)</w:t>
      </w:r>
      <w:r>
        <w:rPr>
          <w:rStyle w:val="FootnoteReference"/>
          <w:rFonts w:eastAsia="Arial Unicode MS"/>
          <w:noProof/>
          <w:color w:val="000000" w:themeColor="text1"/>
        </w:rPr>
        <w:footnoteReference w:id="1"/>
      </w:r>
      <w:r>
        <w:rPr>
          <w:noProof/>
          <w:color w:val="000000" w:themeColor="text1"/>
        </w:rPr>
        <w:t xml:space="preserve">, urmărește să </w:t>
      </w:r>
      <w:r>
        <w:rPr>
          <w:noProof/>
        </w:rPr>
        <w:t xml:space="preserve">promoveze consolidarea continuă și echilibrată a relațiilor comerciale și economice dintre părți </w:t>
      </w:r>
      <w:r>
        <w:rPr>
          <w:noProof/>
          <w:color w:val="000000" w:themeColor="text1"/>
        </w:rPr>
        <w:t>prin instituirea treptată a unei uniuni vamale. Acordul a intrat în vigoare la 1 decembrie 1964.</w:t>
      </w:r>
    </w:p>
    <w:p>
      <w:pPr>
        <w:rPr>
          <w:noProof/>
        </w:rPr>
      </w:pPr>
      <w:r>
        <w:rPr>
          <w:noProof/>
        </w:rPr>
        <w:t>Decizia nr. 1/95 a Consiliului de asociere CE-Turcia din 22 decembrie 1995 (denumită în continuare „Decizia nr. 1/95”)</w:t>
      </w:r>
      <w:r>
        <w:rPr>
          <w:rStyle w:val="FootnoteReference"/>
          <w:noProof/>
        </w:rPr>
        <w:footnoteReference w:id="2"/>
      </w:r>
      <w:r>
        <w:rPr>
          <w:noProof/>
        </w:rPr>
        <w:t xml:space="preserve"> stabilește normele de punere în aplicare a fazei finale a uniunii vamale prevăzute la articolele 2 și 5 din acordul de asociere.</w:t>
      </w:r>
    </w:p>
    <w:p>
      <w:pPr>
        <w:pStyle w:val="ManualHeading2"/>
        <w:rPr>
          <w:noProof/>
          <w:color w:val="000000" w:themeColor="text1"/>
        </w:rPr>
      </w:pPr>
      <w:r>
        <w:rPr>
          <w:noProof/>
        </w:rPr>
        <w:t>2.2.</w:t>
      </w:r>
      <w:r>
        <w:rPr>
          <w:noProof/>
        </w:rPr>
        <w:tab/>
      </w:r>
      <w:bookmarkStart w:id="0" w:name="_Hlk224578926"/>
      <w:r>
        <w:rPr>
          <w:noProof/>
        </w:rPr>
        <w:t>Comitetul de cooperare vamală</w:t>
      </w:r>
      <w:bookmarkEnd w:id="0"/>
    </w:p>
    <w:p>
      <w:pPr>
        <w:rPr>
          <w:rFonts w:eastAsia="Arial Unicode MS"/>
          <w:noProof/>
          <w:color w:val="000000" w:themeColor="text1"/>
        </w:rPr>
      </w:pPr>
      <w:r>
        <w:rPr>
          <w:noProof/>
        </w:rPr>
        <w:t>Comitetul de cooperare vamală a fost instituit prin Decizia nr. 2/69 a Consiliului de asociere din 15 decembrie 1969</w:t>
      </w:r>
      <w:r>
        <w:rPr>
          <w:rStyle w:val="FootnoteReference"/>
          <w:noProof/>
        </w:rPr>
        <w:footnoteReference w:id="3"/>
      </w:r>
      <w:r>
        <w:rPr>
          <w:noProof/>
        </w:rPr>
        <w:t>. Articolul 2 din decizia respectivă prevede că Comitetul de cooperare vamală este responsabil de asigurarea cooperării administrative între părți în vederea asigurării aplicării corecte și uniforme a dispozițiilor vamale ale acordului de asociere și de îndeplinirea oricăror alte sarcini în domeniul vamal pe care Comitetul de asociere i le poate încredința.</w:t>
      </w:r>
    </w:p>
    <w:p>
      <w:pPr>
        <w:pStyle w:val="ManualHeading2"/>
        <w:rPr>
          <w:noProof/>
          <w:color w:val="000000" w:themeColor="text1"/>
        </w:rPr>
      </w:pPr>
      <w:r>
        <w:rPr>
          <w:noProof/>
        </w:rPr>
        <w:t>2.3.</w:t>
      </w:r>
      <w:r>
        <w:rPr>
          <w:noProof/>
        </w:rPr>
        <w:tab/>
        <w:t>Actul avut în vedere spre adoptare</w:t>
      </w:r>
      <w:r>
        <w:rPr>
          <w:noProof/>
          <w:color w:val="000000" w:themeColor="text1"/>
        </w:rPr>
        <w:t xml:space="preserve"> </w:t>
      </w:r>
      <w:r>
        <w:rPr>
          <w:noProof/>
        </w:rPr>
        <w:t>de către Comitetul de cooperare vamală</w:t>
      </w:r>
    </w:p>
    <w:p>
      <w:pPr>
        <w:rPr>
          <w:rFonts w:eastAsia="Arial Unicode MS"/>
          <w:noProof/>
          <w:color w:val="000000" w:themeColor="text1"/>
        </w:rPr>
      </w:pPr>
      <w:r>
        <w:rPr>
          <w:noProof/>
          <w:color w:val="000000" w:themeColor="text1"/>
        </w:rPr>
        <w:t>Cu ocazia următoarei reuniuni sau prin schimb de scrisori, Comitetul de cooperare vamală urmează să adopte o decizie referitoare la normele detaliate de aplicare a Deciziei nr. 1/95 (denumită în continuare „actul avut în vedere”).</w:t>
      </w:r>
    </w:p>
    <w:p>
      <w:pPr>
        <w:rPr>
          <w:rFonts w:eastAsia="Arial Unicode MS"/>
          <w:noProof/>
          <w:color w:val="000000" w:themeColor="text1"/>
        </w:rPr>
      </w:pPr>
      <w:r>
        <w:rPr>
          <w:noProof/>
          <w:color w:val="000000" w:themeColor="text1"/>
        </w:rPr>
        <w:t xml:space="preserve">Scopul actului avut în vedere este </w:t>
      </w:r>
      <w:r>
        <w:rPr>
          <w:noProof/>
        </w:rPr>
        <w:t>de a actualiza dispozițiile Deciziei nr. 1/2006 a Comitetului de cooperare vamală CE-Turcia din 26 septembrie 2006 de stabilire a normelor detaliate de aplicare a Deciziei nr. 1/95 (denumită în continuare „Decizia nr. 1/2006”, cunoscută și sub denumirea de „legislație de tranziție”)</w:t>
      </w:r>
      <w:r>
        <w:rPr>
          <w:rStyle w:val="FootnoteReference"/>
          <w:noProof/>
        </w:rPr>
        <w:footnoteReference w:id="4"/>
      </w:r>
      <w:r>
        <w:rPr>
          <w:noProof/>
        </w:rPr>
        <w:t xml:space="preserve"> pentru a le alinia la noile dispoziții ale legislației vamale a UE și a Turciei.</w:t>
      </w:r>
    </w:p>
    <w:p>
      <w:pPr>
        <w:pStyle w:val="ManualHeading1"/>
        <w:rPr>
          <w:rFonts w:eastAsia="Arial Unicode MS"/>
          <w:noProof/>
        </w:rPr>
      </w:pPr>
      <w:r>
        <w:rPr>
          <w:noProof/>
        </w:rPr>
        <w:t>3.</w:t>
      </w:r>
      <w:r>
        <w:rPr>
          <w:noProof/>
        </w:rPr>
        <w:tab/>
        <w:t>Poziția care trebuie să fie adoptată în numele Uniunii</w:t>
      </w:r>
    </w:p>
    <w:p>
      <w:pPr>
        <w:rPr>
          <w:rFonts w:eastAsia="Arial Unicode MS"/>
          <w:noProof/>
        </w:rPr>
      </w:pPr>
      <w:r>
        <w:rPr>
          <w:noProof/>
        </w:rPr>
        <w:t>Propunerea anexată vizează adoptarea de către Consiliu a poziției Uniunii cu privire la actul avut în vedere.</w:t>
      </w:r>
    </w:p>
    <w:p>
      <w:pPr>
        <w:rPr>
          <w:rFonts w:eastAsia="Arial Unicode MS"/>
          <w:noProof/>
        </w:rPr>
      </w:pPr>
      <w:r>
        <w:rPr>
          <w:noProof/>
        </w:rPr>
        <w:t xml:space="preserve">Obiectivul prezentei decizii este de a alinia legislația tranzitorie la dispozițiile Codului vamal al Uniunii și ale Convenției regionale cu privire la regulile de origine preferențiale </w:t>
      </w:r>
      <w:r>
        <w:rPr>
          <w:noProof/>
        </w:rPr>
        <w:lastRenderedPageBreak/>
        <w:t>paneuromediteraneene (denumită în continuare „Convenția PEM”), cu efect retroactiv de la 1 ianuarie 2026. Noua decizie:</w:t>
      </w:r>
    </w:p>
    <w:p>
      <w:pPr>
        <w:pStyle w:val="Bullet0"/>
        <w:numPr>
          <w:ilvl w:val="0"/>
          <w:numId w:val="5"/>
        </w:numPr>
        <w:tabs>
          <w:tab w:val="clear" w:pos="850"/>
        </w:tabs>
        <w:ind w:left="426" w:hanging="426"/>
        <w:rPr>
          <w:noProof/>
        </w:rPr>
      </w:pPr>
      <w:r>
        <w:rPr>
          <w:noProof/>
        </w:rPr>
        <w:t>va ține seama de extindere, în special în ceea ce privește aprobarea documentelor în noile limbi ale Uniunii și evoluțiile recente ale legislației vamale a Uniunii, în special în ceea ce privește certificatele de circulație a mărfurilor eliberate electronic, formularele de informații INF 2 și INF 4;</w:t>
      </w:r>
    </w:p>
    <w:p>
      <w:pPr>
        <w:pStyle w:val="Bullet0"/>
        <w:numPr>
          <w:ilvl w:val="0"/>
          <w:numId w:val="5"/>
        </w:numPr>
        <w:tabs>
          <w:tab w:val="clear" w:pos="850"/>
        </w:tabs>
        <w:ind w:left="426" w:hanging="426"/>
        <w:rPr>
          <w:noProof/>
        </w:rPr>
      </w:pPr>
      <w:r>
        <w:rPr>
          <w:noProof/>
        </w:rPr>
        <w:t>va include dispozițiile Convenției PEM, pentru a facilita punerea în aplicare în comun a uniunii vamale UE-Turcia și a regimurilor comerciale preferențiale dintre Uniune sau Turcia și celelalte părți contractante la Convenția PEM, în ceea ce privește regula transportului direct/regula de nemodificare, cumulul total și aplicarea rambursării taxelor vamale pentru mărfurile exportate în afara uniunii vamale.</w:t>
      </w:r>
    </w:p>
    <w:p>
      <w:pPr>
        <w:rPr>
          <w:rFonts w:eastAsia="Arial Unicode MS"/>
          <w:noProof/>
        </w:rPr>
      </w:pPr>
      <w:r>
        <w:rPr>
          <w:noProof/>
        </w:rPr>
        <w:t>Pentru a facilita punerea în aplicare a normelor de aplicare a Deciziei nr. 1/95, este oportun să se înlocuiască Decizia nr. 1/2006 cu o nouă decizie.</w:t>
      </w:r>
    </w:p>
    <w:p>
      <w:pPr>
        <w:pStyle w:val="ManualHeading1"/>
        <w:rPr>
          <w:noProof/>
        </w:rPr>
      </w:pPr>
      <w:r>
        <w:rPr>
          <w:noProof/>
        </w:rPr>
        <w:t>4.</w:t>
      </w:r>
      <w:r>
        <w:rPr>
          <w:noProof/>
        </w:rPr>
        <w:tab/>
        <w:t>Temeiul juridic</w:t>
      </w:r>
    </w:p>
    <w:p>
      <w:pPr>
        <w:pStyle w:val="ManualHeading2"/>
        <w:rPr>
          <w:noProof/>
        </w:rPr>
      </w:pPr>
      <w:r>
        <w:rPr>
          <w:noProof/>
        </w:rPr>
        <w:t>4.1.</w:t>
      </w:r>
      <w:r>
        <w:rPr>
          <w:noProof/>
        </w:rPr>
        <w:tab/>
        <w:t>Temeiul juridic procedural</w:t>
      </w:r>
    </w:p>
    <w:p>
      <w:pPr>
        <w:pStyle w:val="ManualHeading3"/>
        <w:tabs>
          <w:tab w:val="clear" w:pos="850"/>
          <w:tab w:val="num" w:pos="1984"/>
        </w:tabs>
        <w:ind w:left="1984" w:hanging="567"/>
        <w:rPr>
          <w:noProof/>
        </w:rPr>
      </w:pPr>
      <w:r>
        <w:rPr>
          <w:noProof/>
        </w:rPr>
        <w:t>4.1.1.</w:t>
      </w:r>
      <w:r>
        <w:rPr>
          <w:noProof/>
        </w:rPr>
        <w:tab/>
        <w:t>Principii</w:t>
      </w:r>
    </w:p>
    <w:p>
      <w:pPr>
        <w:rPr>
          <w:noProof/>
        </w:rPr>
      </w:pPr>
      <w:r>
        <w:rPr>
          <w:noProof/>
        </w:rPr>
        <w:t>Articolul 218 alineatul (9) din Tratatul privind funcționarea Uniunii Europene (TFUE) prevede adoptarea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pPr>
        <w:rPr>
          <w:noProof/>
        </w:rPr>
      </w:pPr>
      <w:r>
        <w:rPr>
          <w:noProof/>
        </w:rPr>
        <w:t>Noțiunea de „acte cu efecte juridice” include actele care au efecte juridice în temeiul normelor de drept internațional aplicabile organismului în cauză. Acesta include totodată instrumente care nu au un caracter obligatoriu în temeiul dreptului internațional, dar care „au vocația de a influența în mod decisiv conținutul reglementării adoptate de legiuitorul Uniunii”</w:t>
      </w:r>
      <w:r>
        <w:rPr>
          <w:rStyle w:val="FootnoteReference"/>
          <w:noProof/>
        </w:rPr>
        <w:footnoteReference w:id="5"/>
      </w:r>
      <w:r>
        <w:rPr>
          <w:noProof/>
        </w:rPr>
        <w:t>.</w:t>
      </w:r>
    </w:p>
    <w:p>
      <w:pPr>
        <w:pStyle w:val="ManualHeading3"/>
        <w:tabs>
          <w:tab w:val="clear" w:pos="850"/>
          <w:tab w:val="num" w:pos="1984"/>
        </w:tabs>
        <w:ind w:left="1984" w:hanging="567"/>
        <w:rPr>
          <w:noProof/>
        </w:rPr>
      </w:pPr>
      <w:r>
        <w:rPr>
          <w:noProof/>
        </w:rPr>
        <w:t>4.1.2.</w:t>
      </w:r>
      <w:r>
        <w:rPr>
          <w:noProof/>
        </w:rPr>
        <w:tab/>
        <w:t>Aplicarea la cazul în speță</w:t>
      </w:r>
    </w:p>
    <w:p>
      <w:pPr>
        <w:rPr>
          <w:noProof/>
        </w:rPr>
      </w:pPr>
      <w:r>
        <w:rPr>
          <w:noProof/>
        </w:rPr>
        <w:t>Comitetul de cooperare vamală</w:t>
      </w:r>
      <w:r>
        <w:rPr>
          <w:noProof/>
          <w:color w:val="000000" w:themeColor="text1"/>
        </w:rPr>
        <w:t xml:space="preserve"> </w:t>
      </w:r>
      <w:r>
        <w:rPr>
          <w:noProof/>
        </w:rPr>
        <w:t>este un organism instituit printr-un acord, și anume</w:t>
      </w:r>
      <w:r>
        <w:rPr>
          <w:noProof/>
          <w:color w:val="000000" w:themeColor="text1"/>
        </w:rPr>
        <w:t xml:space="preserve"> Acordul </w:t>
      </w:r>
      <w:r>
        <w:rPr>
          <w:noProof/>
        </w:rPr>
        <w:t>de asociere dintre Comunitatea Economică Europeană și Turcia.</w:t>
      </w:r>
    </w:p>
    <w:p>
      <w:pPr>
        <w:rPr>
          <w:noProof/>
        </w:rPr>
      </w:pPr>
      <w:r>
        <w:rPr>
          <w:noProof/>
        </w:rPr>
        <w:t xml:space="preserve">Actul </w:t>
      </w:r>
      <w:r>
        <w:rPr>
          <w:noProof/>
          <w:color w:val="000000" w:themeColor="text1"/>
        </w:rPr>
        <w:t xml:space="preserve">pe care </w:t>
      </w:r>
      <w:r>
        <w:rPr>
          <w:noProof/>
        </w:rPr>
        <w:t xml:space="preserve">Comitetul de cooperare vamală trebuie să îl adopte este un act cu efecte juridice. </w:t>
      </w:r>
    </w:p>
    <w:p>
      <w:pPr>
        <w:rPr>
          <w:noProof/>
        </w:rPr>
      </w:pPr>
      <w:r>
        <w:rPr>
          <w:noProof/>
        </w:rPr>
        <w:t>Actul avut în vedere are efecte juridice deoarece va deveni aplicabil pe teritoriul părților în conformitate cu articolul 24 din Acordul de asociere și cu articolul 28 alineatele (1) și (3) din Decizia nr. 1/95.</w:t>
      </w:r>
    </w:p>
    <w:p>
      <w:pPr>
        <w:rPr>
          <w:noProof/>
        </w:rPr>
      </w:pPr>
      <w:r>
        <w:rPr>
          <w:noProof/>
        </w:rPr>
        <w:t>Actul avut în vedere nu modifică și nici nu completează cadrul instituțional al Acordului de asociere.</w:t>
      </w:r>
    </w:p>
    <w:p>
      <w:pPr>
        <w:rPr>
          <w:noProof/>
        </w:rPr>
      </w:pPr>
      <w:r>
        <w:rPr>
          <w:noProof/>
        </w:rPr>
        <w:t>Prin urmare, temeiul juridic procedural al propunerii de decizie este articolul 218 alineatul (9) din TFUE.</w:t>
      </w:r>
    </w:p>
    <w:p>
      <w:pPr>
        <w:pStyle w:val="ManualHeading2"/>
        <w:rPr>
          <w:noProof/>
        </w:rPr>
      </w:pPr>
      <w:r>
        <w:rPr>
          <w:noProof/>
        </w:rPr>
        <w:t>4.2.</w:t>
      </w:r>
      <w:r>
        <w:rPr>
          <w:noProof/>
        </w:rPr>
        <w:tab/>
        <w:t>Temeiul juridic material</w:t>
      </w:r>
    </w:p>
    <w:p>
      <w:pPr>
        <w:pStyle w:val="ManualHeading3"/>
        <w:tabs>
          <w:tab w:val="clear" w:pos="850"/>
          <w:tab w:val="num" w:pos="1984"/>
        </w:tabs>
        <w:ind w:left="1984" w:hanging="567"/>
        <w:rPr>
          <w:noProof/>
        </w:rPr>
      </w:pPr>
      <w:r>
        <w:rPr>
          <w:noProof/>
        </w:rPr>
        <w:t>4.2.1.</w:t>
      </w:r>
      <w:r>
        <w:rPr>
          <w:noProof/>
        </w:rPr>
        <w:tab/>
        <w:t>Principii</w:t>
      </w:r>
    </w:p>
    <w:p>
      <w:pPr>
        <w:rPr>
          <w:noProof/>
        </w:rPr>
      </w:pPr>
      <w:r>
        <w:rPr>
          <w:noProof/>
        </w:rPr>
        <w:t xml:space="preserve">Temeiul juridic material al unei decizii adoptate în temeiul articolului 218 alineatul (9) din TFUE depinde în primul rând de obiectivul și de conținutul actului avut în vedere, cu privire la care se adoptă o poziție în numele Uniunii. </w:t>
      </w:r>
    </w:p>
    <w:p>
      <w:pPr>
        <w:pStyle w:val="ManualHeading3"/>
        <w:tabs>
          <w:tab w:val="clear" w:pos="850"/>
          <w:tab w:val="num" w:pos="1984"/>
        </w:tabs>
        <w:ind w:left="1984" w:hanging="567"/>
        <w:rPr>
          <w:noProof/>
        </w:rPr>
      </w:pPr>
      <w:r>
        <w:rPr>
          <w:noProof/>
        </w:rPr>
        <w:t>4.2.2.</w:t>
      </w:r>
      <w:r>
        <w:rPr>
          <w:noProof/>
        </w:rPr>
        <w:tab/>
        <w:t>Aplicarea la cazul în speță</w:t>
      </w:r>
    </w:p>
    <w:p>
      <w:pPr>
        <w:rPr>
          <w:noProof/>
        </w:rPr>
      </w:pPr>
      <w:r>
        <w:rPr>
          <w:noProof/>
        </w:rPr>
        <w:t>Obiectivul principal și conținutul actului avut în vedere se referă la politica comercială comună și la implementarea uniunii vamale UE-Turcia. Prin urmare, actul avut în vedere este menit să faciliteze schimburile comerciale dintre părți prin stabilirea</w:t>
      </w:r>
      <w:r>
        <w:rPr>
          <w:noProof/>
          <w:color w:val="000000" w:themeColor="text1"/>
        </w:rPr>
        <w:t xml:space="preserve"> </w:t>
      </w:r>
      <w:r>
        <w:rPr>
          <w:noProof/>
        </w:rPr>
        <w:t>normelor de aplicare a Deciziei nr. 1/95.</w:t>
      </w:r>
    </w:p>
    <w:p>
      <w:pPr>
        <w:rPr>
          <w:i/>
          <w:noProof/>
        </w:rPr>
      </w:pPr>
      <w:r>
        <w:rPr>
          <w:noProof/>
        </w:rPr>
        <w:t>Prin urmare, temeiul juridic material al deciziei propuse este articolul 207 alineatul (4) primul paragraf din TFUE.</w:t>
      </w:r>
    </w:p>
    <w:p>
      <w:pPr>
        <w:pStyle w:val="ManualHeading2"/>
        <w:rPr>
          <w:noProof/>
        </w:rPr>
      </w:pPr>
      <w:r>
        <w:rPr>
          <w:noProof/>
        </w:rPr>
        <w:t>4.3.</w:t>
      </w:r>
      <w:r>
        <w:rPr>
          <w:noProof/>
        </w:rPr>
        <w:tab/>
        <w:t>Concluzii</w:t>
      </w:r>
    </w:p>
    <w:p>
      <w:pPr>
        <w:rPr>
          <w:noProof/>
        </w:rPr>
      </w:pPr>
      <w:r>
        <w:rPr>
          <w:noProof/>
        </w:rPr>
        <w:t>Este oportun ca temeiul juridic al deciziei propuse să fie</w:t>
      </w:r>
      <w:r>
        <w:rPr>
          <w:noProof/>
          <w:color w:val="000000" w:themeColor="text1"/>
        </w:rPr>
        <w:t xml:space="preserve"> </w:t>
      </w:r>
      <w:r>
        <w:rPr>
          <w:noProof/>
        </w:rPr>
        <w:t>articolul 207 alineatul (4) primul paragraf coroborat</w:t>
      </w:r>
      <w:r>
        <w:rPr>
          <w:noProof/>
          <w:color w:val="000000" w:themeColor="text1"/>
        </w:rPr>
        <w:t xml:space="preserve"> </w:t>
      </w:r>
      <w:r>
        <w:rPr>
          <w:noProof/>
        </w:rPr>
        <w:t>cu articolul 218 alineatul (9) din TFUE.</w:t>
      </w:r>
    </w:p>
    <w:p>
      <w:pPr>
        <w:pStyle w:val="ManualHeading1"/>
        <w:rPr>
          <w:noProof/>
        </w:rPr>
      </w:pPr>
      <w:r>
        <w:rPr>
          <w:noProof/>
        </w:rPr>
        <w:t>5.</w:t>
      </w:r>
      <w:r>
        <w:rPr>
          <w:noProof/>
        </w:rPr>
        <w:tab/>
        <w:t>Publicarea actului avut în vedere</w:t>
      </w:r>
    </w:p>
    <w:p>
      <w:pPr>
        <w:rPr>
          <w:noProof/>
        </w:rPr>
      </w:pPr>
      <w:r>
        <w:rPr>
          <w:noProof/>
        </w:rPr>
        <w:t xml:space="preserve">Întrucât actul Comitetului de cooperare vamală va fi aplicabil de către ambele părți, inclusiv de UE și statele sale membre, este necesar ca acesta să fie publicat în </w:t>
      </w:r>
      <w:r>
        <w:rPr>
          <w:i/>
          <w:iCs/>
          <w:noProof/>
        </w:rPr>
        <w:t>Jurnalul Oficial al Uniunii Europene</w:t>
      </w:r>
      <w:r>
        <w:rPr>
          <w:noProof/>
        </w:rPr>
        <w:t xml:space="preserve"> după adoptare.</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2026/0270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poziția care trebuie să fie adoptată în numele Uniunii Europene în cadrul Comitetului de cooperare vamală UE-Turcia în ceea ce privește adoptarea unei decizii de stabilire a normelor de aplicare a Deciziei nr. 1/95 a Consiliului de asociere CE-Turcia</w:t>
      </w:r>
    </w:p>
    <w:p>
      <w:pPr>
        <w:pStyle w:val="Institutionquiagit"/>
        <w:rPr>
          <w:noProof/>
        </w:rPr>
      </w:pPr>
      <w:r>
        <w:rPr>
          <w:noProof/>
        </w:rPr>
        <w:t>CONSILIUL UNIUNII EUROPENE,</w:t>
      </w:r>
    </w:p>
    <w:p>
      <w:pPr>
        <w:rPr>
          <w:noProof/>
        </w:rPr>
      </w:pPr>
      <w:r>
        <w:rPr>
          <w:noProof/>
        </w:rPr>
        <w:t>având în vedere Tratatul privind funcționarea Uniunii Europene, în special articolul 207 alineatul (4) primul paragraf coroborat cu articolul 218 alineatul (9),</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 xml:space="preserve">Acordul de asociere între Comunitatea Economică Europeană și Turcia </w:t>
      </w:r>
      <w:r>
        <w:rPr>
          <w:noProof/>
          <w:color w:val="000000" w:themeColor="text1"/>
        </w:rPr>
        <w:t>(denumit în continuare „acordul de asociere”) a fost încheiat de Uniune prin Decizia 64/732/CEE</w:t>
      </w:r>
      <w:r>
        <w:rPr>
          <w:noProof/>
        </w:rPr>
        <w:t xml:space="preserve"> a Consiliului din 23 decembrie 1963</w:t>
      </w:r>
      <w:r>
        <w:rPr>
          <w:rStyle w:val="FootnoteReference"/>
          <w:noProof/>
        </w:rPr>
        <w:footnoteReference w:id="6"/>
      </w:r>
      <w:r>
        <w:rPr>
          <w:noProof/>
        </w:rPr>
        <w:t xml:space="preserve"> și a intrat în vigoare la 1 decembrie 1964. </w:t>
      </w:r>
    </w:p>
    <w:p>
      <w:pPr>
        <w:pStyle w:val="ManualConsidrant"/>
        <w:rPr>
          <w:noProof/>
        </w:rPr>
      </w:pPr>
      <w:r>
        <w:rPr>
          <w:noProof/>
        </w:rPr>
        <w:t>(2)</w:t>
      </w:r>
      <w:r>
        <w:rPr>
          <w:noProof/>
        </w:rPr>
        <w:tab/>
      </w:r>
      <w:r>
        <w:rPr>
          <w:noProof/>
          <w:color w:val="000000" w:themeColor="text1"/>
        </w:rPr>
        <w:t>Decizia nr. 1/95 a Consiliului de asociere CE-Turcia din 22 decembrie 1995</w:t>
      </w:r>
      <w:r>
        <w:rPr>
          <w:rStyle w:val="FootnoteReference"/>
          <w:noProof/>
        </w:rPr>
        <w:footnoteReference w:id="7"/>
      </w:r>
      <w:r>
        <w:rPr>
          <w:noProof/>
        </w:rPr>
        <w:t xml:space="preserve"> privind punerea în aplicare a fazei finale a uniunii vamale a intrat în vigoare la 31 decembrie 1995 (denumită în continuare „Decizia nr. 1/95”).</w:t>
      </w:r>
    </w:p>
    <w:p>
      <w:pPr>
        <w:pStyle w:val="ManualConsidrant"/>
        <w:rPr>
          <w:noProof/>
        </w:rPr>
      </w:pPr>
      <w:r>
        <w:rPr>
          <w:noProof/>
        </w:rPr>
        <w:t>(3)</w:t>
      </w:r>
      <w:r>
        <w:rPr>
          <w:noProof/>
        </w:rPr>
        <w:tab/>
        <w:t>Comitetul de cooperare vamală a fost instituit prin Decizia nr. 2/69 a Consiliului de asociere din 15 decembrie 1969</w:t>
      </w:r>
      <w:r>
        <w:rPr>
          <w:rStyle w:val="FootnoteReference"/>
          <w:noProof/>
        </w:rPr>
        <w:footnoteReference w:id="8"/>
      </w:r>
      <w:r>
        <w:rPr>
          <w:noProof/>
        </w:rPr>
        <w:t>, în conformitate cu articolul 24 din Acordul de asociere.</w:t>
      </w:r>
    </w:p>
    <w:p>
      <w:pPr>
        <w:pStyle w:val="ManualConsidrant"/>
        <w:rPr>
          <w:noProof/>
        </w:rPr>
      </w:pPr>
      <w:r>
        <w:rPr>
          <w:noProof/>
        </w:rPr>
        <w:t>(4)</w:t>
      </w:r>
      <w:r>
        <w:rPr>
          <w:noProof/>
        </w:rPr>
        <w:tab/>
        <w:t>Articolul 28 alineatele (1) și (3) din Decizia nr. 1/95 a însărcinat Comitetul de cooperare vamală să stabilească măsurile adecvate pentru punerea în aplicare a dispozițiilor vamale cuprinse în decizia respectivă.</w:t>
      </w:r>
    </w:p>
    <w:p>
      <w:pPr>
        <w:pStyle w:val="ManualConsidrant"/>
        <w:rPr>
          <w:noProof/>
        </w:rPr>
      </w:pPr>
      <w:r>
        <w:rPr>
          <w:noProof/>
        </w:rPr>
        <w:t>(5)</w:t>
      </w:r>
      <w:r>
        <w:rPr>
          <w:noProof/>
        </w:rPr>
        <w:tab/>
      </w:r>
      <w:r>
        <w:rPr>
          <w:noProof/>
          <w:color w:val="000000" w:themeColor="text1"/>
        </w:rPr>
        <w:t>Cu ocazia următoarei reuniuni sau prin schimb de scrisori, Comitetul de cooperare vamală urmează să adopte o decizie referitoare la normele detaliate de aplicare a Deciziei nr. 1/95</w:t>
      </w:r>
      <w:r>
        <w:rPr>
          <w:noProof/>
        </w:rPr>
        <w:t>.</w:t>
      </w:r>
    </w:p>
    <w:p>
      <w:pPr>
        <w:pStyle w:val="ManualConsidrant"/>
        <w:rPr>
          <w:noProof/>
        </w:rPr>
      </w:pPr>
      <w:r>
        <w:rPr>
          <w:noProof/>
        </w:rPr>
        <w:t>(6)</w:t>
      </w:r>
      <w:r>
        <w:rPr>
          <w:noProof/>
        </w:rPr>
        <w:tab/>
        <w:t>Este necesar să se alinieze dispozițiile Deciziei nr. 1/2006 la Decizia nr. 1/2023 a Comitetului mixt al Convenției regionale cu privire la regulile de origine preferențiale paneuromediteraneene din 7 decembrie 2023 privind modificarea Convenției regionale cu privire la regulile de origine preferențiale paneuromediteraneene (denumită în continuare „Convenția PEM”)</w:t>
      </w:r>
      <w:r>
        <w:rPr>
          <w:rStyle w:val="FootnoteReference"/>
          <w:noProof/>
        </w:rPr>
        <w:footnoteReference w:id="9"/>
      </w:r>
      <w:r>
        <w:rPr>
          <w:noProof/>
        </w:rPr>
        <w:t>.</w:t>
      </w:r>
    </w:p>
    <w:p>
      <w:pPr>
        <w:pStyle w:val="ManualConsidrant"/>
        <w:rPr>
          <w:noProof/>
        </w:rPr>
      </w:pPr>
      <w:r>
        <w:rPr>
          <w:noProof/>
        </w:rPr>
        <w:t>(7)</w:t>
      </w:r>
      <w:r>
        <w:rPr>
          <w:noProof/>
        </w:rPr>
        <w:tab/>
        <w:t xml:space="preserve">Decizia nr. 1/2023 a Comitetului mixt al Convenției regionale cu privire la regulile de origine preferențiale paneuromediteraneene din 7 decembrie 2023 privind modificarea Convenției regionale cu privire la regulile de origine preferențiale paneuromediteraneene a intrat în vigoare la 1 ianuarie 2025. </w:t>
      </w:r>
    </w:p>
    <w:p>
      <w:pPr>
        <w:pStyle w:val="ManualConsidrant"/>
        <w:rPr>
          <w:noProof/>
        </w:rPr>
      </w:pPr>
      <w:r>
        <w:rPr>
          <w:noProof/>
        </w:rPr>
        <w:t>(8)</w:t>
      </w:r>
      <w:r>
        <w:rPr>
          <w:noProof/>
        </w:rPr>
        <w:tab/>
        <w:t>Dispoziții tranzitorii au menținut aplicarea între 1 ianuarie și 31 decembrie 2025 a regulilor de origine din 2012 ale Convenției PEM</w:t>
      </w:r>
      <w:r>
        <w:rPr>
          <w:rStyle w:val="FootnoteReference"/>
          <w:noProof/>
        </w:rPr>
        <w:footnoteReference w:id="10"/>
      </w:r>
      <w:r>
        <w:rPr>
          <w:noProof/>
        </w:rPr>
        <w:t xml:space="preserve"> în paralel cu regulile revizuite ale Convenției PEM, astfel cum au fost modificate prin Decizia nr. 2/2024 a Comitetului mixt al Convenției PEM.</w:t>
      </w:r>
    </w:p>
    <w:p>
      <w:pPr>
        <w:pStyle w:val="ManualConsidrant"/>
        <w:rPr>
          <w:noProof/>
        </w:rPr>
      </w:pPr>
      <w:r>
        <w:rPr>
          <w:noProof/>
        </w:rPr>
        <w:t>(9)</w:t>
      </w:r>
      <w:r>
        <w:rPr>
          <w:noProof/>
        </w:rPr>
        <w:tab/>
        <w:t>Prin urmare, este oportun să se prevadă aplicarea retroactivă de la 1 ianuarie 2026 pentru a asigura continuitatea juridică, a menține securitatea juridică pentru operatorii economici și autoritățile vamale și a evita orice perturbare a aplicării regulilor de origine preferențiale în cadrul uniunii vamale, ca urmare a expirării dispozițiilor tranzitorii la 31 decembrie 2025.</w:t>
      </w:r>
    </w:p>
    <w:p>
      <w:pPr>
        <w:pStyle w:val="ManualConsidrant"/>
        <w:rPr>
          <w:noProof/>
        </w:rPr>
      </w:pPr>
      <w:r>
        <w:rPr>
          <w:noProof/>
        </w:rPr>
        <w:t>(10)</w:t>
      </w:r>
      <w:r>
        <w:rPr>
          <w:noProof/>
        </w:rPr>
        <w:tab/>
        <w:t>Este necesar să se actualizeze dispozițiile Deciziei nr. 1/2006 pentru a le alinia la noile dispoziții ale legislației vamale a UE și a Turciei.</w:t>
      </w:r>
    </w:p>
    <w:p>
      <w:pPr>
        <w:pStyle w:val="ManualConsidrant"/>
        <w:rPr>
          <w:noProof/>
        </w:rPr>
      </w:pPr>
      <w:r>
        <w:rPr>
          <w:noProof/>
        </w:rPr>
        <w:t>(11)</w:t>
      </w:r>
      <w:r>
        <w:rPr>
          <w:noProof/>
        </w:rPr>
        <w:tab/>
        <w:t>În plus, este necesar să se introducă textul diferitelor declarații de susținere în noile limbi ale Uniunii, ca urmare a extinderii Uniunii Europene.</w:t>
      </w:r>
    </w:p>
    <w:p>
      <w:pPr>
        <w:pStyle w:val="ManualConsidrant"/>
        <w:rPr>
          <w:noProof/>
        </w:rPr>
      </w:pPr>
      <w:r>
        <w:rPr>
          <w:noProof/>
        </w:rPr>
        <w:t>(12)</w:t>
      </w:r>
      <w:r>
        <w:rPr>
          <w:noProof/>
        </w:rPr>
        <w:tab/>
        <w:t>Este oportun să se stabilească poziția care urmează să fie adoptată în numele Uniunii în cadrul Comitetului de cooperare vamală, întrucât decizia se va aplica în Uniune,</w:t>
      </w:r>
    </w:p>
    <w:p>
      <w:pPr>
        <w:pStyle w:val="Formuledadoption"/>
        <w:rPr>
          <w:noProof/>
        </w:rPr>
      </w:pPr>
      <w:r>
        <w:rPr>
          <w:noProof/>
        </w:rPr>
        <w:t>ADOPTĂ PREZENTA DECIZIE:</w:t>
      </w:r>
    </w:p>
    <w:p>
      <w:pPr>
        <w:pStyle w:val="Titrearticle"/>
        <w:rPr>
          <w:noProof/>
        </w:rPr>
      </w:pPr>
      <w:r>
        <w:rPr>
          <w:noProof/>
        </w:rPr>
        <w:t>Articolul 1</w:t>
      </w:r>
    </w:p>
    <w:p>
      <w:pPr>
        <w:rPr>
          <w:i/>
          <w:noProof/>
        </w:rPr>
      </w:pPr>
      <w:r>
        <w:rPr>
          <w:noProof/>
        </w:rPr>
        <w:t>Poziția care trebuie să fie adoptată în numele Uniunii Europene în cadrul Comitetului de cooperare vamală UE-Turcia instituit în temeiul Acordului de asociere se bazează pe proiectul de decizie a Comitetului de cooperare vamală anexat la prezenta decizie.</w:t>
      </w:r>
    </w:p>
    <w:p>
      <w:pPr>
        <w:pStyle w:val="Titrearticle"/>
        <w:rPr>
          <w:noProof/>
          <w:color w:val="000000" w:themeColor="text1"/>
        </w:rPr>
      </w:pPr>
      <w:r>
        <w:rPr>
          <w:noProof/>
          <w:color w:val="000000" w:themeColor="text1"/>
        </w:rPr>
        <w:t xml:space="preserve">Articolul </w:t>
      </w:r>
      <w:r>
        <w:rPr>
          <w:noProof/>
        </w:rPr>
        <w:t>2</w:t>
      </w:r>
    </w:p>
    <w:p>
      <w:pPr>
        <w:rPr>
          <w:noProof/>
        </w:rPr>
      </w:pPr>
      <w:r>
        <w:rPr>
          <w:noProof/>
        </w:rPr>
        <w:t>Prezenta decizie se adresează Comisiei.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JO L 361, 31.12.1977, p. 29, ELI: </w:t>
      </w:r>
      <w:hyperlink r:id="rId1" w:history="1">
        <w:r>
          <w:rPr>
            <w:rStyle w:val="Hyperlink"/>
          </w:rPr>
          <w:t>http://data.europa.eu/eli/agree_internation/1964/732/oj</w:t>
        </w:r>
      </w:hyperlink>
      <w:r>
        <w:t xml:space="preserve">. </w:t>
      </w:r>
    </w:p>
  </w:footnote>
  <w:footnote w:id="2">
    <w:p>
      <w:pPr>
        <w:pStyle w:val="FootnoteText"/>
      </w:pPr>
      <w:r>
        <w:rPr>
          <w:rStyle w:val="FootnoteReference"/>
        </w:rPr>
        <w:footnoteRef/>
      </w:r>
      <w:r>
        <w:tab/>
        <w:t xml:space="preserve">JO L 35, 13.2.1996, p. 1, ELI: </w:t>
      </w:r>
      <w:hyperlink r:id="rId2" w:history="1">
        <w:r>
          <w:rPr>
            <w:rStyle w:val="Hyperlink"/>
          </w:rPr>
          <w:t>http://data.europa.eu/eli/dec/1995/1(5)/oj</w:t>
        </w:r>
      </w:hyperlink>
      <w:r>
        <w:t xml:space="preserve">. </w:t>
      </w:r>
    </w:p>
  </w:footnote>
  <w:footnote w:id="3">
    <w:p>
      <w:pPr>
        <w:pStyle w:val="FootnoteText"/>
      </w:pPr>
      <w:r>
        <w:rPr>
          <w:rStyle w:val="FootnoteReference"/>
        </w:rPr>
        <w:footnoteRef/>
      </w:r>
      <w:r>
        <w:tab/>
        <w:t>Decizie nepublicată.</w:t>
      </w:r>
    </w:p>
  </w:footnote>
  <w:footnote w:id="4">
    <w:p>
      <w:pPr>
        <w:pStyle w:val="FootnoteText"/>
      </w:pPr>
      <w:r>
        <w:rPr>
          <w:rStyle w:val="FootnoteReference"/>
        </w:rPr>
        <w:footnoteRef/>
      </w:r>
      <w:r>
        <w:tab/>
        <w:t xml:space="preserve">JO L 265, 26.9.2006, p. 18, ELI: http://data.europa.eu/eli/dec/ 2006/646/oj. </w:t>
      </w:r>
    </w:p>
  </w:footnote>
  <w:footnote w:id="5">
    <w:p>
      <w:pPr>
        <w:pStyle w:val="FootnoteText"/>
      </w:pPr>
      <w:r>
        <w:rPr>
          <w:rStyle w:val="FootnoteReference"/>
        </w:rPr>
        <w:footnoteRef/>
      </w:r>
      <w:r>
        <w:tab/>
        <w:t xml:space="preserve">Hotărârea Curții de Justiție din 7 octombrie 2014, Germania/Consiliul, C-399/12, ECLI:EU:C:2014:2258, punctele 61-64. </w:t>
      </w:r>
    </w:p>
  </w:footnote>
  <w:footnote w:id="6">
    <w:p>
      <w:pPr>
        <w:pStyle w:val="FootnoteText"/>
      </w:pPr>
      <w:r>
        <w:rPr>
          <w:rStyle w:val="FootnoteReference"/>
        </w:rPr>
        <w:footnoteRef/>
      </w:r>
      <w:r>
        <w:tab/>
        <w:t xml:space="preserve">JO </w:t>
      </w:r>
      <w:r>
        <w:rPr>
          <w:color w:val="000000" w:themeColor="text1"/>
        </w:rPr>
        <w:t xml:space="preserve">P </w:t>
      </w:r>
      <w:r>
        <w:t>217</w:t>
      </w:r>
      <w:r>
        <w:rPr>
          <w:color w:val="000000" w:themeColor="text1"/>
        </w:rPr>
        <w:t xml:space="preserve">, </w:t>
      </w:r>
      <w:r>
        <w:t>29.12.1964</w:t>
      </w:r>
      <w:r>
        <w:rPr>
          <w:color w:val="000000" w:themeColor="text1"/>
        </w:rPr>
        <w:t xml:space="preserve">, </w:t>
      </w:r>
      <w:r>
        <w:t>p. 3685.</w:t>
      </w:r>
    </w:p>
  </w:footnote>
  <w:footnote w:id="7">
    <w:p>
      <w:pPr>
        <w:pStyle w:val="FootnoteText"/>
      </w:pPr>
      <w:r>
        <w:rPr>
          <w:rStyle w:val="FootnoteReference"/>
        </w:rPr>
        <w:footnoteRef/>
      </w:r>
      <w:r>
        <w:tab/>
        <w:t xml:space="preserve">JO L 35, 13.2.1996, p. 1, ELI: </w:t>
      </w:r>
      <w:hyperlink r:id="rId3" w:history="1">
        <w:r>
          <w:rPr>
            <w:rStyle w:val="Hyperlink"/>
          </w:rPr>
          <w:t>http://data.europa.eu/eli/dec/1995/1(5)/oj</w:t>
        </w:r>
      </w:hyperlink>
      <w:r>
        <w:t>.</w:t>
      </w:r>
    </w:p>
  </w:footnote>
  <w:footnote w:id="8">
    <w:p>
      <w:pPr>
        <w:pStyle w:val="FootnoteText"/>
      </w:pPr>
      <w:r>
        <w:rPr>
          <w:rStyle w:val="FootnoteReference"/>
        </w:rPr>
        <w:footnoteRef/>
      </w:r>
      <w:r>
        <w:tab/>
        <w:t>Decizie nepublicată.</w:t>
      </w:r>
    </w:p>
  </w:footnote>
  <w:footnote w:id="9">
    <w:p>
      <w:pPr>
        <w:pStyle w:val="FootnoteText"/>
      </w:pPr>
      <w:r>
        <w:rPr>
          <w:rStyle w:val="FootnoteReference"/>
        </w:rPr>
        <w:footnoteRef/>
      </w:r>
      <w:r>
        <w:tab/>
        <w:t>JO L, 2024/390, 19.2.2024, ELI: </w:t>
      </w:r>
      <w:hyperlink r:id="rId4" w:tgtFrame="_blank" w:tooltip="Oferă acces la acest document prin identificatorul său uniform de resurse ELI." w:history="1">
        <w:r>
          <w:rPr>
            <w:rStyle w:val="Hyperlink"/>
          </w:rPr>
          <w:t>http://data.europa.eu/eli/dec/2024/390/oj</w:t>
        </w:r>
      </w:hyperlink>
      <w:r>
        <w:t>.</w:t>
      </w:r>
    </w:p>
  </w:footnote>
  <w:footnote w:id="10">
    <w:p>
      <w:pPr>
        <w:pStyle w:val="FootnoteText"/>
      </w:pPr>
      <w:r>
        <w:rPr>
          <w:rStyle w:val="FootnoteReference"/>
        </w:rPr>
        <w:footnoteRef/>
      </w:r>
      <w:r>
        <w:tab/>
        <w:t>JO L 54, 26.2.2013, p. 3, ELI: </w:t>
      </w:r>
      <w:hyperlink r:id="rId5" w:tooltip="Oferă acces la acest document prin identificatorul său uniform de resurse ELI." w:history="1">
        <w:r>
          <w:rPr>
            <w:rStyle w:val="Hyperlink"/>
          </w:rPr>
          <w:t>http://data.europa.eu/eli/dec/2013/94(1)/oj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206334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E104C6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BC862A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55AED2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2"/>
    <w:lvlOverride w:ilvl="0">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num>
  <w:num w:numId="8">
    <w:abstractNumId w:val="8"/>
  </w:num>
  <w:num w:numId="9">
    <w:abstractNumId w:val="13"/>
  </w:num>
  <w:num w:numId="10">
    <w:abstractNumId w:val="17"/>
  </w:num>
  <w:num w:numId="11">
    <w:abstractNumId w:val="9"/>
  </w:num>
  <w:num w:numId="12">
    <w:abstractNumId w:val="19"/>
  </w:num>
  <w:num w:numId="13">
    <w:abstractNumId w:val="7"/>
  </w:num>
  <w:num w:numId="14">
    <w:abstractNumId w:val="10"/>
  </w:num>
  <w:num w:numId="15">
    <w:abstractNumId w:val="11"/>
  </w:num>
  <w:num w:numId="16">
    <w:abstractNumId w:val="5"/>
  </w:num>
  <w:num w:numId="17">
    <w:abstractNumId w:val="18"/>
  </w:num>
  <w:num w:numId="18">
    <w:abstractNumId w:val="4"/>
  </w:num>
  <w:num w:numId="19">
    <w:abstractNumId w:val="12"/>
  </w:num>
  <w:num w:numId="20">
    <w:abstractNumId w:val="15"/>
  </w:num>
  <w:num w:numId="21">
    <w:abstractNumId w:val="16"/>
  </w:num>
  <w:num w:numId="22">
    <w:abstractNumId w:val="6"/>
  </w:num>
  <w:num w:numId="23">
    <w:abstractNumId w:val="14"/>
  </w:num>
  <w:num w:numId="24">
    <w:abstractNumId w:val="20"/>
  </w:num>
  <w:num w:numId="25">
    <w:abstractNumId w:val="17"/>
  </w:num>
  <w:num w:numId="26">
    <w:abstractNumId w:val="9"/>
  </w:num>
  <w:num w:numId="27">
    <w:abstractNumId w:val="19"/>
  </w:num>
  <w:num w:numId="28">
    <w:abstractNumId w:val="7"/>
  </w:num>
  <w:num w:numId="29">
    <w:abstractNumId w:val="10"/>
  </w:num>
  <w:num w:numId="30">
    <w:abstractNumId w:val="11"/>
  </w:num>
  <w:num w:numId="31">
    <w:abstractNumId w:val="5"/>
  </w:num>
  <w:num w:numId="32">
    <w:abstractNumId w:val="18"/>
  </w:num>
  <w:num w:numId="33">
    <w:abstractNumId w:val="4"/>
  </w:num>
  <w:num w:numId="34">
    <w:abstractNumId w:val="12"/>
  </w:num>
  <w:num w:numId="35">
    <w:abstractNumId w:val="15"/>
  </w:num>
  <w:num w:numId="36">
    <w:abstractNumId w:val="16"/>
  </w:num>
  <w:num w:numId="37">
    <w:abstractNumId w:val="6"/>
  </w:num>
  <w:num w:numId="38">
    <w:abstractNumId w:val="14"/>
  </w:num>
  <w:num w:numId="39">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09:23: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7C56F12-94EC-4920-907E-EA1FCF497106"/>
    <w:docVar w:name="LW_COVERPAGE_TYPE" w:val="1"/>
    <w:docVar w:name="LW_CreatedUtc" w:val="2026-03-13T09:07:41.0790610Z"/>
    <w:docVar w:name="LW_CROSSREFERENCE" w:val="&lt;UNUSED&gt;"/>
    <w:docVar w:name="LW_DocType" w:val="COM"/>
    <w:docVar w:name="LW_EMISSION" w:val="17.9.2026"/>
    <w:docVar w:name="LW_EMISSION_ISODATE" w:val="2026-09-1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70"/>
    <w:docVar w:name="LW_REF.II.NEW.CP_YEAR" w:val="2026"/>
    <w:docVar w:name="LW_REF.INST.NEW" w:val="COM"/>
    <w:docVar w:name="LW_REF.INST.NEW_ADOPTED" w:val="final"/>
    <w:docVar w:name="LW_REF.INST.NEW_TEXT" w:val="(2026) 4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s\u259? fie adoptat\u259? în numele Uniunii Europene în cadrul Comitetului de cooperare vamal\u259? UE-Turcia în ceea ce prive\u537?te adoptarea unei decizii de stabilire a normelor de aplicare a Deciziei nr. 1/95 a Consiliului de asociere CE-Turcia"/>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730096B-9B42-4E55-8B62-2C6D6B3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Number4">
    <w:name w:val="List Number 4"/>
    <w:basedOn w:val="Text4"/>
    <w:pPr>
      <w:numPr>
        <w:numId w:val="9"/>
      </w:numPr>
      <w:tabs>
        <w:tab w:val="clear" w:pos="3589"/>
      </w:tabs>
      <w:spacing w:before="0" w:after="240"/>
      <w:ind w:left="0" w:firstLine="0"/>
    </w:pPr>
    <w:rPr>
      <w:rFonts w:eastAsia="Times New Roman"/>
      <w:szCs w:val="20"/>
    </w:rPr>
  </w:style>
  <w:style w:type="paragraph" w:customStyle="1" w:styleId="ListBullet1">
    <w:name w:val="List Bullet 1"/>
    <w:basedOn w:val="Text1"/>
    <w:pPr>
      <w:numPr>
        <w:numId w:val="8"/>
      </w:numPr>
      <w:tabs>
        <w:tab w:val="clear" w:pos="765"/>
      </w:tabs>
      <w:spacing w:before="0" w:after="240"/>
      <w:ind w:left="0" w:firstLine="0"/>
    </w:pPr>
    <w:rPr>
      <w:rFonts w:eastAsia="Times New Roman"/>
      <w:szCs w:val="20"/>
    </w:rPr>
  </w:style>
  <w:style w:type="paragraph" w:customStyle="1" w:styleId="ListNumber4Level2">
    <w:name w:val="List Number 4 (Level 2)"/>
    <w:basedOn w:val="Text4"/>
    <w:pPr>
      <w:numPr>
        <w:ilvl w:val="1"/>
        <w:numId w:val="9"/>
      </w:numPr>
      <w:tabs>
        <w:tab w:val="clear" w:pos="4297"/>
      </w:tabs>
      <w:spacing w:before="0" w:after="240"/>
      <w:ind w:left="0" w:firstLine="0"/>
    </w:pPr>
    <w:rPr>
      <w:rFonts w:eastAsia="Times New Roman"/>
      <w:szCs w:val="20"/>
    </w:rPr>
  </w:style>
  <w:style w:type="paragraph" w:customStyle="1" w:styleId="ListNumber4Level3">
    <w:name w:val="List Number 4 (Level 3)"/>
    <w:basedOn w:val="Text4"/>
    <w:pPr>
      <w:numPr>
        <w:ilvl w:val="2"/>
        <w:numId w:val="9"/>
      </w:numPr>
      <w:tabs>
        <w:tab w:val="clear" w:pos="5006"/>
      </w:tabs>
      <w:spacing w:before="0" w:after="240"/>
      <w:ind w:left="0" w:firstLine="0"/>
    </w:pPr>
    <w:rPr>
      <w:rFonts w:eastAsia="Times New Roman"/>
      <w:szCs w:val="20"/>
    </w:rPr>
  </w:style>
  <w:style w:type="paragraph" w:customStyle="1" w:styleId="ListNumber4Level4">
    <w:name w:val="List Number 4 (Level 4)"/>
    <w:basedOn w:val="Text4"/>
    <w:pPr>
      <w:numPr>
        <w:ilvl w:val="3"/>
        <w:numId w:val="9"/>
      </w:numPr>
      <w:tabs>
        <w:tab w:val="clear" w:pos="5715"/>
      </w:tabs>
      <w:spacing w:before="0" w:after="240"/>
      <w:ind w:left="0" w:firstLine="0"/>
    </w:pPr>
    <w:rPr>
      <w:rFonts w:eastAsia="Times New Roman"/>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1995/1(5)/oj" TargetMode="External"/><Relationship Id="rId2" Type="http://schemas.openxmlformats.org/officeDocument/2006/relationships/hyperlink" Target="http://data.europa.eu/eli/dec/1995/1(5)/oj" TargetMode="External"/><Relationship Id="rId1" Type="http://schemas.openxmlformats.org/officeDocument/2006/relationships/hyperlink" Target="http://data.europa.eu/eli/agree_internation/1964/732/oj" TargetMode="External"/><Relationship Id="rId5" Type="http://schemas.openxmlformats.org/officeDocument/2006/relationships/hyperlink" Target="http://data.europa.eu/eli/dec/2013/94(1)/oj" TargetMode="External"/><Relationship Id="rId4" Type="http://schemas.openxmlformats.org/officeDocument/2006/relationships/hyperlink" Target="http://data.europa.eu/eli/dec/2024/39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C58AA-2767-4806-B6DE-B9FFCA73D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4</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23</cp:revision>
  <dcterms:created xsi:type="dcterms:W3CDTF">2026-08-05T08:35:00Z</dcterms:created>
  <dcterms:modified xsi:type="dcterms:W3CDTF">2026-09-17T07:23:00Z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2026-03-13T09:12:44Z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fe1c910d-3e01-4c07-a05c-f468bbe9c2c6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