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3B5EB8-3845-4429-AE53-7BB8C6307B2C" style="width:455.25pt;height:354.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I</w:t>
      </w:r>
    </w:p>
    <w:p>
      <w:pPr>
        <w:jc w:val="center"/>
        <w:rPr>
          <w:rFonts w:eastAsia="Times New Roman"/>
          <w:b/>
          <w:bCs/>
          <w:noProof/>
        </w:rPr>
      </w:pPr>
      <w:r>
        <w:rPr>
          <w:b/>
          <w:noProof/>
        </w:rPr>
        <w:t>POSSIBILITÉS DE PÊCHE POUR LES ACTIVITÉS DE PÊCHE COMMERCIALE DE L’UNION CIBLANT LA CIVELLE DANS LE CADRE DU PLAN DE GESTION PLURIANNUEL DE LA CGPM RELATIF À L’ANGUILLE D’EUROPE DANS LA MER MÉDITERRANÉE</w:t>
      </w:r>
    </w:p>
    <w:p>
      <w:pPr>
        <w:rPr>
          <w:rFonts w:eastAsia="Times New Roman"/>
          <w:noProof/>
          <w:szCs w:val="24"/>
          <w:lang w:eastAsia="en-IE"/>
        </w:rPr>
      </w:pPr>
    </w:p>
    <w:p>
      <w:pPr>
        <w:rPr>
          <w:rFonts w:eastAsia="Times New Roman"/>
          <w:i/>
          <w:iCs/>
          <w:noProof/>
          <w:szCs w:val="24"/>
        </w:rPr>
      </w:pPr>
      <w:r>
        <w:rPr>
          <w:noProof/>
        </w:rPr>
        <w:t>Le nombre maximal d’autorisations de pêche et d’engins de pêche autorisés pour des activités de pêche commerciale ciblant l’anguille d’Europe (</w:t>
      </w:r>
      <w:r>
        <w:rPr>
          <w:i/>
          <w:noProof/>
        </w:rPr>
        <w:t>Anguilla Anguilla</w:t>
      </w:r>
      <w:r>
        <w:rPr>
          <w:noProof/>
        </w:rPr>
        <w:t>) d’une longueur totale inférieure à 12 cm est tel qu’indiqué dans les tableaux 1 et 2, respectivement.</w:t>
      </w:r>
      <w:r>
        <w:rPr>
          <w:rStyle w:val="Tablecaption1"/>
          <w:i/>
          <w:noProof/>
          <w:sz w:val="24"/>
        </w:rPr>
        <w:t xml:space="preserve"> </w:t>
      </w:r>
    </w:p>
    <w:p>
      <w:pPr>
        <w:jc w:val="center"/>
        <w:rPr>
          <w:rFonts w:eastAsia="Times New Roman"/>
          <w:b/>
          <w:bCs/>
          <w:i/>
          <w:iCs/>
          <w:noProof/>
          <w:szCs w:val="24"/>
        </w:rPr>
      </w:pPr>
      <w:r>
        <w:rPr>
          <w:b/>
          <w:i/>
          <w:noProof/>
        </w:rPr>
        <w:t>Tableau 1</w:t>
      </w:r>
    </w:p>
    <w:p>
      <w:pPr>
        <w:rPr>
          <w:rFonts w:eastAsia="Times New Roman"/>
          <w:b/>
          <w:bCs/>
          <w:noProof/>
          <w:szCs w:val="24"/>
        </w:rPr>
      </w:pPr>
      <w:r>
        <w:rPr>
          <w:b/>
          <w:noProof/>
        </w:rPr>
        <w:t xml:space="preserve">Nombre maximal d'autorisations de pêche </w:t>
      </w:r>
    </w:p>
    <w:tbl>
      <w:tblPr>
        <w:tblStyle w:val="TableGrid0"/>
        <w:tblW w:w="0" w:type="auto"/>
        <w:tblLook w:val="04A0" w:firstRow="1" w:lastRow="0" w:firstColumn="1" w:lastColumn="0" w:noHBand="0" w:noVBand="1"/>
      </w:tblPr>
      <w:tblGrid>
        <w:gridCol w:w="4644"/>
        <w:gridCol w:w="4645"/>
      </w:tblGrid>
      <w:tr>
        <w:tc>
          <w:tcPr>
            <w:tcW w:w="4675" w:type="dxa"/>
          </w:tcPr>
          <w:p>
            <w:pPr>
              <w:rPr>
                <w:rFonts w:eastAsia="Times New Roman"/>
                <w:b/>
                <w:bCs/>
                <w:noProof/>
                <w:szCs w:val="24"/>
              </w:rPr>
            </w:pPr>
            <w:r>
              <w:rPr>
                <w:b/>
                <w:noProof/>
              </w:rPr>
              <w:t>États membres</w:t>
            </w:r>
          </w:p>
        </w:tc>
        <w:tc>
          <w:tcPr>
            <w:tcW w:w="4675" w:type="dxa"/>
          </w:tcPr>
          <w:p>
            <w:pPr>
              <w:rPr>
                <w:rFonts w:eastAsia="Times New Roman"/>
                <w:b/>
                <w:bCs/>
                <w:noProof/>
                <w:szCs w:val="24"/>
              </w:rPr>
            </w:pPr>
            <w:r>
              <w:rPr>
                <w:b/>
                <w:noProof/>
              </w:rPr>
              <w:t xml:space="preserve">Anguille d’Europe </w:t>
            </w:r>
          </w:p>
          <w:p>
            <w:pPr>
              <w:rPr>
                <w:rFonts w:eastAsia="Times New Roman"/>
                <w:b/>
                <w:bCs/>
                <w:noProof/>
                <w:szCs w:val="24"/>
              </w:rPr>
            </w:pPr>
            <w:r>
              <w:rPr>
                <w:b/>
                <w:noProof/>
              </w:rPr>
              <w:t>ELE</w:t>
            </w:r>
          </w:p>
        </w:tc>
      </w:tr>
      <w:tr>
        <w:tc>
          <w:tcPr>
            <w:tcW w:w="4675" w:type="dxa"/>
          </w:tcPr>
          <w:p>
            <w:pPr>
              <w:rPr>
                <w:rFonts w:eastAsia="Times New Roman"/>
                <w:noProof/>
                <w:szCs w:val="24"/>
              </w:rPr>
            </w:pPr>
            <w:r>
              <w:rPr>
                <w:noProof/>
              </w:rPr>
              <w:t>Espagne</w:t>
            </w:r>
          </w:p>
        </w:tc>
        <w:tc>
          <w:tcPr>
            <w:tcW w:w="4675" w:type="dxa"/>
          </w:tcPr>
          <w:p>
            <w:pPr>
              <w:rPr>
                <w:rFonts w:eastAsia="Times New Roman"/>
                <w:noProof/>
                <w:szCs w:val="24"/>
              </w:rPr>
            </w:pPr>
            <w:r>
              <w:rPr>
                <w:noProof/>
              </w:rPr>
              <w:t>153</w:t>
            </w:r>
          </w:p>
        </w:tc>
      </w:tr>
    </w:tbl>
    <w:p>
      <w:pPr>
        <w:rPr>
          <w:rFonts w:eastAsia="Times New Roman"/>
          <w:noProof/>
          <w:szCs w:val="24"/>
          <w:lang w:eastAsia="en-IE"/>
        </w:rPr>
      </w:pPr>
    </w:p>
    <w:p>
      <w:pPr>
        <w:jc w:val="center"/>
        <w:rPr>
          <w:rFonts w:eastAsia="Times New Roman"/>
          <w:b/>
          <w:bCs/>
          <w:i/>
          <w:iCs/>
          <w:noProof/>
          <w:szCs w:val="24"/>
        </w:rPr>
      </w:pPr>
      <w:r>
        <w:rPr>
          <w:b/>
          <w:i/>
          <w:noProof/>
        </w:rPr>
        <w:t>Tableau 2</w:t>
      </w:r>
    </w:p>
    <w:p>
      <w:pPr>
        <w:rPr>
          <w:rFonts w:eastAsia="Times New Roman"/>
          <w:b/>
          <w:bCs/>
          <w:noProof/>
          <w:szCs w:val="24"/>
        </w:rPr>
      </w:pPr>
      <w:r>
        <w:rPr>
          <w:b/>
          <w:noProof/>
        </w:rPr>
        <w:t>Nombre maximal d’engins de pêche</w:t>
      </w:r>
    </w:p>
    <w:tbl>
      <w:tblPr>
        <w:tblStyle w:val="TableGrid0"/>
        <w:tblW w:w="0" w:type="auto"/>
        <w:tblLook w:val="04A0" w:firstRow="1" w:lastRow="0" w:firstColumn="1" w:lastColumn="0" w:noHBand="0" w:noVBand="1"/>
      </w:tblPr>
      <w:tblGrid>
        <w:gridCol w:w="2431"/>
        <w:gridCol w:w="2401"/>
        <w:gridCol w:w="2172"/>
        <w:gridCol w:w="2285"/>
      </w:tblGrid>
      <w:tr>
        <w:tc>
          <w:tcPr>
            <w:tcW w:w="2445" w:type="dxa"/>
          </w:tcPr>
          <w:p>
            <w:pPr>
              <w:rPr>
                <w:rFonts w:eastAsia="Times New Roman"/>
                <w:b/>
                <w:bCs/>
                <w:noProof/>
                <w:szCs w:val="24"/>
              </w:rPr>
            </w:pPr>
            <w:r>
              <w:rPr>
                <w:b/>
                <w:noProof/>
              </w:rPr>
              <w:t>États membres</w:t>
            </w:r>
          </w:p>
        </w:tc>
        <w:tc>
          <w:tcPr>
            <w:tcW w:w="2417" w:type="dxa"/>
          </w:tcPr>
          <w:p>
            <w:pPr>
              <w:rPr>
                <w:rFonts w:eastAsia="Times New Roman"/>
                <w:b/>
                <w:bCs/>
                <w:noProof/>
                <w:szCs w:val="24"/>
              </w:rPr>
            </w:pPr>
            <w:r>
              <w:rPr>
                <w:b/>
                <w:noProof/>
              </w:rPr>
              <w:t>Engins de pêche</w:t>
            </w:r>
          </w:p>
        </w:tc>
        <w:tc>
          <w:tcPr>
            <w:tcW w:w="2187" w:type="dxa"/>
          </w:tcPr>
          <w:p>
            <w:pPr>
              <w:rPr>
                <w:rFonts w:eastAsia="Times New Roman"/>
                <w:b/>
                <w:bCs/>
                <w:noProof/>
                <w:szCs w:val="24"/>
              </w:rPr>
            </w:pPr>
            <w:r>
              <w:rPr>
                <w:b/>
                <w:noProof/>
              </w:rPr>
              <w:t>Code des engins de pêche</w:t>
            </w:r>
          </w:p>
        </w:tc>
        <w:tc>
          <w:tcPr>
            <w:tcW w:w="2301" w:type="dxa"/>
          </w:tcPr>
          <w:p>
            <w:pPr>
              <w:rPr>
                <w:rFonts w:eastAsia="Times New Roman"/>
                <w:b/>
                <w:bCs/>
                <w:noProof/>
                <w:szCs w:val="24"/>
              </w:rPr>
            </w:pPr>
            <w:r>
              <w:rPr>
                <w:b/>
                <w:noProof/>
              </w:rPr>
              <w:t>Unités</w:t>
            </w:r>
          </w:p>
        </w:tc>
      </w:tr>
      <w:tr>
        <w:tc>
          <w:tcPr>
            <w:tcW w:w="2445" w:type="dxa"/>
          </w:tcPr>
          <w:p>
            <w:pPr>
              <w:rPr>
                <w:rFonts w:eastAsia="Times New Roman"/>
                <w:noProof/>
                <w:szCs w:val="24"/>
              </w:rPr>
            </w:pPr>
            <w:r>
              <w:rPr>
                <w:noProof/>
              </w:rPr>
              <w:t>Espagne</w:t>
            </w:r>
          </w:p>
        </w:tc>
        <w:tc>
          <w:tcPr>
            <w:tcW w:w="2417" w:type="dxa"/>
          </w:tcPr>
          <w:p>
            <w:pPr>
              <w:rPr>
                <w:rFonts w:eastAsia="Times New Roman"/>
                <w:noProof/>
                <w:szCs w:val="24"/>
              </w:rPr>
            </w:pPr>
            <w:r>
              <w:rPr>
                <w:noProof/>
              </w:rPr>
              <w:t>Casiers et pièges</w:t>
            </w:r>
          </w:p>
        </w:tc>
        <w:tc>
          <w:tcPr>
            <w:tcW w:w="2187" w:type="dxa"/>
          </w:tcPr>
          <w:p>
            <w:pPr>
              <w:rPr>
                <w:rFonts w:eastAsia="Times New Roman"/>
                <w:noProof/>
                <w:szCs w:val="24"/>
              </w:rPr>
            </w:pPr>
            <w:r>
              <w:rPr>
                <w:noProof/>
              </w:rPr>
              <w:t>EPO</w:t>
            </w:r>
          </w:p>
        </w:tc>
        <w:tc>
          <w:tcPr>
            <w:tcW w:w="2301" w:type="dxa"/>
          </w:tcPr>
          <w:p>
            <w:pPr>
              <w:rPr>
                <w:rFonts w:eastAsia="Times New Roman"/>
                <w:noProof/>
                <w:szCs w:val="24"/>
              </w:rPr>
            </w:pPr>
            <w:r>
              <w:rPr>
                <w:noProof/>
              </w:rPr>
              <w:t>249</w:t>
            </w:r>
          </w:p>
        </w:tc>
      </w:tr>
    </w:tbl>
    <w:p>
      <w:pPr>
        <w:rPr>
          <w:noProof/>
        </w:rPr>
      </w:pP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noProof/>
        </w:rPr>
      </w:pPr>
      <w:r>
        <w:rPr>
          <w:noProof/>
        </w:rPr>
        <w:lastRenderedPageBreak/>
        <w:t>ANNEXE II</w:t>
      </w:r>
    </w:p>
    <w:p>
      <w:pPr>
        <w:jc w:val="center"/>
        <w:rPr>
          <w:b/>
          <w:bCs/>
          <w:noProof/>
        </w:rPr>
      </w:pPr>
      <w:r>
        <w:rPr>
          <w:b/>
          <w:noProof/>
        </w:rPr>
        <w:t>POSSIBILITÉS DE PÊCHE POUR LES NAVIRES DE PÊCHE DE L’UNION DANS LE CADRE DU PLAN DE GESTION PLURIANNUEL DE LA CGPM RELATIF AU CORAIL ROUGE DANS LA MER MÉDITERRANÉE</w:t>
      </w:r>
    </w:p>
    <w:p>
      <w:pPr>
        <w:rPr>
          <w:b/>
          <w:noProof/>
        </w:rPr>
      </w:pPr>
    </w:p>
    <w:p>
      <w:pPr>
        <w:rPr>
          <w:noProof/>
        </w:rPr>
      </w:pPr>
      <w:r>
        <w:rPr>
          <w:noProof/>
        </w:rPr>
        <w:t>Le nombre maximal autorisé d’autorisations de pêche et le niveau maximal des quantités récoltées de corail rouge dans la mer Méditerranée sont tels qu’indiqués dans le tableau 1.</w:t>
      </w:r>
    </w:p>
    <w:p>
      <w:pPr>
        <w:rPr>
          <w:noProof/>
        </w:rPr>
      </w:pPr>
      <w:r>
        <w:rPr>
          <w:noProof/>
        </w:rPr>
        <w:t>Les zones de pêche auxquelles il est fait référence correspondent aux SRG de la CGPM.</w:t>
      </w:r>
    </w:p>
    <w:p>
      <w:pPr>
        <w:rPr>
          <w:noProof/>
        </w:rPr>
      </w:pPr>
      <w:r>
        <w:rPr>
          <w:noProof/>
        </w:rPr>
        <w:t>Aux fins de la présente annexe, le tableau suivant mettant en correspondance les noms latins et les noms communs des stocks halieutiques s'applique:</w:t>
      </w:r>
      <w:r>
        <w:rPr>
          <w:rStyle w:val="Tablecaption1"/>
          <w:noProof/>
          <w:sz w:val="24"/>
        </w:rPr>
        <w:t xml:space="preserve"> </w:t>
      </w:r>
    </w:p>
    <w:tbl>
      <w:tblPr>
        <w:tblStyle w:val="TableGrid1"/>
        <w:tblW w:w="0" w:type="auto"/>
        <w:tblInd w:w="-103" w:type="dxa"/>
        <w:tblLook w:val="04A0" w:firstRow="1" w:lastRow="0" w:firstColumn="1" w:lastColumn="0" w:noHBand="0" w:noVBand="1"/>
      </w:tblPr>
      <w:tblGrid>
        <w:gridCol w:w="3064"/>
        <w:gridCol w:w="3060"/>
        <w:gridCol w:w="3062"/>
      </w:tblGrid>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b/>
                <w:noProof/>
              </w:rPr>
              <w:t>Nom scientifique</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Code alpha-3</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Nom commun</w:t>
            </w:r>
          </w:p>
        </w:tc>
      </w:tr>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i/>
                <w:noProof/>
              </w:rPr>
              <w:t>Corallium</w:t>
            </w:r>
            <w:r>
              <w:rPr>
                <w:noProof/>
              </w:rPr>
              <w:t xml:space="preserve"> </w:t>
            </w:r>
            <w:r>
              <w:rPr>
                <w:i/>
                <w:noProof/>
              </w:rPr>
              <w:t>rubrum</w:t>
            </w:r>
          </w:p>
        </w:tc>
        <w:tc>
          <w:tcPr>
            <w:tcW w:w="3081" w:type="dxa"/>
            <w:tcBorders>
              <w:top w:val="single" w:sz="4" w:space="0" w:color="auto"/>
              <w:left w:val="single" w:sz="4" w:space="0" w:color="auto"/>
              <w:bottom w:val="single" w:sz="4" w:space="0" w:color="auto"/>
              <w:right w:val="single" w:sz="4" w:space="0" w:color="auto"/>
            </w:tcBorders>
            <w:hideMark/>
          </w:tcPr>
          <w:p>
            <w:pPr>
              <w:rPr>
                <w:noProof/>
              </w:rPr>
            </w:pPr>
            <w:r>
              <w:rPr>
                <w:noProof/>
              </w:rPr>
              <w:t>COL</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noProof/>
              </w:rPr>
              <w:t>Corail rouge</w:t>
            </w:r>
          </w:p>
        </w:tc>
      </w:tr>
    </w:tbl>
    <w:p>
      <w:pPr>
        <w:rPr>
          <w:noProof/>
        </w:rPr>
      </w:pPr>
    </w:p>
    <w:p>
      <w:pPr>
        <w:rPr>
          <w:b/>
          <w:noProof/>
        </w:rPr>
      </w:pPr>
      <w:r>
        <w:rPr>
          <w:b/>
          <w:i/>
          <w:iCs/>
          <w:noProof/>
        </w:rPr>
        <w:t>Tableau 1</w:t>
      </w:r>
      <w:r>
        <w:rPr>
          <w:b/>
          <w:noProof/>
        </w:rPr>
        <w:t xml:space="preserve"> Nombre maximal d'autorisations de pêche (*)</w:t>
      </w:r>
    </w:p>
    <w:tbl>
      <w:tblPr>
        <w:tblOverlap w:val="never"/>
        <w:tblW w:w="0" w:type="auto"/>
        <w:tblLayout w:type="fixed"/>
        <w:tblCellMar>
          <w:left w:w="10" w:type="dxa"/>
          <w:right w:w="10" w:type="dxa"/>
        </w:tblCellMar>
        <w:tblLook w:val="0000" w:firstRow="0" w:lastRow="0" w:firstColumn="0" w:lastColumn="0" w:noHBand="0" w:noVBand="0"/>
      </w:tblPr>
      <w:tblGrid>
        <w:gridCol w:w="4949"/>
        <w:gridCol w:w="3418"/>
      </w:tblGrid>
      <w:tr>
        <w:trPr>
          <w:trHeight w:hRule="exact" w:val="978"/>
        </w:trPr>
        <w:tc>
          <w:tcPr>
            <w:tcW w:w="4949" w:type="dxa"/>
            <w:tcBorders>
              <w:top w:val="single" w:sz="4" w:space="0" w:color="auto"/>
              <w:left w:val="single" w:sz="4" w:space="0" w:color="auto"/>
            </w:tcBorders>
          </w:tcPr>
          <w:p>
            <w:pPr>
              <w:rPr>
                <w:noProof/>
                <w:szCs w:val="24"/>
              </w:rPr>
            </w:pPr>
            <w:r>
              <w:rPr>
                <w:rStyle w:val="Other1"/>
                <w:noProof/>
                <w:sz w:val="24"/>
              </w:rPr>
              <w:t>États membres</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Corail rouge</w:t>
            </w:r>
          </w:p>
          <w:p>
            <w:pPr>
              <w:rPr>
                <w:rStyle w:val="Other1"/>
                <w:noProof/>
                <w:sz w:val="24"/>
                <w:szCs w:val="24"/>
              </w:rPr>
            </w:pPr>
            <w:r>
              <w:rPr>
                <w:rStyle w:val="Other1"/>
                <w:noProof/>
                <w:sz w:val="24"/>
              </w:rPr>
              <w:t>COL</w:t>
            </w:r>
          </w:p>
          <w:p>
            <w:pPr>
              <w:rPr>
                <w:noProof/>
                <w:szCs w:val="24"/>
              </w:rPr>
            </w:pPr>
          </w:p>
        </w:tc>
      </w:tr>
      <w:tr>
        <w:trPr>
          <w:trHeight w:hRule="exact" w:val="705"/>
        </w:trPr>
        <w:tc>
          <w:tcPr>
            <w:tcW w:w="4949" w:type="dxa"/>
            <w:tcBorders>
              <w:top w:val="single" w:sz="4" w:space="0" w:color="auto"/>
              <w:left w:val="single" w:sz="4" w:space="0" w:color="auto"/>
            </w:tcBorders>
            <w:vAlign w:val="center"/>
          </w:tcPr>
          <w:p>
            <w:pPr>
              <w:rPr>
                <w:noProof/>
                <w:szCs w:val="24"/>
              </w:rPr>
            </w:pPr>
            <w:r>
              <w:rPr>
                <w:rStyle w:val="Other1"/>
                <w:noProof/>
                <w:sz w:val="24"/>
              </w:rPr>
              <w:t>Grèce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12</w:t>
            </w:r>
          </w:p>
        </w:tc>
      </w:tr>
      <w:tr>
        <w:trPr>
          <w:trHeight w:hRule="exact" w:val="577"/>
        </w:trPr>
        <w:tc>
          <w:tcPr>
            <w:tcW w:w="4949" w:type="dxa"/>
            <w:tcBorders>
              <w:top w:val="single" w:sz="4" w:space="0" w:color="auto"/>
              <w:left w:val="single" w:sz="4" w:space="0" w:color="auto"/>
            </w:tcBorders>
            <w:vAlign w:val="center"/>
          </w:tcPr>
          <w:p>
            <w:pPr>
              <w:rPr>
                <w:noProof/>
                <w:szCs w:val="24"/>
              </w:rPr>
            </w:pPr>
            <w:r>
              <w:rPr>
                <w:rStyle w:val="Other1"/>
                <w:noProof/>
                <w:sz w:val="24"/>
              </w:rPr>
              <w:t>Espagne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0(**)</w:t>
            </w:r>
          </w:p>
        </w:tc>
      </w:tr>
      <w:tr>
        <w:trPr>
          <w:trHeight w:hRule="exact" w:val="571"/>
        </w:trPr>
        <w:tc>
          <w:tcPr>
            <w:tcW w:w="4949" w:type="dxa"/>
            <w:tcBorders>
              <w:top w:val="single" w:sz="4" w:space="0" w:color="auto"/>
              <w:left w:val="single" w:sz="4" w:space="0" w:color="auto"/>
            </w:tcBorders>
            <w:vAlign w:val="center"/>
          </w:tcPr>
          <w:p>
            <w:pPr>
              <w:rPr>
                <w:noProof/>
                <w:szCs w:val="24"/>
              </w:rPr>
            </w:pPr>
            <w:r>
              <w:rPr>
                <w:rStyle w:val="Other1"/>
                <w:noProof/>
                <w:sz w:val="24"/>
              </w:rPr>
              <w:t>France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32</w:t>
            </w:r>
          </w:p>
        </w:tc>
      </w:tr>
      <w:tr>
        <w:trPr>
          <w:trHeight w:hRule="exact" w:val="693"/>
        </w:trPr>
        <w:tc>
          <w:tcPr>
            <w:tcW w:w="4949" w:type="dxa"/>
            <w:tcBorders>
              <w:top w:val="single" w:sz="4" w:space="0" w:color="auto"/>
              <w:left w:val="single" w:sz="4" w:space="0" w:color="auto"/>
            </w:tcBorders>
            <w:vAlign w:val="center"/>
          </w:tcPr>
          <w:p>
            <w:pPr>
              <w:rPr>
                <w:noProof/>
                <w:szCs w:val="24"/>
              </w:rPr>
            </w:pPr>
            <w:r>
              <w:rPr>
                <w:rStyle w:val="Other1"/>
                <w:noProof/>
                <w:sz w:val="24"/>
              </w:rPr>
              <w:t>Croatie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0(**)</w:t>
            </w:r>
          </w:p>
        </w:tc>
      </w:tr>
      <w:tr>
        <w:trPr>
          <w:trHeight w:hRule="exact" w:val="717"/>
        </w:trPr>
        <w:tc>
          <w:tcPr>
            <w:tcW w:w="4949" w:type="dxa"/>
            <w:tcBorders>
              <w:top w:val="single" w:sz="4" w:space="0" w:color="auto"/>
              <w:left w:val="single" w:sz="4" w:space="0" w:color="auto"/>
              <w:bottom w:val="single" w:sz="4" w:space="0" w:color="auto"/>
            </w:tcBorders>
            <w:vAlign w:val="center"/>
          </w:tcPr>
          <w:p>
            <w:pPr>
              <w:rPr>
                <w:noProof/>
                <w:szCs w:val="24"/>
              </w:rPr>
            </w:pPr>
            <w:r>
              <w:rPr>
                <w:rStyle w:val="Other1"/>
                <w:noProof/>
                <w:sz w:val="24"/>
              </w:rPr>
              <w:t>Italie</w:t>
            </w:r>
          </w:p>
        </w:tc>
        <w:tc>
          <w:tcPr>
            <w:tcW w:w="3418" w:type="dxa"/>
            <w:tcBorders>
              <w:top w:val="single" w:sz="4" w:space="0" w:color="auto"/>
              <w:left w:val="single" w:sz="4" w:space="0" w:color="auto"/>
              <w:bottom w:val="single" w:sz="4" w:space="0" w:color="auto"/>
              <w:right w:val="single" w:sz="4" w:space="0" w:color="auto"/>
            </w:tcBorders>
            <w:vAlign w:val="center"/>
          </w:tcPr>
          <w:p>
            <w:pPr>
              <w:rPr>
                <w:noProof/>
                <w:szCs w:val="24"/>
              </w:rPr>
            </w:pPr>
            <w:r>
              <w:rPr>
                <w:rStyle w:val="Other1"/>
                <w:noProof/>
                <w:sz w:val="24"/>
              </w:rPr>
              <w:t>40</w:t>
            </w:r>
          </w:p>
        </w:tc>
      </w:tr>
    </w:tbl>
    <w:p>
      <w:pPr>
        <w:rPr>
          <w:rStyle w:val="Tablecaption1"/>
          <w:noProof/>
          <w:sz w:val="24"/>
          <w:szCs w:val="24"/>
        </w:rPr>
      </w:pPr>
    </w:p>
    <w:p>
      <w:pPr>
        <w:rPr>
          <w:rStyle w:val="Tablecaption1"/>
          <w:noProof/>
          <w:sz w:val="24"/>
          <w:szCs w:val="24"/>
        </w:rPr>
      </w:pPr>
      <w:r>
        <w:rPr>
          <w:rStyle w:val="Tablecaption1"/>
          <w:noProof/>
          <w:sz w:val="24"/>
        </w:rPr>
        <w:t>(*) Représentant le nombre de navires ou de plongeurs, ou les deux, ou une paire composée d’un plongeur et d’un navire, autorisés à récolter le corail rouge.</w:t>
      </w:r>
    </w:p>
    <w:p>
      <w:pPr>
        <w:rPr>
          <w:i/>
          <w:iCs/>
          <w:noProof/>
        </w:rPr>
      </w:pPr>
      <w:r>
        <w:rPr>
          <w:rStyle w:val="Tablecaption1"/>
          <w:noProof/>
          <w:sz w:val="24"/>
        </w:rPr>
        <w:t>(**) Conformément à l'interdiction temporaire de la récolte du corail rouge imposée actuellement dans les eaux espagnoles et dans les eaux croates, dans l'attente d'éventuelles modifications futures.</w:t>
      </w:r>
      <w:r>
        <w:rPr>
          <w:noProof/>
        </w:rPr>
        <w:br w:type="page"/>
      </w:r>
    </w:p>
    <w:p>
      <w:pPr>
        <w:jc w:val="center"/>
        <w:rPr>
          <w:b/>
          <w:bCs/>
          <w:i/>
          <w:iCs/>
          <w:noProof/>
        </w:rPr>
      </w:pPr>
      <w:r>
        <w:rPr>
          <w:b/>
          <w:i/>
          <w:noProof/>
        </w:rPr>
        <w:lastRenderedPageBreak/>
        <w:t>Tableau 2</w:t>
      </w:r>
    </w:p>
    <w:p>
      <w:pPr>
        <w:rPr>
          <w:i/>
          <w:iCs/>
          <w:noProof/>
        </w:rPr>
      </w:pPr>
      <w:r>
        <w:rPr>
          <w:b/>
          <w:noProof/>
        </w:rPr>
        <w:t>Niveau maximal des quantités récoltées exprimées en kilogrammes de poids vif</w:t>
      </w:r>
    </w:p>
    <w:tbl>
      <w:tblPr>
        <w:tblOverlap w:val="never"/>
        <w:tblW w:w="0" w:type="auto"/>
        <w:tblLayout w:type="fixed"/>
        <w:tblCellMar>
          <w:left w:w="10" w:type="dxa"/>
          <w:right w:w="10" w:type="dxa"/>
        </w:tblCellMar>
        <w:tblLook w:val="0000" w:firstRow="0" w:lastRow="0" w:firstColumn="0" w:lastColumn="0" w:noHBand="0" w:noVBand="0"/>
      </w:tblPr>
      <w:tblGrid>
        <w:gridCol w:w="974"/>
        <w:gridCol w:w="1872"/>
        <w:gridCol w:w="749"/>
        <w:gridCol w:w="5062"/>
      </w:tblGrid>
      <w:tr>
        <w:trPr>
          <w:trHeight w:hRule="exact" w:val="772"/>
        </w:trPr>
        <w:tc>
          <w:tcPr>
            <w:tcW w:w="974" w:type="dxa"/>
            <w:tcBorders>
              <w:top w:val="single" w:sz="4" w:space="0" w:color="auto"/>
              <w:left w:val="single" w:sz="4" w:space="0" w:color="auto"/>
            </w:tcBorders>
            <w:vAlign w:val="center"/>
          </w:tcPr>
          <w:p>
            <w:pPr>
              <w:rPr>
                <w:b/>
                <w:bCs/>
                <w:noProof/>
                <w:szCs w:val="24"/>
              </w:rPr>
            </w:pPr>
            <w:r>
              <w:rPr>
                <w:rStyle w:val="Other1"/>
                <w:b/>
                <w:noProof/>
                <w:sz w:val="24"/>
              </w:rPr>
              <w:t>Espèce:</w:t>
            </w:r>
          </w:p>
        </w:tc>
        <w:tc>
          <w:tcPr>
            <w:tcW w:w="1872" w:type="dxa"/>
            <w:tcBorders>
              <w:top w:val="single" w:sz="4" w:space="0" w:color="auto"/>
              <w:left w:val="single" w:sz="4" w:space="0" w:color="auto"/>
            </w:tcBorders>
            <w:vAlign w:val="center"/>
          </w:tcPr>
          <w:p>
            <w:pPr>
              <w:rPr>
                <w:b/>
                <w:bCs/>
                <w:noProof/>
                <w:szCs w:val="24"/>
              </w:rPr>
            </w:pPr>
            <w:r>
              <w:rPr>
                <w:rStyle w:val="Other1"/>
                <w:b/>
                <w:noProof/>
                <w:sz w:val="24"/>
              </w:rPr>
              <w:t>Corail rouge</w:t>
            </w:r>
          </w:p>
        </w:tc>
        <w:tc>
          <w:tcPr>
            <w:tcW w:w="749" w:type="dxa"/>
            <w:tcBorders>
              <w:top w:val="single" w:sz="4" w:space="0" w:color="auto"/>
              <w:left w:val="single" w:sz="4" w:space="0" w:color="auto"/>
            </w:tcBorders>
            <w:vAlign w:val="center"/>
          </w:tcPr>
          <w:p>
            <w:pPr>
              <w:rPr>
                <w:b/>
                <w:bCs/>
                <w:noProof/>
                <w:szCs w:val="24"/>
              </w:rPr>
            </w:pPr>
            <w:r>
              <w:rPr>
                <w:rStyle w:val="Other1"/>
                <w:b/>
                <w:noProof/>
                <w:sz w:val="24"/>
              </w:rPr>
              <w:t>Zone(s):</w:t>
            </w:r>
          </w:p>
        </w:tc>
        <w:tc>
          <w:tcPr>
            <w:tcW w:w="5062" w:type="dxa"/>
            <w:tcBorders>
              <w:top w:val="single" w:sz="4" w:space="0" w:color="auto"/>
              <w:left w:val="single" w:sz="4" w:space="0" w:color="auto"/>
              <w:right w:val="single" w:sz="4" w:space="0" w:color="auto"/>
            </w:tcBorders>
            <w:vAlign w:val="center"/>
          </w:tcPr>
          <w:p>
            <w:pPr>
              <w:rPr>
                <w:rStyle w:val="Other1"/>
                <w:b/>
                <w:bCs/>
                <w:noProof/>
                <w:sz w:val="24"/>
                <w:szCs w:val="24"/>
              </w:rPr>
            </w:pPr>
            <w:r>
              <w:rPr>
                <w:rStyle w:val="Other1"/>
                <w:b/>
                <w:noProof/>
                <w:sz w:val="24"/>
              </w:rPr>
              <w:t>Eaux de l’Union de la mer Méditerranée</w:t>
            </w:r>
          </w:p>
          <w:p>
            <w:pPr>
              <w:rPr>
                <w:b/>
                <w:bCs/>
                <w:noProof/>
                <w:szCs w:val="24"/>
              </w:rPr>
            </w:pPr>
            <w:r>
              <w:rPr>
                <w:rStyle w:val="Other1"/>
                <w:b/>
                <w:noProof/>
                <w:sz w:val="24"/>
              </w:rPr>
              <w:t>SRG 1-27</w:t>
            </w:r>
          </w:p>
        </w:tc>
      </w:tr>
      <w:tr>
        <w:trPr>
          <w:trHeight w:hRule="exact" w:val="569"/>
        </w:trPr>
        <w:tc>
          <w:tcPr>
            <w:tcW w:w="974" w:type="dxa"/>
            <w:tcBorders>
              <w:top w:val="single" w:sz="4" w:space="0" w:color="auto"/>
              <w:left w:val="single" w:sz="4" w:space="0" w:color="auto"/>
            </w:tcBorders>
          </w:tcPr>
          <w:p>
            <w:pPr>
              <w:rPr>
                <w:noProof/>
                <w:szCs w:val="24"/>
              </w:rPr>
            </w:pPr>
          </w:p>
        </w:tc>
        <w:tc>
          <w:tcPr>
            <w:tcW w:w="1872" w:type="dxa"/>
            <w:tcBorders>
              <w:top w:val="single" w:sz="4" w:space="0" w:color="auto"/>
              <w:left w:val="single" w:sz="4" w:space="0" w:color="auto"/>
            </w:tcBorders>
            <w:vAlign w:val="center"/>
          </w:tcPr>
          <w:p>
            <w:pPr>
              <w:rPr>
                <w:i/>
                <w:iCs/>
                <w:noProof/>
                <w:szCs w:val="24"/>
              </w:rPr>
            </w:pPr>
            <w:r>
              <w:rPr>
                <w:rStyle w:val="Other1"/>
                <w:i/>
                <w:noProof/>
                <w:sz w:val="24"/>
              </w:rPr>
              <w:t>Corallium rubrum</w:t>
            </w:r>
          </w:p>
        </w:tc>
        <w:tc>
          <w:tcPr>
            <w:tcW w:w="5811" w:type="dxa"/>
            <w:gridSpan w:val="2"/>
            <w:tcBorders>
              <w:top w:val="single" w:sz="4" w:space="0" w:color="auto"/>
              <w:left w:val="single" w:sz="4" w:space="0" w:color="auto"/>
              <w:right w:val="single" w:sz="4" w:space="0" w:color="auto"/>
            </w:tcBorders>
            <w:vAlign w:val="center"/>
          </w:tcPr>
          <w:p>
            <w:pPr>
              <w:rPr>
                <w:noProof/>
              </w:rPr>
            </w:pPr>
            <w:r>
              <w:rPr>
                <w:rStyle w:val="Other1"/>
                <w:noProof/>
                <w:sz w:val="24"/>
              </w:rPr>
              <w:t>COL/GF1-27</w:t>
            </w:r>
          </w:p>
        </w:tc>
      </w:tr>
      <w:tr>
        <w:trPr>
          <w:trHeight w:hRule="exact" w:val="563"/>
        </w:trPr>
        <w:tc>
          <w:tcPr>
            <w:tcW w:w="974" w:type="dxa"/>
            <w:tcBorders>
              <w:top w:val="single" w:sz="4" w:space="0" w:color="auto"/>
              <w:left w:val="single" w:sz="4" w:space="0" w:color="auto"/>
            </w:tcBorders>
            <w:vAlign w:val="center"/>
          </w:tcPr>
          <w:p>
            <w:pPr>
              <w:rPr>
                <w:noProof/>
                <w:szCs w:val="24"/>
              </w:rPr>
            </w:pPr>
            <w:r>
              <w:rPr>
                <w:rStyle w:val="Other1"/>
                <w:noProof/>
                <w:sz w:val="24"/>
              </w:rPr>
              <w:t>Grèce</w:t>
            </w:r>
          </w:p>
        </w:tc>
        <w:tc>
          <w:tcPr>
            <w:tcW w:w="1872" w:type="dxa"/>
            <w:tcBorders>
              <w:top w:val="single" w:sz="4" w:space="0" w:color="auto"/>
              <w:left w:val="single" w:sz="4" w:space="0" w:color="auto"/>
            </w:tcBorders>
            <w:vAlign w:val="center"/>
          </w:tcPr>
          <w:p>
            <w:pPr>
              <w:rPr>
                <w:noProof/>
                <w:szCs w:val="24"/>
              </w:rPr>
            </w:pPr>
            <w:r>
              <w:rPr>
                <w:rStyle w:val="Other1"/>
                <w:noProof/>
                <w:sz w:val="24"/>
              </w:rPr>
              <w:t>1 844</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1"/>
        </w:trPr>
        <w:tc>
          <w:tcPr>
            <w:tcW w:w="974" w:type="dxa"/>
            <w:tcBorders>
              <w:top w:val="single" w:sz="4" w:space="0" w:color="auto"/>
              <w:left w:val="single" w:sz="4" w:space="0" w:color="auto"/>
            </w:tcBorders>
            <w:vAlign w:val="center"/>
          </w:tcPr>
          <w:p>
            <w:pPr>
              <w:rPr>
                <w:noProof/>
                <w:szCs w:val="24"/>
              </w:rPr>
            </w:pPr>
            <w:r>
              <w:rPr>
                <w:rStyle w:val="Other1"/>
                <w:noProof/>
                <w:sz w:val="24"/>
              </w:rPr>
              <w:t>Espagne</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65"/>
        </w:trPr>
        <w:tc>
          <w:tcPr>
            <w:tcW w:w="974" w:type="dxa"/>
            <w:tcBorders>
              <w:top w:val="single" w:sz="4" w:space="0" w:color="auto"/>
              <w:left w:val="single" w:sz="4" w:space="0" w:color="auto"/>
            </w:tcBorders>
            <w:vAlign w:val="center"/>
          </w:tcPr>
          <w:p>
            <w:pPr>
              <w:rPr>
                <w:noProof/>
                <w:szCs w:val="24"/>
              </w:rPr>
            </w:pPr>
            <w:r>
              <w:rPr>
                <w:rStyle w:val="Other1"/>
                <w:noProof/>
                <w:sz w:val="24"/>
              </w:rPr>
              <w:t>France</w:t>
            </w:r>
          </w:p>
        </w:tc>
        <w:tc>
          <w:tcPr>
            <w:tcW w:w="1872" w:type="dxa"/>
            <w:tcBorders>
              <w:top w:val="single" w:sz="4" w:space="0" w:color="auto"/>
              <w:left w:val="single" w:sz="4" w:space="0" w:color="auto"/>
            </w:tcBorders>
            <w:vAlign w:val="center"/>
          </w:tcPr>
          <w:p>
            <w:pPr>
              <w:rPr>
                <w:noProof/>
                <w:szCs w:val="24"/>
              </w:rPr>
            </w:pPr>
            <w:r>
              <w:rPr>
                <w:rStyle w:val="Other1"/>
                <w:noProof/>
                <w:sz w:val="24"/>
              </w:rPr>
              <w:t>1 400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3"/>
        </w:trPr>
        <w:tc>
          <w:tcPr>
            <w:tcW w:w="974" w:type="dxa"/>
            <w:tcBorders>
              <w:top w:val="single" w:sz="4" w:space="0" w:color="auto"/>
              <w:left w:val="single" w:sz="4" w:space="0" w:color="auto"/>
            </w:tcBorders>
            <w:vAlign w:val="center"/>
          </w:tcPr>
          <w:p>
            <w:pPr>
              <w:rPr>
                <w:noProof/>
                <w:szCs w:val="24"/>
              </w:rPr>
            </w:pPr>
            <w:r>
              <w:rPr>
                <w:rStyle w:val="Other1"/>
                <w:noProof/>
                <w:sz w:val="24"/>
              </w:rPr>
              <w:t>Croatie</w:t>
            </w:r>
          </w:p>
        </w:tc>
        <w:tc>
          <w:tcPr>
            <w:tcW w:w="1872" w:type="dxa"/>
            <w:tcBorders>
              <w:top w:val="single" w:sz="4" w:space="0" w:color="auto"/>
              <w:left w:val="single" w:sz="4" w:space="0" w:color="auto"/>
            </w:tcBorders>
            <w:vAlign w:val="center"/>
          </w:tcPr>
          <w:p>
            <w:pPr>
              <w:rPr>
                <w:noProof/>
                <w:szCs w:val="24"/>
              </w:rPr>
            </w:pPr>
            <w:r>
              <w:rPr>
                <w:rStyle w:val="Other1"/>
                <w:noProof/>
                <w:sz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53"/>
        </w:trPr>
        <w:tc>
          <w:tcPr>
            <w:tcW w:w="974" w:type="dxa"/>
            <w:tcBorders>
              <w:top w:val="single" w:sz="4" w:space="0" w:color="auto"/>
              <w:left w:val="single" w:sz="4" w:space="0" w:color="auto"/>
            </w:tcBorders>
            <w:vAlign w:val="center"/>
          </w:tcPr>
          <w:p>
            <w:pPr>
              <w:rPr>
                <w:noProof/>
                <w:szCs w:val="24"/>
              </w:rPr>
            </w:pPr>
            <w:r>
              <w:rPr>
                <w:rStyle w:val="Other1"/>
                <w:noProof/>
                <w:sz w:val="24"/>
              </w:rPr>
              <w:t>Italie</w:t>
            </w:r>
          </w:p>
        </w:tc>
        <w:tc>
          <w:tcPr>
            <w:tcW w:w="1872" w:type="dxa"/>
            <w:tcBorders>
              <w:top w:val="single" w:sz="4" w:space="0" w:color="auto"/>
              <w:left w:val="single" w:sz="4" w:space="0" w:color="auto"/>
            </w:tcBorders>
            <w:vAlign w:val="center"/>
          </w:tcPr>
          <w:p>
            <w:pPr>
              <w:rPr>
                <w:noProof/>
                <w:szCs w:val="24"/>
              </w:rPr>
            </w:pPr>
            <w:r>
              <w:rPr>
                <w:rStyle w:val="Other1"/>
                <w:noProof/>
                <w:sz w:val="24"/>
              </w:rPr>
              <w:t>1 378</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09"/>
        </w:trPr>
        <w:tc>
          <w:tcPr>
            <w:tcW w:w="974" w:type="dxa"/>
            <w:tcBorders>
              <w:top w:val="single" w:sz="4" w:space="0" w:color="auto"/>
              <w:left w:val="single" w:sz="4" w:space="0" w:color="auto"/>
            </w:tcBorders>
            <w:vAlign w:val="center"/>
          </w:tcPr>
          <w:p>
            <w:pPr>
              <w:rPr>
                <w:noProof/>
                <w:szCs w:val="24"/>
              </w:rPr>
            </w:pPr>
            <w:r>
              <w:rPr>
                <w:rStyle w:val="Other1"/>
                <w:noProof/>
                <w:sz w:val="24"/>
              </w:rPr>
              <w:t>Union</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rPr>
              <w:t xml:space="preserve">4 622  </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18"/>
        </w:trPr>
        <w:tc>
          <w:tcPr>
            <w:tcW w:w="974" w:type="dxa"/>
            <w:tcBorders>
              <w:top w:val="single" w:sz="4" w:space="0" w:color="auto"/>
              <w:left w:val="single" w:sz="4" w:space="0" w:color="auto"/>
              <w:bottom w:val="single" w:sz="4" w:space="0" w:color="auto"/>
            </w:tcBorders>
          </w:tcPr>
          <w:p>
            <w:pPr>
              <w:rPr>
                <w:noProof/>
                <w:szCs w:val="24"/>
              </w:rPr>
            </w:pPr>
            <w:r>
              <w:rPr>
                <w:rStyle w:val="Other1"/>
                <w:noProof/>
                <w:sz w:val="24"/>
              </w:rPr>
              <w:t>TAC</w:t>
            </w:r>
          </w:p>
        </w:tc>
        <w:tc>
          <w:tcPr>
            <w:tcW w:w="1872" w:type="dxa"/>
            <w:tcBorders>
              <w:top w:val="single" w:sz="4" w:space="0" w:color="auto"/>
              <w:left w:val="single" w:sz="4" w:space="0" w:color="auto"/>
              <w:bottom w:val="single" w:sz="4" w:space="0" w:color="auto"/>
            </w:tcBorders>
          </w:tcPr>
          <w:p>
            <w:pPr>
              <w:rPr>
                <w:noProof/>
                <w:szCs w:val="24"/>
              </w:rPr>
            </w:pPr>
            <w:r>
              <w:rPr>
                <w:rStyle w:val="Other1"/>
                <w:noProof/>
                <w:sz w:val="24"/>
              </w:rPr>
              <w:t>Sans objet</w:t>
            </w:r>
          </w:p>
        </w:tc>
        <w:tc>
          <w:tcPr>
            <w:tcW w:w="5811"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noProof/>
        </w:rPr>
      </w:pPr>
      <w:r>
        <w:rPr>
          <w:rStyle w:val="Tablecaption1"/>
          <w:noProof/>
        </w:rPr>
        <w:t>(**) Conformément à l'interdiction temporaire de la récolte du corail rouge imposée actuellement dans les eaux espagnoles et dans les eaux croates, dans l'attente d'éventuelles modifications futures.</w:t>
      </w: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III</w:t>
      </w:r>
    </w:p>
    <w:p>
      <w:pPr>
        <w:jc w:val="center"/>
        <w:rPr>
          <w:b/>
          <w:bCs/>
          <w:noProof/>
        </w:rPr>
      </w:pPr>
      <w:r>
        <w:rPr>
          <w:b/>
          <w:noProof/>
        </w:rPr>
        <w:t>POSSIBILITÉS DE PÊCHE DES NAVIRES DE PÊCHE DE L’UNION DANS LE CADRE DE LA GESTION DE LA CORYPHÈNE COMMUNE DANS LA MER MÉDITERRANÉE</w:t>
      </w:r>
    </w:p>
    <w:p>
      <w:pPr>
        <w:rPr>
          <w:rFonts w:eastAsia="Times New Roman"/>
          <w:i/>
          <w:iCs/>
          <w:noProof/>
          <w:szCs w:val="24"/>
        </w:rPr>
      </w:pPr>
      <w:r>
        <w:rPr>
          <w:noProof/>
        </w:rPr>
        <w:t xml:space="preserve">Le niveau maximal de navires de pêche de l'Union, exprimé en nombre, en kW et en GT, autorisés à pêcher la coryphène commune en utilisant des DCP en mer Méditerranée, ainsi que le niveau maximal des captures sont établis dans les tableaux 1, 2 et 3. </w:t>
      </w:r>
    </w:p>
    <w:p>
      <w:pPr>
        <w:rPr>
          <w:rFonts w:eastAsia="Times New Roman"/>
          <w:noProof/>
          <w:szCs w:val="24"/>
        </w:rPr>
      </w:pPr>
      <w:r>
        <w:rPr>
          <w:noProof/>
        </w:rPr>
        <w:t>Les zones de pêche auxquelles il est fait référence correspondent aux SRG de la CGPM.</w:t>
      </w:r>
    </w:p>
    <w:p>
      <w:pPr>
        <w:rPr>
          <w:noProof/>
        </w:rPr>
      </w:pPr>
      <w:r>
        <w:rPr>
          <w:noProof/>
        </w:rPr>
        <w:br w:type="page"/>
      </w:r>
    </w:p>
    <w:p>
      <w:pPr>
        <w:rPr>
          <w:rFonts w:eastAsia="Times New Roman"/>
          <w:noProof/>
          <w:szCs w:val="24"/>
        </w:rPr>
      </w:pPr>
      <w:r>
        <w:rPr>
          <w:noProof/>
        </w:rPr>
        <w:lastRenderedPageBreak/>
        <w:t>Aux fins de la présente annexe, le tableau suivant met en correspondance les noms latins et les noms communs des stocks halieutiques: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450"/>
        <w:gridCol w:w="2255"/>
        <w:gridCol w:w="3384"/>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scientifique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Code alpha-3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Coryphaena hippurus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DOL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Coryphène commune</w:t>
            </w:r>
          </w:p>
        </w:tc>
      </w:tr>
    </w:tbl>
    <w:p>
      <w:pPr>
        <w:rPr>
          <w:rFonts w:eastAsia="Times New Roman"/>
          <w:b/>
          <w:bCs/>
          <w:noProof/>
          <w:szCs w:val="24"/>
        </w:rPr>
      </w:pPr>
      <w:bookmarkStart w:id="0" w:name="_Hlk168408212"/>
      <w:r>
        <w:rPr>
          <w:b/>
          <w:noProof/>
        </w:rPr>
        <w:t>Tableau 1 - Capacité maximale de la flotte des navires ciblant la coryphène commune en utilisant des DCP en mer Méditerranée (SRG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68"/>
        <w:gridCol w:w="3537"/>
        <w:gridCol w:w="1542"/>
        <w:gridCol w:w="1542"/>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État membre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Nombre de navires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GT</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21061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1986</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Malte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130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16 662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1 296,28</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Espagne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2 105,73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153,34</w:t>
            </w:r>
          </w:p>
        </w:tc>
      </w:tr>
    </w:tbl>
    <w:bookmarkEnd w:id="0"/>
    <w:p>
      <w:pPr>
        <w:rPr>
          <w:rFonts w:eastAsia="Times New Roman"/>
          <w:b/>
          <w:bCs/>
          <w:noProof/>
          <w:szCs w:val="24"/>
        </w:rPr>
      </w:pPr>
      <w:r>
        <w:rPr>
          <w:b/>
          <w:noProof/>
        </w:rPr>
        <w:t>Tableau 2 - Nombre maximal de DCP par navire autorisé à cibler la coryphène commune en mer Méditerranée (SRG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56"/>
        <w:gridCol w:w="6133"/>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État membre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Nombre de DCP par navire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Italie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100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Malte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200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Espagne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50</w:t>
            </w:r>
          </w:p>
        </w:tc>
      </w:tr>
    </w:tbl>
    <w:p>
      <w:pPr>
        <w:rPr>
          <w:rFonts w:eastAsia="Times New Roman"/>
          <w:b/>
          <w:bCs/>
          <w:noProof/>
          <w:szCs w:val="24"/>
        </w:rPr>
      </w:pPr>
      <w:r>
        <w:rPr>
          <w:b/>
          <w:noProof/>
        </w:rPr>
        <w:t>Tableau 3 - Niveau maximal des captures en tonnes de poids vif capturées en mer Méditerranée (SRG 1-27) </w:t>
      </w:r>
      <w:r>
        <w:rPr>
          <w:noProof/>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61"/>
        <w:gridCol w:w="1715"/>
        <w:gridCol w:w="52"/>
        <w:gridCol w:w="798"/>
        <w:gridCol w:w="5763"/>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Espèce:</w:t>
            </w:r>
          </w:p>
        </w:tc>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Coryphène commune</w:t>
            </w:r>
          </w:p>
          <w:p>
            <w:pPr>
              <w:rPr>
                <w:rFonts w:eastAsia="Times New Roman"/>
                <w:b/>
                <w:bCs/>
                <w:noProof/>
              </w:rPr>
            </w:pPr>
            <w:r>
              <w:rPr>
                <w:b/>
                <w:i/>
                <w:noProof/>
                <w:sz w:val="22"/>
              </w:rPr>
              <w:t>Coryphaena hippurus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Zone(s):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Eaux de l'Union et eaux internationales des SRG de la CGPM 1-27 (DOL/MED)</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Niveau maximal des captures</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Malte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Espagne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Union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eastAsia="en-IE"/>
              </w:rPr>
            </w:pP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TAC</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Sans objet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0" w:type="auto"/>
            <w:gridSpan w:val="2"/>
            <w:vMerge/>
            <w:vAlign w:val="center"/>
            <w:hideMark/>
          </w:tcPr>
          <w:p>
            <w:pPr>
              <w:rPr>
                <w:rFonts w:eastAsia="Times New Roman"/>
                <w:noProof/>
                <w:lang w:eastAsia="en-IE"/>
              </w:rPr>
            </w:pPr>
          </w:p>
        </w:tc>
      </w:tr>
    </w:tbl>
    <w:p>
      <w:pPr>
        <w:rPr>
          <w:rStyle w:val="Marke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IV</w:t>
      </w:r>
    </w:p>
    <w:p>
      <w:pPr>
        <w:jc w:val="center"/>
        <w:rPr>
          <w:b/>
          <w:bCs/>
          <w:noProof/>
        </w:rPr>
      </w:pPr>
      <w:r>
        <w:rPr>
          <w:b/>
          <w:noProof/>
        </w:rPr>
        <w:t>POSSIBILITÉS DE PÊCHE DES NAVIRES DE PÊCHE DE L’UNION DANS LE CADRE DE LA GESTION DES STOCKS DÉMERSAUX DANS LA MER MÉDITERRANÉE OCCIDENTALE</w:t>
      </w:r>
    </w:p>
    <w:p>
      <w:pPr>
        <w:rPr>
          <w:noProof/>
        </w:rPr>
      </w:pPr>
      <w:r>
        <w:rPr>
          <w:noProof/>
        </w:rPr>
        <w:t>L’effort de pêche maximal autorisé (en jours de pêche) par groupe de stocks, tel qu'il est défini à l'article 2, point 13), du règlement (UE) 2019/1022, les limites de capture maximales ainsi que la longueur hors tout des navires pour tous les types de chaluts</w:t>
      </w:r>
      <w:r>
        <w:rPr>
          <w:rStyle w:val="FootnoteReference"/>
          <w:noProof/>
        </w:rPr>
        <w:footnoteReference w:customMarkFollows="1" w:id="1"/>
        <w:t>1</w:t>
      </w:r>
      <w:r>
        <w:rPr>
          <w:noProof/>
        </w:rPr>
        <w:t xml:space="preserve"> et les palangriers démersaux pêchant les stocks démersaux dans la mer Méditerranée occidentale sont tels qu’établis dans les tableaux ci-dessous.</w:t>
      </w:r>
    </w:p>
    <w:p>
      <w:pPr>
        <w:rPr>
          <w:noProof/>
        </w:rPr>
      </w:pPr>
      <w:r>
        <w:rPr>
          <w:noProof/>
        </w:rPr>
        <w:t xml:space="preserve">Toutes les possibilités de pêche établies dans la présente annexe sont soumises aux règles prévues à l’article 7 du règlement (UE) 2019/1022 et aux articles 26 à 35 du règlement (CE) nº 1224/2009. </w:t>
      </w:r>
    </w:p>
    <w:p>
      <w:pPr>
        <w:rPr>
          <w:noProof/>
        </w:rPr>
      </w:pPr>
      <w:r>
        <w:rPr>
          <w:noProof/>
        </w:rPr>
        <w:t>Les zones de pêche auxquelles il est fait référence correspondent aux SRG de la CGPM.</w:t>
      </w:r>
    </w:p>
    <w:p>
      <w:pPr>
        <w:rPr>
          <w:noProof/>
        </w:rPr>
      </w:pPr>
      <w:r>
        <w:rPr>
          <w:noProof/>
        </w:rPr>
        <w:t>Aux fins de la présente annexe, le tableau suivant met en correspondance les noms latins et les noms communs des stocks halieutiques:</w:t>
      </w:r>
    </w:p>
    <w:p>
      <w:pPr>
        <w:rPr>
          <w:noProof/>
        </w:rPr>
      </w:pPr>
    </w:p>
    <w:tbl>
      <w:tblPr>
        <w:tblStyle w:val="TableGrid1"/>
        <w:tblW w:w="0" w:type="auto"/>
        <w:tblInd w:w="-108" w:type="dxa"/>
        <w:tblLook w:val="04A0" w:firstRow="1" w:lastRow="0" w:firstColumn="1" w:lastColumn="0" w:noHBand="0" w:noVBand="1"/>
      </w:tblPr>
      <w:tblGrid>
        <w:gridCol w:w="3064"/>
        <w:gridCol w:w="3056"/>
        <w:gridCol w:w="3061"/>
      </w:tblGrid>
      <w:tr>
        <w:tc>
          <w:tcPr>
            <w:tcW w:w="3080" w:type="dxa"/>
            <w:hideMark/>
          </w:tcPr>
          <w:p>
            <w:pPr>
              <w:rPr>
                <w:b/>
                <w:noProof/>
              </w:rPr>
            </w:pPr>
            <w:r>
              <w:rPr>
                <w:b/>
                <w:noProof/>
              </w:rPr>
              <w:t>Nom scientifique</w:t>
            </w:r>
          </w:p>
        </w:tc>
        <w:tc>
          <w:tcPr>
            <w:tcW w:w="3081" w:type="dxa"/>
            <w:hideMark/>
          </w:tcPr>
          <w:p>
            <w:pPr>
              <w:rPr>
                <w:b/>
                <w:noProof/>
              </w:rPr>
            </w:pPr>
            <w:r>
              <w:rPr>
                <w:b/>
                <w:noProof/>
              </w:rPr>
              <w:t>Code alpha-3</w:t>
            </w:r>
          </w:p>
        </w:tc>
        <w:tc>
          <w:tcPr>
            <w:tcW w:w="3081" w:type="dxa"/>
            <w:hideMark/>
          </w:tcPr>
          <w:p>
            <w:pPr>
              <w:rPr>
                <w:b/>
                <w:noProof/>
              </w:rPr>
            </w:pPr>
            <w:r>
              <w:rPr>
                <w:b/>
                <w:noProof/>
              </w:rPr>
              <w:t>Nom commun</w:t>
            </w:r>
          </w:p>
        </w:tc>
      </w:tr>
      <w:tr>
        <w:tc>
          <w:tcPr>
            <w:tcW w:w="3080" w:type="dxa"/>
            <w:hideMark/>
          </w:tcPr>
          <w:p>
            <w:pPr>
              <w:rPr>
                <w:i/>
                <w:noProof/>
              </w:rPr>
            </w:pPr>
            <w:r>
              <w:rPr>
                <w:i/>
                <w:noProof/>
              </w:rPr>
              <w:t>Aristaeomorpha foliacea</w:t>
            </w:r>
          </w:p>
        </w:tc>
        <w:tc>
          <w:tcPr>
            <w:tcW w:w="3081" w:type="dxa"/>
            <w:hideMark/>
          </w:tcPr>
          <w:p>
            <w:pPr>
              <w:rPr>
                <w:noProof/>
              </w:rPr>
            </w:pPr>
            <w:r>
              <w:rPr>
                <w:noProof/>
              </w:rPr>
              <w:t>ARS</w:t>
            </w:r>
          </w:p>
        </w:tc>
        <w:tc>
          <w:tcPr>
            <w:tcW w:w="3081" w:type="dxa"/>
            <w:hideMark/>
          </w:tcPr>
          <w:p>
            <w:pPr>
              <w:rPr>
                <w:noProof/>
              </w:rPr>
            </w:pPr>
            <w:r>
              <w:rPr>
                <w:noProof/>
              </w:rPr>
              <w:t>Gambon rouge</w:t>
            </w:r>
          </w:p>
        </w:tc>
      </w:tr>
      <w:tr>
        <w:tc>
          <w:tcPr>
            <w:tcW w:w="3080" w:type="dxa"/>
            <w:hideMark/>
          </w:tcPr>
          <w:p>
            <w:pPr>
              <w:rPr>
                <w:i/>
                <w:noProof/>
              </w:rPr>
            </w:pPr>
            <w:r>
              <w:rPr>
                <w:i/>
                <w:noProof/>
              </w:rPr>
              <w:t>Aristeus antennatus</w:t>
            </w:r>
          </w:p>
        </w:tc>
        <w:tc>
          <w:tcPr>
            <w:tcW w:w="3081" w:type="dxa"/>
            <w:hideMark/>
          </w:tcPr>
          <w:p>
            <w:pPr>
              <w:rPr>
                <w:noProof/>
              </w:rPr>
            </w:pPr>
            <w:r>
              <w:rPr>
                <w:noProof/>
              </w:rPr>
              <w:t>ARA</w:t>
            </w:r>
          </w:p>
        </w:tc>
        <w:tc>
          <w:tcPr>
            <w:tcW w:w="3081" w:type="dxa"/>
            <w:hideMark/>
          </w:tcPr>
          <w:p>
            <w:pPr>
              <w:rPr>
                <w:noProof/>
              </w:rPr>
            </w:pPr>
            <w:r>
              <w:rPr>
                <w:noProof/>
              </w:rPr>
              <w:t>Crevette rouge</w:t>
            </w:r>
          </w:p>
        </w:tc>
      </w:tr>
      <w:tr>
        <w:tc>
          <w:tcPr>
            <w:tcW w:w="3080" w:type="dxa"/>
            <w:hideMark/>
          </w:tcPr>
          <w:p>
            <w:pPr>
              <w:rPr>
                <w:i/>
                <w:noProof/>
              </w:rPr>
            </w:pPr>
            <w:r>
              <w:rPr>
                <w:i/>
                <w:noProof/>
              </w:rPr>
              <w:t>Merluccius merluccius</w:t>
            </w:r>
          </w:p>
        </w:tc>
        <w:tc>
          <w:tcPr>
            <w:tcW w:w="3081" w:type="dxa"/>
            <w:hideMark/>
          </w:tcPr>
          <w:p>
            <w:pPr>
              <w:rPr>
                <w:noProof/>
              </w:rPr>
            </w:pPr>
            <w:r>
              <w:rPr>
                <w:noProof/>
              </w:rPr>
              <w:t>HKE</w:t>
            </w:r>
          </w:p>
        </w:tc>
        <w:tc>
          <w:tcPr>
            <w:tcW w:w="3081" w:type="dxa"/>
            <w:hideMark/>
          </w:tcPr>
          <w:p>
            <w:pPr>
              <w:rPr>
                <w:noProof/>
              </w:rPr>
            </w:pPr>
            <w:r>
              <w:rPr>
                <w:noProof/>
              </w:rPr>
              <w:t>Merlu européen</w:t>
            </w:r>
          </w:p>
        </w:tc>
      </w:tr>
      <w:tr>
        <w:tc>
          <w:tcPr>
            <w:tcW w:w="3080" w:type="dxa"/>
            <w:hideMark/>
          </w:tcPr>
          <w:p>
            <w:pPr>
              <w:rPr>
                <w:i/>
                <w:noProof/>
              </w:rPr>
            </w:pPr>
            <w:r>
              <w:rPr>
                <w:i/>
                <w:noProof/>
              </w:rPr>
              <w:t>Mullus barbatus</w:t>
            </w:r>
          </w:p>
        </w:tc>
        <w:tc>
          <w:tcPr>
            <w:tcW w:w="3081" w:type="dxa"/>
            <w:hideMark/>
          </w:tcPr>
          <w:p>
            <w:pPr>
              <w:rPr>
                <w:noProof/>
              </w:rPr>
            </w:pPr>
            <w:r>
              <w:rPr>
                <w:noProof/>
              </w:rPr>
              <w:t>MUT</w:t>
            </w:r>
          </w:p>
        </w:tc>
        <w:tc>
          <w:tcPr>
            <w:tcW w:w="3081" w:type="dxa"/>
            <w:hideMark/>
          </w:tcPr>
          <w:p>
            <w:pPr>
              <w:rPr>
                <w:noProof/>
              </w:rPr>
            </w:pPr>
            <w:r>
              <w:rPr>
                <w:noProof/>
              </w:rPr>
              <w:t>Rouget de vase</w:t>
            </w:r>
          </w:p>
        </w:tc>
      </w:tr>
      <w:tr>
        <w:tc>
          <w:tcPr>
            <w:tcW w:w="3080" w:type="dxa"/>
            <w:hideMark/>
          </w:tcPr>
          <w:p>
            <w:pPr>
              <w:rPr>
                <w:i/>
                <w:noProof/>
              </w:rPr>
            </w:pPr>
            <w:r>
              <w:rPr>
                <w:i/>
                <w:noProof/>
              </w:rPr>
              <w:t>Nephrops norvegicus</w:t>
            </w:r>
          </w:p>
        </w:tc>
        <w:tc>
          <w:tcPr>
            <w:tcW w:w="3081" w:type="dxa"/>
            <w:hideMark/>
          </w:tcPr>
          <w:p>
            <w:pPr>
              <w:rPr>
                <w:noProof/>
              </w:rPr>
            </w:pPr>
            <w:r>
              <w:rPr>
                <w:noProof/>
              </w:rPr>
              <w:t>NEP</w:t>
            </w:r>
          </w:p>
        </w:tc>
        <w:tc>
          <w:tcPr>
            <w:tcW w:w="3081" w:type="dxa"/>
            <w:hideMark/>
          </w:tcPr>
          <w:p>
            <w:pPr>
              <w:rPr>
                <w:noProof/>
              </w:rPr>
            </w:pPr>
            <w:r>
              <w:rPr>
                <w:noProof/>
              </w:rPr>
              <w:t>Langoustine</w:t>
            </w:r>
          </w:p>
        </w:tc>
      </w:tr>
      <w:tr>
        <w:tc>
          <w:tcPr>
            <w:tcW w:w="3080" w:type="dxa"/>
            <w:hideMark/>
          </w:tcPr>
          <w:p>
            <w:pPr>
              <w:rPr>
                <w:i/>
                <w:noProof/>
              </w:rPr>
            </w:pPr>
            <w:r>
              <w:rPr>
                <w:i/>
                <w:noProof/>
              </w:rPr>
              <w:t>Parapenaeus longirostris</w:t>
            </w:r>
          </w:p>
        </w:tc>
        <w:tc>
          <w:tcPr>
            <w:tcW w:w="3081" w:type="dxa"/>
            <w:hideMark/>
          </w:tcPr>
          <w:p>
            <w:pPr>
              <w:rPr>
                <w:noProof/>
              </w:rPr>
            </w:pPr>
            <w:r>
              <w:rPr>
                <w:noProof/>
              </w:rPr>
              <w:t>DPS</w:t>
            </w:r>
          </w:p>
        </w:tc>
        <w:tc>
          <w:tcPr>
            <w:tcW w:w="3081" w:type="dxa"/>
            <w:hideMark/>
          </w:tcPr>
          <w:p>
            <w:pPr>
              <w:rPr>
                <w:noProof/>
                <w:szCs w:val="24"/>
              </w:rPr>
            </w:pPr>
            <w:r>
              <w:rPr>
                <w:noProof/>
              </w:rPr>
              <w:t>Crevette rose du large</w:t>
            </w:r>
          </w:p>
        </w:tc>
      </w:tr>
    </w:tbl>
    <w:p>
      <w:pPr>
        <w:rPr>
          <w:bCs/>
          <w:noProof/>
        </w:rPr>
      </w:pPr>
    </w:p>
    <w:p>
      <w:pPr>
        <w:rPr>
          <w:noProof/>
        </w:rPr>
      </w:pPr>
      <w:r>
        <w:rPr>
          <w:noProof/>
        </w:rPr>
        <w:br w:type="page"/>
      </w:r>
    </w:p>
    <w:p>
      <w:pPr>
        <w:pStyle w:val="NumPar1"/>
        <w:numPr>
          <w:ilvl w:val="0"/>
          <w:numId w:val="1"/>
        </w:numPr>
        <w:rPr>
          <w:noProof/>
        </w:rPr>
      </w:pPr>
      <w:r>
        <w:rPr>
          <w:noProof/>
        </w:rPr>
        <w:lastRenderedPageBreak/>
        <w:t>Effort de pêche maximal autorisé (en jours de pêche)</w:t>
      </w:r>
    </w:p>
    <w:p>
      <w:pPr>
        <w:pStyle w:val="Point0letter"/>
        <w:numPr>
          <w:ilvl w:val="1"/>
          <w:numId w:val="6"/>
        </w:numPr>
        <w:rPr>
          <w:noProof/>
        </w:rPr>
      </w:pPr>
      <w:r>
        <w:rPr>
          <w:noProof/>
        </w:rPr>
        <w:t>Nombre de jours de pêche pour les chalutiers dans la mer d'Alboran, les îles Baléares, le nord de l'Espagne et le golfe du Lion (SRG 1, 2, 5, 6 et 7)</w:t>
      </w:r>
    </w:p>
    <w:tbl>
      <w:tblPr>
        <w:tblStyle w:val="TableGrid"/>
        <w:tblW w:w="5000" w:type="pct"/>
        <w:tblLook w:val="04A0" w:firstRow="1" w:lastRow="0" w:firstColumn="1" w:lastColumn="0" w:noHBand="0" w:noVBand="1"/>
      </w:tblPr>
      <w:tblGrid>
        <w:gridCol w:w="1252"/>
        <w:gridCol w:w="1165"/>
        <w:gridCol w:w="1027"/>
        <w:gridCol w:w="890"/>
        <w:gridCol w:w="716"/>
        <w:gridCol w:w="1901"/>
        <w:gridCol w:w="2338"/>
      </w:tblGrid>
      <w:tr>
        <w:trPr>
          <w:trHeight w:val="1743"/>
        </w:trPr>
        <w:tc>
          <w:tcPr>
            <w:tcW w:w="623"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Groupe de stocks</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Longueur hors tout du navire</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Espagne</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 xml:space="preserve">France </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Italie</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Code du groupe d’effort de pêche</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Code de l’attribution supplémentaire</w:t>
            </w:r>
          </w:p>
        </w:tc>
      </w:tr>
      <w:tr>
        <w:trPr>
          <w:trHeight w:val="1744"/>
        </w:trPr>
        <w:tc>
          <w:tcPr>
            <w:tcW w:w="623" w:type="pct"/>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Rouget de vase dans les SRG 1, 5, 6 et 7; merlu dans les SRG 1, 5, 6 et 7; crevette rose du large dans les SRG 1, 5 et 6; langoustine dans les SRG 5 et 6</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et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et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EFF1/MED1_TR4_AA</w:t>
            </w:r>
          </w:p>
        </w:tc>
      </w:tr>
      <w:tr>
        <w:trPr>
          <w:trHeight w:val="1744"/>
        </w:trPr>
        <w:tc>
          <w:tcPr>
            <w:tcW w:w="623" w:type="pct"/>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rPr>
              <w:t>Crevette rouge dans les SRG 1, 2, 5, 6 et 7</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et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et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EFF2/MED1_TR4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EFF2/MED1_TR4_AA</w:t>
            </w:r>
          </w:p>
        </w:tc>
      </w:tr>
    </w:tbl>
    <w:p>
      <w:pPr>
        <w:rPr>
          <w:rFonts w:eastAsia="Times New Roman"/>
          <w:b/>
          <w:bCs/>
          <w:noProof/>
          <w:szCs w:val="24"/>
        </w:rPr>
      </w:pPr>
    </w:p>
    <w:p>
      <w:pPr>
        <w:pStyle w:val="Point0letter"/>
        <w:numPr>
          <w:ilvl w:val="1"/>
          <w:numId w:val="6"/>
        </w:numPr>
        <w:rPr>
          <w:noProof/>
        </w:rPr>
      </w:pPr>
      <w:r>
        <w:rPr>
          <w:noProof/>
        </w:rPr>
        <w:t>Nombre de jours de pêche pour les chalutiers en Corse, dans la mer Ligure, dans la mer Tyrrhénienne et en Sardaigne (SRG 8, 9, 10 et 11)</w:t>
      </w:r>
    </w:p>
    <w:tbl>
      <w:tblPr>
        <w:tblStyle w:val="TableGrid"/>
        <w:tblW w:w="0" w:type="auto"/>
        <w:tblLayout w:type="fixed"/>
        <w:tblLook w:val="04A0" w:firstRow="1" w:lastRow="0" w:firstColumn="1" w:lastColumn="0" w:noHBand="0" w:noVBand="1"/>
      </w:tblPr>
      <w:tblGrid>
        <w:gridCol w:w="1249"/>
        <w:gridCol w:w="1119"/>
        <w:gridCol w:w="1164"/>
        <w:gridCol w:w="1176"/>
        <w:gridCol w:w="1152"/>
        <w:gridCol w:w="1669"/>
        <w:gridCol w:w="2101"/>
      </w:tblGrid>
      <w:tr>
        <w:trPr>
          <w:trHeight w:val="300"/>
        </w:trPr>
        <w:tc>
          <w:tcPr>
            <w:tcW w:w="124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Groupe de stocks</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Longueur hors tout du navire</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Espagne</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 xml:space="preserve">France </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Italie</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Code du groupe d’effort de pêche</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Code de l’attribution supplémentaire</w:t>
            </w:r>
          </w:p>
        </w:tc>
      </w:tr>
      <w:tr>
        <w:trPr>
          <w:trHeight w:val="300"/>
        </w:trPr>
        <w:tc>
          <w:tcPr>
            <w:tcW w:w="124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Rouget de vase dans les SRG 8, 9, 10 et 11; merlu dans les SRG 8, 9, 10 et 11; crevette rose du large dans les SRG 9, 10 et 11; langoustine dans les SRG 9 et 10</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et &lt;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et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EFF1/MED2_TR4_AA</w:t>
            </w:r>
          </w:p>
        </w:tc>
      </w:tr>
      <w:tr>
        <w:trPr>
          <w:trHeight w:val="300"/>
        </w:trPr>
        <w:tc>
          <w:tcPr>
            <w:tcW w:w="1249" w:type="dxa"/>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rPr>
              <w:t>Gambon rouge dans les SRG 8, 9, 10 et 11</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et &lt;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EFF2/MED2_TR2_AA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et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EFF2/MED2_TR4_AA</w:t>
            </w:r>
          </w:p>
        </w:tc>
      </w:tr>
    </w:tbl>
    <w:p>
      <w:pPr>
        <w:pStyle w:val="Point0letter"/>
        <w:numPr>
          <w:ilvl w:val="1"/>
          <w:numId w:val="6"/>
        </w:numPr>
        <w:rPr>
          <w:noProof/>
        </w:rPr>
      </w:pPr>
      <w:r>
        <w:rPr>
          <w:noProof/>
        </w:rPr>
        <w:t>Nombre de jours de pêche pour les palangriers démersaux dans la mer d’Alboran, les îles Baléares, le nord de l’Espagne et le golfe du Lion (SRG 1, 2, 5, 6 et 7)</w:t>
      </w:r>
    </w:p>
    <w:tbl>
      <w:tblPr>
        <w:tblW w:w="5000" w:type="pct"/>
        <w:tblLook w:val="04A0" w:firstRow="1" w:lastRow="0" w:firstColumn="1" w:lastColumn="0" w:noHBand="0" w:noVBand="1"/>
      </w:tblPr>
      <w:tblGrid>
        <w:gridCol w:w="1716"/>
        <w:gridCol w:w="2413"/>
        <w:gridCol w:w="995"/>
        <w:gridCol w:w="709"/>
        <w:gridCol w:w="709"/>
        <w:gridCol w:w="2551"/>
      </w:tblGrid>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Groupe de stocks</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Longueur hors tout du navire</w:t>
            </w:r>
          </w:p>
        </w:tc>
        <w:tc>
          <w:tcPr>
            <w:tcW w:w="54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Espagne</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France</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Italie</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Code du groupe d’effort de pêche</w:t>
            </w:r>
          </w:p>
        </w:tc>
      </w:tr>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Merlu dans les SRG 1, 2, 5, 6 et 7</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&lt; 12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EFF1/MED1_LL1</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12 m et &lt; 18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EFF1/MED1_LL2</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18 m et &lt; 24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EFF1/MED1_LL3</w:t>
            </w:r>
          </w:p>
        </w:tc>
      </w:tr>
      <w:tr>
        <w:trPr>
          <w:trHeight w:val="828"/>
        </w:trPr>
        <w:tc>
          <w:tcPr>
            <w:tcW w:w="943"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single" w:sz="8" w:space="0" w:color="auto"/>
              <w:right w:val="nil"/>
            </w:tcBorders>
            <w:tcMar>
              <w:left w:w="10" w:type="dxa"/>
              <w:right w:w="10" w:type="dxa"/>
            </w:tcMar>
            <w:vAlign w:val="center"/>
          </w:tcPr>
          <w:p>
            <w:pPr>
              <w:rPr>
                <w:noProof/>
                <w:szCs w:val="24"/>
              </w:rPr>
            </w:pPr>
            <w:r>
              <w:rPr>
                <w:noProof/>
              </w:rPr>
              <w:t>≥ 24 m</w:t>
            </w:r>
          </w:p>
        </w:tc>
        <w:tc>
          <w:tcPr>
            <w:tcW w:w="547"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single" w:sz="8" w:space="0" w:color="auto"/>
              <w:right w:val="single" w:sz="8" w:space="0" w:color="auto"/>
            </w:tcBorders>
            <w:tcMar>
              <w:left w:w="10" w:type="dxa"/>
              <w:right w:w="10" w:type="dxa"/>
            </w:tcMar>
            <w:vAlign w:val="center"/>
          </w:tcPr>
          <w:p>
            <w:pPr>
              <w:rPr>
                <w:noProof/>
                <w:szCs w:val="24"/>
              </w:rPr>
            </w:pPr>
            <w:r>
              <w:rPr>
                <w:noProof/>
              </w:rPr>
              <w:t>EFF1/MED1_LL4</w:t>
            </w:r>
          </w:p>
        </w:tc>
      </w:tr>
    </w:tbl>
    <w:p>
      <w:pPr>
        <w:pStyle w:val="Point0letter"/>
        <w:numPr>
          <w:ilvl w:val="1"/>
          <w:numId w:val="6"/>
        </w:numPr>
        <w:rPr>
          <w:noProof/>
        </w:rPr>
      </w:pPr>
      <w:r>
        <w:rPr>
          <w:noProof/>
        </w:rPr>
        <w:t>nombre de jours de pêche pour les palangriers démersaux en Corse, dans la mer Ligure, dans la mer Tyrrhénienne et en Sardaigne (SRG 8, 9, 10 et 11)</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2392"/>
        <w:gridCol w:w="2215"/>
        <w:gridCol w:w="834"/>
        <w:gridCol w:w="826"/>
        <w:gridCol w:w="780"/>
        <w:gridCol w:w="2056"/>
      </w:tblGrid>
      <w:tr>
        <w:trPr>
          <w:trHeight w:val="345"/>
        </w:trPr>
        <w:tc>
          <w:tcPr>
            <w:tcW w:w="1323" w:type="pct"/>
            <w:tcBorders>
              <w:bottom w:val="nil"/>
              <w:right w:val="nil"/>
            </w:tcBorders>
            <w:tcMar>
              <w:left w:w="10" w:type="dxa"/>
              <w:right w:w="10" w:type="dxa"/>
            </w:tcMar>
            <w:vAlign w:val="center"/>
          </w:tcPr>
          <w:p>
            <w:pPr>
              <w:rPr>
                <w:noProof/>
                <w:szCs w:val="24"/>
              </w:rPr>
            </w:pPr>
            <w:r>
              <w:rPr>
                <w:noProof/>
              </w:rPr>
              <w:t>Groupe de stocks</w:t>
            </w:r>
          </w:p>
        </w:tc>
        <w:tc>
          <w:tcPr>
            <w:tcW w:w="1226" w:type="pct"/>
            <w:tcBorders>
              <w:left w:val="single" w:sz="8" w:space="0" w:color="auto"/>
              <w:bottom w:val="nil"/>
              <w:right w:val="nil"/>
            </w:tcBorders>
            <w:tcMar>
              <w:left w:w="10" w:type="dxa"/>
              <w:right w:w="10" w:type="dxa"/>
            </w:tcMar>
            <w:vAlign w:val="center"/>
          </w:tcPr>
          <w:p>
            <w:pPr>
              <w:rPr>
                <w:noProof/>
                <w:szCs w:val="24"/>
              </w:rPr>
            </w:pPr>
            <w:r>
              <w:rPr>
                <w:noProof/>
              </w:rPr>
              <w:t>Longueur hors tout du navire</w:t>
            </w:r>
          </w:p>
        </w:tc>
        <w:tc>
          <w:tcPr>
            <w:tcW w:w="413" w:type="pct"/>
            <w:tcBorders>
              <w:left w:val="single" w:sz="8" w:space="0" w:color="auto"/>
              <w:bottom w:val="nil"/>
              <w:right w:val="nil"/>
            </w:tcBorders>
            <w:tcMar>
              <w:left w:w="10" w:type="dxa"/>
              <w:right w:w="10" w:type="dxa"/>
            </w:tcMar>
            <w:vAlign w:val="center"/>
          </w:tcPr>
          <w:p>
            <w:pPr>
              <w:rPr>
                <w:noProof/>
                <w:szCs w:val="24"/>
              </w:rPr>
            </w:pPr>
            <w:r>
              <w:rPr>
                <w:noProof/>
              </w:rPr>
              <w:t>Espagne</w:t>
            </w:r>
          </w:p>
        </w:tc>
        <w:tc>
          <w:tcPr>
            <w:tcW w:w="463" w:type="pct"/>
            <w:tcBorders>
              <w:left w:val="single" w:sz="8" w:space="0" w:color="auto"/>
              <w:bottom w:val="nil"/>
              <w:right w:val="nil"/>
            </w:tcBorders>
            <w:tcMar>
              <w:left w:w="10" w:type="dxa"/>
              <w:right w:w="10" w:type="dxa"/>
            </w:tcMar>
            <w:vAlign w:val="center"/>
          </w:tcPr>
          <w:p>
            <w:pPr>
              <w:rPr>
                <w:noProof/>
                <w:szCs w:val="24"/>
              </w:rPr>
            </w:pPr>
            <w:r>
              <w:rPr>
                <w:noProof/>
              </w:rPr>
              <w:t>France</w:t>
            </w:r>
          </w:p>
        </w:tc>
        <w:tc>
          <w:tcPr>
            <w:tcW w:w="437" w:type="pct"/>
            <w:tcBorders>
              <w:left w:val="single" w:sz="8" w:space="0" w:color="auto"/>
              <w:bottom w:val="nil"/>
              <w:right w:val="nil"/>
            </w:tcBorders>
            <w:tcMar>
              <w:left w:w="10" w:type="dxa"/>
              <w:right w:w="10" w:type="dxa"/>
            </w:tcMar>
            <w:vAlign w:val="center"/>
          </w:tcPr>
          <w:p>
            <w:pPr>
              <w:rPr>
                <w:noProof/>
                <w:szCs w:val="24"/>
              </w:rPr>
            </w:pPr>
            <w:r>
              <w:rPr>
                <w:noProof/>
              </w:rPr>
              <w:t>Italie</w:t>
            </w:r>
          </w:p>
        </w:tc>
        <w:tc>
          <w:tcPr>
            <w:tcW w:w="1138" w:type="pct"/>
            <w:tcBorders>
              <w:left w:val="single" w:sz="8" w:space="0" w:color="auto"/>
              <w:bottom w:val="nil"/>
            </w:tcBorders>
            <w:tcMar>
              <w:left w:w="10" w:type="dxa"/>
              <w:right w:w="10" w:type="dxa"/>
            </w:tcMar>
            <w:vAlign w:val="center"/>
          </w:tcPr>
          <w:p>
            <w:pPr>
              <w:rPr>
                <w:noProof/>
                <w:szCs w:val="24"/>
              </w:rPr>
            </w:pPr>
            <w:r>
              <w:rPr>
                <w:noProof/>
              </w:rPr>
              <w:t>Code du groupe d’effort de pêche</w:t>
            </w:r>
          </w:p>
        </w:tc>
      </w:tr>
      <w:tr>
        <w:trPr>
          <w:trHeight w:val="345"/>
        </w:trPr>
        <w:tc>
          <w:tcPr>
            <w:tcW w:w="1323" w:type="pct"/>
            <w:tcBorders>
              <w:top w:val="single" w:sz="8" w:space="0" w:color="auto"/>
              <w:bottom w:val="nil"/>
              <w:right w:val="nil"/>
            </w:tcBorders>
            <w:tcMar>
              <w:left w:w="10" w:type="dxa"/>
              <w:right w:w="10" w:type="dxa"/>
            </w:tcMar>
            <w:vAlign w:val="center"/>
          </w:tcPr>
          <w:p>
            <w:pPr>
              <w:rPr>
                <w:noProof/>
                <w:szCs w:val="24"/>
              </w:rPr>
            </w:pPr>
            <w:r>
              <w:rPr>
                <w:noProof/>
              </w:rPr>
              <w:t>Merlu dans les SRG 8, 9, 10 et 11</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&lt; 12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EFF1/MED2_LL1</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12 m et &lt; 18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EFF1/MED2_LL2</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18 m et &lt; 24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EFF1/MED2_LL3</w:t>
            </w:r>
          </w:p>
        </w:tc>
      </w:tr>
      <w:tr>
        <w:trPr>
          <w:trHeight w:val="345"/>
        </w:trPr>
        <w:tc>
          <w:tcPr>
            <w:tcW w:w="1323" w:type="pct"/>
            <w:tcBorders>
              <w:top w:val="single" w:sz="8" w:space="0" w:color="auto"/>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right w:val="nil"/>
            </w:tcBorders>
            <w:tcMar>
              <w:left w:w="10" w:type="dxa"/>
              <w:right w:w="10" w:type="dxa"/>
            </w:tcMar>
            <w:vAlign w:val="center"/>
          </w:tcPr>
          <w:p>
            <w:pPr>
              <w:rPr>
                <w:noProof/>
                <w:szCs w:val="24"/>
              </w:rPr>
            </w:pPr>
            <w:r>
              <w:rPr>
                <w:noProof/>
              </w:rPr>
              <w:t>≥ 24 m</w:t>
            </w:r>
          </w:p>
        </w:tc>
        <w:tc>
          <w:tcPr>
            <w:tcW w:w="413"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tcBorders>
            <w:tcMar>
              <w:left w:w="10" w:type="dxa"/>
              <w:right w:w="10" w:type="dxa"/>
            </w:tcMar>
            <w:vAlign w:val="center"/>
          </w:tcPr>
          <w:p>
            <w:pPr>
              <w:rPr>
                <w:noProof/>
                <w:szCs w:val="24"/>
              </w:rPr>
            </w:pPr>
            <w:r>
              <w:rPr>
                <w:noProof/>
              </w:rPr>
              <w:t>EFF1/MED2_LL4</w:t>
            </w:r>
          </w:p>
        </w:tc>
      </w:tr>
    </w:tbl>
    <w:p>
      <w:pPr>
        <w:rPr>
          <w:rFonts w:eastAsia="Times New Roman"/>
          <w:b/>
          <w:noProof/>
          <w:szCs w:val="24"/>
        </w:rPr>
      </w:pPr>
    </w:p>
    <w:p>
      <w:pPr>
        <w:rPr>
          <w:noProof/>
        </w:rPr>
      </w:pPr>
      <w:r>
        <w:rPr>
          <w:noProof/>
        </w:rPr>
        <w:t>2. Limites de capture maximales pour la crevette rouge (</w:t>
      </w:r>
      <w:r>
        <w:rPr>
          <w:i/>
          <w:iCs/>
          <w:noProof/>
        </w:rPr>
        <w:t>Aristeus antennatus</w:t>
      </w:r>
      <w:r>
        <w:rPr>
          <w:noProof/>
        </w:rPr>
        <w:t>) et le gambon rouge (</w:t>
      </w:r>
      <w:r>
        <w:rPr>
          <w:i/>
          <w:iCs/>
          <w:noProof/>
        </w:rPr>
        <w:t>Aristaeomorpha foliacea</w:t>
      </w:r>
      <w:r>
        <w:rPr>
          <w:noProof/>
        </w:rPr>
        <w:t>)</w:t>
      </w:r>
    </w:p>
    <w:tbl>
      <w:tblPr>
        <w:tblW w:w="5235" w:type="pct"/>
        <w:tblInd w:w="-426" w:type="dxa"/>
        <w:shd w:val="clear" w:color="auto" w:fill="FFFFFF"/>
        <w:tblLayout w:type="fixed"/>
        <w:tblCellMar>
          <w:left w:w="0" w:type="dxa"/>
          <w:right w:w="0" w:type="dxa"/>
        </w:tblCellMar>
        <w:tblLook w:val="04A0" w:firstRow="1" w:lastRow="0" w:firstColumn="1" w:lastColumn="0" w:noHBand="0" w:noVBand="1"/>
      </w:tblPr>
      <w:tblGrid>
        <w:gridCol w:w="426"/>
        <w:gridCol w:w="9073"/>
      </w:tblGrid>
      <w:tr>
        <w:tc>
          <w:tcPr>
            <w:tcW w:w="224" w:type="pct"/>
            <w:shd w:val="clear" w:color="auto" w:fill="FFFFFF" w:themeFill="background1"/>
            <w:hideMark/>
          </w:tcPr>
          <w:p>
            <w:pPr>
              <w:rPr>
                <w:rFonts w:eastAsia="Times New Roman"/>
                <w:noProof/>
                <w:szCs w:val="24"/>
              </w:rPr>
            </w:pPr>
            <w:r>
              <w:rPr>
                <w:noProof/>
              </w:rPr>
              <w:t>a)</w:t>
            </w:r>
          </w:p>
        </w:tc>
        <w:tc>
          <w:tcPr>
            <w:tcW w:w="4776" w:type="pct"/>
            <w:shd w:val="clear" w:color="auto" w:fill="FFFFFF" w:themeFill="background1"/>
            <w:hideMark/>
          </w:tcPr>
          <w:p>
            <w:pPr>
              <w:rPr>
                <w:noProof/>
              </w:rPr>
            </w:pPr>
            <w:r>
              <w:rPr>
                <w:noProof/>
              </w:rPr>
              <w:t>Possibilités de pêche pour la crevette rouge (</w:t>
            </w:r>
            <w:r>
              <w:rPr>
                <w:i/>
                <w:iCs/>
                <w:noProof/>
              </w:rPr>
              <w:t>Aristeus antennatus</w:t>
            </w:r>
            <w:r>
              <w:rPr>
                <w:noProof/>
              </w:rPr>
              <w:t>) dans la mer d’Alboran, les îles Baléares, le nord de l’Espagne et le golfe du Lion (SRG 1, 2, 5, 6 et 7) exprimées en niveau maximal des captures en tonnes de poids vif</w:t>
            </w:r>
          </w:p>
          <w:p>
            <w:pPr>
              <w:rPr>
                <w:rFonts w:eastAsia="Times New Roman"/>
                <w:noProof/>
                <w:szCs w:val="24"/>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4A0" w:firstRow="1" w:lastRow="0" w:firstColumn="1" w:lastColumn="0" w:noHBand="0" w:noVBand="1"/>
            </w:tblPr>
            <w:tblGrid>
              <w:gridCol w:w="1559"/>
              <w:gridCol w:w="2499"/>
              <w:gridCol w:w="736"/>
              <w:gridCol w:w="1243"/>
              <w:gridCol w:w="3006"/>
            </w:tblGrid>
            <w:tr>
              <w:trPr>
                <w:trHeight w:val="690"/>
              </w:trPr>
              <w:tc>
                <w:tcPr>
                  <w:tcW w:w="862" w:type="pct"/>
                  <w:tcBorders>
                    <w:bottom w:val="nil"/>
                    <w:right w:val="nil"/>
                  </w:tcBorders>
                  <w:tcMar>
                    <w:left w:w="10" w:type="dxa"/>
                    <w:right w:w="10" w:type="dxa"/>
                  </w:tcMar>
                </w:tcPr>
                <w:p>
                  <w:pPr>
                    <w:rPr>
                      <w:b/>
                      <w:bCs/>
                      <w:noProof/>
                      <w:szCs w:val="24"/>
                    </w:rPr>
                  </w:pPr>
                  <w:r>
                    <w:rPr>
                      <w:b/>
                      <w:noProof/>
                    </w:rPr>
                    <w:t>Espèce:</w:t>
                  </w:r>
                </w:p>
              </w:tc>
              <w:tc>
                <w:tcPr>
                  <w:tcW w:w="1789" w:type="pct"/>
                  <w:gridSpan w:val="2"/>
                  <w:tcBorders>
                    <w:left w:val="single" w:sz="8" w:space="0" w:color="auto"/>
                    <w:bottom w:val="nil"/>
                    <w:right w:val="nil"/>
                  </w:tcBorders>
                  <w:tcMar>
                    <w:left w:w="10" w:type="dxa"/>
                    <w:right w:w="10" w:type="dxa"/>
                  </w:tcMar>
                  <w:vAlign w:val="center"/>
                </w:tcPr>
                <w:p>
                  <w:pPr>
                    <w:rPr>
                      <w:b/>
                      <w:bCs/>
                      <w:noProof/>
                      <w:szCs w:val="24"/>
                    </w:rPr>
                  </w:pPr>
                  <w:r>
                    <w:rPr>
                      <w:b/>
                      <w:noProof/>
                    </w:rPr>
                    <w:t>Crevette rouge</w:t>
                  </w:r>
                </w:p>
                <w:p>
                  <w:pPr>
                    <w:rPr>
                      <w:b/>
                      <w:bCs/>
                      <w:noProof/>
                      <w:szCs w:val="24"/>
                    </w:rPr>
                  </w:pPr>
                  <w:r>
                    <w:rPr>
                      <w:b/>
                      <w:i/>
                      <w:noProof/>
                    </w:rPr>
                    <w:t>Aristeus antennatus</w:t>
                  </w:r>
                </w:p>
              </w:tc>
              <w:tc>
                <w:tcPr>
                  <w:tcW w:w="687" w:type="pct"/>
                  <w:tcBorders>
                    <w:left w:val="single" w:sz="8" w:space="0" w:color="auto"/>
                    <w:bottom w:val="nil"/>
                    <w:right w:val="nil"/>
                  </w:tcBorders>
                  <w:tcMar>
                    <w:left w:w="10" w:type="dxa"/>
                    <w:right w:w="10" w:type="dxa"/>
                  </w:tcMar>
                </w:tcPr>
                <w:p>
                  <w:pPr>
                    <w:rPr>
                      <w:b/>
                      <w:bCs/>
                      <w:noProof/>
                      <w:szCs w:val="24"/>
                    </w:rPr>
                  </w:pPr>
                  <w:r>
                    <w:rPr>
                      <w:b/>
                      <w:noProof/>
                    </w:rPr>
                    <w:t>Zone(s):</w:t>
                  </w:r>
                </w:p>
              </w:tc>
              <w:tc>
                <w:tcPr>
                  <w:tcW w:w="1663" w:type="pct"/>
                  <w:tcBorders>
                    <w:left w:val="single" w:sz="8" w:space="0" w:color="auto"/>
                    <w:bottom w:val="nil"/>
                  </w:tcBorders>
                  <w:tcMar>
                    <w:left w:w="10" w:type="dxa"/>
                    <w:right w:w="10" w:type="dxa"/>
                  </w:tcMar>
                  <w:vAlign w:val="center"/>
                </w:tcPr>
                <w:p>
                  <w:pPr>
                    <w:rPr>
                      <w:b/>
                      <w:bCs/>
                      <w:noProof/>
                      <w:szCs w:val="24"/>
                    </w:rPr>
                  </w:pPr>
                  <w:r>
                    <w:rPr>
                      <w:b/>
                      <w:noProof/>
                    </w:rPr>
                    <w:t>SRG 1, 2, 5, 6 et 7</w:t>
                  </w:r>
                </w:p>
                <w:p>
                  <w:pPr>
                    <w:rPr>
                      <w:b/>
                      <w:bCs/>
                      <w:noProof/>
                      <w:szCs w:val="24"/>
                    </w:rPr>
                  </w:pPr>
                  <w:r>
                    <w:rPr>
                      <w:b/>
                      <w:noProof/>
                    </w:rPr>
                    <w:t>(ARA/GF1-7)</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Espagne</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lastRenderedPageBreak/>
                    <w:t>France</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Italie</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Union</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right w:val="nil"/>
                  </w:tcBorders>
                  <w:tcMar>
                    <w:left w:w="10" w:type="dxa"/>
                    <w:right w:w="10" w:type="dxa"/>
                  </w:tcMar>
                  <w:vAlign w:val="center"/>
                </w:tcPr>
                <w:p>
                  <w:pPr>
                    <w:rPr>
                      <w:noProof/>
                      <w:szCs w:val="24"/>
                    </w:rPr>
                  </w:pPr>
                  <w:r>
                    <w:rPr>
                      <w:noProof/>
                    </w:rPr>
                    <w:t>TAC</w:t>
                  </w:r>
                </w:p>
              </w:tc>
              <w:tc>
                <w:tcPr>
                  <w:tcW w:w="1382" w:type="pct"/>
                  <w:tcBorders>
                    <w:top w:val="single" w:sz="8" w:space="0" w:color="auto"/>
                    <w:left w:val="single" w:sz="8" w:space="0" w:color="auto"/>
                    <w:right w:val="nil"/>
                  </w:tcBorders>
                  <w:tcMar>
                    <w:left w:w="10" w:type="dxa"/>
                    <w:right w:w="10" w:type="dxa"/>
                  </w:tcMar>
                  <w:vAlign w:val="center"/>
                </w:tcPr>
                <w:p>
                  <w:pPr>
                    <w:rPr>
                      <w:noProof/>
                      <w:szCs w:val="24"/>
                    </w:rPr>
                  </w:pPr>
                  <w:r>
                    <w:rPr>
                      <w:noProof/>
                    </w:rPr>
                    <w:t>Sans objet</w:t>
                  </w:r>
                </w:p>
              </w:tc>
              <w:tc>
                <w:tcPr>
                  <w:tcW w:w="407" w:type="pct"/>
                  <w:tcBorders>
                    <w:top w:val="single" w:sz="8" w:space="0" w:color="auto"/>
                    <w:left w:val="single" w:sz="8" w:space="0" w:color="auto"/>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tcBorders>
                  <w:tcMar>
                    <w:left w:w="10" w:type="dxa"/>
                    <w:right w:w="10" w:type="dxa"/>
                  </w:tcMar>
                  <w:vAlign w:val="center"/>
                </w:tcPr>
                <w:p>
                  <w:pPr>
                    <w:rPr>
                      <w:noProof/>
                      <w:szCs w:val="24"/>
                    </w:rPr>
                  </w:pPr>
                  <w:r>
                    <w:rPr>
                      <w:noProof/>
                    </w:rPr>
                    <w:t>Niveau maximal des captures</w:t>
                  </w:r>
                </w:p>
              </w:tc>
            </w:tr>
          </w:tbl>
          <w:p>
            <w:pPr>
              <w:rPr>
                <w:rFonts w:eastAsia="Times New Roman"/>
                <w:noProof/>
                <w:szCs w:val="24"/>
              </w:rPr>
            </w:pPr>
          </w:p>
        </w:tc>
      </w:tr>
      <w:tr>
        <w:tc>
          <w:tcPr>
            <w:tcW w:w="224" w:type="pct"/>
            <w:shd w:val="clear" w:color="auto" w:fill="FFFFFF" w:themeFill="background1"/>
            <w:hideMark/>
          </w:tcPr>
          <w:p>
            <w:pPr>
              <w:rPr>
                <w:rFonts w:eastAsia="Times New Roman"/>
                <w:noProof/>
                <w:szCs w:val="24"/>
              </w:rPr>
            </w:pPr>
            <w:r>
              <w:rPr>
                <w:noProof/>
              </w:rPr>
              <w:lastRenderedPageBreak/>
              <w:t>b)</w:t>
            </w:r>
          </w:p>
        </w:tc>
        <w:tc>
          <w:tcPr>
            <w:tcW w:w="4776" w:type="pct"/>
            <w:shd w:val="clear" w:color="auto" w:fill="FFFFFF" w:themeFill="background1"/>
            <w:hideMark/>
          </w:tcPr>
          <w:p>
            <w:pPr>
              <w:rPr>
                <w:noProof/>
              </w:rPr>
            </w:pPr>
            <w:r>
              <w:rPr>
                <w:noProof/>
              </w:rPr>
              <w:t>Possibilités de pêche pour la crevette rouge (</w:t>
            </w:r>
            <w:r>
              <w:rPr>
                <w:i/>
                <w:iCs/>
                <w:noProof/>
              </w:rPr>
              <w:t>Aristeus antennatus</w:t>
            </w:r>
            <w:r>
              <w:rPr>
                <w:noProof/>
              </w:rPr>
              <w:t>) et le gambon rouge (</w:t>
            </w:r>
            <w:r>
              <w:rPr>
                <w:i/>
                <w:iCs/>
                <w:noProof/>
              </w:rPr>
              <w:t>Aristaeomorpha foliacea</w:t>
            </w:r>
            <w:r>
              <w:rPr>
                <w:noProof/>
              </w:rPr>
              <w:t>) en Corse, dans la mer Ligure, dans la mer Tyrrhénienne et en Sardaigne (SRG 8, 9, 10 et 11) exprimées en niveau maximal des captures en tonnes de poids vif</w:t>
            </w:r>
          </w:p>
          <w:p>
            <w:pPr>
              <w:rPr>
                <w:rFonts w:eastAsia="Times New Roman"/>
                <w:noProof/>
                <w:szCs w:val="24"/>
              </w:rPr>
            </w:pPr>
          </w:p>
        </w:tc>
      </w:tr>
      <w:tr>
        <w:trPr>
          <w:trHeight w:val="2505"/>
        </w:trPr>
        <w:tc>
          <w:tcPr>
            <w:tcW w:w="224" w:type="pct"/>
            <w:shd w:val="clear" w:color="auto" w:fill="FFFFFF" w:themeFill="background1"/>
            <w:hideMark/>
          </w:tcPr>
          <w:p>
            <w:pPr>
              <w:rPr>
                <w:rFonts w:eastAsia="Times New Roman"/>
                <w:noProof/>
                <w:szCs w:val="24"/>
              </w:rPr>
            </w:pPr>
          </w:p>
        </w:tc>
        <w:tc>
          <w:tcPr>
            <w:tcW w:w="4776" w:type="pct"/>
            <w:shd w:val="clear" w:color="auto" w:fill="FFFFFF" w:themeFill="background1"/>
            <w:hideMark/>
          </w:tcPr>
          <w:tbl>
            <w:tblPr>
              <w:tblW w:w="5000" w:type="pct"/>
              <w:tblLayout w:type="fixed"/>
              <w:tblLook w:val="04A0" w:firstRow="1" w:lastRow="0" w:firstColumn="1" w:lastColumn="0" w:noHBand="0" w:noVBand="1"/>
            </w:tblPr>
            <w:tblGrid>
              <w:gridCol w:w="1472"/>
              <w:gridCol w:w="2576"/>
              <w:gridCol w:w="252"/>
              <w:gridCol w:w="366"/>
              <w:gridCol w:w="295"/>
              <w:gridCol w:w="894"/>
              <w:gridCol w:w="252"/>
              <w:gridCol w:w="2946"/>
            </w:tblGrid>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b/>
                      <w:noProof/>
                    </w:rPr>
                    <w:t>Espèce:</w:t>
                  </w:r>
                </w:p>
              </w:tc>
              <w:tc>
                <w:tcPr>
                  <w:tcW w:w="1764" w:type="pct"/>
                  <w:gridSpan w:val="3"/>
                  <w:tcBorders>
                    <w:top w:val="single" w:sz="8" w:space="0" w:color="auto"/>
                    <w:left w:val="single" w:sz="8" w:space="0" w:color="auto"/>
                    <w:bottom w:val="nil"/>
                    <w:right w:val="nil"/>
                  </w:tcBorders>
                  <w:tcMar>
                    <w:left w:w="10" w:type="dxa"/>
                    <w:right w:w="10" w:type="dxa"/>
                  </w:tcMar>
                  <w:vAlign w:val="center"/>
                </w:tcPr>
                <w:p>
                  <w:pPr>
                    <w:rPr>
                      <w:b/>
                      <w:bCs/>
                      <w:noProof/>
                      <w:szCs w:val="24"/>
                    </w:rPr>
                  </w:pPr>
                  <w:r>
                    <w:rPr>
                      <w:b/>
                      <w:noProof/>
                    </w:rPr>
                    <w:t>Crevette rouge</w:t>
                  </w:r>
                </w:p>
                <w:p>
                  <w:pPr>
                    <w:rPr>
                      <w:b/>
                      <w:bCs/>
                      <w:noProof/>
                      <w:szCs w:val="24"/>
                    </w:rPr>
                  </w:pPr>
                  <w:r>
                    <w:rPr>
                      <w:b/>
                      <w:i/>
                      <w:noProof/>
                    </w:rPr>
                    <w:t>Aristeus antennatus</w:t>
                  </w:r>
                </w:p>
              </w:tc>
              <w:tc>
                <w:tcPr>
                  <w:tcW w:w="657"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b/>
                      <w:noProof/>
                    </w:rPr>
                    <w:t>Zone(s):</w:t>
                  </w:r>
                </w:p>
              </w:tc>
              <w:tc>
                <w:tcPr>
                  <w:tcW w:w="1766" w:type="pct"/>
                  <w:gridSpan w:val="2"/>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b/>
                      <w:noProof/>
                    </w:rPr>
                    <w:t>SRG 8, 9, 10 et 11</w:t>
                  </w:r>
                </w:p>
                <w:p>
                  <w:pPr>
                    <w:rPr>
                      <w:b/>
                      <w:bCs/>
                      <w:noProof/>
                      <w:szCs w:val="24"/>
                    </w:rPr>
                  </w:pPr>
                  <w:r>
                    <w:rPr>
                      <w:b/>
                      <w:noProof/>
                    </w:rPr>
                    <w:t>(ARA/GF8-11)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Espagne</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France</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Italie</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Union</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Limite de capture de précaution</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TAC</w:t>
                  </w:r>
                </w:p>
              </w:tc>
              <w:tc>
                <w:tcPr>
                  <w:tcW w:w="142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Sans objet</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Niveau maximal des captures</w:t>
                  </w:r>
                </w:p>
              </w:tc>
            </w:tr>
            <w:tr>
              <w:trPr>
                <w:trHeight w:val="615"/>
              </w:trPr>
              <w:tc>
                <w:tcPr>
                  <w:tcW w:w="5000" w:type="pct"/>
                  <w:gridSpan w:val="8"/>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b/>
                      <w:noProof/>
                    </w:rPr>
                    <w:t>Espèce:</w:t>
                  </w:r>
                </w:p>
              </w:tc>
              <w:tc>
                <w:tcPr>
                  <w:tcW w:w="1927" w:type="pct"/>
                  <w:gridSpan w:val="4"/>
                  <w:tcBorders>
                    <w:top w:val="single" w:sz="8" w:space="0" w:color="auto"/>
                    <w:left w:val="single" w:sz="8" w:space="0" w:color="auto"/>
                    <w:bottom w:val="nil"/>
                    <w:right w:val="nil"/>
                  </w:tcBorders>
                  <w:tcMar>
                    <w:left w:w="10" w:type="dxa"/>
                    <w:right w:w="10" w:type="dxa"/>
                  </w:tcMar>
                  <w:vAlign w:val="center"/>
                </w:tcPr>
                <w:p>
                  <w:pPr>
                    <w:rPr>
                      <w:b/>
                      <w:bCs/>
                      <w:noProof/>
                      <w:szCs w:val="24"/>
                    </w:rPr>
                  </w:pPr>
                  <w:r>
                    <w:rPr>
                      <w:b/>
                      <w:noProof/>
                    </w:rPr>
                    <w:t>Gambon rouge</w:t>
                  </w:r>
                </w:p>
                <w:p>
                  <w:pPr>
                    <w:rPr>
                      <w:b/>
                      <w:bCs/>
                      <w:noProof/>
                      <w:szCs w:val="24"/>
                    </w:rPr>
                  </w:pPr>
                  <w:r>
                    <w:rPr>
                      <w:b/>
                      <w:i/>
                      <w:noProof/>
                    </w:rPr>
                    <w:t>Aristaeomorpha foliacea</w:t>
                  </w:r>
                </w:p>
              </w:tc>
              <w:tc>
                <w:tcPr>
                  <w:tcW w:w="633"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b/>
                      <w:noProof/>
                    </w:rPr>
                    <w:t>Zone(s):</w:t>
                  </w:r>
                </w:p>
              </w:tc>
              <w:tc>
                <w:tcPr>
                  <w:tcW w:w="1627" w:type="pct"/>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b/>
                      <w:noProof/>
                    </w:rPr>
                    <w:t>SRG 8, 9, 10 et 11</w:t>
                  </w:r>
                </w:p>
                <w:p>
                  <w:pPr>
                    <w:rPr>
                      <w:b/>
                      <w:bCs/>
                      <w:noProof/>
                      <w:szCs w:val="24"/>
                    </w:rPr>
                  </w:pPr>
                  <w:r>
                    <w:rPr>
                      <w:b/>
                      <w:noProof/>
                    </w:rPr>
                    <w:t>(ARS/GF8-11)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Espagne</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France</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Italie</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Union</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rFonts w:eastAsia="Times New Roman"/>
                      <w:noProof/>
                      <w:szCs w:val="24"/>
                    </w:rPr>
                  </w:pPr>
                  <w:r>
                    <w:rPr>
                      <w:noProof/>
                    </w:rPr>
                    <w:t>Limites de capture analytiques</w:t>
                  </w:r>
                </w:p>
                <w:p>
                  <w:pPr>
                    <w:rPr>
                      <w:rFonts w:eastAsia="Times New Roman"/>
                      <w:noProof/>
                      <w:szCs w:val="24"/>
                    </w:rPr>
                  </w:pPr>
                </w:p>
              </w:tc>
            </w:tr>
            <w:tr>
              <w:trPr>
                <w:trHeight w:val="195"/>
              </w:trPr>
              <w:tc>
                <w:tcPr>
                  <w:tcW w:w="5000" w:type="pct"/>
                  <w:gridSpan w:val="8"/>
                  <w:tcBorders>
                    <w:top w:val="single" w:sz="8" w:space="0" w:color="auto"/>
                    <w:left w:val="single" w:sz="8" w:space="0" w:color="auto"/>
                    <w:bottom w:val="single" w:sz="8" w:space="0" w:color="auto"/>
                    <w:right w:val="single" w:sz="8" w:space="0" w:color="auto"/>
                  </w:tcBorders>
                  <w:tcMar>
                    <w:left w:w="10" w:type="dxa"/>
                    <w:right w:w="10" w:type="dxa"/>
                  </w:tcMar>
                </w:tcPr>
                <w:p>
                  <w:pPr>
                    <w:rPr>
                      <w:rFonts w:eastAsia="Times New Roman"/>
                      <w:noProof/>
                      <w:szCs w:val="24"/>
                    </w:rPr>
                  </w:pPr>
                  <w:r>
                    <w:rPr>
                      <w:noProof/>
                    </w:rPr>
                    <w:t xml:space="preserve"> TAC                          Sans objet                           Niveau maximal des captures</w:t>
                  </w:r>
                </w:p>
              </w:tc>
            </w:tr>
          </w:tbl>
          <w:p>
            <w:pPr>
              <w:rPr>
                <w:rFonts w:eastAsia="Times New Roman"/>
                <w:noProof/>
                <w:szCs w:val="24"/>
              </w:rPr>
            </w:pPr>
          </w:p>
        </w:tc>
      </w:tr>
    </w:tbl>
    <w:p>
      <w:pPr>
        <w:rPr>
          <w:b/>
          <w:bCs/>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V</w:t>
      </w:r>
    </w:p>
    <w:p>
      <w:pPr>
        <w:jc w:val="center"/>
        <w:rPr>
          <w:b/>
          <w:bCs/>
          <w:noProof/>
        </w:rPr>
      </w:pPr>
      <w:r>
        <w:rPr>
          <w:b/>
          <w:noProof/>
        </w:rPr>
        <w:t>POSSIBILITÉS DE PÊCHE POUR LES NAVIRES DE PÊCHE DE L’UNION DANS LA MER ADRIATIQUE</w:t>
      </w:r>
    </w:p>
    <w:p>
      <w:pPr>
        <w:rPr>
          <w:rFonts w:eastAsia="Times New Roman"/>
          <w:noProof/>
          <w:szCs w:val="24"/>
        </w:rPr>
      </w:pPr>
      <w:r>
        <w:rPr>
          <w:noProof/>
        </w:rPr>
        <w:t>Les possibilités de pêche par stock ou par groupe d'effort des navires et, le cas échéant, les conditions qui y sont liées sur le plan fonctionnel, y compris le nombre maximal de navires de pêche de l'Union autorisés à pêcher les petits pélagiques, sont indiquées dans les tableaux ci-dessous.</w:t>
      </w:r>
    </w:p>
    <w:p>
      <w:pPr>
        <w:rPr>
          <w:rFonts w:eastAsia="Times New Roman"/>
          <w:noProof/>
          <w:szCs w:val="24"/>
        </w:rPr>
      </w:pPr>
      <w:r>
        <w:rPr>
          <w:noProof/>
        </w:rPr>
        <w:t>Toutes les possibilités de pêche établies dans la présente annexe sont soumises aux règles prévues aux articles 26 à 35 du règlement (CE) nº 1224/2009.</w:t>
      </w:r>
    </w:p>
    <w:p>
      <w:pPr>
        <w:rPr>
          <w:noProof/>
        </w:rPr>
      </w:pPr>
      <w:r>
        <w:rPr>
          <w:noProof/>
        </w:rPr>
        <w:t xml:space="preserve">Les zones de pêche auxquelles il est fait référence correspondent aux SRG de la CGPM. </w:t>
      </w:r>
    </w:p>
    <w:p>
      <w:pPr>
        <w:rPr>
          <w:rFonts w:eastAsia="Times New Roman"/>
          <w:noProof/>
          <w:szCs w:val="24"/>
        </w:rPr>
      </w:pPr>
      <w:r>
        <w:rPr>
          <w:noProof/>
        </w:rPr>
        <w:t>Aux fins de la présente annexe, le tableau suivant met en correspondance les noms latins et les noms communs: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46"/>
        <w:gridCol w:w="2104"/>
        <w:gridCol w:w="3239"/>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scientifique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Code alpha-3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Engraulis encrasicolus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ANE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Anchois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Merlu européen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Mullus barbatus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MUT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Rouget de vase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Nephrops norvegicus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NEP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Langoustine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Crevette rose du large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Sardina pilchardus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PIL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Sardine commune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Solea solea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Sole commune</w:t>
            </w:r>
          </w:p>
        </w:tc>
      </w:tr>
    </w:tbl>
    <w:p>
      <w:pPr>
        <w:rPr>
          <w:noProof/>
        </w:rPr>
      </w:pPr>
    </w:p>
    <w:p>
      <w:pPr>
        <w:rPr>
          <w:noProof/>
        </w:rPr>
      </w:pPr>
      <w:r>
        <w:rPr>
          <w:noProof/>
        </w:rPr>
        <w:t>1. Stocks de petits pélagiques – SRG 17 et 18</w:t>
      </w:r>
    </w:p>
    <w:p>
      <w:pPr>
        <w:rPr>
          <w:noProof/>
        </w:rPr>
      </w:pPr>
      <w:r>
        <w:rPr>
          <w:noProof/>
        </w:rPr>
        <w:t>a) Niveau maximal des captures exprimées en tonnes de poids vif</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2"/>
        <w:gridCol w:w="1843"/>
        <w:gridCol w:w="1701"/>
        <w:gridCol w:w="708"/>
        <w:gridCol w:w="3864"/>
      </w:tblGrid>
      <w:tr>
        <w:trPr>
          <w:trHeight w:hRule="exact" w:val="79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Espèce</w:t>
            </w:r>
          </w:p>
        </w:tc>
        <w:tc>
          <w:tcPr>
            <w:tcW w:w="3544" w:type="dxa"/>
            <w:gridSpan w:val="2"/>
            <w:tcBorders>
              <w:top w:val="single" w:sz="4" w:space="0" w:color="auto"/>
              <w:left w:val="single" w:sz="4" w:space="0" w:color="auto"/>
            </w:tcBorders>
            <w:vAlign w:val="center"/>
          </w:tcPr>
          <w:p>
            <w:pPr>
              <w:rPr>
                <w:noProof/>
                <w:szCs w:val="24"/>
              </w:rPr>
            </w:pPr>
            <w:r>
              <w:rPr>
                <w:rStyle w:val="Other1"/>
                <w:noProof/>
                <w:sz w:val="24"/>
              </w:rPr>
              <w:t>Petits pélagiques (anchois commun et sardine commune)</w:t>
            </w:r>
          </w:p>
        </w:tc>
        <w:tc>
          <w:tcPr>
            <w:tcW w:w="708" w:type="dxa"/>
            <w:tcBorders>
              <w:top w:val="single" w:sz="4" w:space="0" w:color="auto"/>
              <w:left w:val="single" w:sz="4" w:space="0" w:color="auto"/>
            </w:tcBorders>
            <w:vAlign w:val="center"/>
          </w:tcPr>
          <w:p>
            <w:pPr>
              <w:rPr>
                <w:noProof/>
                <w:szCs w:val="24"/>
              </w:rPr>
            </w:pPr>
            <w:r>
              <w:rPr>
                <w:rStyle w:val="Other1"/>
                <w:noProof/>
                <w:sz w:val="24"/>
              </w:rPr>
              <w:t>Zone(s):</w:t>
            </w:r>
          </w:p>
        </w:tc>
        <w:tc>
          <w:tcPr>
            <w:tcW w:w="3864" w:type="dxa"/>
            <w:tcBorders>
              <w:top w:val="single" w:sz="4" w:space="0" w:color="auto"/>
              <w:left w:val="single" w:sz="4" w:space="0" w:color="auto"/>
              <w:right w:val="single" w:sz="4" w:space="0" w:color="auto"/>
            </w:tcBorders>
            <w:vAlign w:val="center"/>
          </w:tcPr>
          <w:p>
            <w:pPr>
              <w:rPr>
                <w:noProof/>
                <w:szCs w:val="24"/>
              </w:rPr>
            </w:pPr>
            <w:r>
              <w:rPr>
                <w:rStyle w:val="Other1"/>
                <w:noProof/>
                <w:sz w:val="24"/>
              </w:rPr>
              <w:t>Eaux de l’Union et eaux internationales des SRG de la CGPM 17 et 18</w:t>
            </w:r>
          </w:p>
        </w:tc>
      </w:tr>
      <w:tr>
        <w:trPr>
          <w:trHeight w:hRule="exact" w:val="1045"/>
          <w:jc w:val="center"/>
        </w:trPr>
        <w:tc>
          <w:tcPr>
            <w:tcW w:w="992" w:type="dxa"/>
            <w:tcBorders>
              <w:top w:val="single" w:sz="4" w:space="0" w:color="auto"/>
              <w:left w:val="single" w:sz="4" w:space="0" w:color="auto"/>
            </w:tcBorders>
          </w:tcPr>
          <w:p>
            <w:pPr>
              <w:rPr>
                <w:noProof/>
                <w:szCs w:val="24"/>
              </w:rPr>
            </w:pPr>
          </w:p>
        </w:tc>
        <w:tc>
          <w:tcPr>
            <w:tcW w:w="1843" w:type="dxa"/>
            <w:tcBorders>
              <w:top w:val="single" w:sz="4" w:space="0" w:color="auto"/>
              <w:left w:val="single" w:sz="4" w:space="0" w:color="auto"/>
            </w:tcBorders>
            <w:vAlign w:val="center"/>
          </w:tcPr>
          <w:p>
            <w:pPr>
              <w:rPr>
                <w:i/>
                <w:iCs/>
                <w:noProof/>
                <w:szCs w:val="24"/>
              </w:rPr>
            </w:pPr>
            <w:r>
              <w:rPr>
                <w:rStyle w:val="Other1"/>
                <w:i/>
                <w:noProof/>
                <w:sz w:val="24"/>
              </w:rPr>
              <w:t>Engraulis encrasicolus</w:t>
            </w:r>
          </w:p>
          <w:p>
            <w:pPr>
              <w:rPr>
                <w:noProof/>
                <w:szCs w:val="24"/>
              </w:rPr>
            </w:pPr>
            <w:r>
              <w:rPr>
                <w:rStyle w:val="Other1"/>
                <w:noProof/>
                <w:sz w:val="24"/>
              </w:rPr>
              <w:t>(ANE/GF1718)</w:t>
            </w:r>
          </w:p>
        </w:tc>
        <w:tc>
          <w:tcPr>
            <w:tcW w:w="1701" w:type="dxa"/>
            <w:tcBorders>
              <w:top w:val="single" w:sz="4" w:space="0" w:color="auto"/>
              <w:left w:val="single" w:sz="4" w:space="0" w:color="auto"/>
            </w:tcBorders>
            <w:vAlign w:val="center"/>
          </w:tcPr>
          <w:p>
            <w:pPr>
              <w:rPr>
                <w:i/>
                <w:iCs/>
                <w:noProof/>
                <w:szCs w:val="24"/>
              </w:rPr>
            </w:pPr>
            <w:r>
              <w:rPr>
                <w:rStyle w:val="Other1"/>
                <w:i/>
                <w:noProof/>
                <w:sz w:val="24"/>
              </w:rPr>
              <w:t>Sardina pilchardus</w:t>
            </w:r>
          </w:p>
          <w:p>
            <w:pPr>
              <w:rPr>
                <w:noProof/>
                <w:szCs w:val="24"/>
              </w:rPr>
            </w:pPr>
            <w:r>
              <w:rPr>
                <w:rStyle w:val="Other1"/>
                <w:noProof/>
                <w:sz w:val="24"/>
              </w:rPr>
              <w:t>(PIL/GF1718)</w:t>
            </w:r>
          </w:p>
        </w:tc>
        <w:tc>
          <w:tcPr>
            <w:tcW w:w="708" w:type="dxa"/>
            <w:tcBorders>
              <w:top w:val="single" w:sz="4" w:space="0" w:color="auto"/>
              <w:left w:val="single" w:sz="4" w:space="0" w:color="auto"/>
            </w:tcBorders>
          </w:tcPr>
          <w:p>
            <w:pPr>
              <w:rPr>
                <w:noProof/>
                <w:szCs w:val="24"/>
              </w:rPr>
            </w:pPr>
          </w:p>
        </w:tc>
        <w:tc>
          <w:tcPr>
            <w:tcW w:w="3864" w:type="dxa"/>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Italie</w:t>
            </w:r>
          </w:p>
        </w:tc>
        <w:tc>
          <w:tcPr>
            <w:tcW w:w="1843" w:type="dxa"/>
            <w:tcBorders>
              <w:top w:val="single" w:sz="4" w:space="0" w:color="auto"/>
              <w:left w:val="single" w:sz="4" w:space="0" w:color="auto"/>
            </w:tcBorders>
            <w:vAlign w:val="center"/>
          </w:tcPr>
          <w:p>
            <w:pPr>
              <w:rPr>
                <w:noProof/>
                <w:szCs w:val="24"/>
              </w:rPr>
            </w:pPr>
            <w:r>
              <w:rPr>
                <w:noProof/>
              </w:rPr>
              <w:t>p.m.</w:t>
            </w:r>
          </w:p>
        </w:tc>
        <w:tc>
          <w:tcPr>
            <w:tcW w:w="1701" w:type="dxa"/>
            <w:tcBorders>
              <w:top w:val="single" w:sz="4" w:space="0" w:color="auto"/>
              <w:left w:val="single" w:sz="4" w:space="0" w:color="auto"/>
            </w:tcBorders>
            <w:vAlign w:val="center"/>
          </w:tcPr>
          <w:p>
            <w:pPr>
              <w:rPr>
                <w:noProof/>
                <w:szCs w:val="24"/>
              </w:rPr>
            </w:pPr>
            <w:r>
              <w:rPr>
                <w:noProof/>
              </w:rPr>
              <w:t>p.m.</w:t>
            </w:r>
          </w:p>
        </w:tc>
        <w:tc>
          <w:tcPr>
            <w:tcW w:w="4572" w:type="dxa"/>
            <w:gridSpan w:val="2"/>
            <w:tcBorders>
              <w:top w:val="single" w:sz="4" w:space="0" w:color="auto"/>
              <w:left w:val="single" w:sz="4" w:space="0" w:color="auto"/>
              <w:right w:val="single" w:sz="4" w:space="0" w:color="auto"/>
            </w:tcBorders>
            <w:vAlign w:val="center"/>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Croatie</w:t>
            </w:r>
          </w:p>
        </w:tc>
        <w:tc>
          <w:tcPr>
            <w:tcW w:w="1843" w:type="dxa"/>
            <w:tcBorders>
              <w:top w:val="single" w:sz="4" w:space="0" w:color="auto"/>
              <w:left w:val="single" w:sz="4" w:space="0" w:color="auto"/>
            </w:tcBorders>
            <w:vAlign w:val="center"/>
          </w:tcPr>
          <w:p>
            <w:pPr>
              <w:rPr>
                <w:noProof/>
                <w:szCs w:val="24"/>
              </w:rPr>
            </w:pPr>
            <w:r>
              <w:rPr>
                <w:noProof/>
              </w:rPr>
              <w:t>p.m.</w:t>
            </w:r>
          </w:p>
        </w:tc>
        <w:tc>
          <w:tcPr>
            <w:tcW w:w="1701" w:type="dxa"/>
            <w:tcBorders>
              <w:top w:val="single" w:sz="4" w:space="0" w:color="auto"/>
              <w:left w:val="single" w:sz="4" w:space="0" w:color="auto"/>
            </w:tcBorders>
            <w:vAlign w:val="center"/>
          </w:tcPr>
          <w:p>
            <w:pPr>
              <w:rPr>
                <w:noProof/>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rPr>
              <w:t>Slovénie</w:t>
            </w:r>
          </w:p>
        </w:tc>
        <w:tc>
          <w:tcPr>
            <w:tcW w:w="1843" w:type="dxa"/>
            <w:tcBorders>
              <w:top w:val="single" w:sz="4" w:space="0" w:color="auto"/>
              <w:left w:val="single" w:sz="4" w:space="0" w:color="auto"/>
            </w:tcBorders>
            <w:vAlign w:val="center"/>
          </w:tcPr>
          <w:p>
            <w:pPr>
              <w:rPr>
                <w:rStyle w:val="Other1"/>
                <w:noProof/>
                <w:sz w:val="24"/>
                <w:szCs w:val="24"/>
              </w:rPr>
            </w:pPr>
            <w:r>
              <w:rPr>
                <w:noProof/>
              </w:rPr>
              <w:t>p.m.</w:t>
            </w:r>
          </w:p>
        </w:tc>
        <w:tc>
          <w:tcPr>
            <w:tcW w:w="1701" w:type="dxa"/>
            <w:tcBorders>
              <w:top w:val="single" w:sz="4" w:space="0" w:color="auto"/>
              <w:left w:val="single" w:sz="4" w:space="0" w:color="auto"/>
            </w:tcBorders>
            <w:vAlign w:val="center"/>
          </w:tcPr>
          <w:p>
            <w:pPr>
              <w:rPr>
                <w:rStyle w:val="Other1"/>
                <w:noProof/>
                <w:sz w:val="24"/>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val="300"/>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rPr>
              <w:t>Union</w:t>
            </w:r>
          </w:p>
        </w:tc>
        <w:tc>
          <w:tcPr>
            <w:tcW w:w="1843" w:type="dxa"/>
            <w:tcBorders>
              <w:top w:val="single" w:sz="4" w:space="0" w:color="auto"/>
              <w:left w:val="single" w:sz="4" w:space="0" w:color="auto"/>
            </w:tcBorders>
            <w:vAlign w:val="center"/>
          </w:tcPr>
          <w:p>
            <w:pPr>
              <w:rPr>
                <w:rStyle w:val="Other1"/>
                <w:noProof/>
                <w:sz w:val="24"/>
                <w:szCs w:val="24"/>
              </w:rPr>
            </w:pPr>
            <w:r>
              <w:rPr>
                <w:noProof/>
              </w:rPr>
              <w:t>p.m.</w:t>
            </w:r>
          </w:p>
        </w:tc>
        <w:tc>
          <w:tcPr>
            <w:tcW w:w="1701" w:type="dxa"/>
            <w:tcBorders>
              <w:top w:val="single" w:sz="4" w:space="0" w:color="auto"/>
              <w:left w:val="single" w:sz="4" w:space="0" w:color="auto"/>
            </w:tcBorders>
            <w:vAlign w:val="center"/>
          </w:tcPr>
          <w:p>
            <w:pPr>
              <w:rPr>
                <w:rStyle w:val="Other1"/>
                <w:noProof/>
                <w:sz w:val="24"/>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rPr>
            </w:pPr>
          </w:p>
        </w:tc>
      </w:tr>
      <w:tr>
        <w:trPr>
          <w:trHeight w:hRule="exact" w:val="469"/>
          <w:jc w:val="center"/>
        </w:trPr>
        <w:tc>
          <w:tcPr>
            <w:tcW w:w="992" w:type="dxa"/>
            <w:tcBorders>
              <w:top w:val="single" w:sz="4" w:space="0" w:color="auto"/>
              <w:left w:val="single" w:sz="4" w:space="0" w:color="auto"/>
              <w:bottom w:val="single" w:sz="4" w:space="0" w:color="auto"/>
            </w:tcBorders>
            <w:vAlign w:val="center"/>
          </w:tcPr>
          <w:p>
            <w:pPr>
              <w:rPr>
                <w:noProof/>
                <w:szCs w:val="24"/>
              </w:rPr>
            </w:pPr>
            <w:r>
              <w:rPr>
                <w:rStyle w:val="Other1"/>
                <w:noProof/>
                <w:sz w:val="24"/>
              </w:rPr>
              <w:t>TAC</w:t>
            </w:r>
          </w:p>
        </w:tc>
        <w:tc>
          <w:tcPr>
            <w:tcW w:w="3544" w:type="dxa"/>
            <w:gridSpan w:val="2"/>
            <w:tcBorders>
              <w:top w:val="single" w:sz="4" w:space="0" w:color="auto"/>
              <w:left w:val="single" w:sz="4" w:space="0" w:color="auto"/>
              <w:bottom w:val="single" w:sz="4" w:space="0" w:color="auto"/>
            </w:tcBorders>
            <w:vAlign w:val="center"/>
          </w:tcPr>
          <w:p>
            <w:pPr>
              <w:rPr>
                <w:noProof/>
                <w:szCs w:val="24"/>
              </w:rPr>
            </w:pPr>
            <w:r>
              <w:rPr>
                <w:rStyle w:val="Other1"/>
                <w:noProof/>
                <w:sz w:val="24"/>
              </w:rPr>
              <w:t>Sans objet</w:t>
            </w:r>
          </w:p>
        </w:tc>
        <w:tc>
          <w:tcPr>
            <w:tcW w:w="4572"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rFonts w:eastAsia="Times New Roman"/>
          <w:noProof/>
          <w:sz w:val="19"/>
          <w:szCs w:val="19"/>
        </w:rPr>
      </w:pPr>
    </w:p>
    <w:p>
      <w:pPr>
        <w:rPr>
          <w:noProof/>
        </w:rPr>
      </w:pPr>
      <w:r>
        <w:rPr>
          <w:noProof/>
        </w:rPr>
        <w:lastRenderedPageBreak/>
        <w:t>b) Capacité maximale de la flotte des chalutiers et senneurs à senne coulissante pêchant activement les petits pélagiques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76"/>
        <w:gridCol w:w="2235"/>
        <w:gridCol w:w="2546"/>
        <w:gridCol w:w="1266"/>
        <w:gridCol w:w="1266"/>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bookmarkStart w:id="1" w:name="_Hlk168408828"/>
            <w:r>
              <w:rPr>
                <w:b/>
                <w:noProof/>
                <w:sz w:val="22"/>
              </w:rPr>
              <w:t>État membre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Engin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Nombre de navires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GT</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Croatie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249</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77 145,52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18 537,72</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PTM, OTM et 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187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64655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14065</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Slovénie</w:t>
            </w:r>
            <w:hyperlink r:id="rId23" w:anchor="ntr2-L_2022021FR.01018201-E0002" w:history="1">
              <w:r>
                <w:rPr>
                  <w:noProof/>
                  <w:sz w:val="22"/>
                  <w:u w:val="single"/>
                </w:rPr>
                <w:t> (</w:t>
              </w:r>
              <w:r>
                <w:rPr>
                  <w:noProof/>
                  <w:sz w:val="15"/>
                  <w:vertAlign w:val="superscript"/>
                </w:rPr>
                <w:t>*</w:t>
              </w:r>
              <w:r>
                <w:rPr>
                  <w:noProof/>
                  <w:sz w:val="22"/>
                  <w:u w:val="single"/>
                </w:rPr>
                <w:t>)</w:t>
              </w:r>
            </w:hyperlink>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433,7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38,5</w:t>
            </w:r>
          </w:p>
        </w:tc>
      </w:tr>
    </w:tbl>
    <w:bookmarkEnd w:id="1"/>
    <w:p>
      <w:pPr>
        <w:rPr>
          <w:noProof/>
          <w:sz w:val="19"/>
          <w:szCs w:val="19"/>
          <w:shd w:val="clear" w:color="auto" w:fill="FFFFFF"/>
        </w:rPr>
      </w:pPr>
      <w:r>
        <w:rPr>
          <w:noProof/>
          <w:sz w:val="19"/>
          <w:shd w:val="clear" w:color="auto" w:fill="FFFFFF"/>
        </w:rPr>
        <w:t>(*)  Le paragraphe 28 de la recommandation CGPM/44/2021/20 ne s'applique pas aux flottes nationales de moins de dix senneurs à senne coulissante ou chalutiers pélagiques pêchant activement les stocks de petits pélagiques inscrits dans le registre national et le registre CGPM en 2014, comme c’est le cas de la Slovénie. Dans ce cas, la capacité de la flotte active peut augmenter de 50 % maximum en nombre de navires et en tonnage brut (GT), en tonneau de jauge brute (TJB) et en kW.</w:t>
      </w:r>
    </w:p>
    <w:p>
      <w:pPr>
        <w:rPr>
          <w:noProof/>
        </w:rPr>
      </w:pPr>
      <w:r>
        <w:rPr>
          <w:noProof/>
        </w:rPr>
        <w:t>2. Stocks démersaux – SRG 17 et 18</w:t>
      </w:r>
    </w:p>
    <w:p>
      <w:pPr>
        <w:rPr>
          <w:b/>
          <w:bCs/>
          <w:i/>
          <w:iCs/>
          <w:noProof/>
        </w:rPr>
      </w:pPr>
      <w:r>
        <w:rPr>
          <w:b/>
          <w:i/>
          <w:noProof/>
        </w:rPr>
        <w:t>[ESPACE RÉSERVÉ]</w:t>
      </w: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rFonts w:eastAsia="Times New Roman"/>
          <w:noProof/>
        </w:rPr>
      </w:pPr>
    </w:p>
    <w:p>
      <w:pPr>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VI</w:t>
      </w:r>
    </w:p>
    <w:p>
      <w:pPr>
        <w:jc w:val="center"/>
        <w:rPr>
          <w:b/>
          <w:bCs/>
          <w:noProof/>
        </w:rPr>
      </w:pPr>
      <w:r>
        <w:rPr>
          <w:b/>
          <w:noProof/>
        </w:rPr>
        <w:t>POSSIBILITÉS DE PÊCHE POUR LES NAVIRES DE PÊCHE DE L’UNION DANS LE CANAL DE SICILE</w:t>
      </w:r>
    </w:p>
    <w:p>
      <w:pPr>
        <w:rPr>
          <w:noProof/>
        </w:rPr>
      </w:pPr>
    </w:p>
    <w:p>
      <w:pPr>
        <w:rPr>
          <w:noProof/>
        </w:rPr>
      </w:pPr>
      <w:r>
        <w:rPr>
          <w:noProof/>
        </w:rPr>
        <w:t xml:space="preserve">Les possibilités de pêche par stock ou par groupe d'effort des navires et, le cas échéant, les conditions qui y sont liées sur le plan fonctionnel, y compris le nombre maximal de navires de pêche de l'Union autorisés à pêcher les espèces démersales et les crevettes de haute mer sont telles qu’établies dans les tableaux ci-dessous. </w:t>
      </w:r>
    </w:p>
    <w:p>
      <w:pPr>
        <w:rPr>
          <w:noProof/>
        </w:rPr>
      </w:pPr>
      <w:r>
        <w:rPr>
          <w:noProof/>
        </w:rPr>
        <w:t xml:space="preserve">Toutes les possibilités de pêche établies dans la présente annexe sont soumises aux règles prévues aux articles 26 à 35 du règlement (CE) nº 1224/2009. </w:t>
      </w:r>
    </w:p>
    <w:p>
      <w:pPr>
        <w:rPr>
          <w:noProof/>
        </w:rPr>
      </w:pPr>
      <w:r>
        <w:rPr>
          <w:noProof/>
        </w:rPr>
        <w:t xml:space="preserve">Les zones de pêche auxquelles il est fait référence correspondent aux SRG de la CGPM. </w:t>
      </w:r>
    </w:p>
    <w:p>
      <w:pPr>
        <w:rPr>
          <w:noProof/>
        </w:rPr>
      </w:pPr>
      <w:r>
        <w:rPr>
          <w:noProof/>
        </w:rPr>
        <w:t>Aux fins de la présente annexe, le tableau suivant met en correspondance les noms latins et les noms communs: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058"/>
        <w:gridCol w:w="2090"/>
        <w:gridCol w:w="3507"/>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scientifique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Code alpha-3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Merlu européen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Crevette rose du large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Gambon rouge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Crevette rouge</w:t>
            </w:r>
          </w:p>
        </w:tc>
      </w:tr>
    </w:tbl>
    <w:p>
      <w:pPr>
        <w:rPr>
          <w:bCs/>
          <w:iCs/>
          <w:noProof/>
        </w:rPr>
      </w:pPr>
    </w:p>
    <w:p>
      <w:pPr>
        <w:rPr>
          <w:noProof/>
        </w:rPr>
      </w:pPr>
      <w:r>
        <w:rPr>
          <w:noProof/>
        </w:rPr>
        <w:t xml:space="preserve">1. Stocks démersaux </w:t>
      </w:r>
    </w:p>
    <w:p>
      <w:pPr>
        <w:rPr>
          <w:noProof/>
        </w:rPr>
      </w:pPr>
      <w:r>
        <w:rPr>
          <w:noProof/>
        </w:rPr>
        <w:t>a) Capacité maximale de la flotte, exprimée en nombre de navires, en kW et en GT, des chalutiers de fond autorisés à pêcher les stocks démersaux dans le canal de Sicile (SRG 12, 13, 14, 15 et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33"/>
        <w:gridCol w:w="1120"/>
        <w:gridCol w:w="3487"/>
        <w:gridCol w:w="1414"/>
        <w:gridCol w:w="1201"/>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État membre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Engin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Nombre de navires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Chypre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Espagne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594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144 175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36 856</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tbl>
    <w:p>
      <w:pPr>
        <w:rPr>
          <w:noProof/>
        </w:rPr>
      </w:pPr>
      <w:r>
        <w:rPr>
          <w:noProof/>
        </w:rPr>
        <w:t>b) Niveau maximal de l’effort de pêche (en nombre de jours de pêche) pour les chalutiers à panneaux de fond (OTB) ciblant le merlu européen (</w:t>
      </w:r>
      <w:r>
        <w:rPr>
          <w:i/>
          <w:iCs/>
          <w:noProof/>
        </w:rPr>
        <w:t>Merluccius merluccius</w:t>
      </w:r>
      <w:r>
        <w:rPr>
          <w:noProof/>
        </w:rPr>
        <w:t>) dans le canal de Sicile (SRG 12, 13, 14, 15 et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78"/>
        <w:gridCol w:w="680"/>
        <w:gridCol w:w="2233"/>
        <w:gridCol w:w="2700"/>
        <w:gridCol w:w="2564"/>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État membre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Engin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Longueur du navire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Code du groupe d’effort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Jours de pêche en 2027</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CYP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T-07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E</w:t>
            </w:r>
            <w:r>
              <w:rPr>
                <w:noProof/>
              </w:rPr>
              <w:t>FF4/MED4_OTB2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lastRenderedPageBreak/>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bl>
    <w:p>
      <w:pPr>
        <w:rPr>
          <w:noProof/>
        </w:rPr>
        <w:sectPr>
          <w:pgSz w:w="11907" w:h="16839"/>
          <w:pgMar w:top="1134" w:right="1134" w:bottom="1134" w:left="1134" w:header="567" w:footer="567" w:gutter="0"/>
          <w:cols w:space="720"/>
          <w:docGrid w:linePitch="360"/>
        </w:sectPr>
      </w:pPr>
    </w:p>
    <w:p>
      <w:pPr>
        <w:rPr>
          <w:b/>
          <w:noProof/>
        </w:rPr>
      </w:pPr>
      <w:r>
        <w:rPr>
          <w:noProof/>
        </w:rPr>
        <w:lastRenderedPageBreak/>
        <w:t>c) Niveau maximal des captures de crevette rose du large (</w:t>
      </w:r>
      <w:r>
        <w:rPr>
          <w:i/>
          <w:noProof/>
        </w:rPr>
        <w:t>Parapenaeus longirostris</w:t>
      </w:r>
      <w:r>
        <w:rPr>
          <w:noProof/>
        </w:rPr>
        <w:t>) dans le canal de Sicile (SRG 12, 13, 14, 15 et 16),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t>Espèce:</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Crevette rose du large</w:t>
            </w:r>
          </w:p>
          <w:p>
            <w:pPr>
              <w:rPr>
                <w:rFonts w:eastAsia="Times New Roman"/>
                <w:b/>
                <w:bCs/>
                <w:i/>
                <w:iCs/>
                <w:noProof/>
              </w:rPr>
            </w:pPr>
            <w:r>
              <w:rPr>
                <w:b/>
                <w:i/>
                <w:noProof/>
                <w:sz w:val="22"/>
              </w:rPr>
              <w:t>Parapenaeus longirostris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 xml:space="preserve">Zone(s): SRG 12, 13, 14, 15 et 16 </w:t>
            </w:r>
          </w:p>
          <w:p>
            <w:pPr>
              <w:rPr>
                <w:rFonts w:eastAsia="Times New Roman"/>
                <w:b/>
                <w:bCs/>
                <w:noProof/>
              </w:rPr>
            </w:pPr>
            <w:r>
              <w:rPr>
                <w:b/>
                <w:noProof/>
                <w:sz w:val="22"/>
              </w:rPr>
              <w:t>(DPS/GF12-16)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Chypre</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noProof/>
                <w:sz w:val="22"/>
              </w:rPr>
              <w:t>Limite de capture analytique</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Italie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noProof/>
                <w:sz w:val="22"/>
              </w:rPr>
              <w:t>Sans objet</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r>
        <w:rPr>
          <w:noProof/>
        </w:rPr>
        <w:t>2. Crevettes de haute mer</w:t>
      </w:r>
    </w:p>
    <w:p>
      <w:pPr>
        <w:rPr>
          <w:noProof/>
        </w:rPr>
      </w:pPr>
      <w:bookmarkStart w:id="2" w:name="_Hlk168482871"/>
      <w:r>
        <w:rPr>
          <w:noProof/>
        </w:rPr>
        <w:t>a) Capacité maximale de la flotte, exprimée en nombre de navires, en kW et en GT, des chalutiers de fond autorisés à pêcher les stocks de crevettes de haute mer dans le canal de Sicile (SRG 12, 13, 14, 15 et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42"/>
        <w:gridCol w:w="1078"/>
        <w:gridCol w:w="3357"/>
        <w:gridCol w:w="1156"/>
        <w:gridCol w:w="1156"/>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État membre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Engin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Nombre de navires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Chypre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Espagne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440,56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218,78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76 232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22 672</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bookmarkEnd w:id="2"/>
    </w:tbl>
    <w:p>
      <w:pPr>
        <w:rPr>
          <w:noProof/>
        </w:rPr>
      </w:pPr>
    </w:p>
    <w:p>
      <w:pPr>
        <w:rPr>
          <w:noProof/>
        </w:rPr>
      </w:pPr>
      <w:r>
        <w:rPr>
          <w:noProof/>
        </w:rPr>
        <w:t>b) Niveau maximal des captures de gambon rouge (</w:t>
      </w:r>
      <w:r>
        <w:rPr>
          <w:i/>
          <w:iCs/>
          <w:noProof/>
        </w:rPr>
        <w:t>Aristaeomorpha foliacea</w:t>
      </w:r>
      <w:r>
        <w:rPr>
          <w:noProof/>
        </w:rPr>
        <w:t>) dans le canal de Sicile (SRG 12, 13, 14, 15 et 16),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Espèce:</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Gambon rouge </w:t>
            </w:r>
          </w:p>
          <w:p>
            <w:pPr>
              <w:rPr>
                <w:rFonts w:eastAsia="Times New Roman"/>
                <w:b/>
                <w:bCs/>
                <w:i/>
                <w:iCs/>
                <w:noProof/>
              </w:rPr>
            </w:pPr>
            <w:r>
              <w:rPr>
                <w:i/>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Zone(s): SRG 12, 13, 14, 15 et 16 </w:t>
            </w:r>
          </w:p>
          <w:p>
            <w:pPr>
              <w:rPr>
                <w:rFonts w:eastAsia="Times New Roman"/>
                <w:b/>
                <w:bCs/>
                <w:noProof/>
              </w:rPr>
            </w:pPr>
            <w:r>
              <w:rPr>
                <w:b/>
                <w:noProof/>
                <w:sz w:val="22"/>
              </w:rPr>
              <w:t>(ARS/GF12-16)</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Espagne</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Limite de capture analytique</w:t>
            </w:r>
          </w:p>
        </w:tc>
      </w:tr>
      <w:tr>
        <w:tc>
          <w:tcPr>
            <w:tcW w:w="885" w:type="pct"/>
            <w:tcBorders>
              <w:top w:val="nil"/>
              <w:left w:val="nil"/>
              <w:bottom w:val="nil"/>
              <w:right w:val="nil"/>
            </w:tcBorders>
            <w:shd w:val="clear" w:color="auto" w:fill="FFFFFF"/>
          </w:tcPr>
          <w:p>
            <w:pPr>
              <w:rPr>
                <w:noProof/>
              </w:rPr>
            </w:pPr>
            <w:r>
              <w:rPr>
                <w:noProof/>
              </w:rPr>
              <w:t>Italie</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noProof/>
                <w:sz w:val="22"/>
              </w:rPr>
              <w:t>Chypre</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noProof/>
              </w:rPr>
              <w:t>Malte</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Sans objet</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r>
        <w:rPr>
          <w:noProof/>
        </w:rPr>
        <w:t>c) Niveau maximal des captures de crevette rouge (</w:t>
      </w:r>
      <w:r>
        <w:rPr>
          <w:i/>
          <w:iCs/>
          <w:noProof/>
        </w:rPr>
        <w:t>Aristeus antennatus</w:t>
      </w:r>
      <w:r>
        <w:rPr>
          <w:noProof/>
        </w:rPr>
        <w:t>) dans le canal de Sicile (SRG 12, 13, 14, 15 et 16),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lastRenderedPageBreak/>
              <w:t>Espèce:</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Crevette rouge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Zone(s): SRG 12, 13, 14, 15 et 16</w:t>
            </w:r>
          </w:p>
          <w:p>
            <w:pPr>
              <w:rPr>
                <w:rFonts w:eastAsia="Times New Roman"/>
                <w:b/>
                <w:bCs/>
                <w:noProof/>
              </w:rPr>
            </w:pPr>
            <w:r>
              <w:rPr>
                <w:b/>
                <w:noProof/>
                <w:sz w:val="22"/>
              </w:rPr>
              <w:t xml:space="preserve"> (ARA/GF12-16)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Espagne</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noProof/>
                <w:sz w:val="22"/>
              </w:rPr>
              <w:t>Limite de capture de précaution</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Italie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Chypre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noProof/>
                <w:sz w:val="22"/>
              </w:rPr>
              <w:t>Sans objet</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VII</w:t>
      </w:r>
    </w:p>
    <w:p>
      <w:pPr>
        <w:jc w:val="center"/>
        <w:rPr>
          <w:b/>
          <w:bCs/>
          <w:noProof/>
        </w:rPr>
      </w:pPr>
      <w:r>
        <w:rPr>
          <w:b/>
          <w:noProof/>
        </w:rPr>
        <w:t>POSSIBILITÉS DE PÊCHE POUR LES NAVIRES DE PÊCHE DE L’UNION DANS LA MER IONIENNE ET LA MER DU LEVANT</w:t>
      </w:r>
    </w:p>
    <w:p>
      <w:pPr>
        <w:rPr>
          <w:noProof/>
        </w:rPr>
      </w:pPr>
    </w:p>
    <w:p>
      <w:pPr>
        <w:rPr>
          <w:b/>
          <w:noProof/>
        </w:rPr>
      </w:pPr>
      <w:r>
        <w:rPr>
          <w:noProof/>
        </w:rPr>
        <w:t xml:space="preserve">Le nombre maximal de navires de pêche de l'Union autorisés à pêcher les stocks démersaux dans la mer Ionienne et la mer du Levant est tel qu’indiqué dans les tableaux ci-dessous. Les zones de pêche auxquelles il est fait référence correspondent aux SRG de la CGPM. </w:t>
      </w:r>
    </w:p>
    <w:p>
      <w:pPr>
        <w:rPr>
          <w:b/>
          <w:noProof/>
        </w:rPr>
      </w:pPr>
      <w:r>
        <w:rPr>
          <w:noProof/>
        </w:rPr>
        <w:t>Aux fins de la présente annexe, le tableau suivant met en correspondance les noms latins et les noms communs des stocks halieutiques: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272"/>
        <w:gridCol w:w="2249"/>
        <w:gridCol w:w="2568"/>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scientifique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Code alpha-3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Gambon rouge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Crevette rouge</w:t>
            </w:r>
          </w:p>
        </w:tc>
      </w:tr>
    </w:tbl>
    <w:p>
      <w:pPr>
        <w:rPr>
          <w:noProof/>
        </w:rPr>
      </w:pPr>
      <w:bookmarkStart w:id="3" w:name="_Hlk168482925"/>
      <w:r>
        <w:rPr>
          <w:noProof/>
        </w:rPr>
        <w:t xml:space="preserve">1. Mer Ionienne </w:t>
      </w:r>
    </w:p>
    <w:p>
      <w:pPr>
        <w:rPr>
          <w:noProof/>
        </w:rPr>
      </w:pPr>
      <w:r>
        <w:rPr>
          <w:noProof/>
        </w:rPr>
        <w:t>a) Capacité maximale de la flotte, exprimée en nombre de navires, en kW et en GT, des chalutiers de fond autorisés à pêcher les stocks de crevettes de haute mer dans la mer Ionienne (SRG 19, 20 et 21)</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42"/>
        <w:gridCol w:w="1078"/>
        <w:gridCol w:w="3357"/>
        <w:gridCol w:w="1156"/>
        <w:gridCol w:w="1156"/>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État membre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Engin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Nombre de navires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Grèce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69 281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23 101</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 xml:space="preserve">291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72383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16853</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tbl>
    <w:bookmarkEnd w:id="3"/>
    <w:p>
      <w:pPr>
        <w:rPr>
          <w:noProof/>
        </w:rPr>
      </w:pPr>
      <w:r>
        <w:rPr>
          <w:noProof/>
        </w:rPr>
        <w:t>b) Niveau maximal des captures de gambon rouge (</w:t>
      </w:r>
      <w:r>
        <w:rPr>
          <w:i/>
          <w:iCs/>
          <w:noProof/>
        </w:rPr>
        <w:t>Aristaeomorpha foliacea</w:t>
      </w:r>
      <w:r>
        <w:rPr>
          <w:noProof/>
        </w:rPr>
        <w:t>) dans la mer Ionienne (SRG 19, 20 et 21), exprimé en tonnes de poids vif</w:t>
      </w:r>
    </w:p>
    <w:tbl>
      <w:tblPr>
        <w:tblW w:w="4997"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706"/>
        <w:gridCol w:w="3686"/>
        <w:gridCol w:w="3686"/>
      </w:tblGrid>
      <w:tr>
        <w:tc>
          <w:tcPr>
            <w:tcW w:w="940"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Espèce:</w:t>
            </w:r>
          </w:p>
        </w:tc>
        <w:tc>
          <w:tcPr>
            <w:tcW w:w="2030"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Gambon rouge </w:t>
            </w:r>
          </w:p>
          <w:p>
            <w:pPr>
              <w:rPr>
                <w:rFonts w:eastAsia="Times New Roman"/>
                <w:b/>
                <w:bCs/>
                <w:i/>
                <w:iCs/>
                <w:noProof/>
              </w:rPr>
            </w:pPr>
            <w:r>
              <w:rPr>
                <w:i/>
                <w:noProof/>
              </w:rPr>
              <w:t>Aristaeomorpha foliacea</w:t>
            </w:r>
          </w:p>
        </w:tc>
        <w:tc>
          <w:tcPr>
            <w:tcW w:w="2030"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Zone(s): SRG 19, 20 et 21 (ARS/GF19-21)</w:t>
            </w:r>
          </w:p>
        </w:tc>
      </w:tr>
      <w:tr>
        <w:tc>
          <w:tcPr>
            <w:tcW w:w="940" w:type="pct"/>
            <w:tcBorders>
              <w:top w:val="single" w:sz="4" w:space="0" w:color="auto"/>
              <w:left w:val="nil"/>
              <w:bottom w:val="nil"/>
              <w:right w:val="nil"/>
            </w:tcBorders>
            <w:shd w:val="clear" w:color="auto" w:fill="FFFFFF"/>
          </w:tcPr>
          <w:p>
            <w:pPr>
              <w:rPr>
                <w:rFonts w:eastAsia="Times New Roman"/>
                <w:noProof/>
              </w:rPr>
            </w:pPr>
            <w:r>
              <w:rPr>
                <w:noProof/>
                <w:sz w:val="22"/>
              </w:rPr>
              <w:t>Grèce</w:t>
            </w:r>
          </w:p>
        </w:tc>
        <w:tc>
          <w:tcPr>
            <w:tcW w:w="2030"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030" w:type="pct"/>
            <w:tcBorders>
              <w:top w:val="single" w:sz="4" w:space="0" w:color="auto"/>
              <w:left w:val="nil"/>
              <w:bottom w:val="nil"/>
              <w:right w:val="nil"/>
            </w:tcBorders>
            <w:shd w:val="clear" w:color="auto" w:fill="FFFFFF"/>
          </w:tcPr>
          <w:p>
            <w:pPr>
              <w:rPr>
                <w:rFonts w:eastAsia="Times New Roman"/>
                <w:noProof/>
              </w:rPr>
            </w:pPr>
            <w:r>
              <w:rPr>
                <w:noProof/>
                <w:sz w:val="22"/>
              </w:rPr>
              <w:t>Limite de capture analytique</w:t>
            </w:r>
          </w:p>
        </w:tc>
      </w:tr>
      <w:tr>
        <w:tc>
          <w:tcPr>
            <w:tcW w:w="940" w:type="pct"/>
            <w:tcBorders>
              <w:top w:val="nil"/>
              <w:left w:val="nil"/>
              <w:bottom w:val="nil"/>
              <w:right w:val="nil"/>
            </w:tcBorders>
            <w:shd w:val="clear" w:color="auto" w:fill="FFFFFF"/>
          </w:tcPr>
          <w:p>
            <w:pPr>
              <w:rPr>
                <w:noProof/>
              </w:rPr>
            </w:pPr>
            <w:r>
              <w:rPr>
                <w:noProof/>
              </w:rPr>
              <w:t>Italie</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rFonts w:eastAsia="Times New Roman"/>
                <w:noProof/>
              </w:rPr>
            </w:pPr>
            <w:r>
              <w:rPr>
                <w:noProof/>
              </w:rPr>
              <w:t>Malte</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Union</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TAC</w:t>
            </w:r>
          </w:p>
        </w:tc>
        <w:tc>
          <w:tcPr>
            <w:tcW w:w="2030" w:type="pct"/>
            <w:tcBorders>
              <w:top w:val="nil"/>
              <w:left w:val="nil"/>
              <w:bottom w:val="nil"/>
              <w:right w:val="nil"/>
            </w:tcBorders>
            <w:shd w:val="clear" w:color="auto" w:fill="FFFFFF"/>
          </w:tcPr>
          <w:p>
            <w:pPr>
              <w:rPr>
                <w:rFonts w:eastAsia="Times New Roman"/>
                <w:noProof/>
              </w:rPr>
            </w:pPr>
            <w:r>
              <w:rPr>
                <w:noProof/>
                <w:sz w:val="22"/>
              </w:rPr>
              <w:t>Sans objet</w:t>
            </w:r>
          </w:p>
        </w:tc>
        <w:tc>
          <w:tcPr>
            <w:tcW w:w="2030" w:type="pct"/>
            <w:tcBorders>
              <w:top w:val="nil"/>
              <w:left w:val="nil"/>
              <w:bottom w:val="nil"/>
              <w:right w:val="nil"/>
            </w:tcBorders>
            <w:shd w:val="clear" w:color="auto" w:fill="FFFFFF"/>
          </w:tcPr>
          <w:p>
            <w:pPr>
              <w:rPr>
                <w:rFonts w:eastAsia="Times New Roman"/>
                <w:noProof/>
              </w:rPr>
            </w:pPr>
          </w:p>
        </w:tc>
      </w:tr>
    </w:tbl>
    <w:p>
      <w:pPr>
        <w:rPr>
          <w:noProof/>
        </w:rPr>
      </w:pPr>
      <w:r>
        <w:rPr>
          <w:noProof/>
        </w:rPr>
        <w:t>c) Niveau maximal des captures de crevette rouge (</w:t>
      </w:r>
      <w:r>
        <w:rPr>
          <w:i/>
          <w:iCs/>
          <w:noProof/>
        </w:rPr>
        <w:t>Aristeus antennatus</w:t>
      </w:r>
      <w:r>
        <w:rPr>
          <w:noProof/>
        </w:rPr>
        <w:t>) dans la mer Ionienne (SRG 19, 20 et 21),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t>Espèce:</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Crevette rouge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Zone(s): SRG 19, 20 et 21 (ARA/GF19-21)</w:t>
            </w:r>
          </w:p>
        </w:tc>
      </w:tr>
      <w:tr>
        <w:tc>
          <w:tcPr>
            <w:tcW w:w="885"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lastRenderedPageBreak/>
              <w:t>Grèce</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Limite de capture analytique</w:t>
            </w:r>
          </w:p>
        </w:tc>
      </w:tr>
      <w:tr>
        <w:tc>
          <w:tcPr>
            <w:tcW w:w="885" w:type="pct"/>
            <w:tcBorders>
              <w:top w:val="nil"/>
              <w:left w:val="nil"/>
              <w:bottom w:val="nil"/>
              <w:right w:val="nil"/>
            </w:tcBorders>
            <w:shd w:val="clear" w:color="auto" w:fill="FFFFFF" w:themeFill="background1"/>
          </w:tcPr>
          <w:p>
            <w:pPr>
              <w:rPr>
                <w:noProof/>
              </w:rPr>
            </w:pPr>
            <w:r>
              <w:rPr>
                <w:noProof/>
              </w:rPr>
              <w:t>Italie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rFonts w:eastAsia="Times New Roman"/>
                <w:noProof/>
              </w:rPr>
            </w:pPr>
            <w:r>
              <w:rPr>
                <w:noProof/>
              </w:rPr>
              <w:t>Malte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TAC</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Sans objet</w:t>
            </w:r>
          </w:p>
        </w:tc>
        <w:tc>
          <w:tcPr>
            <w:tcW w:w="2204" w:type="pct"/>
            <w:tcBorders>
              <w:top w:val="nil"/>
              <w:left w:val="nil"/>
              <w:bottom w:val="nil"/>
              <w:right w:val="nil"/>
            </w:tcBorders>
            <w:shd w:val="clear" w:color="auto" w:fill="FFFFFF" w:themeFill="background1"/>
          </w:tcPr>
          <w:p>
            <w:pPr>
              <w:rPr>
                <w:rFonts w:eastAsia="Times New Roman"/>
                <w:noProof/>
              </w:rPr>
            </w:pPr>
          </w:p>
        </w:tc>
      </w:tr>
    </w:tbl>
    <w:p>
      <w:pPr>
        <w:rPr>
          <w:noProof/>
        </w:rPr>
      </w:pPr>
    </w:p>
    <w:p>
      <w:pPr>
        <w:rPr>
          <w:noProof/>
        </w:rPr>
      </w:pPr>
      <w:bookmarkStart w:id="4" w:name="_Hlk168482985"/>
      <w:r>
        <w:rPr>
          <w:noProof/>
        </w:rPr>
        <w:t xml:space="preserve">2. Mer du Levant </w:t>
      </w:r>
    </w:p>
    <w:p>
      <w:pPr>
        <w:rPr>
          <w:noProof/>
        </w:rPr>
      </w:pPr>
      <w:r>
        <w:rPr>
          <w:noProof/>
        </w:rPr>
        <w:t>a) Mapacité maximale de la flotte, exprimée en nombre de navires, en kW et en GT, des chalutiers de fond autorisés à pêcher les stocks de crevettes de haute mer dans la mer du Levant (SRG 24, 25, 26 et 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53"/>
        <w:gridCol w:w="1129"/>
        <w:gridCol w:w="3515"/>
        <w:gridCol w:w="1103"/>
        <w:gridCol w:w="889"/>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État membre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Engin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Nombre de navires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Chypre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 xml:space="preserve">34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15345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5542</w:t>
            </w:r>
          </w:p>
        </w:tc>
      </w:tr>
      <w:bookmarkEnd w:id="4"/>
    </w:tbl>
    <w:p>
      <w:pPr>
        <w:rPr>
          <w:noProof/>
        </w:rPr>
      </w:pPr>
    </w:p>
    <w:p>
      <w:pPr>
        <w:rPr>
          <w:noProof/>
        </w:rPr>
      </w:pPr>
      <w:r>
        <w:rPr>
          <w:noProof/>
        </w:rPr>
        <w:t>b) Niveau maximal des captures de gambon rouge (</w:t>
      </w:r>
      <w:r>
        <w:rPr>
          <w:i/>
          <w:iCs/>
          <w:noProof/>
        </w:rPr>
        <w:t>Aristaeomorpha foliacea</w:t>
      </w:r>
      <w:r>
        <w:rPr>
          <w:noProof/>
        </w:rPr>
        <w:t>) dans la mer du Levant (SRG 24, 25, 26 et 27),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Espèce:</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Gambon rouge </w:t>
            </w:r>
          </w:p>
          <w:p>
            <w:pPr>
              <w:rPr>
                <w:rFonts w:eastAsia="Times New Roman"/>
                <w:b/>
                <w:bCs/>
                <w:i/>
                <w:iCs/>
                <w:noProof/>
              </w:rPr>
            </w:pPr>
            <w:r>
              <w:rPr>
                <w:i/>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Zone(s): </w:t>
            </w:r>
            <w:r>
              <w:rPr>
                <w:b/>
                <w:noProof/>
              </w:rPr>
              <w:t>SRG 24, 25, 26 et 27 (ARS/GF24-27)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Italie</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Limite de capture de précaution</w:t>
            </w:r>
          </w:p>
        </w:tc>
      </w:tr>
      <w:tr>
        <w:tc>
          <w:tcPr>
            <w:tcW w:w="885" w:type="pct"/>
            <w:tcBorders>
              <w:top w:val="nil"/>
              <w:left w:val="nil"/>
              <w:bottom w:val="nil"/>
              <w:right w:val="nil"/>
            </w:tcBorders>
            <w:shd w:val="clear" w:color="auto" w:fill="FFFFFF"/>
          </w:tcPr>
          <w:p>
            <w:pPr>
              <w:rPr>
                <w:noProof/>
              </w:rPr>
            </w:pPr>
            <w:r>
              <w:rPr>
                <w:noProof/>
              </w:rPr>
              <w:t>Chypre</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Sans objet</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p>
    <w:p>
      <w:pPr>
        <w:rPr>
          <w:noProof/>
        </w:rPr>
      </w:pPr>
      <w:r>
        <w:rPr>
          <w:noProof/>
        </w:rPr>
        <w:t>c) Niveau maximal des captures de crevette rouge (</w:t>
      </w:r>
      <w:r>
        <w:rPr>
          <w:i/>
          <w:iCs/>
          <w:noProof/>
        </w:rPr>
        <w:t>Aristeus antennatus</w:t>
      </w:r>
      <w:r>
        <w:rPr>
          <w:noProof/>
        </w:rPr>
        <w:t>) dans la mer du Levant (SRG 24, 25, 26 et 27), exprimé en tonnes de poids vif</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Espèce:</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Crevette rouge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Zone(s): </w:t>
            </w:r>
            <w:r>
              <w:rPr>
                <w:b/>
                <w:noProof/>
              </w:rPr>
              <w:t>SRG 24, 25, 26 et 27 (ARA/GF24-27)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Italie</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Limite de capture de précaution</w:t>
            </w:r>
          </w:p>
        </w:tc>
      </w:tr>
      <w:tr>
        <w:tc>
          <w:tcPr>
            <w:tcW w:w="885" w:type="pct"/>
            <w:tcBorders>
              <w:top w:val="nil"/>
              <w:left w:val="nil"/>
              <w:bottom w:val="nil"/>
              <w:right w:val="nil"/>
            </w:tcBorders>
            <w:shd w:val="clear" w:color="auto" w:fill="FFFFFF"/>
          </w:tcPr>
          <w:p>
            <w:pPr>
              <w:rPr>
                <w:noProof/>
              </w:rPr>
            </w:pPr>
            <w:r>
              <w:rPr>
                <w:noProof/>
              </w:rPr>
              <w:t>Chypre</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Sans objet</w:t>
            </w:r>
          </w:p>
        </w:tc>
        <w:tc>
          <w:tcPr>
            <w:tcW w:w="2204" w:type="pct"/>
            <w:tcBorders>
              <w:top w:val="nil"/>
              <w:left w:val="nil"/>
              <w:bottom w:val="nil"/>
              <w:right w:val="nil"/>
            </w:tcBorders>
            <w:shd w:val="clear" w:color="auto" w:fill="FFFFFF"/>
          </w:tcPr>
          <w:p>
            <w:pPr>
              <w:rPr>
                <w:rFonts w:eastAsia="Times New Roman"/>
                <w:noProof/>
              </w:rPr>
            </w:pPr>
          </w:p>
        </w:tc>
      </w:tr>
    </w:tbl>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VIII</w:t>
      </w:r>
    </w:p>
    <w:p>
      <w:pPr>
        <w:jc w:val="center"/>
        <w:rPr>
          <w:b/>
          <w:bCs/>
          <w:noProof/>
        </w:rPr>
      </w:pPr>
      <w:r>
        <w:rPr>
          <w:b/>
          <w:noProof/>
        </w:rPr>
        <w:t>POSSIBILITÉS DE PÊCHE POUR LES NAVIRES DE PÊCHE DE L’UNION DANS LA MER D’ALBORAN</w:t>
      </w:r>
    </w:p>
    <w:p>
      <w:pPr>
        <w:rPr>
          <w:b/>
          <w:bCs/>
          <w:noProof/>
        </w:rPr>
      </w:pPr>
    </w:p>
    <w:p>
      <w:pPr>
        <w:rPr>
          <w:rFonts w:eastAsia="Times New Roman"/>
          <w:noProof/>
          <w:szCs w:val="24"/>
        </w:rPr>
      </w:pPr>
      <w:r>
        <w:rPr>
          <w:noProof/>
        </w:rPr>
        <w:t>Les tableaux de la présente annexe indiquent le nombre maximal de navires de pêche de l’Union autorisés à pêcher la dorade rose en mer d’Alboran ainsi que le niveau maximal de captures.</w:t>
      </w:r>
    </w:p>
    <w:p>
      <w:pPr>
        <w:spacing w:line="360" w:lineRule="auto"/>
        <w:rPr>
          <w:rFonts w:eastAsia="Times New Roman"/>
          <w:noProof/>
          <w:szCs w:val="24"/>
        </w:rPr>
      </w:pPr>
      <w:r>
        <w:rPr>
          <w:noProof/>
        </w:rPr>
        <w:t>Les zones de pêche auxquelles il est fait référence correspondent aux SRG de la CGPM.</w:t>
      </w:r>
    </w:p>
    <w:p>
      <w:pPr>
        <w:spacing w:line="360" w:lineRule="auto"/>
        <w:rPr>
          <w:rFonts w:eastAsia="Times New Roman"/>
          <w:noProof/>
          <w:szCs w:val="24"/>
        </w:rPr>
      </w:pPr>
      <w:r>
        <w:rPr>
          <w:noProof/>
        </w:rPr>
        <w:t>Aux fins de la présente annexe, le tableau suivant met en correspondance les noms latins et les noms communs des stocks halieutiques:</w:t>
      </w:r>
    </w:p>
    <w:tbl>
      <w:tblPr>
        <w:tblW w:w="0" w:type="auto"/>
        <w:tblInd w:w="-105" w:type="dxa"/>
        <w:tblLook w:val="04A0" w:firstRow="1" w:lastRow="0" w:firstColumn="1" w:lastColumn="0" w:noHBand="0" w:noVBand="1"/>
      </w:tblPr>
      <w:tblGrid>
        <w:gridCol w:w="3075"/>
        <w:gridCol w:w="3075"/>
        <w:gridCol w:w="3075"/>
      </w:tblGrid>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Nom scientifique</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Code alpha-3</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Nom commun</w:t>
            </w:r>
          </w:p>
        </w:tc>
      </w:tr>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i/>
                <w:iCs/>
                <w:noProof/>
                <w:szCs w:val="24"/>
              </w:rPr>
            </w:pPr>
            <w:r>
              <w:rPr>
                <w:i/>
                <w:noProof/>
              </w:rPr>
              <w:t>Pagellus boraraveo</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noProof/>
                <w:szCs w:val="24"/>
              </w:rPr>
            </w:pPr>
            <w:r>
              <w:rPr>
                <w:noProof/>
              </w:rPr>
              <w:t>SBR</w:t>
            </w:r>
          </w:p>
        </w:tc>
        <w:tc>
          <w:tcPr>
            <w:tcW w:w="3075" w:type="dxa"/>
            <w:tcBorders>
              <w:top w:val="single" w:sz="8" w:space="0" w:color="auto"/>
              <w:left w:val="single" w:sz="8" w:space="0" w:color="auto"/>
              <w:bottom w:val="single" w:sz="8" w:space="0" w:color="auto"/>
              <w:right w:val="single" w:sz="8" w:space="0" w:color="auto"/>
            </w:tcBorders>
          </w:tcPr>
          <w:p>
            <w:pPr>
              <w:spacing w:after="96" w:line="257" w:lineRule="auto"/>
              <w:ind w:left="6" w:right="769"/>
              <w:jc w:val="center"/>
              <w:rPr>
                <w:rFonts w:eastAsia="Times New Roman"/>
                <w:noProof/>
                <w:szCs w:val="24"/>
              </w:rPr>
            </w:pPr>
            <w:r>
              <w:rPr>
                <w:noProof/>
              </w:rPr>
              <w:t>Dorade rose</w:t>
            </w:r>
          </w:p>
        </w:tc>
      </w:tr>
    </w:tbl>
    <w:p>
      <w:pPr>
        <w:spacing w:line="257" w:lineRule="auto"/>
        <w:ind w:left="10" w:right="344"/>
        <w:rPr>
          <w:rFonts w:eastAsia="Times New Roman"/>
          <w:noProof/>
          <w:color w:val="000000" w:themeColor="text1"/>
          <w:szCs w:val="24"/>
        </w:rPr>
      </w:pPr>
    </w:p>
    <w:p>
      <w:pPr>
        <w:spacing w:line="257" w:lineRule="auto"/>
        <w:ind w:left="10" w:right="344"/>
        <w:rPr>
          <w:rFonts w:eastAsia="Times New Roman"/>
          <w:noProof/>
          <w:color w:val="000000" w:themeColor="text1"/>
          <w:szCs w:val="24"/>
        </w:rPr>
      </w:pPr>
      <w:r>
        <w:rPr>
          <w:noProof/>
        </w:rPr>
        <w:t>a) Niveau maximal des captures effectuées à la palangre et à la ligne à main, exprimé en tonnes de poids vif</w:t>
      </w:r>
    </w:p>
    <w:tbl>
      <w:tblPr>
        <w:tblW w:w="0" w:type="auto"/>
        <w:tblLook w:val="04A0" w:firstRow="1" w:lastRow="0" w:firstColumn="1" w:lastColumn="0" w:noHBand="0" w:noVBand="1"/>
      </w:tblPr>
      <w:tblGrid>
        <w:gridCol w:w="1994"/>
        <w:gridCol w:w="3681"/>
        <w:gridCol w:w="3621"/>
      </w:tblGrid>
      <w:tr>
        <w:trPr>
          <w:trHeight w:val="108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before="0" w:after="0" w:line="257" w:lineRule="auto"/>
              <w:ind w:left="5" w:right="769"/>
              <w:jc w:val="center"/>
              <w:rPr>
                <w:rFonts w:eastAsia="Times New Roman"/>
                <w:noProof/>
                <w:color w:val="000000" w:themeColor="text1"/>
                <w:szCs w:val="24"/>
              </w:rPr>
            </w:pPr>
            <w:r>
              <w:rPr>
                <w:noProof/>
                <w:color w:val="000000" w:themeColor="text1"/>
              </w:rPr>
              <w:t xml:space="preserve">Espèce </w:t>
            </w:r>
          </w:p>
        </w:tc>
        <w:tc>
          <w:tcPr>
            <w:tcW w:w="36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after="96" w:line="257" w:lineRule="auto"/>
              <w:ind w:left="6" w:right="769"/>
              <w:jc w:val="center"/>
              <w:rPr>
                <w:rFonts w:eastAsia="Times New Roman"/>
                <w:noProof/>
                <w:color w:val="000000" w:themeColor="text1"/>
                <w:szCs w:val="24"/>
              </w:rPr>
            </w:pPr>
            <w:r>
              <w:rPr>
                <w:noProof/>
                <w:color w:val="000000" w:themeColor="text1"/>
              </w:rPr>
              <w:t xml:space="preserve">Dorade rose </w:t>
            </w:r>
          </w:p>
          <w:p>
            <w:pPr>
              <w:spacing w:before="0" w:after="0" w:line="257" w:lineRule="auto"/>
              <w:ind w:left="7" w:right="769"/>
              <w:jc w:val="center"/>
              <w:rPr>
                <w:rFonts w:eastAsia="Times New Roman"/>
                <w:i/>
                <w:iCs/>
                <w:noProof/>
                <w:color w:val="000000" w:themeColor="text1"/>
                <w:szCs w:val="24"/>
              </w:rPr>
            </w:pPr>
            <w:r>
              <w:rPr>
                <w:i/>
                <w:noProof/>
                <w:color w:val="000000" w:themeColor="text1"/>
              </w:rPr>
              <w:t>Pagellus boraraveo</w:t>
            </w:r>
          </w:p>
        </w:tc>
        <w:tc>
          <w:tcPr>
            <w:tcW w:w="3621" w:type="dxa"/>
            <w:tcBorders>
              <w:top w:val="single" w:sz="8" w:space="0" w:color="000000" w:themeColor="text1"/>
              <w:left w:val="single" w:sz="8" w:space="0" w:color="000000" w:themeColor="text1"/>
              <w:bottom w:val="single" w:sz="2" w:space="0" w:color="000000" w:themeColor="text1"/>
              <w:right w:val="single" w:sz="8" w:space="0" w:color="000000" w:themeColor="text1"/>
            </w:tcBorders>
            <w:tcMar>
              <w:top w:w="177" w:type="dxa"/>
              <w:left w:w="108" w:type="dxa"/>
              <w:bottom w:w="10" w:type="dxa"/>
              <w:right w:w="115" w:type="dxa"/>
            </w:tcMar>
            <w:vAlign w:val="bottom"/>
          </w:tcPr>
          <w:p>
            <w:pPr>
              <w:spacing w:before="0" w:after="0" w:line="257" w:lineRule="auto"/>
              <w:ind w:left="7" w:right="142"/>
              <w:jc w:val="center"/>
              <w:rPr>
                <w:rFonts w:eastAsia="Times New Roman"/>
                <w:noProof/>
                <w:color w:val="000000" w:themeColor="text1"/>
                <w:szCs w:val="24"/>
              </w:rPr>
            </w:pPr>
            <w:r>
              <w:rPr>
                <w:noProof/>
                <w:color w:val="000000" w:themeColor="text1"/>
              </w:rPr>
              <w:t xml:space="preserve">Zone(s): Eaux de l’Union de la </w:t>
            </w:r>
          </w:p>
          <w:p>
            <w:pPr>
              <w:spacing w:after="96" w:line="257" w:lineRule="auto"/>
              <w:ind w:left="5" w:right="142"/>
              <w:jc w:val="center"/>
              <w:rPr>
                <w:rFonts w:eastAsia="Times New Roman"/>
                <w:noProof/>
                <w:color w:val="000000" w:themeColor="text1"/>
                <w:szCs w:val="24"/>
                <w:lang w:val="sv-SE"/>
              </w:rPr>
            </w:pPr>
            <w:r>
              <w:rPr>
                <w:noProof/>
                <w:lang w:val="sv-SE"/>
              </w:rPr>
              <w:t xml:space="preserve">mer d’Alboran – SRG 1, 2 et 3 </w:t>
            </w:r>
          </w:p>
          <w:p>
            <w:pPr>
              <w:spacing w:before="0" w:after="0" w:line="257" w:lineRule="auto"/>
              <w:ind w:left="3"/>
              <w:jc w:val="center"/>
              <w:rPr>
                <w:rFonts w:eastAsia="Times New Roman"/>
                <w:noProof/>
                <w:color w:val="000000" w:themeColor="text1"/>
                <w:szCs w:val="24"/>
                <w:lang w:val="sv-SE"/>
              </w:rPr>
            </w:pPr>
            <w:r>
              <w:rPr>
                <w:noProof/>
                <w:color w:val="000000" w:themeColor="text1"/>
                <w:lang w:val="sv-SE"/>
              </w:rPr>
              <w:t xml:space="preserve">(SBR/GF1-3)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Espagne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noProof/>
              </w:rPr>
              <w:t>p.m.</w:t>
            </w:r>
          </w:p>
        </w:tc>
        <w:tc>
          <w:tcPr>
            <w:tcW w:w="3621" w:type="dxa"/>
            <w:vMerge w:val="restart"/>
            <w:tcBorders>
              <w:top w:val="single" w:sz="2" w:space="0" w:color="000000" w:themeColor="text1"/>
              <w:left w:val="single" w:sz="2" w:space="0" w:color="000000" w:themeColor="text1"/>
              <w:bottom w:val="single" w:sz="2" w:space="0" w:color="000000" w:themeColor="text1"/>
              <w:right w:val="single" w:sz="2" w:space="0" w:color="000000" w:themeColor="text1"/>
            </w:tcBorders>
            <w:tcMar>
              <w:top w:w="177" w:type="dxa"/>
              <w:left w:w="108" w:type="dxa"/>
              <w:bottom w:w="10" w:type="dxa"/>
              <w:right w:w="115" w:type="dxa"/>
            </w:tcMar>
          </w:tcPr>
          <w:p>
            <w:pPr>
              <w:spacing w:after="355" w:line="257" w:lineRule="auto"/>
              <w:ind w:left="68" w:right="769"/>
              <w:jc w:val="center"/>
              <w:rPr>
                <w:rFonts w:eastAsia="Times New Roman"/>
                <w:noProof/>
                <w:color w:val="000000" w:themeColor="text1"/>
                <w:szCs w:val="24"/>
              </w:rPr>
            </w:pPr>
            <w:r>
              <w:rPr>
                <w:noProof/>
                <w:color w:val="000000" w:themeColor="text1"/>
              </w:rPr>
              <w:t xml:space="preserve"> </w:t>
            </w:r>
          </w:p>
          <w:p>
            <w:pPr>
              <w:spacing w:after="352" w:line="257" w:lineRule="auto"/>
              <w:ind w:left="68" w:right="769"/>
              <w:jc w:val="center"/>
              <w:rPr>
                <w:rFonts w:eastAsia="Times New Roman"/>
                <w:noProof/>
                <w:color w:val="000000" w:themeColor="text1"/>
                <w:szCs w:val="24"/>
              </w:rPr>
            </w:pPr>
            <w:r>
              <w:rPr>
                <w:noProof/>
                <w:color w:val="000000" w:themeColor="text1"/>
              </w:rPr>
              <w:t xml:space="preserve"> </w:t>
            </w:r>
          </w:p>
          <w:p>
            <w:pPr>
              <w:spacing w:before="0" w:after="0" w:line="257" w:lineRule="auto"/>
              <w:ind w:left="3" w:right="769"/>
              <w:jc w:val="center"/>
              <w:rPr>
                <w:rFonts w:eastAsia="Times New Roman"/>
                <w:noProof/>
                <w:color w:val="000000" w:themeColor="text1"/>
                <w:szCs w:val="24"/>
              </w:rPr>
            </w:pPr>
            <w:r>
              <w:rPr>
                <w:noProof/>
                <w:color w:val="000000" w:themeColor="text1"/>
              </w:rPr>
              <w:t xml:space="preserve">Niveau maximal des captures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Union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noProof/>
              </w:rPr>
              <w:t>p.m.</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TAC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2" w:right="769"/>
              <w:jc w:val="right"/>
              <w:rPr>
                <w:rFonts w:eastAsia="Times New Roman"/>
                <w:noProof/>
                <w:color w:val="000000" w:themeColor="text1"/>
                <w:szCs w:val="24"/>
              </w:rPr>
            </w:pPr>
            <w:r>
              <w:rPr>
                <w:noProof/>
                <w:color w:val="000000" w:themeColor="text1"/>
              </w:rPr>
              <w:t xml:space="preserve">Sans objet </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bl>
    <w:p>
      <w:pPr>
        <w:spacing w:after="365" w:line="245" w:lineRule="auto"/>
        <w:ind w:right="769"/>
        <w:rPr>
          <w:rFonts w:eastAsia="Times New Roman"/>
          <w:noProof/>
          <w:color w:val="000000" w:themeColor="text1"/>
          <w:szCs w:val="24"/>
        </w:rPr>
      </w:pPr>
      <w:r>
        <w:rPr>
          <w:noProof/>
          <w:color w:val="000000" w:themeColor="text1"/>
        </w:rPr>
        <w:t xml:space="preserve"> </w:t>
      </w:r>
    </w:p>
    <w:p>
      <w:pPr>
        <w:spacing w:after="365" w:line="245" w:lineRule="auto"/>
        <w:ind w:right="769"/>
        <w:rPr>
          <w:rFonts w:eastAsia="Times New Roman"/>
          <w:noProof/>
          <w:color w:val="000000" w:themeColor="text1"/>
          <w:szCs w:val="24"/>
        </w:rPr>
      </w:pPr>
      <w:r>
        <w:rPr>
          <w:noProof/>
          <w:color w:val="000000" w:themeColor="text1"/>
        </w:rPr>
        <w:t>b) Nombre maximal de palangriers et de lignes à main autorisés à pêcher dans la mer d’Alboran (SRG 1, 2 et 3)</w:t>
      </w:r>
    </w:p>
    <w:tbl>
      <w:tblPr>
        <w:tblStyle w:val="TableGrid"/>
        <w:tblW w:w="0" w:type="auto"/>
        <w:tblLook w:val="04A0" w:firstRow="1" w:lastRow="0" w:firstColumn="1" w:lastColumn="0" w:noHBand="0" w:noVBand="1"/>
      </w:tblPr>
      <w:tblGrid>
        <w:gridCol w:w="3083"/>
        <w:gridCol w:w="6206"/>
      </w:tblGrid>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État membre</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Dorade rose dans les SRG 1, 2 et 3</w:t>
            </w:r>
          </w:p>
        </w:tc>
      </w:tr>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 xml:space="preserve">Espagne </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82</w:t>
            </w:r>
          </w:p>
        </w:tc>
      </w:tr>
    </w:tbl>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IX</w:t>
      </w:r>
    </w:p>
    <w:p>
      <w:pPr>
        <w:jc w:val="center"/>
        <w:rPr>
          <w:b/>
          <w:bCs/>
          <w:noProof/>
        </w:rPr>
      </w:pPr>
      <w:r>
        <w:rPr>
          <w:b/>
          <w:noProof/>
        </w:rPr>
        <w:t>POSSIBILITÉS DE PÊCHE POUR LES NAVIRES DE PÊCHE DE L’UNION DANS LA MER NOIRE</w:t>
      </w:r>
    </w:p>
    <w:p>
      <w:pPr>
        <w:rPr>
          <w:rFonts w:eastAsia="Times New Roman"/>
          <w:noProof/>
          <w:sz w:val="20"/>
          <w:szCs w:val="20"/>
        </w:rPr>
      </w:pPr>
    </w:p>
    <w:p>
      <w:pPr>
        <w:rPr>
          <w:rFonts w:eastAsia="Times New Roman"/>
          <w:noProof/>
          <w:szCs w:val="24"/>
        </w:rPr>
      </w:pPr>
      <w:r>
        <w:rPr>
          <w:noProof/>
        </w:rPr>
        <w:t>Les tableaux de la présente annexe établissent les TAC et quotas exprimés en tonnes de poids vif par stock, ainsi que, le cas échéant, les conditions qui leur sont liées sur le plan fonctionnel.</w:t>
      </w:r>
    </w:p>
    <w:p>
      <w:pPr>
        <w:rPr>
          <w:rFonts w:eastAsia="Times New Roman"/>
          <w:noProof/>
          <w:szCs w:val="24"/>
        </w:rPr>
      </w:pPr>
      <w:r>
        <w:rPr>
          <w:noProof/>
        </w:rPr>
        <w:t>Toutes les possibilités de pêche établies dans la présente annexe sont soumises aux règles prévues aux articles 26 à 35 du règlement (CE) nº 1224/2009.</w:t>
      </w:r>
    </w:p>
    <w:p>
      <w:pPr>
        <w:rPr>
          <w:rFonts w:eastAsia="Times New Roman"/>
          <w:noProof/>
          <w:szCs w:val="24"/>
        </w:rPr>
      </w:pPr>
      <w:r>
        <w:rPr>
          <w:noProof/>
        </w:rPr>
        <w:t>Les zones de pêche auxquelles il est fait référence correspondent aux SRG de la CGPM.</w:t>
      </w:r>
    </w:p>
    <w:p>
      <w:pPr>
        <w:rPr>
          <w:rFonts w:eastAsia="Times New Roman"/>
          <w:noProof/>
          <w:szCs w:val="24"/>
        </w:rPr>
      </w:pPr>
      <w:r>
        <w:rPr>
          <w:noProof/>
        </w:rPr>
        <w:t>Aux fins de la présente annexe, le tableau suivant met en correspondance les noms latins et les noms communs:</w:t>
      </w:r>
    </w:p>
    <w:p>
      <w:pPr>
        <w:rPr>
          <w:rFonts w:eastAsia="Times New Roman"/>
          <w:noProof/>
          <w:sz w:val="20"/>
          <w:szCs w:val="20"/>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038"/>
        <w:gridCol w:w="2454"/>
        <w:gridCol w:w="2597"/>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scientifique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Code alpha-3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Nom commun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SPR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Sprat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Scophthalmus maximus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TUR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Turbot</w:t>
            </w:r>
          </w:p>
        </w:tc>
      </w:tr>
    </w:tbl>
    <w:p>
      <w:pPr>
        <w:rPr>
          <w:rFonts w:eastAsia="Times New Roman"/>
          <w:noProof/>
          <w:sz w:val="20"/>
          <w:szCs w:val="20"/>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84"/>
        <w:gridCol w:w="1927"/>
        <w:gridCol w:w="105"/>
        <w:gridCol w:w="1105"/>
        <w:gridCol w:w="4668"/>
      </w:tblGrid>
      <w:tr>
        <w:tc>
          <w:tcPr>
            <w:tcW w:w="706" w:type="pct"/>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b/>
                <w:noProof/>
                <w:sz w:val="22"/>
              </w:rPr>
              <w:t>Espèce</w:t>
            </w:r>
          </w:p>
        </w:tc>
        <w:tc>
          <w:tcPr>
            <w:tcW w:w="1118" w:type="pct"/>
            <w:gridSpan w:val="2"/>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b/>
                <w:noProof/>
                <w:sz w:val="22"/>
              </w:rPr>
              <w:t>Sprat</w:t>
            </w:r>
          </w:p>
          <w:p>
            <w:pPr>
              <w:rPr>
                <w:rFonts w:eastAsia="Times New Roman"/>
                <w:b/>
                <w:bCs/>
                <w:noProof/>
              </w:rPr>
            </w:pPr>
            <w:r>
              <w:rPr>
                <w:b/>
                <w:i/>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Zone(s):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Eaux de l’Union de la mer Noire – SRG 29</w:t>
            </w:r>
          </w:p>
          <w:p>
            <w:pPr>
              <w:rPr>
                <w:rFonts w:eastAsia="Times New Roman"/>
                <w:b/>
                <w:bCs/>
                <w:noProof/>
              </w:rPr>
            </w:pPr>
            <w:r>
              <w:rPr>
                <w:b/>
                <w:noProof/>
                <w:sz w:val="22"/>
              </w:rPr>
              <w:t>(SPR/F3742C)</w:t>
            </w:r>
          </w:p>
        </w:tc>
      </w:tr>
      <w:tr>
        <w:tc>
          <w:tcPr>
            <w:tcW w:w="706" w:type="pct"/>
            <w:tcBorders>
              <w:top w:val="single" w:sz="4" w:space="0" w:color="auto"/>
              <w:left w:val="single" w:sz="4" w:space="0" w:color="auto"/>
              <w:bottom w:val="single" w:sz="6" w:space="0" w:color="000000"/>
              <w:right w:val="single" w:sz="6" w:space="0" w:color="000000"/>
            </w:tcBorders>
            <w:shd w:val="clear" w:color="auto" w:fill="FFFFFF"/>
            <w:hideMark/>
          </w:tcPr>
          <w:p>
            <w:pPr>
              <w:rPr>
                <w:rFonts w:eastAsia="Times New Roman"/>
                <w:noProof/>
              </w:rPr>
            </w:pPr>
            <w:r>
              <w:rPr>
                <w:noProof/>
                <w:sz w:val="22"/>
              </w:rPr>
              <w:t>Bulgarie</w:t>
            </w:r>
          </w:p>
        </w:tc>
        <w:tc>
          <w:tcPr>
            <w:tcW w:w="1060" w:type="pct"/>
            <w:tcBorders>
              <w:top w:val="single" w:sz="4" w:space="0" w:color="auto"/>
              <w:left w:val="single" w:sz="6" w:space="0" w:color="000000"/>
              <w:bottom w:val="single" w:sz="6" w:space="0" w:color="000000"/>
              <w:right w:val="single" w:sz="6" w:space="0" w:color="000000"/>
            </w:tcBorders>
            <w:hideMark/>
          </w:tcPr>
          <w:p>
            <w:pPr>
              <w:rPr>
                <w:rFonts w:eastAsia="Times New Roman"/>
                <w:noProof/>
              </w:rPr>
            </w:pPr>
            <w:r>
              <w:rPr>
                <w:noProof/>
                <w:sz w:val="22"/>
              </w:rPr>
              <w:t>8 032,50</w:t>
            </w:r>
          </w:p>
        </w:tc>
        <w:tc>
          <w:tcPr>
            <w:tcW w:w="58" w:type="pct"/>
            <w:tcBorders>
              <w:top w:val="single" w:sz="4" w:space="0" w:color="auto"/>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val="restart"/>
            <w:tcBorders>
              <w:top w:val="single" w:sz="6" w:space="0" w:color="000000"/>
              <w:left w:val="single" w:sz="4" w:space="0" w:color="auto"/>
              <w:bottom w:val="single" w:sz="6" w:space="0" w:color="000000"/>
              <w:right w:val="single" w:sz="6" w:space="0" w:color="000000"/>
            </w:tcBorders>
            <w:shd w:val="clear" w:color="auto" w:fill="FFFFFF"/>
            <w:hideMark/>
          </w:tcPr>
          <w:p>
            <w:pPr>
              <w:rPr>
                <w:noProof/>
                <w:szCs w:val="24"/>
              </w:rPr>
            </w:pPr>
            <w:r>
              <w:rPr>
                <w:noProof/>
                <w:szCs w:val="24"/>
              </w:rPr>
              <w:t xml:space="preserve">TAC analytique </w:t>
            </w:r>
          </w:p>
          <w:p>
            <w:pPr>
              <w:rPr>
                <w:rFonts w:eastAsia="Times New Roman"/>
                <w:noProof/>
                <w:szCs w:val="24"/>
              </w:rPr>
            </w:pPr>
            <w:r>
              <w:rPr>
                <w:noProof/>
                <w:szCs w:val="24"/>
              </w:rPr>
              <w:t>L’article 3, paragraphes 2 et 3, du règlement (CE) nº 847/96 ne s’applique pas.</w:t>
            </w:r>
          </w:p>
          <w:p>
            <w:pPr>
              <w:rPr>
                <w:rFonts w:eastAsia="Times New Roman"/>
                <w:noProof/>
              </w:rPr>
            </w:pPr>
            <w:r>
              <w:rPr>
                <w:noProof/>
                <w:szCs w:val="24"/>
              </w:rPr>
              <w:t>L’article 4 du règlement (CE) no 847/96 ne s’applique pas.</w:t>
            </w:r>
          </w:p>
        </w:tc>
      </w:tr>
      <w:tr>
        <w:tc>
          <w:tcPr>
            <w:tcW w:w="706" w:type="pct"/>
            <w:tcBorders>
              <w:top w:val="single" w:sz="6" w:space="0" w:color="000000"/>
              <w:left w:val="single" w:sz="4" w:space="0" w:color="auto"/>
              <w:bottom w:val="single" w:sz="6" w:space="0" w:color="000000"/>
              <w:right w:val="single" w:sz="6" w:space="0" w:color="000000"/>
            </w:tcBorders>
            <w:shd w:val="clear" w:color="auto" w:fill="FFFFFF"/>
            <w:hideMark/>
          </w:tcPr>
          <w:p>
            <w:pPr>
              <w:rPr>
                <w:rFonts w:eastAsia="Times New Roman"/>
                <w:noProof/>
              </w:rPr>
            </w:pPr>
            <w:r>
              <w:rPr>
                <w:noProof/>
                <w:sz w:val="22"/>
              </w:rPr>
              <w:t>Roumanie</w:t>
            </w:r>
          </w:p>
        </w:tc>
        <w:tc>
          <w:tcPr>
            <w:tcW w:w="1060" w:type="pct"/>
            <w:tcBorders>
              <w:top w:val="single" w:sz="6" w:space="0" w:color="000000"/>
              <w:left w:val="single" w:sz="6" w:space="0" w:color="000000"/>
              <w:bottom w:val="single" w:sz="6" w:space="0" w:color="000000"/>
              <w:right w:val="single" w:sz="6" w:space="0" w:color="000000"/>
            </w:tcBorders>
            <w:hideMark/>
          </w:tcPr>
          <w:p>
            <w:pPr>
              <w:rPr>
                <w:rFonts w:eastAsia="Times New Roman"/>
                <w:noProof/>
              </w:rPr>
            </w:pPr>
            <w:r>
              <w:rPr>
                <w:noProof/>
                <w:sz w:val="22"/>
              </w:rPr>
              <w:t>3 442,50</w:t>
            </w:r>
          </w:p>
        </w:tc>
        <w:tc>
          <w:tcPr>
            <w:tcW w:w="58" w:type="pct"/>
            <w:tcBorders>
              <w:top w:val="single" w:sz="6" w:space="0" w:color="000000"/>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6" w:space="0" w:color="000000"/>
              <w:left w:val="single" w:sz="4" w:space="0" w:color="auto"/>
              <w:bottom w:val="single" w:sz="4" w:space="0" w:color="auto"/>
              <w:right w:val="single" w:sz="6" w:space="0" w:color="000000"/>
            </w:tcBorders>
            <w:shd w:val="clear" w:color="auto" w:fill="FFFFFF"/>
            <w:hideMark/>
          </w:tcPr>
          <w:p>
            <w:pPr>
              <w:rPr>
                <w:rFonts w:eastAsia="Times New Roman"/>
                <w:noProof/>
              </w:rPr>
            </w:pPr>
            <w:r>
              <w:rPr>
                <w:noProof/>
                <w:sz w:val="22"/>
              </w:rPr>
              <w:t>Union</w:t>
            </w:r>
          </w:p>
        </w:tc>
        <w:tc>
          <w:tcPr>
            <w:tcW w:w="1060" w:type="pct"/>
            <w:tcBorders>
              <w:top w:val="single" w:sz="6" w:space="0" w:color="000000"/>
              <w:left w:val="single" w:sz="6" w:space="0" w:color="000000"/>
              <w:bottom w:val="single" w:sz="4" w:space="0" w:color="auto"/>
              <w:right w:val="single" w:sz="6" w:space="0" w:color="000000"/>
            </w:tcBorders>
            <w:hideMark/>
          </w:tcPr>
          <w:p>
            <w:pPr>
              <w:rPr>
                <w:rFonts w:eastAsia="Times New Roman"/>
                <w:noProof/>
              </w:rPr>
            </w:pPr>
            <w:r>
              <w:rPr>
                <w:noProof/>
                <w:sz w:val="22"/>
              </w:rPr>
              <w:t>11 475</w:t>
            </w:r>
          </w:p>
        </w:tc>
        <w:tc>
          <w:tcPr>
            <w:tcW w:w="58" w:type="pct"/>
            <w:tcBorders>
              <w:top w:val="single" w:sz="6" w:space="0" w:color="000000"/>
              <w:left w:val="single" w:sz="6" w:space="0" w:color="000000"/>
              <w:bottom w:val="single" w:sz="4" w:space="0" w:color="auto"/>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4" w:space="0" w:color="auto"/>
              <w:left w:val="single" w:sz="4" w:space="0" w:color="auto"/>
              <w:bottom w:val="single" w:sz="4" w:space="0" w:color="auto"/>
              <w:right w:val="single" w:sz="6" w:space="0" w:color="000000"/>
            </w:tcBorders>
            <w:shd w:val="clear" w:color="auto" w:fill="FFFFFF"/>
            <w:hideMark/>
          </w:tcPr>
          <w:p>
            <w:pPr>
              <w:rPr>
                <w:rFonts w:eastAsia="Times New Roman"/>
                <w:noProof/>
              </w:rPr>
            </w:pPr>
            <w:r>
              <w:rPr>
                <w:noProof/>
                <w:sz w:val="22"/>
              </w:rPr>
              <w:t>TAC</w:t>
            </w:r>
          </w:p>
        </w:tc>
        <w:tc>
          <w:tcPr>
            <w:tcW w:w="1118" w:type="pct"/>
            <w:gridSpan w:val="2"/>
            <w:tcBorders>
              <w:top w:val="single" w:sz="4" w:space="0" w:color="auto"/>
              <w:left w:val="single" w:sz="6" w:space="0" w:color="000000"/>
              <w:bottom w:val="single" w:sz="4" w:space="0" w:color="auto"/>
              <w:right w:val="single" w:sz="4" w:space="0" w:color="auto"/>
            </w:tcBorders>
            <w:shd w:val="clear" w:color="auto" w:fill="FFFFFF"/>
            <w:hideMark/>
          </w:tcPr>
          <w:p>
            <w:pPr>
              <w:rPr>
                <w:rFonts w:eastAsia="Times New Roman"/>
                <w:noProof/>
              </w:rPr>
            </w:pPr>
            <w:r>
              <w:rPr>
                <w:noProof/>
                <w:sz w:val="22"/>
              </w:rPr>
              <w:t>Sans objet</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bl>
    <w:p>
      <w:pPr>
        <w:rPr>
          <w:rFonts w:eastAsia="Times New Roman"/>
          <w:noProof/>
          <w:sz w:val="20"/>
          <w:szCs w:val="20"/>
        </w:rPr>
      </w:pPr>
    </w:p>
    <w:tbl>
      <w:tblPr>
        <w:tblW w:w="9080" w:type="dxa"/>
        <w:tblBorders>
          <w:top w:val="single" w:sz="6" w:space="0" w:color="000000" w:themeColor="text1"/>
          <w:left w:val="single" w:sz="6" w:space="0" w:color="000000" w:themeColor="text1"/>
          <w:bottom w:val="single" w:sz="6" w:space="0" w:color="000000" w:themeColor="text1"/>
          <w:right w:val="single" w:sz="6" w:space="0" w:color="000000" w:themeColor="text1"/>
        </w:tblBorders>
        <w:shd w:val="clear" w:color="auto" w:fill="FFFFFF"/>
        <w:tblCellMar>
          <w:left w:w="0" w:type="dxa"/>
          <w:right w:w="0" w:type="dxa"/>
        </w:tblCellMar>
        <w:tblLook w:val="04A0" w:firstRow="1" w:lastRow="0" w:firstColumn="1" w:lastColumn="0" w:noHBand="0" w:noVBand="1"/>
      </w:tblPr>
      <w:tblGrid>
        <w:gridCol w:w="1170"/>
        <w:gridCol w:w="1433"/>
        <w:gridCol w:w="751"/>
        <w:gridCol w:w="1005"/>
        <w:gridCol w:w="4721"/>
      </w:tblGrid>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Espèce:</w:t>
            </w:r>
          </w:p>
        </w:tc>
        <w:tc>
          <w:tcPr>
            <w:tcW w:w="21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Turbot</w:t>
            </w:r>
          </w:p>
          <w:p>
            <w:pPr>
              <w:rPr>
                <w:rFonts w:eastAsia="Times New Roman"/>
                <w:b/>
                <w:noProof/>
                <w:szCs w:val="24"/>
              </w:rPr>
            </w:pPr>
            <w:r>
              <w:rPr>
                <w:b/>
                <w:i/>
                <w:noProof/>
              </w:rPr>
              <w:t>Scophthalmus maximus</w:t>
            </w:r>
          </w:p>
        </w:tc>
        <w:tc>
          <w:tcPr>
            <w:tcW w:w="1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Zone(s):</w:t>
            </w:r>
          </w:p>
        </w:tc>
        <w:tc>
          <w:tcPr>
            <w:tcW w:w="47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Eaux de l’Union de la mer Noire – SRG 29</w:t>
            </w:r>
          </w:p>
          <w:p>
            <w:pPr>
              <w:rPr>
                <w:rFonts w:eastAsia="Times New Roman"/>
                <w:b/>
                <w:noProof/>
                <w:szCs w:val="24"/>
              </w:rPr>
            </w:pPr>
            <w:r>
              <w:rPr>
                <w:b/>
                <w:noProof/>
              </w:rPr>
              <w:t>(TUR/F3742C)</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Bulgarie</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noProof/>
              </w:rPr>
            </w:pPr>
            <w:r>
              <w:rPr>
                <w:noProof/>
              </w:rPr>
              <w:t xml:space="preserve">TAC analytique </w:t>
            </w:r>
          </w:p>
          <w:p>
            <w:pPr>
              <w:rPr>
                <w:rFonts w:eastAsia="Times New Roman"/>
                <w:noProof/>
                <w:szCs w:val="24"/>
              </w:rPr>
            </w:pPr>
            <w:r>
              <w:rPr>
                <w:noProof/>
              </w:rPr>
              <w:t>L’article 3, paragraphes 2 et 3, du règlement (CE) nº 847/96 ne s’applique pas.</w:t>
            </w:r>
          </w:p>
          <w:p>
            <w:pPr>
              <w:rPr>
                <w:rFonts w:eastAsia="Times New Roman"/>
                <w:noProof/>
                <w:szCs w:val="24"/>
              </w:rPr>
            </w:pPr>
            <w:r>
              <w:rPr>
                <w:noProof/>
              </w:rPr>
              <w:t>L’article 4 du règlement (CE) no 847/96 ne s’applique pas.</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Roumanie</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Union</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165</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TAC</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890 </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ign w:val="center"/>
            <w:hideMark/>
          </w:tcPr>
          <w:p>
            <w:pPr>
              <w:rPr>
                <w:rFonts w:eastAsia="Times New Roman"/>
                <w:noProof/>
                <w:szCs w:val="24"/>
              </w:rPr>
            </w:pPr>
          </w:p>
        </w:tc>
      </w:tr>
    </w:tbl>
    <w:p>
      <w:pPr>
        <w:rPr>
          <w:rFonts w:eastAsia="Times New Roman"/>
          <w:noProof/>
        </w:rPr>
      </w:pPr>
      <w:hyperlink r:id="rId24" w:anchor="ntc*1-L_2022021EN.01018601-E0001">
        <w:r>
          <w:rPr>
            <w:noProof/>
            <w:u w:val="single"/>
          </w:rPr>
          <w:t>(</w:t>
        </w:r>
        <w:r>
          <w:rPr>
            <w:noProof/>
          </w:rPr>
          <w:t>*</w:t>
        </w:r>
        <w:r>
          <w:rPr>
            <w:noProof/>
            <w:u w:val="single"/>
          </w:rPr>
          <w:t>)</w:t>
        </w:r>
      </w:hyperlink>
      <w:r>
        <w:rPr>
          <w:noProof/>
        </w:rPr>
        <w:t xml:space="preserve"> Aucune activité de pêche, y compris le transbordement, la détention à bord, le débarquement et la première vente, n'est autorisée du 15 avril au 15 juin 2027.</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t>1</w:t>
      </w:r>
      <w:r>
        <w:tab/>
        <w:t>TBB, OTB, PTB, TBN, TBS, TB, OTM, PTM, TMS, TM, OTT, OT, PT, TX, OTP et TSP.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D42E5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6DC70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94C46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348B08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13:00: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9"/>
    <w:docVar w:name="LW_ANNEX_UNIQUE" w:val="0"/>
    <w:docVar w:name="LW_CORRIGENDUM" w:val="&lt;UNUSED&gt;"/>
    <w:docVar w:name="LW_COVERPAGE_EXISTS" w:val="True"/>
    <w:docVar w:name="LW_COVERPAGE_GUID" w:val="A73B5EB8-3845-4429-AE53-7BB8C6307B2C"/>
    <w:docVar w:name="LW_COVERPAGE_TYPE" w:val="1"/>
    <w:docVar w:name="LW_CreatedUtc" w:val="2025-06-23T10:49:21.5434547Z"/>
    <w:docVar w:name="LW_CROSSREFERENCE" w:val="&lt;UNUSED&gt;"/>
    <w:docVar w:name="LW_DocType" w:val="ANNEX"/>
    <w:docVar w:name="LW_EMISSION" w:val="17.9.2026"/>
    <w:docVar w:name="LW_EMISSION_ISODATE" w:val="2026-09-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pour 2027 les possibilités de pêche pour certains stocks halieutiques et groupes de stocks halieutiques applicables en mer Méditerranée et en mer Noire"/>
    <w:docVar w:name="LW_OBJETACTEPRINCIPAL.CP" w:val="établissant pour 2027 les possibilités de pêche pour certains stocks halieutiques et groupes de stocks halieutiques applicables en mer Méditerranée et en mer Noire"/>
    <w:docVar w:name="LW_PART_NBR" w:val="&lt;UNUSED&gt;"/>
    <w:docVar w:name="LW_PART_NBR_TOTAL" w:val="&lt;UNUSED&gt;"/>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RÈGLEMENT DU CONSEIL"/>
    <w:docVar w:name="LW_TYPEACTEPRINCIPAL.CP" w:val="proposition de RÈGLEMEN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1F063E3-C2D2-4745-B985-43F70280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0">
    <w:name w:val="Table Grid0"/>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59"/>
    <w:pPr>
      <w:spacing w:after="0" w:line="240" w:lineRule="auto"/>
    </w:pPr>
    <w:rPr>
      <w:rFonts w:eastAsiaTheme="minorEastAsia"/>
    </w:rPr>
    <w:tblPr>
      <w:tblCellMar>
        <w:top w:w="0" w:type="dxa"/>
        <w:left w:w="0" w:type="dxa"/>
        <w:bottom w:w="0" w:type="dxa"/>
        <w:right w:w="0" w:type="dxa"/>
      </w:tblCellMar>
    </w:tblPr>
  </w:style>
  <w:style w:type="character" w:customStyle="1" w:styleId="Other1">
    <w:name w:val="Other|1_"/>
    <w:basedOn w:val="DefaultParagraphFont"/>
    <w:link w:val="Other10"/>
    <w:rPr>
      <w:sz w:val="16"/>
      <w:szCs w:val="16"/>
    </w:rPr>
  </w:style>
  <w:style w:type="character" w:customStyle="1" w:styleId="Tablecaption1">
    <w:name w:val="Table caption|1_"/>
    <w:basedOn w:val="DefaultParagraphFont"/>
    <w:link w:val="Tablecaption10"/>
    <w:rPr>
      <w:sz w:val="16"/>
      <w:szCs w:val="16"/>
    </w:rPr>
  </w:style>
  <w:style w:type="paragraph" w:customStyle="1" w:styleId="Other10">
    <w:name w:val="Other|1"/>
    <w:basedOn w:val="Normal"/>
    <w:link w:val="Other1"/>
    <w:pPr>
      <w:widowControl w:val="0"/>
      <w:spacing w:before="0"/>
      <w:jc w:val="left"/>
    </w:pPr>
    <w:rPr>
      <w:rFonts w:asciiTheme="minorHAnsi" w:hAnsiTheme="minorHAnsi" w:cstheme="minorBidi"/>
      <w:sz w:val="16"/>
      <w:szCs w:val="16"/>
    </w:rPr>
  </w:style>
  <w:style w:type="paragraph" w:customStyle="1" w:styleId="Tablecaption10">
    <w:name w:val="Table caption|1"/>
    <w:basedOn w:val="Normal"/>
    <w:link w:val="Tablecaption1"/>
    <w:pPr>
      <w:widowControl w:val="0"/>
      <w:spacing w:before="0" w:after="0"/>
      <w:jc w:val="left"/>
    </w:pPr>
    <w:rPr>
      <w:rFonts w:asciiTheme="minorHAnsi" w:hAnsiTheme="minorHAnsi" w:cstheme="minorBidi"/>
      <w:sz w:val="16"/>
      <w:szCs w:val="16"/>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umber">
    <w:name w:val="Number"/>
    <w:basedOn w:val="Normal"/>
    <w:pPr>
      <w:spacing w:before="0" w:after="0"/>
    </w:pPr>
    <w:rPr>
      <w:rFonts w:eastAsia="Times New Roman"/>
      <w:b/>
      <w:bCs/>
      <w:szCs w:val="24"/>
    </w:rPr>
  </w:style>
  <w:style w:type="paragraph" w:customStyle="1" w:styleId="Point">
    <w:name w:val="Point"/>
    <w:basedOn w:val="Considrant"/>
    <w:pPr>
      <w:numPr>
        <w:numId w:val="0"/>
      </w:numPr>
    </w:pPr>
    <w:rPr>
      <w:b/>
      <w:bCs/>
      <w:szCs w:val="24"/>
    </w:rPr>
  </w:style>
  <w:style w:type="paragraph" w:customStyle="1" w:styleId="Pointl">
    <w:name w:val="Point l"/>
    <w:basedOn w:val="Normal"/>
    <w:rPr>
      <w:noProof/>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FR/TXT/HTML/?uri=CELEX:32022R0110&amp;from=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FR/TXT/HTML/?uri=CELEX:32022R0110&amp;from=EN"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9B382405-4DFC-43B7-82A6-27A27811F1DA}">
  <ds:schemaRefs>
    <ds:schemaRef ds:uri="http://schemas.microsoft.com/sharepoint/v3/contenttype/forms"/>
  </ds:schemaRefs>
</ds:datastoreItem>
</file>

<file path=customXml/itemProps2.xml><?xml version="1.0" encoding="utf-8"?>
<ds:datastoreItem xmlns:ds="http://schemas.openxmlformats.org/officeDocument/2006/customXml" ds:itemID="{EF2406BF-B715-49A1-AA9B-F3F813299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C4DAF-EDDA-4D7D-9546-40911EAC75FB}">
  <ds:schemaRefs>
    <ds:schemaRef ds:uri="http://schemas.openxmlformats.org/officeDocument/2006/bibliography"/>
  </ds:schemaRefs>
</ds:datastoreItem>
</file>

<file path=customXml/itemProps4.xml><?xml version="1.0" encoding="utf-8"?>
<ds:datastoreItem xmlns:ds="http://schemas.openxmlformats.org/officeDocument/2006/customXml" ds:itemID="{D4DAA09E-F88A-41D0-B4AB-7ABA92B934D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ANNEX.dotm</Template>
  <TotalTime>26</TotalTime>
  <Pages>3</Pages>
  <Words>3077</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20581</CharactersWithSpaces>
  <SharedDoc>false</SharedDoc>
  <HLinks>
    <vt:vector size="12" baseType="variant">
      <vt:variant>
        <vt:i4>3604502</vt:i4>
      </vt:variant>
      <vt:variant>
        <vt:i4>3</vt:i4>
      </vt:variant>
      <vt:variant>
        <vt:i4>0</vt:i4>
      </vt:variant>
      <vt:variant>
        <vt:i4>5</vt:i4>
      </vt:variant>
      <vt:variant>
        <vt:lpwstr>https://eur-lex.europa.eu/legal-content/EN/TXT/HTML/?uri=CELEX:32022R0110&amp;from=EN</vt:lpwstr>
      </vt:variant>
      <vt:variant>
        <vt:lpwstr>ntc*1-L_2022021EN.01018601-E0001</vt:lpwstr>
      </vt:variant>
      <vt:variant>
        <vt:i4>6488143</vt:i4>
      </vt:variant>
      <vt:variant>
        <vt:i4>0</vt:i4>
      </vt:variant>
      <vt:variant>
        <vt:i4>0</vt:i4>
      </vt:variant>
      <vt:variant>
        <vt:i4>5</vt:i4>
      </vt:variant>
      <vt:variant>
        <vt:lpwstr>https://eur-lex.europa.eu/legal-content/EN/TXT/HTML/?uri=CELEX:32022R0110&amp;from=EN</vt:lpwstr>
      </vt:variant>
      <vt:variant>
        <vt:lpwstr>ntr2-L_2022021EN.01018201-E0002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28</cp:revision>
  <dcterms:created xsi:type="dcterms:W3CDTF">2026-07-07T14:31:00Z</dcterms:created>
  <dcterms:modified xsi:type="dcterms:W3CDTF">2026-09-10T11:00:00Z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2025-06-23T10:53:38Z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37eeba57-bab6-410b-8a52-d4647fc50c93</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