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358222-8DE8-4965-99B0-4CC67248726A" style="width:455.25pt;height:342.75pt">
            <v:imagedata r:id="rId11" o:title=""/>
          </v:shape>
        </w:pict>
      </w:r>
    </w:p>
    <w:p>
      <w:pPr>
        <w:rPr>
          <w:noProof/>
          <w:szCs w:val="24"/>
        </w:rPr>
        <w:sectPr>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szCs w:val="24"/>
        </w:rPr>
      </w:pPr>
      <w:r>
        <w:rPr>
          <w:noProof/>
        </w:rPr>
        <w:lastRenderedPageBreak/>
        <w:t>EXPUNERE DE MOTIVE</w:t>
      </w:r>
    </w:p>
    <w:p>
      <w:pPr>
        <w:pStyle w:val="ManualHeading1"/>
        <w:rPr>
          <w:noProof/>
        </w:rPr>
      </w:pPr>
      <w:r>
        <w:rPr>
          <w:noProof/>
        </w:rPr>
        <w:t xml:space="preserve">1. </w:t>
      </w:r>
      <w:r>
        <w:rPr>
          <w:noProof/>
        </w:rPr>
        <w:tab/>
        <w:t>CONTEXTUL PROPUNERII</w:t>
      </w:r>
    </w:p>
    <w:p>
      <w:pPr>
        <w:pStyle w:val="ManualHeading2"/>
        <w:rPr>
          <w:noProof/>
        </w:rPr>
      </w:pPr>
      <w:r>
        <w:rPr>
          <w:noProof/>
          <w:u w:color="000000"/>
          <w:bdr w:val="nil"/>
        </w:rPr>
        <w:t xml:space="preserve">• </w:t>
      </w:r>
      <w:r>
        <w:rPr>
          <w:noProof/>
        </w:rPr>
        <w:tab/>
        <w:t>Motivele și obiectivele propunerii</w:t>
      </w:r>
    </w:p>
    <w:p>
      <w:pPr>
        <w:shd w:val="clear" w:color="auto" w:fill="FFFFFF" w:themeFill="background1"/>
        <w:spacing w:before="0" w:after="0"/>
        <w:rPr>
          <w:rFonts w:eastAsia="Times New Roman"/>
          <w:noProof/>
          <w:color w:val="333333"/>
        </w:rPr>
      </w:pPr>
      <w:r>
        <w:rPr>
          <w:noProof/>
          <w:color w:val="333333"/>
        </w:rPr>
        <w:t>Este necesar ca toate regulamentele referitoare la posibilitățile de pescuit să limiteze exploatarea stocurilor de pește la niveluri care trebuie să fie în concordanță cu obiectivele generale ale politicii comune în domeniul pescuitului (PCP). Regulamentul (UE) nr. 1380/2013 al Parlamentului European și al Consiliului privind politica comună în domeniul pescuitului („Regulamentul de bază privind PCP”)</w:t>
      </w:r>
      <w:r>
        <w:rPr>
          <w:rStyle w:val="FootnoteReference"/>
          <w:rFonts w:eastAsia="Times New Roman"/>
          <w:noProof/>
          <w:color w:val="333333"/>
          <w:lang w:eastAsia="en-IE"/>
        </w:rPr>
        <w:footnoteReference w:id="1"/>
      </w:r>
      <w:r>
        <w:rPr>
          <w:noProof/>
          <w:color w:val="333333"/>
        </w:rPr>
        <w:t xml:space="preserve"> prevede stabilirea de limite de captură și de efort de pescuit pentru a asigura exploatarea resurselor biologice marine în condiții economice, ecologice și sociale sustenabile. În conformitate cu aceste obiective, Parlamentul European și Consiliul au adoptat Regulamentul (UE) 2019/1022 care instituie un plan multianual pentru stocurile demersale din vestul Mării Mediterane</w:t>
      </w:r>
      <w:r>
        <w:rPr>
          <w:rStyle w:val="FootnoteReference"/>
          <w:rFonts w:eastAsia="Times New Roman"/>
          <w:noProof/>
          <w:color w:val="333333"/>
          <w:lang w:eastAsia="en-IE"/>
        </w:rPr>
        <w:footnoteReference w:id="2"/>
      </w:r>
      <w:r>
        <w:rPr>
          <w:noProof/>
          <w:color w:val="333333"/>
        </w:rPr>
        <w:t>.</w:t>
      </w:r>
    </w:p>
    <w:p>
      <w:pPr>
        <w:shd w:val="clear" w:color="auto" w:fill="FFFFFF"/>
        <w:spacing w:before="0" w:after="0"/>
        <w:rPr>
          <w:rFonts w:eastAsia="Times New Roman"/>
          <w:noProof/>
          <w:color w:val="333333"/>
          <w:szCs w:val="24"/>
        </w:rPr>
      </w:pPr>
      <w:r>
        <w:rPr>
          <w:noProof/>
          <w:color w:val="333333"/>
        </w:rPr>
        <w:t>Obiectivul prezentei propuneri de regulament al Consiliului este de a stabili posibilitățile de pescuit pentru anumite stocuri și grupuri de stocuri din Marea Mediterană și din Marea Neagră.</w:t>
      </w:r>
    </w:p>
    <w:p>
      <w:pPr>
        <w:shd w:val="clear" w:color="auto" w:fill="FFFFFF"/>
        <w:spacing w:before="0" w:after="0"/>
        <w:rPr>
          <w:rFonts w:eastAsia="Times New Roman"/>
          <w:noProof/>
          <w:color w:val="333333"/>
          <w:szCs w:val="24"/>
        </w:rPr>
      </w:pPr>
      <w:r>
        <w:rPr>
          <w:noProof/>
          <w:color w:val="333333"/>
        </w:rPr>
        <w:t>Pentru vestul Mării Mediterane, prezenta propunere stabilește posibilități de pescuit pentru stocurile demersale în conformitate cu planul multianual. Posibilitățile de pescuit sunt exprimate ca efort de pescuit maxim admisibil pentru toate stocurile. În plus, sunt stabilite limite maxime de captură pentru crevetele de adâncime și merluciu capturați cu ajutorul unor tipuri specifice de unelte de pescuit. Se propune alocarea acestor limite statelor membre din vestul Mării Mediterane (Spania, Franța și Italia).</w:t>
      </w:r>
    </w:p>
    <w:p>
      <w:pPr>
        <w:shd w:val="clear" w:color="auto" w:fill="FFFFFF"/>
        <w:spacing w:before="0" w:after="0"/>
        <w:rPr>
          <w:rFonts w:eastAsia="Times New Roman"/>
          <w:noProof/>
          <w:color w:val="333333"/>
          <w:szCs w:val="24"/>
        </w:rPr>
      </w:pPr>
      <w:r>
        <w:rPr>
          <w:noProof/>
          <w:color w:val="333333"/>
        </w:rPr>
        <w:t>În plus, se propune stabilirea unor posibilități de pescuit în temeiul acordurilor încheiate în cadrul Comisiei Generale pentru Pescuit în Marea Mediterană (CGPM), o organizație regională de gestionare a pescuitului responsabilă cu conservarea și gestionarea resurselor marine vii din Marea Mediterană și din Marea Neagră. Uniunea Europeană este membră a CGPM, împreună cu Bulgaria, Grecia, Spania, Franța, Croația, Italia, Cipru, Malta, România și Slovenia. Măsurile adoptate de către CGPM sunt obligatorii pentru membrii săi.</w:t>
      </w:r>
    </w:p>
    <w:p>
      <w:pPr>
        <w:shd w:val="clear" w:color="auto" w:fill="FFFFFF"/>
        <w:spacing w:before="0" w:after="0"/>
        <w:rPr>
          <w:rFonts w:eastAsia="Times New Roman"/>
          <w:noProof/>
          <w:color w:val="333333"/>
          <w:szCs w:val="24"/>
        </w:rPr>
      </w:pPr>
      <w:r>
        <w:rPr>
          <w:noProof/>
          <w:color w:val="333333"/>
        </w:rPr>
        <w:t>În cele din urmă, se propune stabilirea unei cote autonome pentru șprotul din Marea Neagră pentru a evita o creștere suplimentară a mortalității prin pescuit față de nivelurile actuale.</w:t>
      </w:r>
    </w:p>
    <w:p>
      <w:pPr>
        <w:pStyle w:val="ManualHeading2"/>
        <w:rPr>
          <w:rFonts w:eastAsia="Arial Unicode MS"/>
          <w:noProof/>
          <w:szCs w:val="24"/>
        </w:rPr>
      </w:pPr>
      <w:r>
        <w:rPr>
          <w:noProof/>
          <w:u w:color="000000"/>
          <w:bdr w:val="nil"/>
        </w:rPr>
        <w:t>•</w:t>
      </w:r>
      <w:r>
        <w:rPr>
          <w:noProof/>
        </w:rPr>
        <w:tab/>
        <w:t>Coerența cu dispozițiile de politică deja existente în domeniul de politică vizat</w:t>
      </w:r>
    </w:p>
    <w:p>
      <w:pPr>
        <w:rPr>
          <w:noProof/>
          <w:szCs w:val="24"/>
        </w:rPr>
      </w:pPr>
      <w:r>
        <w:rPr>
          <w:noProof/>
        </w:rPr>
        <w:t>Măsurile propuse sunt coerente cu obiectivele și normele PCP.</w:t>
      </w:r>
    </w:p>
    <w:p>
      <w:pPr>
        <w:pStyle w:val="ManualHeading2"/>
        <w:rPr>
          <w:rFonts w:eastAsia="Arial Unicode MS"/>
          <w:noProof/>
          <w:szCs w:val="24"/>
        </w:rPr>
      </w:pPr>
      <w:r>
        <w:rPr>
          <w:noProof/>
          <w:u w:color="000000"/>
          <w:bdr w:val="nil"/>
        </w:rPr>
        <w:t>•</w:t>
      </w:r>
      <w:r>
        <w:rPr>
          <w:noProof/>
        </w:rPr>
        <w:tab/>
        <w:t>Coerența cu alte politici ale Uniunii</w:t>
      </w:r>
    </w:p>
    <w:p>
      <w:pPr>
        <w:pBdr>
          <w:top w:val="nil"/>
          <w:left w:val="nil"/>
          <w:bottom w:val="nil"/>
          <w:right w:val="nil"/>
          <w:between w:val="nil"/>
          <w:bar w:val="nil"/>
        </w:pBdr>
        <w:spacing w:before="0" w:after="240"/>
        <w:rPr>
          <w:rFonts w:eastAsia="Arial Unicode MS"/>
          <w:noProof/>
          <w:szCs w:val="24"/>
        </w:rPr>
      </w:pPr>
      <w:r>
        <w:rPr>
          <w:noProof/>
        </w:rPr>
        <w:t>Măsurile propuse sunt coerente cu alte politici ale UE, în special în domeniul mediului.</w:t>
      </w:r>
    </w:p>
    <w:p>
      <w:pPr>
        <w:pStyle w:val="ManualHeading1"/>
        <w:rPr>
          <w:noProof/>
          <w:szCs w:val="24"/>
        </w:rPr>
      </w:pPr>
      <w:r>
        <w:rPr>
          <w:noProof/>
        </w:rPr>
        <w:t>2.</w:t>
      </w:r>
      <w:r>
        <w:rPr>
          <w:noProof/>
        </w:rPr>
        <w:tab/>
        <w:t>TEMEI JURIDIC, SUBSIDIARITATE ȘI PROPORȚIONALITATE</w:t>
      </w:r>
    </w:p>
    <w:p>
      <w:pPr>
        <w:pStyle w:val="ManualHeading2"/>
        <w:rPr>
          <w:noProof/>
          <w:szCs w:val="24"/>
        </w:rPr>
      </w:pPr>
      <w:r>
        <w:rPr>
          <w:noProof/>
          <w:u w:color="000000"/>
          <w:bdr w:val="nil"/>
        </w:rPr>
        <w:t>•</w:t>
      </w:r>
      <w:r>
        <w:rPr>
          <w:noProof/>
        </w:rPr>
        <w:tab/>
      </w:r>
      <w:r>
        <w:rPr>
          <w:noProof/>
          <w:u w:color="000000"/>
          <w:bdr w:val="nil"/>
        </w:rPr>
        <w:t>Temeiul juridic</w:t>
      </w:r>
    </w:p>
    <w:p>
      <w:pPr>
        <w:pBdr>
          <w:top w:val="nil"/>
          <w:left w:val="nil"/>
          <w:bottom w:val="nil"/>
          <w:right w:val="nil"/>
          <w:between w:val="nil"/>
          <w:bar w:val="nil"/>
        </w:pBdr>
        <w:spacing w:before="0" w:after="240"/>
        <w:rPr>
          <w:noProof/>
          <w:szCs w:val="24"/>
        </w:rPr>
      </w:pPr>
      <w:r>
        <w:rPr>
          <w:noProof/>
        </w:rPr>
        <w:t>Temeiul juridic al propunerii îl constituie articolul 43 alineatul (3) din Tratatul privind funcționarea Uniunii Europene (TFUE).</w:t>
      </w:r>
    </w:p>
    <w:p>
      <w:pPr>
        <w:pStyle w:val="ManualHeading2"/>
        <w:rPr>
          <w:rFonts w:eastAsia="Arial Unicode MS"/>
          <w:noProof/>
          <w:szCs w:val="24"/>
          <w:u w:color="000000"/>
          <w:bdr w:val="nil"/>
        </w:rPr>
      </w:pPr>
      <w:r>
        <w:rPr>
          <w:noProof/>
          <w:u w:color="000000"/>
          <w:bdr w:val="nil"/>
        </w:rPr>
        <w:lastRenderedPageBreak/>
        <w:t>•</w:t>
      </w:r>
      <w:r>
        <w:rPr>
          <w:noProof/>
        </w:rPr>
        <w:tab/>
      </w:r>
      <w:r>
        <w:rPr>
          <w:noProof/>
          <w:u w:color="000000"/>
          <w:bdr w:val="nil"/>
        </w:rPr>
        <w:t>Subsidiaritatea (în cazul competențelor neexclusive)</w:t>
      </w:r>
    </w:p>
    <w:p>
      <w:pPr>
        <w:pBdr>
          <w:top w:val="nil"/>
          <w:left w:val="nil"/>
          <w:bottom w:val="nil"/>
          <w:right w:val="nil"/>
          <w:between w:val="nil"/>
          <w:bar w:val="nil"/>
        </w:pBdr>
        <w:spacing w:before="0" w:after="240"/>
        <w:rPr>
          <w:rFonts w:eastAsia="Arial Unicode MS"/>
          <w:noProof/>
          <w:szCs w:val="24"/>
        </w:rPr>
      </w:pPr>
      <w:r>
        <w:rPr>
          <w:noProof/>
        </w:rPr>
        <w:t>Propunerea intră în competența exclusivă a UE, în temeiul articolului 3 alineatul (1) litera (d) din TFUE. În consecință, principiul subsidiarității nu se aplică.</w:t>
      </w:r>
    </w:p>
    <w:p>
      <w:pPr>
        <w:pStyle w:val="ManualHeading2"/>
        <w:ind w:left="0" w:firstLine="0"/>
        <w:rPr>
          <w:rFonts w:eastAsia="Arial Unicode MS"/>
          <w:noProof/>
          <w:szCs w:val="24"/>
          <w:u w:color="000000"/>
          <w:bdr w:val="nil"/>
        </w:rPr>
      </w:pPr>
      <w:r>
        <w:rPr>
          <w:noProof/>
          <w:u w:color="000000"/>
          <w:bdr w:val="nil"/>
        </w:rPr>
        <w:t>•</w:t>
      </w:r>
      <w:r>
        <w:rPr>
          <w:noProof/>
        </w:rPr>
        <w:tab/>
      </w:r>
      <w:r>
        <w:rPr>
          <w:noProof/>
          <w:u w:color="000000"/>
          <w:bdr w:val="nil"/>
        </w:rPr>
        <w:t>Proporționalitate</w:t>
      </w:r>
    </w:p>
    <w:p>
      <w:pPr>
        <w:pBdr>
          <w:top w:val="nil"/>
          <w:left w:val="nil"/>
          <w:bottom w:val="nil"/>
          <w:right w:val="nil"/>
          <w:between w:val="nil"/>
          <w:bar w:val="nil"/>
        </w:pBdr>
        <w:spacing w:before="0" w:after="240"/>
        <w:rPr>
          <w:noProof/>
          <w:szCs w:val="24"/>
        </w:rPr>
      </w:pPr>
      <w:r>
        <w:rPr>
          <w:noProof/>
          <w:color w:val="333333"/>
          <w:shd w:val="clear" w:color="auto" w:fill="FFFFFF"/>
        </w:rPr>
        <w:t>Propunerea alocă posibilități de pescuit statelor membre în conformitate cu obiectivele Regulamentului de bază privind PCP, cu planul multianual pentru stocurile demersale din vestul Mării Mediterane și cu rezultatele reuniunii anuale a CGPM. În temeiul articolului 16 alineatele (6) și (7) și al articolului 17 din Regulamentul de bază privind PCP, este la latitudinea statelor membre să decidă modul în care posibilitățile de pescuit disponibile urmează să fie repartizate între navele de pescuit care le arborează pavilionul, pe baza anumitor criterii. Acest lucru oferă statelor membre o marjă de apreciere considerabilă în ceea ce privește repartizarea posibilităților de pescuit în conformitate cu modelele lor sociale și economice.</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rFonts w:eastAsia="Arial Unicode MS"/>
          <w:noProof/>
          <w:szCs w:val="24"/>
        </w:rPr>
      </w:pPr>
      <w:r>
        <w:rPr>
          <w:noProof/>
        </w:rPr>
        <w:t>Un regulament este considerat instrumentul cel mai adecvat, deoarece permite stabilirea unor cerințe care se aplică direct statelor membre și operatorilor economici în cauză. Acest aspect va contribui la asigurarea faptului că cerințele sunt puse în aplicare într-un mod oportun și armonizat, ceea ce va îmbunătăți nivelul de securitate juridică.</w:t>
      </w:r>
    </w:p>
    <w:p>
      <w:pPr>
        <w:pStyle w:val="ManualHeading1"/>
        <w:rPr>
          <w:noProof/>
          <w:szCs w:val="24"/>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 xml:space="preserve">Evaluările </w:t>
      </w:r>
      <w:r>
        <w:rPr>
          <w:i/>
          <w:noProof/>
          <w:u w:color="000000"/>
          <w:bdr w:val="nil"/>
        </w:rPr>
        <w:t>ex post</w:t>
      </w:r>
      <w:r>
        <w:rPr>
          <w:noProof/>
          <w:u w:color="000000"/>
          <w:bdr w:val="nil"/>
        </w:rPr>
        <w:t>/verificările adecvării legislației existente</w:t>
      </w:r>
    </w:p>
    <w:p>
      <w:pPr>
        <w:pBdr>
          <w:top w:val="nil"/>
          <w:left w:val="nil"/>
          <w:bottom w:val="nil"/>
          <w:right w:val="nil"/>
          <w:between w:val="nil"/>
          <w:bar w:val="nil"/>
        </w:pBdr>
        <w:spacing w:before="0" w:after="240"/>
        <w:rPr>
          <w:rFonts w:eastAsia="Arial Unicode MS"/>
          <w:noProof/>
          <w:szCs w:val="24"/>
        </w:rPr>
      </w:pPr>
      <w:r>
        <w:rPr>
          <w:noProof/>
        </w:rPr>
        <w:t>Nu se aplică.</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Consultările cu părțile interesate</w:t>
      </w:r>
    </w:p>
    <w:p>
      <w:pPr>
        <w:pBdr>
          <w:top w:val="nil"/>
          <w:left w:val="nil"/>
          <w:bottom w:val="nil"/>
          <w:right w:val="nil"/>
          <w:between w:val="nil"/>
          <w:bar w:val="nil"/>
        </w:pBdr>
        <w:spacing w:before="0" w:after="240"/>
        <w:rPr>
          <w:noProof/>
          <w:szCs w:val="24"/>
        </w:rPr>
      </w:pPr>
      <w:r>
        <w:rPr>
          <w:noProof/>
        </w:rPr>
        <w:t>Părțile interesate au fost consultate prin intermediul Comunicării Comisiei către Parlamentul European și Consiliu din 5 iunie 2026: „Către un pescuit mai sustenabil în UE: situația actuală și orientări pentru 2027” [COM(2026) 271 final]</w:t>
      </w:r>
      <w:r>
        <w:rPr>
          <w:rStyle w:val="FootnoteReference"/>
          <w:noProof/>
        </w:rPr>
        <w:footnoteReference w:id="3"/>
      </w:r>
      <w:r>
        <w:rPr>
          <w:noProof/>
        </w:rPr>
        <w: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Obținerea și utilizarea expertizei</w:t>
      </w:r>
    </w:p>
    <w:p>
      <w:pPr>
        <w:pBdr>
          <w:top w:val="nil"/>
          <w:left w:val="nil"/>
          <w:bottom w:val="nil"/>
          <w:right w:val="nil"/>
          <w:between w:val="nil"/>
          <w:bar w:val="nil"/>
        </w:pBdr>
        <w:spacing w:before="0" w:after="240"/>
        <w:rPr>
          <w:rFonts w:eastAsia="Arial Unicode MS"/>
          <w:noProof/>
          <w:szCs w:val="24"/>
        </w:rPr>
      </w:pPr>
      <w:r>
        <w:rPr>
          <w:noProof/>
        </w:rPr>
        <w:t>Evaluarea situației stocurilor din Marea Mediterană și din Marea Neagră se bazează pe activitatea cea mai recentă a Comitetului științific, tehnic și economic pentru pescuit (CSTEP) și a Comitetului științific consultativ al CGPM pentru pescuit.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noProof/>
          <w:szCs w:val="24"/>
        </w:rPr>
      </w:pPr>
      <w:r>
        <w:rPr>
          <w:noProof/>
        </w:rPr>
        <w:t>Domeniul de aplicare al regulamentelor privind posibilitățile de pescuit este stabilit de articolul 43 alineatul (3) din TFUE.</w:t>
      </w:r>
    </w:p>
    <w:p>
      <w:pPr>
        <w:rPr>
          <w:noProof/>
        </w:rPr>
      </w:pPr>
      <w:r>
        <w:rPr>
          <w:noProof/>
        </w:rPr>
        <w:t>În ceea ce privește posibilitățile de pescuit stabilite de CGPM atât în Marea Mediterană, cât și în Marea Neagră, prezenta propunere vizează punerea în aplicare a unor măsuri convenite la nivel internațional. Orice considerații relevante pentru evaluarea posibilului impact al posibilităților de pescuit vor fi luate în considerare la pregătirea și desfășurarea de negocieri internaționale pentru a se conveni asupra posibilităților de pescuit ale Uniunii cu părți terțe.</w:t>
      </w:r>
    </w:p>
    <w:p>
      <w:pPr>
        <w:rPr>
          <w:noProof/>
        </w:rPr>
      </w:pPr>
      <w:r>
        <w:rPr>
          <w:noProof/>
        </w:rPr>
        <w:lastRenderedPageBreak/>
        <w:t>Propunerea nu reflectă numai preocupările pe termen scurt, ci și o abordare pe termen mai lung, care urmărește adaptarea treptată a efortului de pescuit la niveluri sustenabile pe termen lung.</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szCs w:val="24"/>
        </w:rPr>
      </w:pPr>
      <w:r>
        <w:rPr>
          <w:noProof/>
        </w:rPr>
        <w:t>Nu se aplică.</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Drepturile fundamentale</w:t>
      </w:r>
    </w:p>
    <w:p>
      <w:pPr>
        <w:rPr>
          <w:b/>
          <w:smallCaps/>
          <w:noProof/>
        </w:rPr>
      </w:pPr>
      <w:r>
        <w:rPr>
          <w:noProof/>
        </w:rPr>
        <w:t>Propunerea respectă drepturile fundamentale, în special pe cele prevăzute în Carta drepturilor fundamentale a Uniunii Europene.</w:t>
      </w:r>
    </w:p>
    <w:p>
      <w:pPr>
        <w:pStyle w:val="ManualHeading1"/>
        <w:rPr>
          <w:noProof/>
          <w:szCs w:val="24"/>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szCs w:val="24"/>
        </w:rPr>
      </w:pPr>
      <w:r>
        <w:rPr>
          <w:noProof/>
        </w:rPr>
        <w:t>Propunerea nu are implicații bugetare.</w:t>
      </w:r>
    </w:p>
    <w:p>
      <w:pPr>
        <w:pStyle w:val="ManualHeading1"/>
        <w:rPr>
          <w:noProof/>
          <w:szCs w:val="24"/>
        </w:rPr>
      </w:pPr>
      <w:r>
        <w:rPr>
          <w:noProof/>
        </w:rPr>
        <w:t>5.</w:t>
      </w:r>
      <w:r>
        <w:rPr>
          <w:noProof/>
        </w:rPr>
        <w:tab/>
        <w:t>ALTE ELEMENTE</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Planuri de punere în aplicare și modalități de monitorizare, evaluare și raportare</w:t>
      </w:r>
    </w:p>
    <w:p>
      <w:pPr>
        <w:pBdr>
          <w:top w:val="nil"/>
          <w:left w:val="nil"/>
          <w:bottom w:val="nil"/>
          <w:right w:val="nil"/>
          <w:between w:val="nil"/>
          <w:bar w:val="nil"/>
        </w:pBdr>
        <w:spacing w:before="0" w:after="240"/>
        <w:rPr>
          <w:noProof/>
          <w:szCs w:val="24"/>
        </w:rPr>
      </w:pPr>
      <w:r>
        <w:rPr>
          <w:noProof/>
        </w:rPr>
        <w:t>Monitorizarea și conformitatea vor fi asigurate în conformitate cu Regulamentul (CE) nr. 1224/2009 al Consiliului</w:t>
      </w:r>
      <w:r>
        <w:rPr>
          <w:rStyle w:val="FootnoteReference"/>
          <w:noProof/>
        </w:rPr>
        <w:footnoteReference w:id="4"/>
      </w:r>
      <w:r>
        <w:rPr>
          <w:noProof/>
        </w:rPr>
        <w: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Explicarea detaliată a dispozițiilor specifice ale propunerii</w:t>
      </w:r>
    </w:p>
    <w:p>
      <w:pPr>
        <w:pBdr>
          <w:top w:val="nil"/>
          <w:left w:val="nil"/>
          <w:bottom w:val="nil"/>
          <w:right w:val="nil"/>
          <w:between w:val="nil"/>
          <w:bar w:val="nil"/>
        </w:pBdr>
        <w:rPr>
          <w:noProof/>
          <w:szCs w:val="24"/>
        </w:rPr>
      </w:pPr>
      <w:r>
        <w:rPr>
          <w:noProof/>
        </w:rPr>
        <w:t>Propunerea vizează stabilirea de posibilități de pescuit pentru 2027 pentru anumite stocuri sau grupuri de stocuri din Marea Mediterană și din Marea Neagră, așa cum se arată mai detaliat în continuare:</w:t>
      </w:r>
    </w:p>
    <w:p>
      <w:pPr>
        <w:pStyle w:val="ManualHeading3"/>
        <w:rPr>
          <w:b/>
          <w:bCs/>
          <w:i w:val="0"/>
          <w:iCs/>
          <w:noProof/>
        </w:rPr>
      </w:pPr>
      <w:r>
        <w:rPr>
          <w:b/>
          <w:i w:val="0"/>
          <w:noProof/>
        </w:rPr>
        <w:t>A.</w:t>
      </w:r>
      <w:r>
        <w:rPr>
          <w:noProof/>
        </w:rPr>
        <w:tab/>
      </w:r>
      <w:r>
        <w:rPr>
          <w:b/>
          <w:i w:val="0"/>
          <w:noProof/>
        </w:rPr>
        <w:t>Punerea în aplicare a planului multianual de gestionare pentru vestul Mării Mediterane</w:t>
      </w:r>
    </w:p>
    <w:p>
      <w:pPr>
        <w:rPr>
          <w:noProof/>
          <w:szCs w:val="24"/>
        </w:rPr>
      </w:pPr>
      <w:r>
        <w:rPr>
          <w:noProof/>
        </w:rPr>
        <w:t>În cadrul planului multianual pentru pescuitul de specii demersale din vestul Mării Mediterane, Consiliul trebuie să stabilească un efort de pescuit maxim admisibil per stat membru pentru traulerele care pescuiesc stocuri demersale în vestul Mării Mediterane. Acesta va fi defalcat pe grupuri de efort de pescuit și pe grupuri de stocuri, astfel cum sunt enumerate în anexa I la plan.</w:t>
      </w:r>
    </w:p>
    <w:p>
      <w:pPr>
        <w:rPr>
          <w:noProof/>
          <w:szCs w:val="24"/>
        </w:rPr>
      </w:pPr>
      <w:r>
        <w:rPr>
          <w:noProof/>
        </w:rPr>
        <w:t>De asemenea, planul stabilește obiective și măsuri pentru gestionarea pe termen lung a stocurilor. În 2025, planul a intrat într-o fază pe termen lung în care se aplică captura maximă durabilă (MSY), în conformitate cu articolele 4 și 6. Prin urmare, posibilitățile de pescuit pentru 2027 se vor baza pe intervalele furnizate de CSTEP, care vor fi utilizate pentru evaluarea diferitelor opțiuni de gestionare.</w:t>
      </w:r>
    </w:p>
    <w:p>
      <w:pPr>
        <w:pBdr>
          <w:top w:val="nil"/>
          <w:left w:val="nil"/>
          <w:bottom w:val="nil"/>
          <w:right w:val="nil"/>
          <w:between w:val="nil"/>
          <w:bar w:val="nil"/>
        </w:pBdr>
        <w:spacing w:before="0" w:after="240"/>
        <w:rPr>
          <w:noProof/>
        </w:rPr>
      </w:pPr>
      <w:r>
        <w:rPr>
          <w:noProof/>
        </w:rPr>
        <w:t>În temeiul articolului 7 alineatul (5) din planul multianual, se poate stabili un efort de pescuit maxim admisibil și pentru alte unelte de pescuit decât traulele, pe baza avizelor științifice. Această limitare poate servi la a menține nivelul estimat al mortalității prin pescuit care permite atingerea și menținerea producției maxime durabile (F</w:t>
      </w:r>
      <w:r>
        <w:rPr>
          <w:noProof/>
          <w:vertAlign w:val="subscript"/>
        </w:rPr>
        <w:t>MSY</w:t>
      </w:r>
      <w:r>
        <w:rPr>
          <w:noProof/>
        </w:rPr>
        <w:t>) pe termen lung, cu un anumit model de pescuit și în condițiile de mediu actuale.</w:t>
      </w:r>
    </w:p>
    <w:p>
      <w:pPr>
        <w:pBdr>
          <w:top w:val="nil"/>
          <w:left w:val="nil"/>
          <w:bottom w:val="nil"/>
          <w:right w:val="nil"/>
          <w:between w:val="nil"/>
          <w:bar w:val="nil"/>
        </w:pBdr>
        <w:rPr>
          <w:noProof/>
        </w:rPr>
      </w:pPr>
      <w:r>
        <w:rPr>
          <w:noProof/>
        </w:rPr>
        <w:t>CSTEP (CSTEP 25-11, CSTEP-24-10 și PLEN-24-03) a indicat că este necesară de urgență o abordare holistică pentru a reduce mortalitatea prin pescuit, în special pentru merluciu, langustină și crevetele de adâncime. Acest lucru ar putea fi realizat prin adoptarea unor măsuri privind efortul de pescuit pentru traulere și nave de pescuit cu paragate, combinate cu limite de captură pentru navele cu plase care pescuiesc crevete de adâncime și merluciu. Pe baza acestui aviz, au fost incluse limite de captură prin Regulamentele (UE) 2022/110</w:t>
      </w:r>
      <w:r>
        <w:rPr>
          <w:rStyle w:val="FootnoteReference"/>
          <w:noProof/>
        </w:rPr>
        <w:footnoteReference w:id="5"/>
      </w:r>
      <w:r>
        <w:rPr>
          <w:noProof/>
        </w:rPr>
        <w:t>, (UE) 2023/195</w:t>
      </w:r>
      <w:r>
        <w:rPr>
          <w:rStyle w:val="FootnoteReference"/>
          <w:noProof/>
        </w:rPr>
        <w:footnoteReference w:id="6"/>
      </w:r>
      <w:r>
        <w:rPr>
          <w:noProof/>
        </w:rPr>
        <w:t>, (UE) 2024/259</w:t>
      </w:r>
      <w:r>
        <w:rPr>
          <w:rStyle w:val="FootnoteReference"/>
          <w:noProof/>
        </w:rPr>
        <w:footnoteReference w:id="7"/>
      </w:r>
      <w:r>
        <w:rPr>
          <w:noProof/>
        </w:rPr>
        <w:t>, (UE) 2025/219</w:t>
      </w:r>
      <w:r>
        <w:rPr>
          <w:rStyle w:val="FootnoteReference"/>
          <w:noProof/>
        </w:rPr>
        <w:footnoteReference w:id="8"/>
      </w:r>
      <w:r>
        <w:rPr>
          <w:noProof/>
        </w:rPr>
        <w:t xml:space="preserve"> și (UE) 2026/266</w:t>
      </w:r>
      <w:r>
        <w:rPr>
          <w:rStyle w:val="FootnoteReference"/>
          <w:noProof/>
        </w:rPr>
        <w:footnoteReference w:id="9"/>
      </w:r>
      <w:r>
        <w:rPr>
          <w:noProof/>
        </w:rPr>
        <w:t xml:space="preserve"> ale Consiliului de stabilire a posibilităților de pescuit în Marea Mediterană și în Marea Neagră pentru 2022, 2023, 2024, 2025 și 2026. Comisia propune continuarea acestei abordări în 2027, chiar dacă regimul tranzitoriu prevăzut la articolul 7 alineatul (3) din planul multianual a expirat. Astfel, limitele de captură relevante sunt prevăzute la articolul 7 alineatul (1) litera (e) din Regulamentul de bază privind PCP, care stipulează că „[m]ăsurile pentru conservarea și exploatarea durabilă a resurselor biologice marine pot include (...) măsuri privind stabilirea și repartizarea posibilităților de pescuit”.</w:t>
      </w:r>
    </w:p>
    <w:p>
      <w:pPr>
        <w:pBdr>
          <w:top w:val="nil"/>
          <w:left w:val="nil"/>
          <w:bottom w:val="nil"/>
          <w:right w:val="nil"/>
          <w:between w:val="nil"/>
          <w:bar w:val="nil"/>
        </w:pBdr>
        <w:rPr>
          <w:noProof/>
          <w:szCs w:val="24"/>
        </w:rPr>
      </w:pPr>
      <w:r>
        <w:rPr>
          <w:noProof/>
        </w:rPr>
        <w:t>O serie de posibilități de pescuit sunt marcate cu „pm” (pro memoria) în prezenta propunere, în așteptarea avizului științific al CSTEP, care nu fusese emis încă la momentul adoptării propunerii. Propunerea va fi actualizată prin intermediul unui document neoficial de îndată ce avizul relevant devine disponibil.</w:t>
      </w:r>
    </w:p>
    <w:p>
      <w:pPr>
        <w:rPr>
          <w:noProof/>
        </w:rPr>
      </w:pPr>
      <w:r>
        <w:rPr>
          <w:noProof/>
        </w:rPr>
        <w:t>În plus, prezenta propunere include un mecanism de compensare, care a fost instituit pentru prima dată în 2022 pentru a promova utilizarea uneltelor selective și a stabili zone de prohibiție a pescuitului, în vederea protejării puietului și a reproducătorilor. Detaliile specifice vor fi stabilite în documentul neoficial de îndată ce va fi disponibil cel mai recent aviz al CSTEP.</w:t>
      </w:r>
    </w:p>
    <w:p>
      <w:pPr>
        <w:pStyle w:val="ManualHeading3"/>
        <w:rPr>
          <w:b/>
          <w:bCs/>
          <w:i w:val="0"/>
          <w:iCs/>
          <w:noProof/>
          <w:szCs w:val="24"/>
        </w:rPr>
      </w:pPr>
      <w:r>
        <w:rPr>
          <w:b/>
          <w:i w:val="0"/>
          <w:noProof/>
        </w:rPr>
        <w:t>B.</w:t>
      </w:r>
      <w:r>
        <w:rPr>
          <w:noProof/>
        </w:rPr>
        <w:tab/>
      </w:r>
      <w:r>
        <w:rPr>
          <w:b/>
          <w:i w:val="0"/>
          <w:noProof/>
        </w:rPr>
        <w:t>Măsurile CGPM aplicabile în Marea Mediterană</w:t>
      </w:r>
    </w:p>
    <w:p>
      <w:pPr>
        <w:pStyle w:val="Tiret1"/>
        <w:numPr>
          <w:ilvl w:val="0"/>
          <w:numId w:val="35"/>
        </w:numPr>
        <w:rPr>
          <w:noProof/>
        </w:rPr>
      </w:pPr>
      <w:r>
        <w:rPr>
          <w:noProof/>
        </w:rPr>
        <w:t>O capacitate maximă a flotei și o înghețare a dispozitivelor de concentrare a peștilor (FAD) per navă, precum și limite maxime de captură pentru corifena comună în toată Marea Mediterană conform planului multianual de gestionare al CGPM pentru 2023 (subzonele geografice CGPM 1-27)</w:t>
      </w:r>
    </w:p>
    <w:p>
      <w:pPr>
        <w:rPr>
          <w:noProof/>
        </w:rPr>
      </w:pPr>
      <w:r>
        <w:rPr>
          <w:noProof/>
        </w:rPr>
        <w:t>În cadrul viitoarei sale reuniuni anuale din octombrie 2026, CGPM urmează să adopte o nouă recomandare care să stabilească faza pe termen lung a planului multianual de gestionare, inclusiv limitele de captură pentru corifena comună pentru 2027. La fel ca în 2026, Comisia propune continuarea punerii în aplicare a plafonului pentru capacitatea flotei pentru dispozitivele de concentrare a peștilor care vizează stocul de corifenă comună. Acest plafon de capacitate se bazează pe capacitatea raportată către CGPM în 2019.</w:t>
      </w:r>
    </w:p>
    <w:p>
      <w:pPr>
        <w:pStyle w:val="Tiret1"/>
        <w:rPr>
          <w:noProof/>
        </w:rPr>
      </w:pPr>
      <w:r>
        <w:rPr>
          <w:noProof/>
        </w:rPr>
        <w:t>Niveluri maxime ale capturilor pentru hamsie și sardină și măsuri pentru stocurile de pești pelagici mici în cadrul planului multianual de gestionare al CGPM din 2021 (subzonele geografice 17 și 18)</w:t>
      </w:r>
    </w:p>
    <w:p>
      <w:pPr>
        <w:rPr>
          <w:noProof/>
        </w:rPr>
      </w:pPr>
      <w:r>
        <w:rPr>
          <w:noProof/>
        </w:rPr>
        <w:t>În cadrul viitoarei sale reuniuni anuale din octombrie 2026, CGPM urmează să adopte o nouă recomandare de stabilire a limitelor de captură pentru speciile de pești pelagici mici pentru 2027. La fel ca în 2026, Comisia propune continuarea punerii în aplicare a plafonului pentru capacitatea flotei pentru navele de pescuit cu plasă-pungă și traulerele pelagice care vizează stocurile de pești pelagici mici. Acest plafon de capacitate se bazează pe capacitatea raportată către CGPM în 2014.</w:t>
      </w:r>
    </w:p>
    <w:p>
      <w:pPr>
        <w:pStyle w:val="Tiret1"/>
        <w:rPr>
          <w:noProof/>
        </w:rPr>
      </w:pPr>
      <w:r>
        <w:rPr>
          <w:noProof/>
        </w:rPr>
        <w:t>Limite maxime de captură pentru carida-roz-de-adâncime și efortul de pescuit maxim admisibil pentru merluciu și capacitatea flotei pentru merluciu în Strâmtoarea Siciliei în cadrul planului multianual de gestionare al CGPM din 2022 (subzonele geografice 12-16).</w:t>
      </w:r>
    </w:p>
    <w:p>
      <w:pPr>
        <w:rPr>
          <w:noProof/>
        </w:rPr>
      </w:pPr>
      <w:r>
        <w:rPr>
          <w:noProof/>
        </w:rPr>
        <w:t>În cadrul viitoarei sale reuniuni anuale din octombrie 2026, CGPM urmează să adopte o nouă recomandare de stabilire a fazei pe termen lung a planului de gestionare, inclusiv de stabilire, pentru 2027, a limitelor maxime de captură pentru carida-roz-de-adâncime, precum și a efortului de pescuit maxim admisibil și a capacității flotei pentru merluciu în Strâmtoarea Siciliei.</w:t>
      </w:r>
    </w:p>
    <w:p>
      <w:pPr>
        <w:pStyle w:val="Tiret1"/>
        <w:rPr>
          <w:noProof/>
        </w:rPr>
      </w:pPr>
      <w:r>
        <w:rPr>
          <w:noProof/>
        </w:rPr>
        <w:t>O capacitate maximă a flotei și limite de captură pentru crevetele roșu gigant și crevetele roșu în Strâmtoarea Siciliei (subzonele geografice 12-16), în Marea Ionică (subzonele geografice 19-21) și în Marea Levantului (subzonele geografice 24-27) în cadrul planurilor multianuale de gestionare relevante ale CGPM</w:t>
      </w:r>
    </w:p>
    <w:p>
      <w:pPr>
        <w:rPr>
          <w:noProof/>
        </w:rPr>
      </w:pPr>
      <w:r>
        <w:rPr>
          <w:noProof/>
        </w:rPr>
        <w:t>În cadrul viitoarei sale reuniuni anuale din octombrie 2026, CGPM urmează să adopte noi recomandări de stabilire a fazei pe termen lung a planurilor de gestionare, inclusiv de stabilire, pentru 2027, a limitelor maxime de captură pentru crevetele de adâncime în Strâmtoarea Siciliei, în Marea Ionică și în Marea Levantului. La fel ca în 2026, Comisia propune continuarea punerii în aplicare a plafoanelor pentru capacitatea flotei pentru flotele care vizează crevetele de adâncime în cadrul planurilor multianuale respective ale CGPM.</w:t>
      </w:r>
    </w:p>
    <w:p>
      <w:pPr>
        <w:pStyle w:val="Tiret1"/>
        <w:rPr>
          <w:noProof/>
        </w:rPr>
      </w:pPr>
      <w:r>
        <w:rPr>
          <w:noProof/>
        </w:rPr>
        <w:t>Măsuri pentru pagelul argintiu din Marea Alboran în cadrul planului multianual de gestionare al CGPM (subzonele geografice 1-3)</w:t>
      </w:r>
    </w:p>
    <w:p>
      <w:pPr>
        <w:rPr>
          <w:noProof/>
        </w:rPr>
      </w:pPr>
      <w:r>
        <w:rPr>
          <w:noProof/>
        </w:rPr>
        <w:t>În cadrul viitoarei sale reuniuni din octombrie 2026, CGPM urmează să adopte o nouă recomandare de stabilire a unor limite maxime de captură pentru pagelul argintiu în Marea Alboran pentru 2027, continuând astfel să pună în aplicare faza pe termen lung a planului de gestionare adoptat în 2025.</w:t>
      </w:r>
    </w:p>
    <w:p>
      <w:pPr>
        <w:rPr>
          <w:noProof/>
        </w:rPr>
      </w:pPr>
      <w:r>
        <w:rPr>
          <w:noProof/>
        </w:rPr>
        <w:t>Propunerea include o serie de spații rezervate pentru stocurile pentru care măsurile tranzitorii ale CGPM urmează să expire la sfârșitul anului 2026 și se preconizează adoptarea de către CGPM a unor măsuri pe termen lung. Se preconizează că acestea vor include măsuri viitoare de gestionare a speciilor demersale din Marea Adriatică și măsuri de stabilire a limitelor anuale de captură și de efort în cadrul fazei permanente a planurilor de gestionare. CGPM ar trebui să adopte noi măsuri pentru stocurile respective în cadrul viitoarei sale reuniuni anuale. După desfășurarea reuniunii anuale a CGPM, propunerea va fi actualizată prin intermediul unui document neoficial.</w:t>
      </w:r>
    </w:p>
    <w:p>
      <w:pPr>
        <w:pStyle w:val="ManualHeading3"/>
        <w:rPr>
          <w:b/>
          <w:bCs/>
          <w:i w:val="0"/>
          <w:iCs/>
          <w:noProof/>
          <w:szCs w:val="24"/>
        </w:rPr>
      </w:pPr>
      <w:r>
        <w:rPr>
          <w:b/>
          <w:i w:val="0"/>
          <w:noProof/>
        </w:rPr>
        <w:t>C.</w:t>
      </w:r>
      <w:r>
        <w:rPr>
          <w:noProof/>
        </w:rPr>
        <w:tab/>
      </w:r>
      <w:r>
        <w:rPr>
          <w:b/>
          <w:i w:val="0"/>
          <w:noProof/>
        </w:rPr>
        <w:t>Măsurile CGPM aplicabile în Marea Neagră</w:t>
      </w:r>
    </w:p>
    <w:p>
      <w:pPr>
        <w:pStyle w:val="ManualNumPar1"/>
        <w:rPr>
          <w:iCs/>
          <w:noProof/>
          <w:szCs w:val="24"/>
        </w:rPr>
      </w:pPr>
      <w:r>
        <w:rPr>
          <w:noProof/>
        </w:rPr>
        <w:t>1.</w:t>
      </w:r>
      <w:r>
        <w:rPr>
          <w:noProof/>
        </w:rPr>
        <w:tab/>
        <w:t>o cotă autonomă pentru șprot, pe baza avizelor științifice;</w:t>
      </w:r>
    </w:p>
    <w:p>
      <w:pPr>
        <w:pStyle w:val="ManualNumPar1"/>
        <w:rPr>
          <w:noProof/>
          <w:szCs w:val="24"/>
        </w:rPr>
      </w:pPr>
      <w:r>
        <w:rPr>
          <w:noProof/>
        </w:rPr>
        <w:t>2.</w:t>
      </w:r>
      <w:r>
        <w:rPr>
          <w:noProof/>
        </w:rPr>
        <w:tab/>
        <w:t>o captură totală admisibilă (TAC) și repartizarea cotelor pentru calcan în cadrul planului multianual de gestionare al CGPM din 2017 pentru pescuitul de calcan, adoptat în cadrul Recomandării CGPM/41/2017/4 (subzona geografică 29) și modificat prin Recomandarea CGPM/47/2024/8.</w:t>
      </w:r>
    </w:p>
    <w:p>
      <w:pPr>
        <w:rPr>
          <w:noProof/>
          <w:color w:val="333333"/>
          <w:szCs w:val="24"/>
          <w:shd w:val="clear" w:color="auto" w:fill="FFFFFF"/>
        </w:rPr>
      </w:pPr>
      <w:r>
        <w:rPr>
          <w:noProof/>
          <w:shd w:val="clear" w:color="auto" w:fill="FFFFFF"/>
        </w:rPr>
        <w:t>Măsurile legate funcțional de posibilitățile de pescuit (de exemplu închideri ale zonelor de reproducere) fac parte din prezenta propunere, deoarece, fără astfel de perioade de interdicție (cum ar fi pentru calcan în Marea Neagră), posibilitățile de pescuit nu ar putea fi stabilite</w:t>
      </w:r>
      <w:r>
        <w:rPr>
          <w:noProof/>
        </w:rPr>
        <w:t xml:space="preserve"> la același nivel. Durata perioadelor de interdicție poate varia în funcție de starea stocului, astfel cum a fost evaluată în avizele științifice.</w:t>
      </w:r>
    </w:p>
    <w:p>
      <w:pPr>
        <w:rPr>
          <w:noProof/>
          <w:szCs w:val="24"/>
        </w:rPr>
        <w:sectPr>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2026/0269 (NLE)</w:t>
      </w:r>
    </w:p>
    <w:p>
      <w:pPr>
        <w:pStyle w:val="Statut"/>
        <w:rPr>
          <w:noProof/>
        </w:rPr>
      </w:pPr>
      <w:r>
        <w:rPr>
          <w:noProof/>
        </w:rPr>
        <w:t>Propunere de</w:t>
      </w:r>
    </w:p>
    <w:p>
      <w:pPr>
        <w:pStyle w:val="Typedudocument"/>
        <w:rPr>
          <w:noProof/>
        </w:rPr>
      </w:pPr>
      <w:r>
        <w:rPr>
          <w:noProof/>
        </w:rPr>
        <w:t>REGULAMENT AL CONSILIULUI</w:t>
      </w:r>
    </w:p>
    <w:p>
      <w:pPr>
        <w:pStyle w:val="Titreobjet"/>
        <w:rPr>
          <w:noProof/>
        </w:rPr>
      </w:pPr>
      <w:r>
        <w:rPr>
          <w:noProof/>
        </w:rPr>
        <w:t>de stabilire a posibilităților de pescuit pentru anul 2027 pentru anumite stocuri de pește și grupuri de stocuri de pește aplicabile în Marea Mediterană și în Marea Neagră</w:t>
      </w:r>
    </w:p>
    <w:p>
      <w:pPr>
        <w:pStyle w:val="Institutionquiagit"/>
        <w:rPr>
          <w:noProof/>
          <w:szCs w:val="24"/>
        </w:rPr>
      </w:pPr>
      <w:r>
        <w:rPr>
          <w:noProof/>
        </w:rPr>
        <w:t>CONSILIUL UNIUNII EUROPENE,</w:t>
      </w:r>
    </w:p>
    <w:p>
      <w:pPr>
        <w:shd w:val="clear" w:color="auto" w:fill="FFFFFF"/>
        <w:spacing w:after="0"/>
        <w:rPr>
          <w:rFonts w:eastAsia="Times New Roman"/>
          <w:noProof/>
          <w:szCs w:val="24"/>
        </w:rPr>
      </w:pPr>
      <w:r>
        <w:rPr>
          <w:noProof/>
        </w:rPr>
        <w:t>având în vedere Tratatul privind funcționarea Uniunii Europene, în special articolul 43 alineatul (3),</w:t>
      </w:r>
    </w:p>
    <w:p>
      <w:pPr>
        <w:rPr>
          <w:noProof/>
          <w:szCs w:val="24"/>
        </w:rPr>
      </w:pPr>
      <w:r>
        <w:rPr>
          <w:noProof/>
        </w:rPr>
        <w:t>având în vedere propunerea Comisiei Europene,</w:t>
      </w:r>
    </w:p>
    <w:p>
      <w:pPr>
        <w:rPr>
          <w:noProof/>
          <w:szCs w:val="24"/>
        </w:rPr>
      </w:pPr>
      <w:r>
        <w:rPr>
          <w:noProof/>
        </w:rPr>
        <w:t>întrucât:</w:t>
      </w:r>
    </w:p>
    <w:p>
      <w:pPr>
        <w:pStyle w:val="ManualConsidrant"/>
        <w:rPr>
          <w:noProof/>
          <w:szCs w:val="24"/>
        </w:rPr>
      </w:pPr>
      <w:r>
        <w:rPr>
          <w:noProof/>
        </w:rPr>
        <w:t>(1)</w:t>
      </w:r>
      <w:r>
        <w:rPr>
          <w:noProof/>
        </w:rPr>
        <w:tab/>
        <w:t>Consiliul trebuie să adopte măsuri privind stabilirea și alocarea posibilităților de pescuit, inclusiv privind anumite condiții legate funcțional de respectivele posibilități de pescuit, după caz. La articolul 16 alineatul (1) din Regulamentul (UE) nr. 1380/2013</w:t>
      </w:r>
      <w:r>
        <w:rPr>
          <w:rStyle w:val="FootnoteReference"/>
          <w:rFonts w:eastAsia="Times New Roman"/>
          <w:noProof/>
          <w:szCs w:val="24"/>
          <w:lang w:eastAsia="en-IE"/>
        </w:rPr>
        <w:footnoteReference w:id="10"/>
      </w:r>
      <w:r>
        <w:rPr>
          <w:noProof/>
        </w:rPr>
        <w:t xml:space="preserve"> se prevede că posibilitățile de pescuit se repartizează statelor membre astfel încât să se asigure o relativă stabilitate a activităților de pescuit desfășurate de fiecare stat membru pentru fiecare stoc de pește sau activitate de pescuit. La articolul 16 alineatul (4) din regulamentul menționat se prevede că posibilitățile de pescuit se stabilesc în conformitate cu obiectivele politicii comune în domeniul pescuitului prevăzute la articolul 2 alineatul (2) din regulamentul respectiv. </w:t>
      </w:r>
    </w:p>
    <w:p>
      <w:pPr>
        <w:pStyle w:val="ManualConsidrant"/>
        <w:rPr>
          <w:noProof/>
          <w:szCs w:val="24"/>
        </w:rPr>
      </w:pPr>
      <w:r>
        <w:rPr>
          <w:noProof/>
        </w:rPr>
        <w:t>(2)</w:t>
      </w:r>
      <w:r>
        <w:rPr>
          <w:noProof/>
        </w:rPr>
        <w:tab/>
        <w:t>Prin urmare, în conformitate cu Regulamentul (UE) nr. 1380/2013, posibilitățile de pescuit ar trebui să fie stabilite pe baza avizelor științifice disponibile, ținându-se seama de aspectele biologice și socioeconomice și asigurându-se totodată un tratament echitabil pentru toate sectoarele de pescuit, precum și pe baza opiniilor exprimate cu ocazia consultărilor cu părțile interesate.</w:t>
      </w:r>
    </w:p>
    <w:p>
      <w:pPr>
        <w:pStyle w:val="ManualConsidrant"/>
        <w:rPr>
          <w:noProof/>
        </w:rPr>
      </w:pPr>
      <w:r>
        <w:rPr>
          <w:noProof/>
        </w:rPr>
        <w:t>(3)</w:t>
      </w:r>
      <w:r>
        <w:rPr>
          <w:noProof/>
        </w:rPr>
        <w:tab/>
        <w:t>În cadrul celei de a 47-a reuniuni anuale din 2024, Comisia Generală pentru Pescuit în Marea Mediterană (CGPM) a adoptat Recomandarea CGPM/47/2024/1 care stabilește măsuri de gestionare pe termen lung pentru anghila europeană (</w:t>
      </w:r>
      <w:r>
        <w:rPr>
          <w:i/>
          <w:noProof/>
        </w:rPr>
        <w:t>Anguilla anguilla</w:t>
      </w:r>
      <w:r>
        <w:rPr>
          <w:noProof/>
        </w:rPr>
        <w:t>), astfel cum se prevede în Recomandarea CGPM/46/2023/16 privind un plan de gestionare pe termen lung pentru anghila europeană (subzonele geografice CGPM 1-27). Recomandarea CGPM/47/2024/1 menține, pentru 2027, perioada de interdicție de șase luni pentru pescuitul comercial și interzicerea pescuitului recreativ. În plus, recomandarea respectivă limitează activitățile de pescuit comercial de puiet de anghilă la o perioadă de două luni și permite astfel de activități de pescuit în anumite condiții. Respectivele măsuri se aplică tuturor apelor marine ale Mării Mediterane și apelor dulci, precum și apelor salmastre, inclusiv estuarele, lagunele de coastă și apele de tranziție, în conformitate cu respectiva recomandare. Măsurile respective trebuie transpuse în legislația Uniunii.</w:t>
      </w:r>
    </w:p>
    <w:p>
      <w:pPr>
        <w:pStyle w:val="ManualConsidrant"/>
        <w:rPr>
          <w:noProof/>
        </w:rPr>
      </w:pPr>
      <w:r>
        <w:rPr>
          <w:noProof/>
        </w:rPr>
        <w:t>(4)</w:t>
      </w:r>
      <w:r>
        <w:rPr>
          <w:noProof/>
        </w:rPr>
        <w:tab/>
        <w:t>În cadrul celei de a 47-a reuniuni anuale din 2024, CGPM a adoptat Recomandarea CGPM/47/2024/2 care stabilește măsuri pe termen lung pentru exploatarea durabilă a coralului roșu (</w:t>
      </w:r>
      <w:r>
        <w:rPr>
          <w:i/>
          <w:noProof/>
        </w:rPr>
        <w:t>Corallium rubrum</w:t>
      </w:r>
      <w:r>
        <w:rPr>
          <w:noProof/>
        </w:rPr>
        <w:t>), astfel cum se prevede în Recomandarea CGPM/43/2019/4 privind un plan de gestionare pentru exploatarea durabilă a coralului roșu în Marea Mediterană (subzonele geografice CGPM 1-27). Recomandarea CGPM/47/2024/2 menține, pentru 2027, înghețarea efortului de pescuit exprimată ca număr maxim de autorizații de pescuit și de limite de recoltă pentru coralul roșu. Măsurile respective trebuie transpuse în legislația Uniunii.</w:t>
      </w:r>
    </w:p>
    <w:p>
      <w:pPr>
        <w:pStyle w:val="ManualConsidrant"/>
        <w:rPr>
          <w:noProof/>
        </w:rPr>
      </w:pPr>
      <w:r>
        <w:rPr>
          <w:noProof/>
        </w:rPr>
        <w:t>(5)</w:t>
      </w:r>
      <w:r>
        <w:rPr>
          <w:noProof/>
        </w:rPr>
        <w:tab/>
        <w:t>În cadrul celei de a 46-a reuniuni anuale din 2023, CGPM a adoptat Recomandarea CGPM/46/2023/14 privind un plan multianual de gestionare a exploatării durabile a stocurilor de corifenă comună (</w:t>
      </w:r>
      <w:r>
        <w:rPr>
          <w:i/>
          <w:noProof/>
        </w:rPr>
        <w:t>Coryphaena hippurus</w:t>
      </w:r>
      <w:r>
        <w:rPr>
          <w:noProof/>
        </w:rPr>
        <w:t xml:space="preserve">) în Marea Mediterană (subzonele geografice CGPM 1-27), care a introdus, pentru perioada 2024-2031, un plafon al capacității flotei, o înghețare a capacității dispozitivelor de concentrare a peștilor per navă și o limită de captură. În ceea ce privește pescuitul recreativ, recomandarea respectivă prevede, de asemenea, că trebuie să se respecte o limită zilnică a capturilor. Respectivele măsuri referitoare la anul 2027 ar trebui să fie transpuse în dreptul Uniunii. </w:t>
      </w:r>
    </w:p>
    <w:p>
      <w:pPr>
        <w:pStyle w:val="ManualConsidrant"/>
        <w:rPr>
          <w:noProof/>
        </w:rPr>
      </w:pPr>
      <w:r>
        <w:rPr>
          <w:noProof/>
        </w:rPr>
        <w:t>(6)</w:t>
      </w:r>
      <w:r>
        <w:rPr>
          <w:noProof/>
        </w:rPr>
        <w:tab/>
      </w:r>
      <w:r>
        <w:rPr>
          <w:i/>
          <w:noProof/>
        </w:rPr>
        <w:t>[SPAȚIU REZERVAT CGPM 49 – corifenă comună</w:t>
      </w:r>
      <w:r>
        <w:rPr>
          <w:noProof/>
        </w:rPr>
        <w:t>].</w:t>
      </w:r>
    </w:p>
    <w:p>
      <w:pPr>
        <w:pStyle w:val="ManualConsidrant"/>
        <w:rPr>
          <w:noProof/>
        </w:rPr>
      </w:pPr>
      <w:r>
        <w:rPr>
          <w:noProof/>
        </w:rPr>
        <w:t>(7)</w:t>
      </w:r>
      <w:r>
        <w:rPr>
          <w:noProof/>
        </w:rPr>
        <w:tab/>
        <w:t>Regulamentul (UE) 2019/1022</w:t>
      </w:r>
      <w:r>
        <w:rPr>
          <w:rStyle w:val="FootnoteReference"/>
          <w:rFonts w:eastAsia="Times New Roman"/>
          <w:noProof/>
          <w:lang w:eastAsia="en-IE"/>
        </w:rPr>
        <w:footnoteReference w:id="11"/>
      </w:r>
      <w:r>
        <w:rPr>
          <w:noProof/>
        </w:rPr>
        <w:t xml:space="preserve"> al Parlamentului European și al Consiliului a instituit un plan multianual pentru activitățile de pescuit care exploatează stocuri demersale în vestul Mării Mediterane (subzonele geografice CGPM 1, 2, 5, 6, 7, 8, 9, 10 și 11). Planul respectiv stabilește obiective și măsuri pentru conservarea pe termen lung și exploatarea durabilă a stocurilor vizate de acesta. Este vorba de atingerea și menținerea capturii maxime durabile (MSY) pentru stocurile vizate, precum și garantarea faptului că exploatarea resurselor biologice marine vii duce la refacerea și menținerea populațiilor de specii recoltate peste nivelurile care permit obținerea MSY.</w:t>
      </w:r>
    </w:p>
    <w:p>
      <w:pPr>
        <w:pStyle w:val="ManualConsidrant"/>
        <w:rPr>
          <w:noProof/>
        </w:rPr>
      </w:pPr>
      <w:r>
        <w:rPr>
          <w:noProof/>
        </w:rPr>
        <w:t>(8)</w:t>
      </w:r>
      <w:r>
        <w:rPr>
          <w:noProof/>
        </w:rPr>
        <w:tab/>
        <w:t>În conformitate cu articolul 4 alineatul (1) din Regulamentul (UE) 2019/1022, posibilitățile de pescuit pentru stocurile care figurează la articolul 1 alineatul (2) din Regulamentul (UE) 2019/1022 ar trebui să fie stabilite în limitele valorilor mortalității prin pescuit care conduc la MSY (intervale FMSY) sau la un nivel mai mic și în conformitate cu garanțiile prevăzute în regulamentul respectiv. Intervalele FMSY sunt stabilite în avizul relevant al Comitetului științific, tehnic și economic pentru pescuit (CSTEP). În cazul în care nu sunt disponibile informații științifice adecvate, posibilitățile de pescuit pentru stocurile menționate la articolul 1 alineatul (2) și la articolul 1 alineatul (3) din regulamentul respectiv ar trebui stabilite în conformitate cu abordarea precaută a gestionării pescuitului, în conformitate cu articolul 4 alineatul (6) din regulamentul respectiv.</w:t>
      </w:r>
    </w:p>
    <w:p>
      <w:pPr>
        <w:pStyle w:val="ManualConsidrant"/>
        <w:rPr>
          <w:rFonts w:eastAsia="Times New Roman"/>
          <w:noProof/>
        </w:rPr>
      </w:pPr>
      <w:r>
        <w:rPr>
          <w:noProof/>
        </w:rPr>
        <w:t>(9)</w:t>
      </w:r>
      <w:r>
        <w:rPr>
          <w:noProof/>
        </w:rPr>
        <w:tab/>
        <w:t>Mai mult, posibilitățile de pescuit sunt exprimate, pe de o parte, ca efort de pescuit maxim admisibil pentru traulere și nave de pescuit cu paragate și se stabilesc în conformitate cu regimul de gestionare a efortului de pescuit prevăzut la articolul 7 din Regulamentul (UE) 2019/1022, și, pe de altă parte, ca limite maxime de captură pentru crevetele roșu (</w:t>
      </w:r>
      <w:r>
        <w:rPr>
          <w:i/>
          <w:noProof/>
        </w:rPr>
        <w:t>Aristeus antennatus</w:t>
      </w:r>
      <w:r>
        <w:rPr>
          <w:noProof/>
        </w:rPr>
        <w:t>) și crevetele roșu gigant (</w:t>
      </w:r>
      <w:r>
        <w:rPr>
          <w:i/>
          <w:noProof/>
        </w:rPr>
        <w:t>Aristaeomorpha foliacea</w:t>
      </w:r>
      <w:r>
        <w:rPr>
          <w:noProof/>
        </w:rPr>
        <w:t>) în ape adânci, toate stabilite în conformitate cu avizele științifice și cu articolul 16 alineatul (4) din Regulamentul (UE) nr. 1380/2013.</w:t>
      </w:r>
      <w:r>
        <w:rPr>
          <w:noProof/>
          <w:color w:val="181717"/>
        </w:rPr>
        <w:t xml:space="preserve"> </w:t>
      </w:r>
    </w:p>
    <w:p>
      <w:pPr>
        <w:pStyle w:val="ManualConsidrant"/>
        <w:rPr>
          <w:noProof/>
        </w:rPr>
      </w:pPr>
      <w:r>
        <w:rPr>
          <w:noProof/>
        </w:rPr>
        <w:t>(10)</w:t>
      </w:r>
      <w:r>
        <w:rPr>
          <w:noProof/>
        </w:rPr>
        <w:tab/>
      </w:r>
      <w:r>
        <w:rPr>
          <w:i/>
          <w:noProof/>
          <w:color w:val="181717"/>
        </w:rPr>
        <w:t>[SPAȚIU REZERVAT – avizul CSTEP privind vestul Mării Mediterane]</w:t>
      </w:r>
    </w:p>
    <w:p>
      <w:pPr>
        <w:pStyle w:val="ManualConsidrant"/>
        <w:rPr>
          <w:rFonts w:eastAsia="Times New Roman"/>
          <w:noProof/>
        </w:rPr>
      </w:pPr>
      <w:r>
        <w:rPr>
          <w:noProof/>
        </w:rPr>
        <w:t>(11)</w:t>
      </w:r>
      <w:r>
        <w:rPr>
          <w:noProof/>
        </w:rPr>
        <w:tab/>
        <w:t>Pentru a promova utilizarea uneltelor de pescuit selective și pentru a stabili zone eficiente de prohibiție a pescuitului, în vederea protejării puietului și a reproducătorilor, Regulamentul (UE) 2022/110</w:t>
      </w:r>
      <w:r>
        <w:rPr>
          <w:rStyle w:val="FootnoteReference"/>
          <w:rFonts w:eastAsia="Times New Roman"/>
          <w:noProof/>
          <w:lang w:eastAsia="en-IE"/>
        </w:rPr>
        <w:footnoteReference w:id="12"/>
      </w:r>
      <w:r>
        <w:rPr>
          <w:noProof/>
        </w:rPr>
        <w:t xml:space="preserve"> al Consiliului a instituit un mecanism de compensare în legătură cu regimul de gestionare a efortului de pescuit pentru traulere. </w:t>
      </w:r>
      <w:r>
        <w:rPr>
          <w:i/>
          <w:noProof/>
        </w:rPr>
        <w:t>[SPAȚIU REZERVAT – avizul privind vestul Mării Mediterane referitor la mecanismul de compensare]</w:t>
      </w:r>
    </w:p>
    <w:p>
      <w:pPr>
        <w:pStyle w:val="ManualConsidrant"/>
        <w:rPr>
          <w:rFonts w:eastAsia="Times New Roman"/>
          <w:noProof/>
        </w:rPr>
      </w:pPr>
      <w:r>
        <w:rPr>
          <w:noProof/>
        </w:rPr>
        <w:t>(12)</w:t>
      </w:r>
      <w:r>
        <w:rPr>
          <w:noProof/>
        </w:rPr>
        <w:tab/>
        <w:t xml:space="preserve">În conformitate cu articolul 6 din Regulamentul (UE) 2019/1022, atunci când avizele științifice indică faptul că biomasa stocului de reproducere pentru oricare dintre stocurile menționate la articolul 1 alineatul (2) din regulamentul respectiv este sub nivelul de referință de precauție al biomasei (BPA) sau este sub nivelul-limită de referință al biomasei (BLIM), trebuie să fie adoptate măsuri de remediere pentru a asigura revenirea rapidă a stocurilor la niveluri peste cele care permit atingerea MSY. </w:t>
      </w:r>
      <w:r>
        <w:rPr>
          <w:i/>
          <w:noProof/>
        </w:rPr>
        <w:t>[SPAȚIU REZERVAT – avizul CSTEP privind vestul Mării Mediterane]</w:t>
      </w:r>
    </w:p>
    <w:p>
      <w:pPr>
        <w:pStyle w:val="ManualConsidrant"/>
        <w:rPr>
          <w:rFonts w:eastAsia="Times New Roman"/>
          <w:noProof/>
        </w:rPr>
      </w:pPr>
      <w:r>
        <w:rPr>
          <w:noProof/>
        </w:rPr>
        <w:t>(13)</w:t>
      </w:r>
      <w:r>
        <w:rPr>
          <w:noProof/>
        </w:rPr>
        <w:tab/>
        <w:t>În cadrul celei de a 44-a reuniuni anuale din 2021, CGPM a adoptat Recomandarea CGPM/44/2021/20 privind un plan multianual de gestionare a exploatării durabile a stocurilor de pești pelagici mici în Marea Adriatică (subzonele geografice CGPM 17 și 18), care a introdus, pentru perioada 2022-2029, un nivel maxim al capturilor și un plafon conex al capacității flotei pentru nave de pescuit cu plasă-pungă și traulere pentru pești pelagici care vizează pești pelagici mici. Respectivele măsuri referitoare la anul 2027 ar trebui să fie transpuse în dreptul Uniunii.</w:t>
      </w:r>
    </w:p>
    <w:p>
      <w:pPr>
        <w:pStyle w:val="ManualConsidrant"/>
        <w:rPr>
          <w:noProof/>
        </w:rPr>
      </w:pPr>
      <w:r>
        <w:rPr>
          <w:noProof/>
        </w:rPr>
        <w:t>(14)</w:t>
      </w:r>
      <w:r>
        <w:rPr>
          <w:noProof/>
        </w:rPr>
        <w:tab/>
      </w:r>
      <w:r>
        <w:rPr>
          <w:i/>
          <w:noProof/>
        </w:rPr>
        <w:t>[SPAȚIU REZERVAT CGPM 49 – pești pelagici mici din Marea Adriatică]</w:t>
      </w:r>
      <w:r>
        <w:rPr>
          <w:noProof/>
        </w:rPr>
        <w:t>.</w:t>
      </w:r>
    </w:p>
    <w:p>
      <w:pPr>
        <w:pStyle w:val="ManualConsidrant"/>
        <w:rPr>
          <w:noProof/>
        </w:rPr>
      </w:pPr>
      <w:r>
        <w:rPr>
          <w:noProof/>
        </w:rPr>
        <w:t>(15)</w:t>
      </w:r>
      <w:r>
        <w:rPr>
          <w:noProof/>
        </w:rPr>
        <w:tab/>
      </w:r>
      <w:r>
        <w:rPr>
          <w:i/>
          <w:noProof/>
        </w:rPr>
        <w:t>[SPAȚIU REZERVAT CGPM 49 – specii demersale din Marea Adriatică]</w:t>
      </w:r>
      <w:r>
        <w:rPr>
          <w:noProof/>
        </w:rPr>
        <w:t>.</w:t>
      </w:r>
    </w:p>
    <w:p>
      <w:pPr>
        <w:pStyle w:val="ManualConsidrant"/>
        <w:rPr>
          <w:rFonts w:eastAsia="Times New Roman"/>
          <w:noProof/>
        </w:rPr>
      </w:pPr>
      <w:r>
        <w:rPr>
          <w:noProof/>
        </w:rPr>
        <w:t>(16)</w:t>
      </w:r>
      <w:r>
        <w:rPr>
          <w:noProof/>
        </w:rPr>
        <w:tab/>
        <w:t>Ținând cont de particularitățile flotei slovene și de impactul său marginal asupra stocurilor de pești pelagici mici și în conformitate cu punctul 33 din Recomandarea CGPM/44/2021/20, este adecvat să se păstreze modelele de pescuit existente și să se asigure accesul flotei slovene la o cotă minimă de efort de pescuit pentru stocurile demersale.</w:t>
      </w:r>
    </w:p>
    <w:p>
      <w:pPr>
        <w:pStyle w:val="ManualConsidrant"/>
        <w:rPr>
          <w:rFonts w:eastAsia="Times New Roman"/>
          <w:noProof/>
        </w:rPr>
      </w:pPr>
      <w:r>
        <w:rPr>
          <w:noProof/>
        </w:rPr>
        <w:t>(17)</w:t>
      </w:r>
      <w:r>
        <w:rPr>
          <w:noProof/>
        </w:rPr>
        <w:tab/>
        <w:t>În cadrul celei de a 45-a reuniuni anuale din 2022, CGPM a adoptat Recomandarea CGPM/45/2022/4 privind un plan multianual de gestionare pentru exploatarea durabilă a stocurilor demersale în Strâmtoarea Siciliei (subzonele geografice CGPM 12-16), abrogând Recomandările CGPM/44/2021/12 și CGPM/42/2018/5. Recomandarea CGPM/45/2022/4 a introdus un regim de gestionare a efortului de pescuit pentru merluciu și limite de captură pentru carida-roz-de-adâncime (</w:t>
      </w:r>
      <w:r>
        <w:rPr>
          <w:i/>
          <w:noProof/>
        </w:rPr>
        <w:t>Parapenaeus longirostris</w:t>
      </w:r>
      <w:r>
        <w:rPr>
          <w:noProof/>
        </w:rPr>
        <w:t>), precum și o înghețare a capacității de pescuit. Respectivele măsuri referitoare la anul 2027 ar trebui să fie transpuse în dreptul Uniunii.</w:t>
      </w:r>
    </w:p>
    <w:p>
      <w:pPr>
        <w:pStyle w:val="ManualConsidrant"/>
        <w:rPr>
          <w:noProof/>
        </w:rPr>
      </w:pPr>
      <w:r>
        <w:rPr>
          <w:noProof/>
        </w:rPr>
        <w:t>(18)</w:t>
      </w:r>
      <w:r>
        <w:rPr>
          <w:noProof/>
        </w:rPr>
        <w:tab/>
      </w:r>
      <w:r>
        <w:rPr>
          <w:i/>
          <w:noProof/>
        </w:rPr>
        <w:t>[SPAȚIU REZERVAT CGPM 49 - stocuri demersale din Strâmtoarea Siciliei].</w:t>
      </w:r>
    </w:p>
    <w:p>
      <w:pPr>
        <w:pStyle w:val="ManualConsidrant"/>
        <w:rPr>
          <w:rFonts w:eastAsia="Times New Roman"/>
          <w:noProof/>
        </w:rPr>
      </w:pPr>
      <w:r>
        <w:rPr>
          <w:noProof/>
        </w:rPr>
        <w:t>(19)</w:t>
      </w:r>
      <w:r>
        <w:rPr>
          <w:noProof/>
        </w:rPr>
        <w:tab/>
        <w:t>În cadrul celei de a 45-a reuniuni anuale din 2022, CGPM a adoptat Recomandarea CGPM/45/2022/5 privind un plan multianual de gestionare pentru exploatarea durabilă a stocurilor de crevete roșu gigant și de crevete roșu în Strâmtoarea Siciliei (subzonele geografice CGPM 12-16), abrogând Recomandările CGPM/44/2021/7 și CGPM/43/2019/6. Recomandarea CGPM/45/2022/5 a introdus o limită de captură și o înghețare a capacității de pescuit. Respectivele măsuri referitoare la anul 2027 ar trebui să fie transpuse în dreptul Uniunii.</w:t>
      </w:r>
    </w:p>
    <w:p>
      <w:pPr>
        <w:pStyle w:val="ManualConsidrant"/>
        <w:rPr>
          <w:noProof/>
        </w:rPr>
      </w:pPr>
      <w:r>
        <w:rPr>
          <w:noProof/>
        </w:rPr>
        <w:t>(20)</w:t>
      </w:r>
      <w:r>
        <w:rPr>
          <w:noProof/>
        </w:rPr>
        <w:tab/>
      </w:r>
      <w:r>
        <w:rPr>
          <w:i/>
          <w:noProof/>
        </w:rPr>
        <w:t>[SPAȚIU REZERVAT CGPM 49 - crevete din Strâmtoarea Siciliei].</w:t>
      </w:r>
    </w:p>
    <w:p>
      <w:pPr>
        <w:pStyle w:val="ManualConsidrant"/>
        <w:rPr>
          <w:rFonts w:eastAsia="Times New Roman"/>
          <w:noProof/>
        </w:rPr>
      </w:pPr>
      <w:r>
        <w:rPr>
          <w:noProof/>
        </w:rPr>
        <w:t>(21)</w:t>
      </w:r>
      <w:r>
        <w:rPr>
          <w:noProof/>
        </w:rPr>
        <w:tab/>
        <w:t>În cadrul celei de a 45-a reuniuni anuale din 2022, CGPM a adoptat Recomandarea CGPM/45/2022/6 privind un plan multianual de gestionare pentru exploatarea durabilă a stocurilor de crevete roșu gigant și de crevete roșu în Marea Ionică (subzonele geografice CGPM 19-21), abrogând Recomandările CGPM/44/2021/8 și CGPM/42/2018/4. Recomandarea CGPM/45/2022/6 a introdus o limită de captură și o înghețare a capacității de pescuit. Respectivele măsuri referitoare la anul 2027 ar trebui să fie transpuse în dreptul Uniunii.</w:t>
      </w:r>
    </w:p>
    <w:p>
      <w:pPr>
        <w:pStyle w:val="ManualConsidrant"/>
        <w:rPr>
          <w:noProof/>
        </w:rPr>
      </w:pPr>
      <w:r>
        <w:rPr>
          <w:noProof/>
        </w:rPr>
        <w:t>(22)</w:t>
      </w:r>
      <w:r>
        <w:rPr>
          <w:noProof/>
        </w:rPr>
        <w:tab/>
      </w:r>
      <w:r>
        <w:rPr>
          <w:i/>
          <w:noProof/>
        </w:rPr>
        <w:t>[SPAȚIU REZERVAT CGPM 49 - crevete din Marea Ionică].</w:t>
      </w:r>
    </w:p>
    <w:p>
      <w:pPr>
        <w:pStyle w:val="ManualConsidrant"/>
        <w:rPr>
          <w:rFonts w:eastAsia="Times New Roman"/>
          <w:noProof/>
        </w:rPr>
      </w:pPr>
      <w:r>
        <w:rPr>
          <w:noProof/>
        </w:rPr>
        <w:t>(23)</w:t>
      </w:r>
      <w:r>
        <w:rPr>
          <w:noProof/>
        </w:rPr>
        <w:tab/>
        <w:t>În cadrul celei de a 45-a reuniuni anuale din 2022, CGPM a adoptat Recomandarea CGPM/45/2022/7 privind un plan multianual de gestionare pentru exploatarea durabilă a stocurilor de crevete roșu gigant și de crevete roșu în Marea Levantului (subzonele geografice CGPM 24-27), abrogând Recomandările CGPM/44/2021/6 și CGPM/42/2018/3. Recomandarea CGPM/45/2022/7 a introdus o limită de captură și o înghețare a capacității de pescuit. Respectivele măsuri referitoare la anul 2027 ar trebui să fie transpuse în dreptul Uniunii.</w:t>
      </w:r>
    </w:p>
    <w:p>
      <w:pPr>
        <w:pStyle w:val="ManualConsidrant"/>
        <w:rPr>
          <w:rFonts w:eastAsia="Times New Roman"/>
          <w:noProof/>
        </w:rPr>
      </w:pPr>
      <w:r>
        <w:rPr>
          <w:noProof/>
        </w:rPr>
        <w:t>(24)</w:t>
      </w:r>
      <w:r>
        <w:rPr>
          <w:noProof/>
        </w:rPr>
        <w:tab/>
        <w:t>[</w:t>
      </w:r>
      <w:r>
        <w:rPr>
          <w:i/>
          <w:noProof/>
        </w:rPr>
        <w:t>SPAȚIU REZERVAT CGPM 49 - crevete din Marea Levantului</w:t>
      </w:r>
      <w:r>
        <w:rPr>
          <w:noProof/>
        </w:rPr>
        <w:t>].</w:t>
      </w:r>
    </w:p>
    <w:p>
      <w:pPr>
        <w:pStyle w:val="ManualConsidrant"/>
        <w:rPr>
          <w:noProof/>
        </w:rPr>
      </w:pPr>
      <w:r>
        <w:rPr>
          <w:noProof/>
        </w:rPr>
        <w:t>(25)</w:t>
      </w:r>
      <w:r>
        <w:rPr>
          <w:noProof/>
        </w:rPr>
        <w:tab/>
        <w:t>În cadrul celei de a 45-a reuniuni anuale din 2022, CGPM a adoptat Recomandarea CGPM/45/2022/3 privind un plan multianual de gestionare pentru exploatarea durabilă a stocurilor de pagel argintiu (</w:t>
      </w:r>
      <w:r>
        <w:rPr>
          <w:i/>
          <w:noProof/>
        </w:rPr>
        <w:t>Pagellus bogaraveo</w:t>
      </w:r>
      <w:r>
        <w:rPr>
          <w:noProof/>
        </w:rPr>
        <w:t>) în Marea Alboran (subzonele geografice CGPM 1-3), abrogând Recomandările CGPM/44/2021/4, CGPM/43/2019/2 și CGPM/41/2017/2. Recomandarea CGPM/45/2022/3 a introdus un număr maxim de nave cu paragate și nave cu undițe manevrate manual autorizate să pescuiască în Marea Alboran. În cadrul celei de a 48-a sesiuni anuale din 2025, CGPM a adoptat Recomandarea CGPM/48/2025/7 privind un regim de pescuit pe termen lung pentru pagelul argintiu în Marea Alboran (subzonele geografice CGPM 1-3). Măsurile respective trebuie transpuse în legislația Uniunii.</w:t>
      </w:r>
    </w:p>
    <w:p>
      <w:pPr>
        <w:pStyle w:val="ManualConsidrant"/>
        <w:rPr>
          <w:noProof/>
        </w:rPr>
      </w:pPr>
      <w:r>
        <w:rPr>
          <w:noProof/>
        </w:rPr>
        <w:t>(26)</w:t>
      </w:r>
      <w:r>
        <w:rPr>
          <w:noProof/>
        </w:rPr>
        <w:tab/>
        <w:t>[</w:t>
      </w:r>
      <w:r>
        <w:rPr>
          <w:i/>
          <w:noProof/>
        </w:rPr>
        <w:t>SPAȚIU REZERVAT CGPM 49 – pagel argintiu</w:t>
      </w:r>
      <w:r>
        <w:rPr>
          <w:noProof/>
        </w:rPr>
        <w:t>]</w:t>
      </w:r>
    </w:p>
    <w:p>
      <w:pPr>
        <w:pStyle w:val="ManualConsidrant"/>
        <w:rPr>
          <w:noProof/>
        </w:rPr>
      </w:pPr>
      <w:r>
        <w:rPr>
          <w:noProof/>
        </w:rPr>
        <w:t>(27)</w:t>
      </w:r>
      <w:r>
        <w:rPr>
          <w:noProof/>
        </w:rPr>
        <w:tab/>
        <w:t>Pe baza avizelor științifice furnizate de Grupul de lucru al CGPM pentru Marea Neagră, ar trebui să se mențină cota actuală pentru șprot (</w:t>
      </w:r>
      <w:r>
        <w:rPr>
          <w:i/>
          <w:noProof/>
        </w:rPr>
        <w:t>Sprattus sprattus</w:t>
      </w:r>
      <w:r>
        <w:rPr>
          <w:noProof/>
        </w:rPr>
        <w:t>), pentru a se asigura sustenabilitatea stocurilor de șprot din Marea Neagră (subzona geografică CGPM 29). Prin urmare, este necesar să se stabilească în continuare o cotă autonomă pentru acest stoc.</w:t>
      </w:r>
    </w:p>
    <w:p>
      <w:pPr>
        <w:pStyle w:val="ManualConsidrant"/>
        <w:rPr>
          <w:rFonts w:eastAsia="Times New Roman"/>
          <w:noProof/>
        </w:rPr>
      </w:pPr>
      <w:r>
        <w:rPr>
          <w:noProof/>
        </w:rPr>
        <w:t>(28)</w:t>
      </w:r>
      <w:r>
        <w:rPr>
          <w:noProof/>
        </w:rPr>
        <w:tab/>
        <w:t>În cadrul celei de a 47-a reuniuni anuale din 2024, CGPM a adoptat Recomandarea CGPM/47/2024/8 de modificare a Recomandărilor CGPM/43/2019/3 și CGPM/41/2017/4 privind un plan multianual de gestionare a pescuitului de calcan (</w:t>
      </w:r>
      <w:r>
        <w:rPr>
          <w:i/>
          <w:noProof/>
        </w:rPr>
        <w:t>Scophthalmus maximus</w:t>
      </w:r>
      <w:r>
        <w:rPr>
          <w:noProof/>
        </w:rPr>
        <w:t>) în Marea Neagră (subzona geografică CGPM 29). Recomandarea CGPM/47/2024/8 a introdus o actualizare a capturii totale admisibile (TAC) la nivel regional și un sistem de repartizare a cotelor pentru calcan. În conformitate cu Recomandarea CGPM/41/2017/4, perioada de interdicție de două luni și limitarea zilelor de pescuit la 180 pe an sunt legate funcțional de posibilitățile de pescuit. Măsurile respective care se referă la 2027 ar trebui să fie puse în aplicare în dreptul Uniunii, deoarece, în absența acestor măsuri, TAC ar trebui stabilită la un alt nivel.</w:t>
      </w:r>
    </w:p>
    <w:p>
      <w:pPr>
        <w:pStyle w:val="ManualConsidrant"/>
        <w:rPr>
          <w:rFonts w:eastAsia="Times New Roman"/>
          <w:noProof/>
        </w:rPr>
      </w:pPr>
      <w:r>
        <w:rPr>
          <w:noProof/>
        </w:rPr>
        <w:t>(29)</w:t>
      </w:r>
      <w:r>
        <w:rPr>
          <w:noProof/>
        </w:rPr>
        <w:tab/>
        <w:t>[</w:t>
      </w:r>
      <w:r>
        <w:rPr>
          <w:i/>
          <w:noProof/>
        </w:rPr>
        <w:t>SPAȚIU REZERVAT CGPM 49 – reportarea cotei neutilizate a UE pentru calcan</w:t>
      </w:r>
      <w:r>
        <w:rPr>
          <w:noProof/>
        </w:rPr>
        <w:t>]</w:t>
      </w:r>
    </w:p>
    <w:p>
      <w:pPr>
        <w:pStyle w:val="ManualConsidrant"/>
        <w:rPr>
          <w:noProof/>
        </w:rPr>
      </w:pPr>
      <w:r>
        <w:rPr>
          <w:noProof/>
        </w:rPr>
        <w:t>(30)</w:t>
      </w:r>
      <w:r>
        <w:rPr>
          <w:noProof/>
        </w:rPr>
        <w:tab/>
        <w:t>Utilizarea posibilităților de pescuit disponibile pentru navele de pescuit ale Uniunii prevăzute în prezentul regulament se face în condițiile prevăzute de Regulamentul (CE) nr. 1224/2009 al Consiliului</w:t>
      </w:r>
      <w:r>
        <w:rPr>
          <w:rStyle w:val="FootnoteReference"/>
          <w:rFonts w:eastAsia="Times New Roman"/>
          <w:noProof/>
          <w:lang w:eastAsia="en-IE"/>
        </w:rPr>
        <w:footnoteReference w:id="13"/>
      </w:r>
      <w:r>
        <w:rPr>
          <w:noProof/>
        </w:rPr>
        <w:t>, în special la articolele 33 și 34 din acesta, referitoare la înregistrarea capturilor și a eforturilor de pescuit și la transmiterea datelor privind epuizarea posibilităților de pescuit. Prin urmare, este necesar să se precizeze codurile care trebuie utilizate de statele membre atunci când transmit Comisiei date cu privire la debarcarea stocurilor care fac obiectul prezentului regulament.</w:t>
      </w:r>
    </w:p>
    <w:p>
      <w:pPr>
        <w:pStyle w:val="ManualConsidrant"/>
        <w:rPr>
          <w:noProof/>
        </w:rPr>
      </w:pPr>
      <w:r>
        <w:rPr>
          <w:noProof/>
        </w:rPr>
        <w:t>(31)</w:t>
      </w:r>
      <w:r>
        <w:rPr>
          <w:noProof/>
        </w:rPr>
        <w:tab/>
        <w:t>Pentru a se evita întreruperea activităților de pescuit și pentru a li se asigura pescarilor din Uniune mijloace suficiente de subzistență, prezentul regulament trebuie să se aplice de la 1 ianuarie 2027. Din motive de urgență, prezentul regulament ar trebui să intre în vigoare în ziua următoare datei publicării sale,</w:t>
      </w:r>
    </w:p>
    <w:p>
      <w:pPr>
        <w:pStyle w:val="Formuledadoption"/>
        <w:rPr>
          <w:noProof/>
          <w:szCs w:val="24"/>
        </w:rPr>
      </w:pPr>
      <w:r>
        <w:rPr>
          <w:noProof/>
        </w:rPr>
        <w:t>ADOPTĂ PREZENTUL REGULAMENT:</w:t>
      </w:r>
    </w:p>
    <w:p>
      <w:pPr>
        <w:pStyle w:val="Titrearticle"/>
        <w:rPr>
          <w:b/>
          <w:bCs/>
          <w:noProof/>
        </w:rPr>
      </w:pPr>
      <w:r>
        <w:rPr>
          <w:noProof/>
        </w:rPr>
        <w:t>Articolul 1</w:t>
      </w:r>
      <w:r>
        <w:rPr>
          <w:noProof/>
        </w:rPr>
        <w:br/>
      </w:r>
      <w:r>
        <w:rPr>
          <w:b/>
          <w:noProof/>
        </w:rPr>
        <w:t>Domeniul de aplicare</w:t>
      </w:r>
    </w:p>
    <w:p>
      <w:pPr>
        <w:pStyle w:val="ManualNumPar1"/>
        <w:rPr>
          <w:noProof/>
        </w:rPr>
      </w:pPr>
      <w:r>
        <w:rPr>
          <w:noProof/>
        </w:rPr>
        <w:t>1.</w:t>
      </w:r>
      <w:r>
        <w:rPr>
          <w:noProof/>
        </w:rPr>
        <w:tab/>
        <w:t>Prezentul regulament se aplică navelor de pescuit ale Uniunii care operează în Marea Mediterană și în Marea Neagră și exploatează următoarele stocuri de pește:</w:t>
      </w:r>
    </w:p>
    <w:p>
      <w:pPr>
        <w:pStyle w:val="Point1"/>
        <w:rPr>
          <w:noProof/>
          <w:szCs w:val="24"/>
        </w:rPr>
      </w:pPr>
      <w:r>
        <w:rPr>
          <w:noProof/>
        </w:rPr>
        <w:t>(a)</w:t>
      </w:r>
      <w:r>
        <w:rPr>
          <w:noProof/>
        </w:rPr>
        <w:tab/>
        <w:t>anghilă europeană (</w:t>
      </w:r>
      <w:r>
        <w:rPr>
          <w:i/>
          <w:noProof/>
        </w:rPr>
        <w:t>Anguilla anguilla</w:t>
      </w:r>
      <w:r>
        <w:rPr>
          <w:noProof/>
        </w:rPr>
        <w:t>), coral roșu (</w:t>
      </w:r>
      <w:r>
        <w:rPr>
          <w:i/>
          <w:noProof/>
        </w:rPr>
        <w:t>Corallium rubrum</w:t>
      </w:r>
      <w:r>
        <w:rPr>
          <w:noProof/>
        </w:rPr>
        <w:t>) și corifenă comună (</w:t>
      </w:r>
      <w:r>
        <w:rPr>
          <w:i/>
          <w:noProof/>
        </w:rPr>
        <w:t>Coryphaena hippurus</w:t>
      </w:r>
      <w:r>
        <w:rPr>
          <w:noProof/>
        </w:rPr>
        <w:t>) în Marea Mediterană;</w:t>
      </w:r>
    </w:p>
    <w:p>
      <w:pPr>
        <w:pStyle w:val="Point1"/>
        <w:rPr>
          <w:i/>
          <w:iCs/>
          <w:noProof/>
          <w:szCs w:val="24"/>
        </w:rPr>
      </w:pPr>
      <w:r>
        <w:rPr>
          <w:noProof/>
        </w:rPr>
        <w:t>(b)</w:t>
      </w:r>
      <w:r>
        <w:rPr>
          <w:noProof/>
        </w:rPr>
        <w:tab/>
        <w:t>crevete roșu (</w:t>
      </w:r>
      <w:r>
        <w:rPr>
          <w:i/>
          <w:noProof/>
        </w:rPr>
        <w:t>Aristeus antennatus</w:t>
      </w:r>
      <w:r>
        <w:rPr>
          <w:noProof/>
        </w:rPr>
        <w:t>), caridă-roz-de-adâncime (</w:t>
      </w:r>
      <w:r>
        <w:rPr>
          <w:i/>
          <w:noProof/>
        </w:rPr>
        <w:t>Parapenaeus longirostris</w:t>
      </w:r>
      <w:r>
        <w:rPr>
          <w:noProof/>
        </w:rPr>
        <w:t>), crevete roșu gigant (</w:t>
      </w:r>
      <w:r>
        <w:rPr>
          <w:i/>
          <w:noProof/>
        </w:rPr>
        <w:t>Aristaeomorpha foliacea</w:t>
      </w:r>
      <w:r>
        <w:rPr>
          <w:noProof/>
        </w:rPr>
        <w:t>), merluciu (</w:t>
      </w:r>
      <w:r>
        <w:rPr>
          <w:i/>
          <w:noProof/>
        </w:rPr>
        <w:t>Merluccius merluccius</w:t>
      </w:r>
      <w:r>
        <w:rPr>
          <w:noProof/>
        </w:rPr>
        <w:t>), langustină (</w:t>
      </w:r>
      <w:r>
        <w:rPr>
          <w:i/>
          <w:noProof/>
        </w:rPr>
        <w:t>Nephrops norvegicus</w:t>
      </w:r>
      <w:r>
        <w:rPr>
          <w:noProof/>
        </w:rPr>
        <w:t>) și barbun (</w:t>
      </w:r>
      <w:r>
        <w:rPr>
          <w:i/>
          <w:noProof/>
        </w:rPr>
        <w:t>Mullus barbatus</w:t>
      </w:r>
      <w:r>
        <w:rPr>
          <w:noProof/>
        </w:rPr>
        <w:t>) în vestul Mării Mediterane;</w:t>
      </w:r>
    </w:p>
    <w:p>
      <w:pPr>
        <w:pStyle w:val="Point1"/>
        <w:rPr>
          <w:noProof/>
          <w:szCs w:val="24"/>
        </w:rPr>
      </w:pPr>
      <w:r>
        <w:rPr>
          <w:noProof/>
        </w:rPr>
        <w:t>(c)</w:t>
      </w:r>
      <w:r>
        <w:rPr>
          <w:noProof/>
        </w:rPr>
        <w:tab/>
        <w:t>hamsie (</w:t>
      </w:r>
      <w:r>
        <w:rPr>
          <w:i/>
          <w:noProof/>
        </w:rPr>
        <w:t>Engraulis encrasicolus</w:t>
      </w:r>
      <w:r>
        <w:rPr>
          <w:noProof/>
        </w:rPr>
        <w:t>) și sardină (</w:t>
      </w:r>
      <w:r>
        <w:rPr>
          <w:i/>
          <w:noProof/>
        </w:rPr>
        <w:t>Sardina pilchardus</w:t>
      </w:r>
      <w:r>
        <w:rPr>
          <w:noProof/>
        </w:rPr>
        <w:t>) în Marea Adriatică;</w:t>
      </w:r>
    </w:p>
    <w:p>
      <w:pPr>
        <w:pStyle w:val="Point1"/>
        <w:rPr>
          <w:noProof/>
          <w:szCs w:val="24"/>
        </w:rPr>
      </w:pPr>
      <w:r>
        <w:rPr>
          <w:noProof/>
        </w:rPr>
        <w:t>(d)</w:t>
      </w:r>
      <w:r>
        <w:rPr>
          <w:noProof/>
        </w:rPr>
        <w:tab/>
        <w:t>merluciu (</w:t>
      </w:r>
      <w:r>
        <w:rPr>
          <w:i/>
          <w:noProof/>
        </w:rPr>
        <w:t>Merluccius merluccius</w:t>
      </w:r>
      <w:r>
        <w:rPr>
          <w:noProof/>
        </w:rPr>
        <w:t>), langustină (</w:t>
      </w:r>
      <w:r>
        <w:rPr>
          <w:i/>
          <w:noProof/>
        </w:rPr>
        <w:t>Nephrops norvegicus</w:t>
      </w:r>
      <w:r>
        <w:rPr>
          <w:noProof/>
        </w:rPr>
        <w:t>), limbă-de-mare comună (</w:t>
      </w:r>
      <w:r>
        <w:rPr>
          <w:i/>
          <w:noProof/>
        </w:rPr>
        <w:t>Solea solea</w:t>
      </w:r>
      <w:r>
        <w:rPr>
          <w:noProof/>
        </w:rPr>
        <w:t>), caridă-roz-de-adâncime (</w:t>
      </w:r>
      <w:r>
        <w:rPr>
          <w:i/>
          <w:noProof/>
        </w:rPr>
        <w:t>Parapenaeus longirostris</w:t>
      </w:r>
      <w:r>
        <w:rPr>
          <w:noProof/>
        </w:rPr>
        <w:t>) și barbun (</w:t>
      </w:r>
      <w:r>
        <w:rPr>
          <w:i/>
          <w:noProof/>
        </w:rPr>
        <w:t>Mullus barbatus</w:t>
      </w:r>
      <w:r>
        <w:rPr>
          <w:noProof/>
        </w:rPr>
        <w:t>) în Marea Adriatică;</w:t>
      </w:r>
    </w:p>
    <w:p>
      <w:pPr>
        <w:pStyle w:val="Point1"/>
        <w:rPr>
          <w:noProof/>
          <w:szCs w:val="24"/>
        </w:rPr>
      </w:pPr>
      <w:r>
        <w:rPr>
          <w:noProof/>
        </w:rPr>
        <w:t>(e)</w:t>
      </w:r>
      <w:r>
        <w:rPr>
          <w:noProof/>
        </w:rPr>
        <w:tab/>
        <w:t>merluciu (</w:t>
      </w:r>
      <w:r>
        <w:rPr>
          <w:i/>
          <w:noProof/>
        </w:rPr>
        <w:t>Merluccius merluccius</w:t>
      </w:r>
      <w:r>
        <w:rPr>
          <w:noProof/>
        </w:rPr>
        <w:t>) și caridă-roz-de-adâncime (</w:t>
      </w:r>
      <w:r>
        <w:rPr>
          <w:i/>
          <w:noProof/>
        </w:rPr>
        <w:t>Parapenaeus longirostris</w:t>
      </w:r>
      <w:r>
        <w:rPr>
          <w:noProof/>
        </w:rPr>
        <w:t>) în Strâmtoarea Siciliei;</w:t>
      </w:r>
    </w:p>
    <w:p>
      <w:pPr>
        <w:pStyle w:val="Point1"/>
        <w:rPr>
          <w:noProof/>
          <w:szCs w:val="24"/>
        </w:rPr>
      </w:pPr>
      <w:r>
        <w:rPr>
          <w:noProof/>
        </w:rPr>
        <w:t>(f)</w:t>
      </w:r>
      <w:r>
        <w:rPr>
          <w:noProof/>
        </w:rPr>
        <w:tab/>
        <w:t>crevete roșu gigant (</w:t>
      </w:r>
      <w:r>
        <w:rPr>
          <w:i/>
          <w:noProof/>
        </w:rPr>
        <w:t>Aristaeomorpha foliacea</w:t>
      </w:r>
      <w:r>
        <w:rPr>
          <w:noProof/>
        </w:rPr>
        <w:t>) și crevete roșu (</w:t>
      </w:r>
      <w:r>
        <w:rPr>
          <w:i/>
          <w:noProof/>
        </w:rPr>
        <w:t>Aristeus antennatus</w:t>
      </w:r>
      <w:r>
        <w:rPr>
          <w:noProof/>
        </w:rPr>
        <w:t>) în Strâmtoarea Siciliei, în Marea Ionică și în Marea Levantului;</w:t>
      </w:r>
    </w:p>
    <w:p>
      <w:pPr>
        <w:pStyle w:val="Point1"/>
        <w:rPr>
          <w:noProof/>
          <w:szCs w:val="24"/>
        </w:rPr>
      </w:pPr>
      <w:r>
        <w:rPr>
          <w:noProof/>
        </w:rPr>
        <w:t>(g)</w:t>
      </w:r>
      <w:r>
        <w:rPr>
          <w:noProof/>
        </w:rPr>
        <w:tab/>
        <w:t>pagel argintiu (</w:t>
      </w:r>
      <w:r>
        <w:rPr>
          <w:i/>
          <w:noProof/>
        </w:rPr>
        <w:t>Pagellus bogaraveo</w:t>
      </w:r>
      <w:r>
        <w:rPr>
          <w:noProof/>
        </w:rPr>
        <w:t>) în Marea Alboran;</w:t>
      </w:r>
    </w:p>
    <w:p>
      <w:pPr>
        <w:pStyle w:val="Point1"/>
        <w:rPr>
          <w:noProof/>
          <w:szCs w:val="24"/>
        </w:rPr>
      </w:pPr>
      <w:r>
        <w:rPr>
          <w:noProof/>
        </w:rPr>
        <w:t>(h)</w:t>
      </w:r>
      <w:r>
        <w:rPr>
          <w:noProof/>
        </w:rPr>
        <w:tab/>
        <w:t>șprot (</w:t>
      </w:r>
      <w:r>
        <w:rPr>
          <w:i/>
          <w:noProof/>
        </w:rPr>
        <w:t>Sprattus sprattus</w:t>
      </w:r>
      <w:r>
        <w:rPr>
          <w:noProof/>
        </w:rPr>
        <w:t>) și calcan (</w:t>
      </w:r>
      <w:r>
        <w:rPr>
          <w:i/>
          <w:noProof/>
        </w:rPr>
        <w:t>Scophthalmus maximus</w:t>
      </w:r>
      <w:r>
        <w:rPr>
          <w:noProof/>
        </w:rPr>
        <w:t>) în Marea Neagră.</w:t>
      </w:r>
    </w:p>
    <w:p>
      <w:pPr>
        <w:pStyle w:val="ManualNumPar1"/>
        <w:rPr>
          <w:noProof/>
        </w:rPr>
      </w:pPr>
      <w:r>
        <w:rPr>
          <w:noProof/>
        </w:rPr>
        <w:t>2.</w:t>
      </w:r>
      <w:r>
        <w:rPr>
          <w:noProof/>
        </w:rPr>
        <w:tab/>
        <w:t>Prezentul regulament se aplică și altor activități de pescuit ale Uniunii, inclusiv pescuitului recreativ, în cazul în care acesta este menționat în mod explicit în dispozițiile relevante.</w:t>
      </w:r>
    </w:p>
    <w:p>
      <w:pPr>
        <w:pStyle w:val="Titrearticle"/>
        <w:rPr>
          <w:noProof/>
          <w:szCs w:val="24"/>
        </w:rPr>
      </w:pPr>
      <w:r>
        <w:rPr>
          <w:noProof/>
        </w:rPr>
        <w:t>Articolul 2</w:t>
      </w:r>
      <w:r>
        <w:rPr>
          <w:noProof/>
        </w:rPr>
        <w:br/>
      </w:r>
      <w:r>
        <w:rPr>
          <w:b/>
          <w:noProof/>
        </w:rPr>
        <w:t>Definiții</w:t>
      </w:r>
    </w:p>
    <w:p>
      <w:pPr>
        <w:pStyle w:val="ManualNumPar1"/>
        <w:rPr>
          <w:noProof/>
        </w:rPr>
      </w:pPr>
      <w:r>
        <w:rPr>
          <w:noProof/>
        </w:rPr>
        <w:t>1.</w:t>
      </w:r>
      <w:r>
        <w:rPr>
          <w:noProof/>
        </w:rPr>
        <w:tab/>
        <w:t>În scopul prezentului regulament, se aplică definițiile prevăzute la articolul 4 alineatul (1) din Regulamentul (UE) nr. 1380/2013. Suplimentar, se aplică următoarele definiții:</w:t>
      </w:r>
    </w:p>
    <w:p>
      <w:pPr>
        <w:pStyle w:val="Point1"/>
        <w:rPr>
          <w:noProof/>
        </w:rPr>
      </w:pPr>
      <w:r>
        <w:rPr>
          <w:noProof/>
        </w:rPr>
        <w:t>(a)</w:t>
      </w:r>
      <w:r>
        <w:rPr>
          <w:noProof/>
        </w:rPr>
        <w:tab/>
        <w:t>„ape internaționale” înseamnă apele care se găsesc în afara suveranității sau jurisdicției vreunui stat;</w:t>
      </w:r>
    </w:p>
    <w:p>
      <w:pPr>
        <w:pStyle w:val="Point1"/>
        <w:rPr>
          <w:noProof/>
        </w:rPr>
      </w:pPr>
      <w:r>
        <w:rPr>
          <w:noProof/>
        </w:rPr>
        <w:t>(b)</w:t>
      </w:r>
      <w:r>
        <w:rPr>
          <w:noProof/>
        </w:rPr>
        <w:tab/>
        <w:t>„pescuit recreativ” înseamnă activități necomerciale de pescuit care exploatează resursele acvatice marine vii în scop recreativ, turistic sau sportiv;</w:t>
      </w:r>
    </w:p>
    <w:p>
      <w:pPr>
        <w:pStyle w:val="Point1"/>
        <w:rPr>
          <w:noProof/>
        </w:rPr>
      </w:pPr>
      <w:r>
        <w:rPr>
          <w:noProof/>
        </w:rPr>
        <w:t>(c)</w:t>
      </w:r>
      <w:r>
        <w:rPr>
          <w:noProof/>
        </w:rPr>
        <w:tab/>
        <w:t>„captură totală admisibilă” (TAC) înseamnă:</w:t>
      </w:r>
    </w:p>
    <w:p>
      <w:pPr>
        <w:pStyle w:val="Pointivx3"/>
        <w:rPr>
          <w:noProof/>
        </w:rPr>
      </w:pPr>
      <w:r>
        <w:rPr>
          <w:noProof/>
        </w:rPr>
        <w:t>în cadrul activităților de pescuit care sunt exceptate de la obligația de debarcare menționată la articolul 15 alineatele (4)-(7) din Regulamentul (UE) nr. 1380/2013, cantitatea de pește care poate fi debarcată anual din fiecare stoc;</w:t>
      </w:r>
    </w:p>
    <w:p>
      <w:pPr>
        <w:pStyle w:val="Pointivx3"/>
        <w:rPr>
          <w:noProof/>
        </w:rPr>
      </w:pPr>
      <w:r>
        <w:rPr>
          <w:noProof/>
        </w:rPr>
        <w:t>în cadrul tuturor celorlalte activități de pescuit, cantitatea de pește care poate fi capturată pe parcursul unui an din fiecare stoc;</w:t>
      </w:r>
    </w:p>
    <w:p>
      <w:pPr>
        <w:pStyle w:val="Point1"/>
        <w:rPr>
          <w:noProof/>
        </w:rPr>
      </w:pPr>
      <w:r>
        <w:rPr>
          <w:noProof/>
        </w:rPr>
        <w:t>(d)</w:t>
      </w:r>
      <w:r>
        <w:rPr>
          <w:noProof/>
        </w:rPr>
        <w:tab/>
        <w:t>„cotă” înseamnă o proporție din TAC repartizată Uniunii sau unui stat membru;</w:t>
      </w:r>
    </w:p>
    <w:p>
      <w:pPr>
        <w:pStyle w:val="Point1"/>
        <w:rPr>
          <w:noProof/>
        </w:rPr>
      </w:pPr>
      <w:r>
        <w:rPr>
          <w:noProof/>
        </w:rPr>
        <w:t>(e)</w:t>
      </w:r>
      <w:r>
        <w:rPr>
          <w:noProof/>
        </w:rPr>
        <w:tab/>
        <w:t>„cotă autonomă a Uniunii” înseamnă o limită a capturilor repartizată în mod autonom navelor de pescuit ale Uniunii în lipsa unui acord asupra unei TAC;</w:t>
      </w:r>
    </w:p>
    <w:p>
      <w:pPr>
        <w:pStyle w:val="Point1"/>
        <w:rPr>
          <w:noProof/>
        </w:rPr>
      </w:pPr>
      <w:r>
        <w:rPr>
          <w:noProof/>
        </w:rPr>
        <w:t>(f)</w:t>
      </w:r>
      <w:r>
        <w:rPr>
          <w:noProof/>
        </w:rPr>
        <w:tab/>
        <w:t>„cotă analitică” înseamnă o cotă autonomă a Uniunii pentru care este disponibilă o evaluare analitică;</w:t>
      </w:r>
    </w:p>
    <w:p>
      <w:pPr>
        <w:pStyle w:val="Point1"/>
        <w:rPr>
          <w:noProof/>
        </w:rPr>
      </w:pPr>
      <w:r>
        <w:rPr>
          <w:noProof/>
        </w:rPr>
        <w:t>(g)</w:t>
      </w:r>
      <w:r>
        <w:rPr>
          <w:noProof/>
        </w:rPr>
        <w:tab/>
        <w:t>„evaluare analitică” înseamnă o evaluare cantitativă a tendințelor unui anumit stoc, bazată pe date privind biologia și exploatarea stocului și despre care s-a stabilit, printr-o analiză științifică, că are o calitate suficientă pentru a servi drept bază pentru avize științifice privind opțiunile viitoare în materie de capturi;</w:t>
      </w:r>
    </w:p>
    <w:p>
      <w:pPr>
        <w:pStyle w:val="Point1"/>
        <w:rPr>
          <w:noProof/>
        </w:rPr>
      </w:pPr>
      <w:r>
        <w:rPr>
          <w:noProof/>
        </w:rPr>
        <w:t>(h)</w:t>
      </w:r>
      <w:r>
        <w:rPr>
          <w:noProof/>
        </w:rPr>
        <w:tab/>
        <w:t>„dispozitiv de concentrare a peștilor” („FAD”) înseamnă orice echipament ancorat care plutește la suprafața mării, cu scopul de a atrage pești.</w:t>
      </w:r>
    </w:p>
    <w:p>
      <w:pPr>
        <w:pStyle w:val="Titlearticle"/>
        <w:rPr>
          <w:noProof/>
        </w:rPr>
      </w:pPr>
      <w:r>
        <w:rPr>
          <w:noProof/>
        </w:rPr>
        <w:t>Articolul 3</w:t>
      </w:r>
      <w:r>
        <w:rPr>
          <w:noProof/>
        </w:rPr>
        <w:br/>
      </w:r>
      <w:r>
        <w:rPr>
          <w:b/>
          <w:noProof/>
        </w:rPr>
        <w:t>Zone de pescuit</w:t>
      </w:r>
    </w:p>
    <w:p>
      <w:pPr>
        <w:rPr>
          <w:noProof/>
        </w:rPr>
      </w:pPr>
      <w:r>
        <w:rPr>
          <w:noProof/>
        </w:rPr>
        <w:t>În sensul prezentului regulament, se aplică următoarele definiții ale zonelor de pescuit:</w:t>
      </w:r>
    </w:p>
    <w:p>
      <w:pPr>
        <w:pStyle w:val="Point1"/>
        <w:rPr>
          <w:noProof/>
        </w:rPr>
      </w:pPr>
      <w:r>
        <w:rPr>
          <w:noProof/>
        </w:rPr>
        <w:t>(a)</w:t>
      </w:r>
      <w:r>
        <w:rPr>
          <w:noProof/>
        </w:rPr>
        <w:tab/>
        <w:t>„subzone geografice CGPM” înseamnă zonele specificate în anexa I la Regulamentul (UE) 2023/2124 al Parlamentului European și al Consiliului</w:t>
      </w:r>
      <w:r>
        <w:rPr>
          <w:rStyle w:val="FootnoteReference"/>
          <w:noProof/>
        </w:rPr>
        <w:footnoteReference w:id="14"/>
      </w:r>
      <w:r>
        <w:rPr>
          <w:noProof/>
        </w:rPr>
        <w:t>;</w:t>
      </w:r>
    </w:p>
    <w:p>
      <w:pPr>
        <w:pStyle w:val="Point1"/>
        <w:rPr>
          <w:noProof/>
          <w:szCs w:val="24"/>
        </w:rPr>
      </w:pPr>
      <w:r>
        <w:rPr>
          <w:noProof/>
        </w:rPr>
        <w:t>(b)</w:t>
      </w:r>
      <w:r>
        <w:rPr>
          <w:noProof/>
        </w:rPr>
        <w:tab/>
        <w:t>„Marea Mediterană” înseamnă apele din subzonele geografice CGPM 1-27, astfel cum sunt prevăzute în anexa I la Regulamentul (UE) 2023/2124;</w:t>
      </w:r>
    </w:p>
    <w:p>
      <w:pPr>
        <w:pStyle w:val="Point1"/>
        <w:rPr>
          <w:noProof/>
          <w:szCs w:val="24"/>
        </w:rPr>
      </w:pPr>
      <w:r>
        <w:rPr>
          <w:noProof/>
        </w:rPr>
        <w:t>(c)</w:t>
      </w:r>
      <w:r>
        <w:rPr>
          <w:noProof/>
        </w:rPr>
        <w:tab/>
        <w:t>„vestul Mării Mediterane” înseamnă apele din subzonele geografice CGPM 1, 2, 5, 6, 7, 8, 9, 10 și 11, astfel cum sunt prevăzute în anexa I la Regulamentul (UE) 2023/2124;</w:t>
      </w:r>
    </w:p>
    <w:p>
      <w:pPr>
        <w:pStyle w:val="Point1"/>
        <w:rPr>
          <w:noProof/>
          <w:szCs w:val="24"/>
        </w:rPr>
      </w:pPr>
      <w:r>
        <w:rPr>
          <w:noProof/>
        </w:rPr>
        <w:t>(d)</w:t>
      </w:r>
      <w:r>
        <w:rPr>
          <w:noProof/>
        </w:rPr>
        <w:tab/>
        <w:t>„Marea Adriatică” înseamnă apele din subzonele geografice 17 și 18 ale CGPM, astfel cum sunt prevăzute în anexa I la Regulamentul (UE) 2023/2124;</w:t>
      </w:r>
    </w:p>
    <w:p>
      <w:pPr>
        <w:pStyle w:val="Point1"/>
        <w:rPr>
          <w:noProof/>
          <w:szCs w:val="24"/>
        </w:rPr>
      </w:pPr>
      <w:r>
        <w:rPr>
          <w:noProof/>
        </w:rPr>
        <w:t>(e)</w:t>
      </w:r>
      <w:r>
        <w:rPr>
          <w:noProof/>
        </w:rPr>
        <w:tab/>
        <w:t>„Strâmtoarea Siciliei” înseamnă apele din subzonele geografice CGPM 12, 13, 14, 15 și 16, astfel cum sunt prevăzute în anexa I la Regulamentul (UE) 2023/2124;</w:t>
      </w:r>
    </w:p>
    <w:p>
      <w:pPr>
        <w:pStyle w:val="Point1"/>
        <w:rPr>
          <w:noProof/>
          <w:szCs w:val="24"/>
        </w:rPr>
      </w:pPr>
      <w:r>
        <w:rPr>
          <w:noProof/>
        </w:rPr>
        <w:t>(f)</w:t>
      </w:r>
      <w:r>
        <w:rPr>
          <w:noProof/>
        </w:rPr>
        <w:tab/>
        <w:t>„Marea Ionică” înseamnă apele din subzonele geografice CGPM 19, 20 și 21, astfel cum sunt prevăzute în anexa I la Regulamentul (UE) 2023/2124;</w:t>
      </w:r>
    </w:p>
    <w:p>
      <w:pPr>
        <w:pStyle w:val="Point1"/>
        <w:rPr>
          <w:noProof/>
          <w:szCs w:val="24"/>
        </w:rPr>
      </w:pPr>
      <w:r>
        <w:rPr>
          <w:noProof/>
        </w:rPr>
        <w:t>(g)</w:t>
      </w:r>
      <w:r>
        <w:rPr>
          <w:noProof/>
        </w:rPr>
        <w:tab/>
        <w:t>„Marea Levantului” înseamnă apele din subzonele geografice CGPM 24, 25, 26 și 27, astfel cum sunt prevăzute în anexa I la Regulamentul (UE) 2023/2124;</w:t>
      </w:r>
    </w:p>
    <w:p>
      <w:pPr>
        <w:pStyle w:val="Point1"/>
        <w:rPr>
          <w:noProof/>
          <w:szCs w:val="24"/>
        </w:rPr>
      </w:pPr>
      <w:r>
        <w:rPr>
          <w:noProof/>
        </w:rPr>
        <w:t>(h)</w:t>
      </w:r>
      <w:r>
        <w:rPr>
          <w:noProof/>
        </w:rPr>
        <w:tab/>
        <w:t>„Marea Alboran” înseamnă apele din subzonele geografice CGPM 1, 2 și 3, astfel cum sunt prevăzute în anexa I la Regulamentul (UE) 2023/2124;</w:t>
      </w:r>
    </w:p>
    <w:p>
      <w:pPr>
        <w:pStyle w:val="Point1"/>
        <w:rPr>
          <w:noProof/>
          <w:szCs w:val="24"/>
        </w:rPr>
      </w:pPr>
      <w:r>
        <w:rPr>
          <w:noProof/>
        </w:rPr>
        <w:t>(i)</w:t>
      </w:r>
      <w:r>
        <w:rPr>
          <w:noProof/>
        </w:rPr>
        <w:tab/>
        <w:t>„Marea Neagră” înseamnă apele din subzona geografică CGPM 29, astfel cum sunt prevăzute în anexa I la Regulamentul (UE) 2023/2124.</w:t>
      </w:r>
    </w:p>
    <w:p>
      <w:pPr>
        <w:pStyle w:val="Point0"/>
        <w:rPr>
          <w:noProof/>
          <w:szCs w:val="24"/>
        </w:rPr>
      </w:pPr>
    </w:p>
    <w:p>
      <w:pPr>
        <w:pStyle w:val="ChapterTitle"/>
        <w:rPr>
          <w:noProof/>
          <w:sz w:val="24"/>
          <w:szCs w:val="24"/>
        </w:rPr>
      </w:pPr>
      <w:r>
        <w:rPr>
          <w:noProof/>
          <w:sz w:val="24"/>
        </w:rPr>
        <w:t>TITLUL II</w:t>
      </w:r>
    </w:p>
    <w:p>
      <w:pPr>
        <w:pStyle w:val="ChapterTitle"/>
        <w:rPr>
          <w:noProof/>
          <w:sz w:val="24"/>
          <w:szCs w:val="24"/>
        </w:rPr>
      </w:pPr>
      <w:r>
        <w:rPr>
          <w:noProof/>
          <w:sz w:val="24"/>
        </w:rPr>
        <w:t>POSIBILITĂȚI DE PESCUIT PENTRU NAVELE DE PESCUIT ALE UNIUNII</w:t>
      </w:r>
    </w:p>
    <w:p>
      <w:pPr>
        <w:pStyle w:val="ChapterTitle"/>
        <w:rPr>
          <w:noProof/>
          <w:sz w:val="24"/>
          <w:szCs w:val="24"/>
        </w:rPr>
      </w:pPr>
      <w:r>
        <w:rPr>
          <w:noProof/>
          <w:sz w:val="24"/>
        </w:rPr>
        <w:t>CAPITOLUL I</w:t>
      </w:r>
    </w:p>
    <w:p>
      <w:pPr>
        <w:pStyle w:val="ChapterTitle"/>
        <w:rPr>
          <w:noProof/>
          <w:sz w:val="24"/>
          <w:szCs w:val="24"/>
        </w:rPr>
      </w:pPr>
      <w:r>
        <w:rPr>
          <w:noProof/>
          <w:sz w:val="24"/>
        </w:rPr>
        <w:t>Marea Mediterană</w:t>
      </w:r>
    </w:p>
    <w:p>
      <w:pPr>
        <w:pStyle w:val="Titrearticle"/>
        <w:rPr>
          <w:noProof/>
          <w:szCs w:val="24"/>
        </w:rPr>
      </w:pPr>
      <w:r>
        <w:rPr>
          <w:noProof/>
        </w:rPr>
        <w:t>Articolul 4</w:t>
      </w:r>
      <w:r>
        <w:rPr>
          <w:noProof/>
        </w:rPr>
        <w:br/>
      </w:r>
      <w:r>
        <w:rPr>
          <w:b/>
          <w:noProof/>
        </w:rPr>
        <w:t>Anghila europeană</w:t>
      </w:r>
    </w:p>
    <w:p>
      <w:pPr>
        <w:pStyle w:val="ManualNumPar1"/>
        <w:rPr>
          <w:noProof/>
        </w:rPr>
      </w:pPr>
      <w:r>
        <w:rPr>
          <w:noProof/>
        </w:rPr>
        <w:t>1.</w:t>
      </w:r>
      <w:r>
        <w:rPr>
          <w:noProof/>
        </w:rPr>
        <w:tab/>
        <w:t>Prezentul articol se aplică subzonelor geografice CGPM 1-27, apelor salmastre și apelor dulci. Apele salmastre includ estuarele, lagunele de coastă și apele de tranziție.</w:t>
      </w:r>
    </w:p>
    <w:p>
      <w:pPr>
        <w:pStyle w:val="ManualNumPar1"/>
        <w:rPr>
          <w:noProof/>
        </w:rPr>
      </w:pPr>
      <w:r>
        <w:rPr>
          <w:noProof/>
        </w:rPr>
        <w:t>2.</w:t>
      </w:r>
      <w:r>
        <w:rPr>
          <w:noProof/>
        </w:rPr>
        <w:tab/>
        <w:t>Se interzice desfășurarea de activități de pescuit comercial de anghilă europeană cu lungimea totală mai mare de 12 cm, fie ca specie vizată, fie ca o captură accidentală, pentru o perioadă de cel puțin șase luni. În acest scop, fiecare stat membru în cauză stabilește una sau mai multe perioade de interdicție sub rezerva următoarelor condiții:</w:t>
      </w:r>
    </w:p>
    <w:p>
      <w:pPr>
        <w:pStyle w:val="Point1"/>
        <w:rPr>
          <w:noProof/>
        </w:rPr>
      </w:pPr>
      <w:r>
        <w:rPr>
          <w:noProof/>
        </w:rPr>
        <w:t>(a)</w:t>
      </w:r>
      <w:r>
        <w:rPr>
          <w:noProof/>
        </w:rPr>
        <w:tab/>
        <w:t>dacă este cazul, perioada sau perioadele de interdicție pot fi diferite în cadrul unui stat membru de la o zonă de pescuit la alta, pentru a se ține seama de modelul geografic și temporal de migrație a anghilei în diferitele sale etape de viață;</w:t>
      </w:r>
    </w:p>
    <w:p>
      <w:pPr>
        <w:pStyle w:val="Point1"/>
        <w:rPr>
          <w:noProof/>
        </w:rPr>
      </w:pPr>
      <w:r>
        <w:rPr>
          <w:noProof/>
        </w:rPr>
        <w:t>(b)</w:t>
      </w:r>
      <w:r>
        <w:rPr>
          <w:noProof/>
        </w:rPr>
        <w:tab/>
        <w:t>perioada sau perioadele de interdicție trebuie să dureze fie cel puțin șase luni consecutive, fie șase luni în total, în conformitate cu condițiile prevăzute la alineatul (3) și</w:t>
      </w:r>
    </w:p>
    <w:p>
      <w:pPr>
        <w:pStyle w:val="Point1"/>
        <w:rPr>
          <w:noProof/>
        </w:rPr>
      </w:pPr>
      <w:r>
        <w:rPr>
          <w:noProof/>
        </w:rPr>
        <w:t>(c)</w:t>
      </w:r>
      <w:r>
        <w:rPr>
          <w:noProof/>
        </w:rPr>
        <w:tab/>
        <w:t>perioada sau perioadele de interdicție trebuie să fie în concordanță cu obiectivele de conservare prevăzute în Regulamentul (CE) nr. 1100/2007 al Consiliului</w:t>
      </w:r>
      <w:r>
        <w:rPr>
          <w:rStyle w:val="FootnoteReference"/>
          <w:noProof/>
        </w:rPr>
        <w:footnoteReference w:id="15"/>
      </w:r>
      <w:r>
        <w:rPr>
          <w:noProof/>
        </w:rPr>
        <w:t>, cu planurile naționale de gestionare existente și cu modelele temporale de migrație a anghilei europene în etapa de viață respectivă, aferente statului membru în cauză.</w:t>
      </w:r>
    </w:p>
    <w:p>
      <w:pPr>
        <w:pStyle w:val="ManualNumPar1"/>
        <w:rPr>
          <w:noProof/>
        </w:rPr>
      </w:pPr>
      <w:r>
        <w:rPr>
          <w:noProof/>
        </w:rPr>
        <w:t>3.</w:t>
      </w:r>
      <w:r>
        <w:rPr>
          <w:noProof/>
        </w:rPr>
        <w:tab/>
        <w:t>Perioada de interdicție este cuprinsă între 1 ianuarie și 31 martie 2027, iar fiecare stat membru în cauză stabilește, în intervalul cuprins între 1 aprilie și 30 noiembrie 2027, o perioadă suplimentară de interdicție de trei luni.</w:t>
      </w:r>
    </w:p>
    <w:p>
      <w:pPr>
        <w:pStyle w:val="ManualNumPar1"/>
        <w:rPr>
          <w:noProof/>
        </w:rPr>
      </w:pPr>
      <w:r>
        <w:rPr>
          <w:noProof/>
        </w:rPr>
        <w:t>4.</w:t>
      </w:r>
      <w:r>
        <w:rPr>
          <w:noProof/>
        </w:rPr>
        <w:tab/>
        <w:t>Activitățile de pescuit comercial de anghilă europeană cu o lungime totală mai mică de 12 cm sunt autorizate anual pentru o perioadă de două luni. Fiecare stat membru vizat de această activitate de pescuit desemnează o instituție științifică care monitorizează activitatea de pescuit și supraveghează colectarea și analiza datelor.</w:t>
      </w:r>
    </w:p>
    <w:p>
      <w:pPr>
        <w:pStyle w:val="ManualNumPar1"/>
        <w:rPr>
          <w:noProof/>
        </w:rPr>
      </w:pPr>
      <w:r>
        <w:rPr>
          <w:noProof/>
        </w:rPr>
        <w:t>5.</w:t>
      </w:r>
      <w:r>
        <w:rPr>
          <w:noProof/>
        </w:rPr>
        <w:tab/>
        <w:t>Numărul maxim de autorizații de pescuit și numărul maxim de unelte de pescuit pasive autorizate să vizeze anghila europeană cu o lungime totală mai mică de 12 cm în scopuri comerciale nu trebuie să depășească nivelurile stabilite în anexa I.</w:t>
      </w:r>
    </w:p>
    <w:p>
      <w:pPr>
        <w:pStyle w:val="ManualNumPar1"/>
        <w:rPr>
          <w:noProof/>
        </w:rPr>
      </w:pPr>
      <w:r>
        <w:rPr>
          <w:noProof/>
        </w:rPr>
        <w:t>6.</w:t>
      </w:r>
      <w:r>
        <w:rPr>
          <w:noProof/>
        </w:rPr>
        <w:tab/>
        <w:t>Se interzice pescuitul recreativ de anghilă europeană în toate etapele vieții.</w:t>
      </w:r>
    </w:p>
    <w:p>
      <w:pPr>
        <w:pStyle w:val="ManualNumPar1"/>
        <w:rPr>
          <w:noProof/>
        </w:rPr>
      </w:pPr>
      <w:r>
        <w:rPr>
          <w:noProof/>
        </w:rPr>
        <w:t>7.</w:t>
      </w:r>
      <w:r>
        <w:rPr>
          <w:noProof/>
        </w:rPr>
        <w:tab/>
        <w:t>Fiecare stat membru în cauză informează Comisia cu privire la:</w:t>
      </w:r>
    </w:p>
    <w:p>
      <w:pPr>
        <w:pStyle w:val="Point1"/>
        <w:rPr>
          <w:noProof/>
        </w:rPr>
      </w:pPr>
      <w:r>
        <w:rPr>
          <w:noProof/>
        </w:rPr>
        <w:t>(a)</w:t>
      </w:r>
      <w:r>
        <w:rPr>
          <w:noProof/>
        </w:rPr>
        <w:tab/>
        <w:t xml:space="preserve">perioada sau perioadele de interdicție pe care le-a stabilit în conformitate cu alineatele (2) și (3), până la 1 martie 2027; </w:t>
      </w:r>
    </w:p>
    <w:p>
      <w:pPr>
        <w:pStyle w:val="Point1"/>
        <w:rPr>
          <w:noProof/>
        </w:rPr>
      </w:pPr>
      <w:r>
        <w:rPr>
          <w:noProof/>
        </w:rPr>
        <w:t>(b)</w:t>
      </w:r>
      <w:r>
        <w:rPr>
          <w:noProof/>
        </w:rPr>
        <w:tab/>
        <w:t>măsurile naționale referitoare la perioada sau perioadele de interdicție pe care le-a stabilit în conformitate cu alineatele (2) și (3), în termen de două săptămâni de la adoptarea acestora; precum și</w:t>
      </w:r>
    </w:p>
    <w:p>
      <w:pPr>
        <w:pStyle w:val="Point1"/>
        <w:rPr>
          <w:noProof/>
        </w:rPr>
      </w:pPr>
      <w:r>
        <w:rPr>
          <w:noProof/>
        </w:rPr>
        <w:t>(c)</w:t>
      </w:r>
      <w:r>
        <w:rPr>
          <w:noProof/>
        </w:rPr>
        <w:tab/>
        <w:t>perioada de pescuit autorizată pentru anghila europeană cu o lungime totală mai mică de 12 cm în conformitate cu alineatul (4) până la 1 martie 2027.</w:t>
      </w:r>
    </w:p>
    <w:p>
      <w:pPr>
        <w:pStyle w:val="Titrearticle"/>
        <w:rPr>
          <w:noProof/>
          <w:szCs w:val="24"/>
        </w:rPr>
      </w:pPr>
      <w:r>
        <w:rPr>
          <w:noProof/>
        </w:rPr>
        <w:t>Articolul 5</w:t>
      </w:r>
      <w:r>
        <w:rPr>
          <w:noProof/>
        </w:rPr>
        <w:br/>
      </w:r>
      <w:r>
        <w:rPr>
          <w:b/>
          <w:noProof/>
        </w:rPr>
        <w:t>Coral roșu</w:t>
      </w:r>
    </w:p>
    <w:p>
      <w:pPr>
        <w:pStyle w:val="ManualNumPar1"/>
        <w:rPr>
          <w:noProof/>
        </w:rPr>
      </w:pPr>
      <w:r>
        <w:rPr>
          <w:noProof/>
        </w:rPr>
        <w:t>1.</w:t>
      </w:r>
      <w:r>
        <w:rPr>
          <w:noProof/>
        </w:rPr>
        <w:tab/>
        <w:t>Prezentul articol se aplică tuturor activităților desfășurate de navele de pescuit din Uniune de recoltare a coralului roșu (</w:t>
      </w:r>
      <w:r>
        <w:rPr>
          <w:i/>
          <w:noProof/>
        </w:rPr>
        <w:t>Corallium rubrum</w:t>
      </w:r>
      <w:r>
        <w:rPr>
          <w:noProof/>
        </w:rPr>
        <w:t>) în Marea Mediterană.</w:t>
      </w:r>
    </w:p>
    <w:p>
      <w:pPr>
        <w:pStyle w:val="ManualNumPar1"/>
        <w:rPr>
          <w:noProof/>
        </w:rPr>
      </w:pPr>
      <w:r>
        <w:rPr>
          <w:noProof/>
        </w:rPr>
        <w:t>2.</w:t>
      </w:r>
      <w:r>
        <w:rPr>
          <w:noProof/>
        </w:rPr>
        <w:tab/>
        <w:t>În ceea ce privește pescuitul direcționat, numărul maxim de autorizații de pescuit și cantitățile maxime de stocuri de coral roșu recoltate de navele de pescuit din Uniune și în cadrul activităților de recoltare ale Uniunii nu trebuie să depășească nivelurile stabilite în anexa II.</w:t>
      </w:r>
    </w:p>
    <w:p>
      <w:pPr>
        <w:pStyle w:val="Titrearticle"/>
        <w:rPr>
          <w:noProof/>
          <w:szCs w:val="24"/>
        </w:rPr>
      </w:pPr>
      <w:r>
        <w:rPr>
          <w:noProof/>
        </w:rPr>
        <w:t>Articolul 6</w:t>
      </w:r>
      <w:r>
        <w:rPr>
          <w:noProof/>
        </w:rPr>
        <w:br/>
      </w:r>
      <w:r>
        <w:rPr>
          <w:b/>
          <w:noProof/>
        </w:rPr>
        <w:t>Corifenă comună</w:t>
      </w:r>
    </w:p>
    <w:p>
      <w:pPr>
        <w:pStyle w:val="ManualNumPar1"/>
        <w:rPr>
          <w:noProof/>
        </w:rPr>
      </w:pPr>
      <w:r>
        <w:rPr>
          <w:noProof/>
        </w:rPr>
        <w:t>1.</w:t>
      </w:r>
      <w:r>
        <w:rPr>
          <w:noProof/>
        </w:rPr>
        <w:tab/>
        <w:t>Prezentul articol se aplică tuturor activităților comerciale de pescuit pelagic desfășurate de navele de pescuit ale Uniunii care vizează corifena comună (</w:t>
      </w:r>
      <w:r>
        <w:rPr>
          <w:i/>
          <w:noProof/>
        </w:rPr>
        <w:t>Coryphaena hippurus</w:t>
      </w:r>
      <w:r>
        <w:rPr>
          <w:noProof/>
        </w:rPr>
        <w:t>) prin utilizarea de dispozitive de concentrare a peștilor în Marea Mediterană. Acesta se aplică, de asemenea, pescuitului recreativ de corifenă comună în Marea Mediterană.</w:t>
      </w:r>
    </w:p>
    <w:p>
      <w:pPr>
        <w:pStyle w:val="ManualNumPar1"/>
        <w:rPr>
          <w:rFonts w:eastAsia="Times New Roman"/>
          <w:noProof/>
        </w:rPr>
      </w:pPr>
      <w:r>
        <w:rPr>
          <w:noProof/>
        </w:rPr>
        <w:t>2.</w:t>
      </w:r>
      <w:r>
        <w:rPr>
          <w:noProof/>
        </w:rPr>
        <w:tab/>
        <w:t>Capacitatea maximă a flotei navelor de pescuit ale Uniunii autorizate să pescuiască corifenă comună, exprimată în număr de nave, kW și tonaj brut, este stabilită în anexa III.</w:t>
      </w:r>
    </w:p>
    <w:p>
      <w:pPr>
        <w:pStyle w:val="ManualNumPar1"/>
        <w:rPr>
          <w:rFonts w:eastAsia="Times New Roman"/>
          <w:noProof/>
        </w:rPr>
      </w:pPr>
      <w:r>
        <w:rPr>
          <w:noProof/>
        </w:rPr>
        <w:t>3.</w:t>
      </w:r>
      <w:r>
        <w:rPr>
          <w:noProof/>
        </w:rPr>
        <w:tab/>
        <w:t>Numărul maxim de dispozitive de concentrare a peștilor per navă autorizată să pescuiască corifenă comună este stabilit în anexa III.</w:t>
      </w:r>
    </w:p>
    <w:p>
      <w:pPr>
        <w:pStyle w:val="ManualNumPar1"/>
        <w:rPr>
          <w:rFonts w:eastAsia="Times New Roman"/>
          <w:noProof/>
        </w:rPr>
      </w:pPr>
      <w:r>
        <w:rPr>
          <w:noProof/>
        </w:rPr>
        <w:t>4.</w:t>
      </w:r>
      <w:r>
        <w:rPr>
          <w:noProof/>
        </w:rPr>
        <w:tab/>
        <w:t>Nivelul maxim al capturilor de corifenă comună nu depășește nivelurile stabilite în anexa III.</w:t>
      </w:r>
    </w:p>
    <w:p>
      <w:pPr>
        <w:pStyle w:val="ManualNumPar1"/>
        <w:rPr>
          <w:rFonts w:eastAsia="Times New Roman"/>
          <w:noProof/>
        </w:rPr>
      </w:pPr>
      <w:r>
        <w:rPr>
          <w:noProof/>
        </w:rPr>
        <w:t>5.</w:t>
      </w:r>
      <w:r>
        <w:rPr>
          <w:noProof/>
        </w:rPr>
        <w:tab/>
        <w:t>Pescuitul recreativ de corifenă comună este permis în perioada 15 august-31 decembrie și numărul maxim de capturi este limitat la 10 kg sau cinci pești de orice dimensiune pe persoană pe zi.</w:t>
      </w:r>
    </w:p>
    <w:p>
      <w:pPr>
        <w:pStyle w:val="ManualNumPar1"/>
        <w:rPr>
          <w:rFonts w:eastAsia="Times New Roman"/>
          <w:noProof/>
          <w:lang w:eastAsia="en-IE"/>
        </w:rPr>
      </w:pPr>
    </w:p>
    <w:p>
      <w:pPr>
        <w:pStyle w:val="ChapterTitle"/>
        <w:rPr>
          <w:noProof/>
          <w:sz w:val="24"/>
          <w:szCs w:val="24"/>
        </w:rPr>
      </w:pPr>
      <w:r>
        <w:rPr>
          <w:noProof/>
          <w:sz w:val="24"/>
        </w:rPr>
        <w:t>CAPITOLUL II</w:t>
      </w:r>
    </w:p>
    <w:p>
      <w:pPr>
        <w:pStyle w:val="ChapterTitle"/>
        <w:rPr>
          <w:noProof/>
          <w:sz w:val="24"/>
          <w:szCs w:val="24"/>
        </w:rPr>
      </w:pPr>
      <w:r>
        <w:rPr>
          <w:noProof/>
          <w:sz w:val="24"/>
        </w:rPr>
        <w:t>Vestul Mării Mediterane</w:t>
      </w:r>
    </w:p>
    <w:p>
      <w:pPr>
        <w:pStyle w:val="Titrearticle"/>
        <w:rPr>
          <w:noProof/>
        </w:rPr>
      </w:pPr>
      <w:r>
        <w:rPr>
          <w:noProof/>
        </w:rPr>
        <w:t>Articolul 7</w:t>
      </w:r>
      <w:r>
        <w:rPr>
          <w:noProof/>
        </w:rPr>
        <w:br/>
      </w:r>
      <w:r>
        <w:rPr>
          <w:b/>
          <w:noProof/>
        </w:rPr>
        <w:t>Stocurile demersale</w:t>
      </w:r>
    </w:p>
    <w:p>
      <w:pPr>
        <w:pStyle w:val="ManualNumPar1"/>
        <w:rPr>
          <w:noProof/>
        </w:rPr>
      </w:pPr>
      <w:r>
        <w:rPr>
          <w:noProof/>
        </w:rPr>
        <w:t>1.</w:t>
      </w:r>
      <w:r>
        <w:rPr>
          <w:noProof/>
        </w:rPr>
        <w:tab/>
        <w:t>Prezentul articol se aplică tuturor activităților de pescuit desfășurate de navele de pescuit ale Uniunii și altor activități de pescuit ale Uniunii de capturare a stocurilor demersale menționate la articolul 1 alineatul (2) din Regulamentul (UE) 2019/1022 în vestul Mării Mediterane.</w:t>
      </w:r>
    </w:p>
    <w:p>
      <w:pPr>
        <w:pStyle w:val="ManualNumPar1"/>
        <w:rPr>
          <w:noProof/>
        </w:rPr>
      </w:pPr>
      <w:r>
        <w:rPr>
          <w:noProof/>
        </w:rPr>
        <w:t>2.</w:t>
      </w:r>
      <w:r>
        <w:rPr>
          <w:noProof/>
        </w:rPr>
        <w:tab/>
        <w:t>Efortul de pescuit maxim admisibil pentru traulere și nave de pescuit cu paragate este stabilit în anexa IV. Statele membre gestionează efortul de pescuit maxim admisibil în conformitate cu articolul 9 din Regulamentul (UE) 2019/1022 și cu articolele 26-34 din Regulamentul (CE) nr. 1224/2009.</w:t>
      </w:r>
    </w:p>
    <w:p>
      <w:pPr>
        <w:pStyle w:val="ManualNumPar1"/>
        <w:rPr>
          <w:noProof/>
        </w:rPr>
      </w:pPr>
      <w:r>
        <w:rPr>
          <w:noProof/>
        </w:rPr>
        <w:t>3.</w:t>
      </w:r>
      <w:r>
        <w:rPr>
          <w:noProof/>
        </w:rPr>
        <w:tab/>
        <w:t>Limitele maxime de captură pentru crevetele roșu (</w:t>
      </w:r>
      <w:r>
        <w:rPr>
          <w:i/>
          <w:noProof/>
        </w:rPr>
        <w:t>Aristeus antennatus</w:t>
      </w:r>
      <w:r>
        <w:rPr>
          <w:noProof/>
        </w:rPr>
        <w:t>) în Marea Alboran, Insulele Baleare, nordul Spaniei și Golful Lion sunt stabilite în anexa IV.</w:t>
      </w:r>
    </w:p>
    <w:p>
      <w:pPr>
        <w:pStyle w:val="ManualNumPar1"/>
        <w:rPr>
          <w:noProof/>
        </w:rPr>
      </w:pPr>
      <w:r>
        <w:rPr>
          <w:noProof/>
        </w:rPr>
        <w:t>4.</w:t>
      </w:r>
      <w:r>
        <w:rPr>
          <w:noProof/>
        </w:rPr>
        <w:tab/>
        <w:t>Limitele maxime de captură pentru crevetele roșu (</w:t>
      </w:r>
      <w:r>
        <w:rPr>
          <w:i/>
          <w:noProof/>
        </w:rPr>
        <w:t>Aristeus antennatus</w:t>
      </w:r>
      <w:r>
        <w:rPr>
          <w:noProof/>
        </w:rPr>
        <w:t>) și crevetele roșu gigant (</w:t>
      </w:r>
      <w:r>
        <w:rPr>
          <w:i/>
          <w:noProof/>
        </w:rPr>
        <w:t>Aristaeomorpha foliacea</w:t>
      </w:r>
      <w:r>
        <w:rPr>
          <w:noProof/>
        </w:rPr>
        <w:t>) în Insula Corsica, Marea Ligurică, Marea Tireniană și Insula Sardinia sunt stabilite în anexa IV.</w:t>
      </w:r>
    </w:p>
    <w:p>
      <w:pPr>
        <w:pStyle w:val="ManualNumPar1"/>
        <w:rPr>
          <w:noProof/>
        </w:rPr>
      </w:pPr>
      <w:r>
        <w:rPr>
          <w:noProof/>
        </w:rPr>
        <w:t>5.</w:t>
      </w:r>
      <w:r>
        <w:rPr>
          <w:noProof/>
        </w:rPr>
        <w:tab/>
        <w:t>Repartizarea posibilităților de pescuit între statele membre, stabilită în anexa IV, nu aduce atingere:</w:t>
      </w:r>
    </w:p>
    <w:p>
      <w:pPr>
        <w:pStyle w:val="Point1"/>
        <w:rPr>
          <w:noProof/>
        </w:rPr>
      </w:pPr>
      <w:r>
        <w:rPr>
          <w:noProof/>
        </w:rPr>
        <w:t>(a)</w:t>
      </w:r>
      <w:r>
        <w:rPr>
          <w:noProof/>
        </w:rPr>
        <w:tab/>
        <w:t>schimburilor efectuate în temeiul articolului 16 alineatul (8) din Regulamentul (UE) nr. 1380/2013;</w:t>
      </w:r>
    </w:p>
    <w:p>
      <w:pPr>
        <w:pStyle w:val="Point1"/>
        <w:rPr>
          <w:noProof/>
        </w:rPr>
      </w:pPr>
      <w:r>
        <w:rPr>
          <w:noProof/>
        </w:rPr>
        <w:t>(b)</w:t>
      </w:r>
      <w:r>
        <w:rPr>
          <w:noProof/>
        </w:rPr>
        <w:tab/>
        <w:t>deducerilor și realocărilor efectuate în temeiul articolului 37 din Regulamentul (CE) nr. 1224/2009;</w:t>
      </w:r>
    </w:p>
    <w:p>
      <w:pPr>
        <w:pStyle w:val="Point1"/>
        <w:rPr>
          <w:noProof/>
        </w:rPr>
      </w:pPr>
      <w:r>
        <w:rPr>
          <w:noProof/>
        </w:rPr>
        <w:t>(c)</w:t>
      </w:r>
      <w:r>
        <w:rPr>
          <w:noProof/>
        </w:rPr>
        <w:tab/>
        <w:t>debarcărilor suplimentare permise în temeiul articolului 3 din Regulamentul (CE) nr. 847/96 sau al articolului 15 alineatul (9) din Regulamentul (UE) nr. 1380/2013;</w:t>
      </w:r>
    </w:p>
    <w:p>
      <w:pPr>
        <w:pStyle w:val="Point1"/>
        <w:rPr>
          <w:noProof/>
        </w:rPr>
      </w:pPr>
      <w:r>
        <w:rPr>
          <w:noProof/>
        </w:rPr>
        <w:t>(d)</w:t>
      </w:r>
      <w:r>
        <w:rPr>
          <w:noProof/>
        </w:rPr>
        <w:tab/>
        <w:t>cantităților reținute în conformitate cu articolul 4 din Regulamentul (CE) nr. 847/96 sau transferate în temeiul articolului 15 alineatul (9) din Regulamentul (UE) nr. 1380/2013;</w:t>
      </w:r>
    </w:p>
    <w:p>
      <w:pPr>
        <w:pStyle w:val="Point1"/>
        <w:rPr>
          <w:noProof/>
        </w:rPr>
      </w:pPr>
      <w:r>
        <w:rPr>
          <w:noProof/>
        </w:rPr>
        <w:t>(e)</w:t>
      </w:r>
      <w:r>
        <w:rPr>
          <w:noProof/>
        </w:rPr>
        <w:tab/>
        <w:t>deducerilor efectuate în temeiul articolelor 105, 106 și 107 din Regulamentul (CE) nr. 1224/2009.</w:t>
      </w:r>
    </w:p>
    <w:p>
      <w:pPr>
        <w:pStyle w:val="Titrearticle"/>
        <w:rPr>
          <w:noProof/>
        </w:rPr>
      </w:pPr>
      <w:r>
        <w:rPr>
          <w:noProof/>
        </w:rPr>
        <w:t>Articolul 8</w:t>
      </w:r>
      <w:r>
        <w:rPr>
          <w:noProof/>
        </w:rPr>
        <w:br/>
      </w:r>
      <w:r>
        <w:rPr>
          <w:b/>
          <w:noProof/>
        </w:rPr>
        <w:t>Mecanismul de compensare</w:t>
      </w:r>
    </w:p>
    <w:p>
      <w:pPr>
        <w:keepNext/>
        <w:spacing w:before="360"/>
        <w:jc w:val="center"/>
        <w:rPr>
          <w:rFonts w:eastAsia="Times New Roman"/>
          <w:b/>
          <w:bCs/>
          <w:i/>
          <w:iCs/>
          <w:noProof/>
        </w:rPr>
      </w:pPr>
      <w:r>
        <w:rPr>
          <w:b/>
          <w:i/>
          <w:noProof/>
        </w:rPr>
        <w:t>[SPAȚIU REZERVAT]</w:t>
      </w:r>
    </w:p>
    <w:p>
      <w:pPr>
        <w:pStyle w:val="Titrearticle"/>
        <w:rPr>
          <w:b/>
          <w:bCs/>
          <w:noProof/>
          <w:szCs w:val="24"/>
        </w:rPr>
      </w:pPr>
      <w:r>
        <w:rPr>
          <w:noProof/>
        </w:rPr>
        <w:t>Articolul 9</w:t>
      </w:r>
      <w:r>
        <w:rPr>
          <w:noProof/>
        </w:rPr>
        <w:br/>
      </w:r>
      <w:r>
        <w:rPr>
          <w:b/>
          <w:noProof/>
        </w:rPr>
        <w:t>Măsuri de remediere</w:t>
      </w:r>
    </w:p>
    <w:p>
      <w:pPr>
        <w:keepNext/>
        <w:spacing w:before="360"/>
        <w:jc w:val="center"/>
        <w:rPr>
          <w:i/>
          <w:noProof/>
          <w:szCs w:val="24"/>
        </w:rPr>
      </w:pPr>
      <w:r>
        <w:rPr>
          <w:b/>
          <w:i/>
          <w:noProof/>
        </w:rPr>
        <w:t>[SPAȚIU REZERVAT]</w:t>
      </w:r>
    </w:p>
    <w:p>
      <w:pPr>
        <w:pStyle w:val="Titrearticle"/>
        <w:rPr>
          <w:noProof/>
          <w:szCs w:val="24"/>
        </w:rPr>
      </w:pPr>
      <w:r>
        <w:rPr>
          <w:noProof/>
        </w:rPr>
        <w:t>Articolul 10</w:t>
      </w:r>
      <w:r>
        <w:rPr>
          <w:noProof/>
        </w:rPr>
        <w:br/>
      </w:r>
      <w:r>
        <w:rPr>
          <w:b/>
          <w:noProof/>
        </w:rPr>
        <w:t>Înregistrarea și transmiterea datelor</w:t>
      </w:r>
    </w:p>
    <w:p>
      <w:pPr>
        <w:pStyle w:val="ManualNumPar1"/>
        <w:rPr>
          <w:noProof/>
        </w:rPr>
      </w:pPr>
      <w:r>
        <w:rPr>
          <w:noProof/>
        </w:rPr>
        <w:t>1.</w:t>
      </w:r>
      <w:r>
        <w:rPr>
          <w:noProof/>
        </w:rPr>
        <w:tab/>
        <w:t>Statele membre înregistrează și transmit Comisiei date privind efortul de pescuit în conformitate cu articolele 33 și 34 din Regulamentul (CE) nr. 1224/2009 și cu articolele 56, 58 și 59 din Regulamentul de punere în aplicare (UE) 2025/2196 al Comisiei</w:t>
      </w:r>
      <w:r>
        <w:rPr>
          <w:rStyle w:val="FootnoteReference"/>
          <w:rFonts w:eastAsia="Times New Roman"/>
          <w:noProof/>
          <w:lang w:eastAsia="en-IE"/>
        </w:rPr>
        <w:footnoteReference w:id="16"/>
      </w:r>
      <w:r>
        <w:rPr>
          <w:noProof/>
        </w:rPr>
        <w:t>.</w:t>
      </w:r>
    </w:p>
    <w:p>
      <w:pPr>
        <w:pStyle w:val="ManualNumPar1"/>
        <w:rPr>
          <w:noProof/>
          <w:szCs w:val="24"/>
        </w:rPr>
      </w:pPr>
      <w:r>
        <w:rPr>
          <w:noProof/>
        </w:rPr>
        <w:t>2.</w:t>
      </w:r>
      <w:r>
        <w:rPr>
          <w:noProof/>
        </w:rPr>
        <w:tab/>
        <w:t>Atunci când transmit Comisiei date privind efortul de pescuit în conformitate cu articolele 33 și 34 din Regulamentul (CE) nr. 1224/2009, statele membre utilizează codurile grupurilor de efort de pescuit prevăzute în anexa IV la prezentul regulament.</w:t>
      </w:r>
    </w:p>
    <w:p>
      <w:pPr>
        <w:shd w:val="clear" w:color="auto" w:fill="FFFFFF" w:themeFill="background1"/>
        <w:spacing w:after="0"/>
        <w:rPr>
          <w:rFonts w:eastAsia="Times New Roman"/>
          <w:noProof/>
          <w:szCs w:val="24"/>
          <w:lang w:eastAsia="en-IE"/>
        </w:rPr>
      </w:pPr>
    </w:p>
    <w:p>
      <w:pPr>
        <w:pStyle w:val="ChapterTitle"/>
        <w:rPr>
          <w:noProof/>
          <w:sz w:val="24"/>
          <w:szCs w:val="24"/>
        </w:rPr>
      </w:pPr>
      <w:r>
        <w:rPr>
          <w:noProof/>
          <w:sz w:val="24"/>
        </w:rPr>
        <w:t>CAPITOLUL III</w:t>
      </w:r>
    </w:p>
    <w:p>
      <w:pPr>
        <w:pStyle w:val="ChapterTitle"/>
        <w:rPr>
          <w:noProof/>
          <w:sz w:val="24"/>
          <w:szCs w:val="24"/>
        </w:rPr>
      </w:pPr>
      <w:r>
        <w:rPr>
          <w:noProof/>
          <w:sz w:val="24"/>
        </w:rPr>
        <w:t>Marea Adriatică</w:t>
      </w:r>
    </w:p>
    <w:p>
      <w:pPr>
        <w:pStyle w:val="Titrearticle"/>
        <w:rPr>
          <w:noProof/>
          <w:szCs w:val="24"/>
        </w:rPr>
      </w:pPr>
      <w:r>
        <w:rPr>
          <w:noProof/>
        </w:rPr>
        <w:t>Articolul 11</w:t>
      </w:r>
      <w:r>
        <w:rPr>
          <w:noProof/>
        </w:rPr>
        <w:br/>
      </w:r>
      <w:r>
        <w:rPr>
          <w:b/>
          <w:noProof/>
        </w:rPr>
        <w:t>Stocurile de pești pelagici mici</w:t>
      </w:r>
    </w:p>
    <w:p>
      <w:pPr>
        <w:pStyle w:val="ManualNumPar1"/>
        <w:rPr>
          <w:noProof/>
        </w:rPr>
      </w:pPr>
      <w:r>
        <w:rPr>
          <w:noProof/>
        </w:rPr>
        <w:t>1.</w:t>
      </w:r>
      <w:r>
        <w:rPr>
          <w:noProof/>
        </w:rPr>
        <w:tab/>
        <w:t>Prezentul articol se aplică tuturor activităților de pescuit desfășurate de navele de pescuit din Uniune și altor activități de pescuit ale Uniunii de capturare a sardinelor (</w:t>
      </w:r>
      <w:r>
        <w:rPr>
          <w:i/>
          <w:noProof/>
        </w:rPr>
        <w:t>Sardina pilchardus</w:t>
      </w:r>
      <w:r>
        <w:rPr>
          <w:noProof/>
        </w:rPr>
        <w:t>) și hamsiei (</w:t>
      </w:r>
      <w:r>
        <w:rPr>
          <w:i/>
          <w:noProof/>
        </w:rPr>
        <w:t>Engraulis encrasicolus</w:t>
      </w:r>
      <w:r>
        <w:rPr>
          <w:noProof/>
        </w:rPr>
        <w:t>) în Marea Adriatică.</w:t>
      </w:r>
    </w:p>
    <w:p>
      <w:pPr>
        <w:pStyle w:val="ManualNumPar1"/>
        <w:rPr>
          <w:noProof/>
        </w:rPr>
      </w:pPr>
      <w:r>
        <w:rPr>
          <w:noProof/>
        </w:rPr>
        <w:t>2.</w:t>
      </w:r>
      <w:r>
        <w:rPr>
          <w:noProof/>
        </w:rPr>
        <w:tab/>
        <w:t>Nivelul maxim al capturilor de sardine și hamsii nu depășește nivelurile stabilite în anexa V.</w:t>
      </w:r>
    </w:p>
    <w:p>
      <w:pPr>
        <w:pStyle w:val="ManualNumPar1"/>
        <w:rPr>
          <w:noProof/>
        </w:rPr>
      </w:pPr>
      <w:r>
        <w:rPr>
          <w:noProof/>
        </w:rPr>
        <w:t>3.</w:t>
      </w:r>
      <w:r>
        <w:rPr>
          <w:noProof/>
        </w:rPr>
        <w:tab/>
        <w:t xml:space="preserve">Capacitatea maximă a flotei, exprimată în kW, tonaj brut și număr, a navelor de pescuit ale Uniunii autorizate să pescuiască stocuri de pești pelagici mici este stabilită în anexa V. </w:t>
      </w:r>
    </w:p>
    <w:p>
      <w:pPr>
        <w:pStyle w:val="ManualNumPar1"/>
        <w:rPr>
          <w:noProof/>
        </w:rPr>
      </w:pPr>
      <w:r>
        <w:rPr>
          <w:noProof/>
        </w:rPr>
        <w:t>4.</w:t>
      </w:r>
      <w:r>
        <w:rPr>
          <w:noProof/>
        </w:rPr>
        <w:tab/>
        <w:t>Articolele 3 și 4 din Regulamentul (CE) nr. 847/96 nu se aplică în cazul în care un stat membru utilizează flexibilitatea de la an la an prevăzută la articolul 15 alineatul (9) din Regulamentul (UE) nr. 1380/2013.</w:t>
      </w:r>
    </w:p>
    <w:p>
      <w:pPr>
        <w:pStyle w:val="Titrearticle"/>
        <w:rPr>
          <w:noProof/>
        </w:rPr>
      </w:pPr>
      <w:r>
        <w:rPr>
          <w:noProof/>
        </w:rPr>
        <w:t>Articolul 12</w:t>
      </w:r>
      <w:r>
        <w:rPr>
          <w:noProof/>
        </w:rPr>
        <w:br/>
      </w:r>
      <w:r>
        <w:rPr>
          <w:b/>
          <w:noProof/>
        </w:rPr>
        <w:t>Stocurile demersale</w:t>
      </w:r>
    </w:p>
    <w:p>
      <w:pPr>
        <w:shd w:val="clear" w:color="auto" w:fill="FFFFFF" w:themeFill="background1"/>
        <w:spacing w:after="0"/>
        <w:jc w:val="center"/>
        <w:rPr>
          <w:noProof/>
        </w:rPr>
      </w:pPr>
      <w:r>
        <w:rPr>
          <w:b/>
          <w:i/>
          <w:noProof/>
        </w:rPr>
        <w:t>[SPAȚIU REZERVAT]</w:t>
      </w:r>
    </w:p>
    <w:p>
      <w:pPr>
        <w:shd w:val="clear" w:color="auto" w:fill="FFFFFF" w:themeFill="background1"/>
        <w:spacing w:after="0"/>
        <w:jc w:val="center"/>
        <w:rPr>
          <w:noProof/>
          <w:lang w:eastAsia="en-IE"/>
        </w:rPr>
      </w:pPr>
    </w:p>
    <w:p>
      <w:pPr>
        <w:pStyle w:val="Titlearticle"/>
        <w:rPr>
          <w:noProof/>
        </w:rPr>
      </w:pPr>
      <w:r>
        <w:rPr>
          <w:noProof/>
        </w:rPr>
        <w:t>Articolul 13</w:t>
      </w:r>
      <w:r>
        <w:rPr>
          <w:noProof/>
        </w:rPr>
        <w:br/>
      </w:r>
      <w:r>
        <w:rPr>
          <w:b/>
          <w:noProof/>
        </w:rPr>
        <w:t>Transmiterea datelor</w:t>
      </w:r>
    </w:p>
    <w:p>
      <w:pPr>
        <w:shd w:val="clear" w:color="auto" w:fill="FFFFFF"/>
        <w:spacing w:after="0"/>
        <w:rPr>
          <w:rFonts w:eastAsia="Times New Roman"/>
          <w:noProof/>
          <w:szCs w:val="24"/>
        </w:rPr>
      </w:pPr>
      <w:r>
        <w:rPr>
          <w:noProof/>
        </w:rPr>
        <w:t>Atunci când, în temeiul articolelor 33 și 34 din Regulamentul (CE) nr. 1224/2009, statele membre transmit Comisiei date privind debarcările și efortul de pescuit, acestea utilizează codurile grupurilor de efort de pescuit prevăzute în anexa V la prezentul regulament.</w:t>
      </w:r>
    </w:p>
    <w:p>
      <w:pPr>
        <w:shd w:val="clear" w:color="auto" w:fill="FFFFFF"/>
        <w:spacing w:after="0"/>
        <w:rPr>
          <w:rFonts w:eastAsia="Times New Roman"/>
          <w:noProof/>
          <w:szCs w:val="24"/>
          <w:lang w:eastAsia="en-IE"/>
        </w:rPr>
      </w:pPr>
    </w:p>
    <w:p>
      <w:pPr>
        <w:shd w:val="clear" w:color="auto" w:fill="FFFFFF"/>
        <w:spacing w:after="0"/>
        <w:rPr>
          <w:rFonts w:eastAsia="Times New Roman"/>
          <w:noProof/>
          <w:szCs w:val="24"/>
          <w:lang w:eastAsia="en-IE"/>
        </w:rPr>
      </w:pPr>
    </w:p>
    <w:p>
      <w:pPr>
        <w:pStyle w:val="ChapterTitle"/>
        <w:rPr>
          <w:noProof/>
          <w:sz w:val="24"/>
          <w:szCs w:val="24"/>
        </w:rPr>
      </w:pPr>
      <w:r>
        <w:rPr>
          <w:noProof/>
          <w:sz w:val="24"/>
        </w:rPr>
        <w:t>CAPITOLUL IV</w:t>
      </w:r>
    </w:p>
    <w:p>
      <w:pPr>
        <w:pStyle w:val="ChapterTitle"/>
        <w:rPr>
          <w:noProof/>
          <w:sz w:val="24"/>
          <w:szCs w:val="24"/>
        </w:rPr>
      </w:pPr>
      <w:r>
        <w:rPr>
          <w:noProof/>
          <w:sz w:val="24"/>
        </w:rPr>
        <w:t>Strâmtoarea Siciliei</w:t>
      </w:r>
    </w:p>
    <w:p>
      <w:pPr>
        <w:pStyle w:val="Titrearticle"/>
        <w:rPr>
          <w:b/>
          <w:bCs/>
          <w:noProof/>
          <w:szCs w:val="24"/>
        </w:rPr>
      </w:pPr>
      <w:r>
        <w:rPr>
          <w:noProof/>
        </w:rPr>
        <w:t>Articolul 14</w:t>
      </w:r>
      <w:r>
        <w:rPr>
          <w:noProof/>
        </w:rPr>
        <w:br/>
      </w:r>
      <w:r>
        <w:rPr>
          <w:b/>
          <w:noProof/>
        </w:rPr>
        <w:t>Merluciu și caridă-roz-de-adâncime</w:t>
      </w:r>
    </w:p>
    <w:p>
      <w:pPr>
        <w:pStyle w:val="ManualNumPar1"/>
        <w:rPr>
          <w:noProof/>
        </w:rPr>
      </w:pPr>
      <w:r>
        <w:rPr>
          <w:noProof/>
        </w:rPr>
        <w:t>1.</w:t>
      </w:r>
      <w:r>
        <w:rPr>
          <w:noProof/>
        </w:rPr>
        <w:tab/>
        <w:t>Prezentul articol se aplică tuturor activităților desfășurate de navele de pescuit ale Uniunii și altor activități de pescuit ale Uniunii de capturare de merluciu (</w:t>
      </w:r>
      <w:r>
        <w:rPr>
          <w:i/>
          <w:noProof/>
        </w:rPr>
        <w:t>Merluccius merluccius</w:t>
      </w:r>
      <w:r>
        <w:rPr>
          <w:noProof/>
        </w:rPr>
        <w:t>) și caridă-roz-de-adâncime (</w:t>
      </w:r>
      <w:r>
        <w:rPr>
          <w:i/>
          <w:noProof/>
        </w:rPr>
        <w:t>Parapenaeus longirostris</w:t>
      </w:r>
      <w:r>
        <w:rPr>
          <w:noProof/>
        </w:rPr>
        <w:t>) în Strâmtoarea Siciliei.</w:t>
      </w:r>
    </w:p>
    <w:p>
      <w:pPr>
        <w:pStyle w:val="ManualNumPar1"/>
        <w:rPr>
          <w:noProof/>
        </w:rPr>
      </w:pPr>
      <w:r>
        <w:rPr>
          <w:noProof/>
        </w:rPr>
        <w:t>2.</w:t>
      </w:r>
      <w:r>
        <w:rPr>
          <w:noProof/>
        </w:rPr>
        <w:tab/>
        <w:t>Capacitatea maximă a flotei exprimată în număr de nave, kW și tonaj brut pentru traulerele de fund autorizate să pescuiască stocuri demersale care intră în domeniul de aplicare al prezentului articol este stabilită în anexa VI.</w:t>
      </w:r>
    </w:p>
    <w:p>
      <w:pPr>
        <w:pStyle w:val="ManualNumPar1"/>
        <w:rPr>
          <w:noProof/>
        </w:rPr>
      </w:pPr>
      <w:r>
        <w:rPr>
          <w:noProof/>
        </w:rPr>
        <w:t>3.</w:t>
      </w:r>
      <w:r>
        <w:rPr>
          <w:noProof/>
        </w:rPr>
        <w:tab/>
        <w:t xml:space="preserve">Efortul de pescuit maxim admisibil pentru merluciu (exprimat în număr de zile de pescuit), pentru traulerele cu panouri (OTB) care vizează merluciul este stabilit în anexa VI. </w:t>
      </w:r>
    </w:p>
    <w:p>
      <w:pPr>
        <w:pStyle w:val="ManualNumPar1"/>
        <w:rPr>
          <w:noProof/>
        </w:rPr>
      </w:pPr>
      <w:r>
        <w:rPr>
          <w:noProof/>
        </w:rPr>
        <w:t>4.</w:t>
      </w:r>
      <w:r>
        <w:rPr>
          <w:noProof/>
        </w:rPr>
        <w:tab/>
        <w:t>Nivelul maxim al capturilor de caridă-roz-de-adâncime nu depășește nivelurile stabilite în anexa VI.</w:t>
      </w:r>
    </w:p>
    <w:p>
      <w:pPr>
        <w:pStyle w:val="ManualNumPar1"/>
        <w:rPr>
          <w:noProof/>
        </w:rPr>
      </w:pPr>
      <w:r>
        <w:rPr>
          <w:noProof/>
        </w:rPr>
        <w:t>5.</w:t>
      </w:r>
      <w:r>
        <w:rPr>
          <w:noProof/>
        </w:rPr>
        <w:tab/>
        <w:t>Statele membre gestionează efortul de pescuit maxim admisibil în conformitate cu articolele 26-35 din Regulamentul (CE) nr. 1224/2009.</w:t>
      </w:r>
    </w:p>
    <w:p>
      <w:pPr>
        <w:pStyle w:val="Titrearticle"/>
        <w:rPr>
          <w:noProof/>
          <w:szCs w:val="24"/>
        </w:rPr>
      </w:pPr>
      <w:r>
        <w:rPr>
          <w:noProof/>
        </w:rPr>
        <w:t>Articolul 15</w:t>
      </w:r>
      <w:r>
        <w:rPr>
          <w:noProof/>
        </w:rPr>
        <w:br/>
      </w:r>
      <w:r>
        <w:rPr>
          <w:b/>
          <w:noProof/>
        </w:rPr>
        <w:t>Creveți de adâncime</w:t>
      </w:r>
    </w:p>
    <w:p>
      <w:pPr>
        <w:pStyle w:val="ManualNumPar1"/>
        <w:rPr>
          <w:noProof/>
        </w:rPr>
      </w:pPr>
      <w:r>
        <w:rPr>
          <w:noProof/>
        </w:rPr>
        <w:t>1.</w:t>
      </w:r>
      <w:r>
        <w:rPr>
          <w:noProof/>
        </w:rPr>
        <w:tab/>
        <w:t>Prezentul articol se aplică tuturor activităților de pescuit desfășurate de navele de pescuit ale Uniunii și altor activități de pescuit ale Uniunii de capturare a crevetelui roșu gigant (</w:t>
      </w:r>
      <w:r>
        <w:rPr>
          <w:i/>
          <w:noProof/>
        </w:rPr>
        <w:t>Aristaeomorpha foliacea</w:t>
      </w:r>
      <w:r>
        <w:rPr>
          <w:noProof/>
        </w:rPr>
        <w:t>) și a crevetelui roșu (</w:t>
      </w:r>
      <w:r>
        <w:rPr>
          <w:i/>
          <w:noProof/>
        </w:rPr>
        <w:t>Aristeus antennatus</w:t>
      </w:r>
      <w:r>
        <w:rPr>
          <w:noProof/>
        </w:rPr>
        <w:t>) în Strâmtoarea Siciliei.</w:t>
      </w:r>
    </w:p>
    <w:p>
      <w:pPr>
        <w:pStyle w:val="ManualNumPar1"/>
        <w:rPr>
          <w:noProof/>
        </w:rPr>
      </w:pPr>
      <w:r>
        <w:rPr>
          <w:noProof/>
        </w:rPr>
        <w:t>2.</w:t>
      </w:r>
      <w:r>
        <w:rPr>
          <w:noProof/>
        </w:rPr>
        <w:tab/>
        <w:t>Capacitatea maximă a flotei, exprimată în număr de nave, kW și tonaj brut, pentru traulerele de fund autorizate să pescuiască stocuri demersale care intră în domeniul de aplicare al prezentului articol este stabilită în anexa VI.</w:t>
      </w:r>
    </w:p>
    <w:p>
      <w:pPr>
        <w:pStyle w:val="ManualNumPar1"/>
        <w:rPr>
          <w:noProof/>
        </w:rPr>
      </w:pPr>
      <w:r>
        <w:rPr>
          <w:noProof/>
        </w:rPr>
        <w:t>3.</w:t>
      </w:r>
      <w:r>
        <w:rPr>
          <w:noProof/>
        </w:rPr>
        <w:tab/>
        <w:t>Nivelul maxim al capturilor nu depășește nivelurile stabilite în anexa VI.</w:t>
      </w:r>
    </w:p>
    <w:p>
      <w:pPr>
        <w:pStyle w:val="Titrearticle"/>
        <w:rPr>
          <w:noProof/>
          <w:szCs w:val="24"/>
        </w:rPr>
      </w:pPr>
      <w:r>
        <w:rPr>
          <w:noProof/>
        </w:rPr>
        <w:t>Articolul 16</w:t>
      </w:r>
      <w:r>
        <w:rPr>
          <w:noProof/>
        </w:rPr>
        <w:br/>
      </w:r>
      <w:r>
        <w:rPr>
          <w:b/>
          <w:noProof/>
        </w:rPr>
        <w:t>Transmiterea datelor</w:t>
      </w:r>
    </w:p>
    <w:p>
      <w:pPr>
        <w:shd w:val="clear" w:color="auto" w:fill="FFFFFF"/>
        <w:spacing w:after="0"/>
        <w:rPr>
          <w:rFonts w:eastAsia="Times New Roman"/>
          <w:noProof/>
          <w:szCs w:val="24"/>
        </w:rPr>
      </w:pPr>
      <w:r>
        <w:rPr>
          <w:noProof/>
        </w:rPr>
        <w:t>Atunci când, în temeiul articolelor 33 și 34 din Regulamentul (CE) nr. 1224/2009, statele membre transmit Comisiei date privind cantitățile debarcate din stocurile capturate, acestea utilizează codurile stocurilor prevăzute în anexa VI la prezentul regulament.</w:t>
      </w:r>
    </w:p>
    <w:p>
      <w:pPr>
        <w:shd w:val="clear" w:color="auto" w:fill="FFFFFF"/>
        <w:spacing w:after="0"/>
        <w:rPr>
          <w:rFonts w:eastAsia="Times New Roman"/>
          <w:noProof/>
          <w:szCs w:val="24"/>
          <w:lang w:eastAsia="en-IE"/>
        </w:rPr>
      </w:pPr>
    </w:p>
    <w:p>
      <w:pPr>
        <w:pStyle w:val="ChapterTitle"/>
        <w:rPr>
          <w:noProof/>
          <w:sz w:val="24"/>
          <w:szCs w:val="24"/>
        </w:rPr>
      </w:pPr>
      <w:r>
        <w:rPr>
          <w:noProof/>
          <w:sz w:val="24"/>
        </w:rPr>
        <w:t>CAPITOLUL V</w:t>
      </w:r>
    </w:p>
    <w:p>
      <w:pPr>
        <w:pStyle w:val="ChapterTitle"/>
        <w:rPr>
          <w:noProof/>
          <w:sz w:val="24"/>
          <w:szCs w:val="24"/>
        </w:rPr>
      </w:pPr>
      <w:r>
        <w:rPr>
          <w:noProof/>
          <w:sz w:val="24"/>
        </w:rPr>
        <w:t>Marea Ionică și Marea Levantului</w:t>
      </w:r>
    </w:p>
    <w:p>
      <w:pPr>
        <w:pStyle w:val="Titrearticle"/>
        <w:rPr>
          <w:noProof/>
          <w:szCs w:val="24"/>
        </w:rPr>
      </w:pPr>
      <w:r>
        <w:rPr>
          <w:noProof/>
        </w:rPr>
        <w:t>Articolul 17</w:t>
      </w:r>
      <w:r>
        <w:rPr>
          <w:noProof/>
        </w:rPr>
        <w:br/>
      </w:r>
      <w:r>
        <w:rPr>
          <w:b/>
          <w:noProof/>
        </w:rPr>
        <w:t>Creveți de adâncime</w:t>
      </w:r>
    </w:p>
    <w:p>
      <w:pPr>
        <w:pStyle w:val="ManualNumPar1"/>
        <w:rPr>
          <w:noProof/>
        </w:rPr>
      </w:pPr>
      <w:r>
        <w:rPr>
          <w:noProof/>
        </w:rPr>
        <w:t>1.</w:t>
      </w:r>
      <w:r>
        <w:rPr>
          <w:noProof/>
        </w:rPr>
        <w:tab/>
        <w:t>Prezentul articol se aplică tuturor activităților de pescuit desfășurate de navele de pescuit din Uniune și altor activități de pescuit ale Uniunii de capturare a </w:t>
      </w:r>
      <w:bookmarkStart w:id="0" w:name="_Hlk171438380"/>
      <w:r>
        <w:rPr>
          <w:noProof/>
        </w:rPr>
        <w:t>crevetelui roșu gigant (</w:t>
      </w:r>
      <w:r>
        <w:rPr>
          <w:i/>
          <w:noProof/>
        </w:rPr>
        <w:t>Aristaeomorpha foliacea</w:t>
      </w:r>
      <w:r>
        <w:rPr>
          <w:noProof/>
        </w:rPr>
        <w:t>) și a crevetelui roșu (</w:t>
      </w:r>
      <w:r>
        <w:rPr>
          <w:i/>
          <w:noProof/>
        </w:rPr>
        <w:t>Aristeus antennatus</w:t>
      </w:r>
      <w:r>
        <w:rPr>
          <w:noProof/>
        </w:rPr>
        <w:t>)</w:t>
      </w:r>
      <w:bookmarkEnd w:id="0"/>
      <w:r>
        <w:rPr>
          <w:noProof/>
        </w:rPr>
        <w:t xml:space="preserve"> în Marea Ionică și în Marea Levantului.</w:t>
      </w:r>
    </w:p>
    <w:p>
      <w:pPr>
        <w:pStyle w:val="ManualNumPar1"/>
        <w:rPr>
          <w:noProof/>
        </w:rPr>
      </w:pPr>
      <w:r>
        <w:rPr>
          <w:noProof/>
        </w:rPr>
        <w:t>2.</w:t>
      </w:r>
      <w:r>
        <w:rPr>
          <w:noProof/>
        </w:rPr>
        <w:tab/>
        <w:t>Capacitatea maximă a flotei de traulere de fund autorizate să pescuiască stocuri de creveți de adâncime menționate în prezentul articol, exprimată în număr de nave, kW și tonaj brut, este stabilită în anexa VII.</w:t>
      </w:r>
    </w:p>
    <w:p>
      <w:pPr>
        <w:pStyle w:val="ManualNumPar1"/>
        <w:rPr>
          <w:noProof/>
        </w:rPr>
      </w:pPr>
      <w:r>
        <w:rPr>
          <w:noProof/>
        </w:rPr>
        <w:t>3.</w:t>
      </w:r>
      <w:r>
        <w:rPr>
          <w:noProof/>
        </w:rPr>
        <w:tab/>
        <w:t>Nivelul maxim al capturilor nu depășește nivelurile stabilite în anexa VII.</w:t>
      </w:r>
    </w:p>
    <w:p>
      <w:pPr>
        <w:pStyle w:val="ManualNumPar1"/>
        <w:rPr>
          <w:noProof/>
          <w:lang w:eastAsia="en-IE"/>
        </w:rPr>
      </w:pPr>
    </w:p>
    <w:p>
      <w:pPr>
        <w:pStyle w:val="ChapterTitle"/>
        <w:rPr>
          <w:noProof/>
          <w:sz w:val="24"/>
          <w:szCs w:val="24"/>
        </w:rPr>
      </w:pPr>
      <w:r>
        <w:rPr>
          <w:noProof/>
          <w:sz w:val="24"/>
        </w:rPr>
        <w:t>CAPITOLUL VI</w:t>
      </w:r>
    </w:p>
    <w:p>
      <w:pPr>
        <w:pStyle w:val="ChapterTitle"/>
        <w:rPr>
          <w:noProof/>
          <w:sz w:val="24"/>
          <w:szCs w:val="24"/>
        </w:rPr>
      </w:pPr>
      <w:r>
        <w:rPr>
          <w:noProof/>
          <w:sz w:val="24"/>
        </w:rPr>
        <w:t>Marea Alboran</w:t>
      </w:r>
    </w:p>
    <w:p>
      <w:pPr>
        <w:pStyle w:val="Titrearticle"/>
        <w:rPr>
          <w:noProof/>
          <w:szCs w:val="24"/>
        </w:rPr>
      </w:pPr>
      <w:r>
        <w:rPr>
          <w:noProof/>
        </w:rPr>
        <w:t>Articolul 18</w:t>
      </w:r>
      <w:r>
        <w:rPr>
          <w:noProof/>
        </w:rPr>
        <w:br/>
      </w:r>
      <w:r>
        <w:rPr>
          <w:b/>
          <w:noProof/>
        </w:rPr>
        <w:t>Pagel argintiu</w:t>
      </w:r>
    </w:p>
    <w:p>
      <w:pPr>
        <w:pStyle w:val="ManualNumPar1"/>
        <w:rPr>
          <w:noProof/>
        </w:rPr>
      </w:pPr>
      <w:r>
        <w:rPr>
          <w:noProof/>
        </w:rPr>
        <w:t>1.</w:t>
      </w:r>
      <w:r>
        <w:rPr>
          <w:noProof/>
        </w:rPr>
        <w:tab/>
        <w:t>Prezentul articol se aplică activităților de pescuit comercial și recreativ ale navelor de pescuit din Uniune de capturare a pagelului argintiu (</w:t>
      </w:r>
      <w:r>
        <w:rPr>
          <w:i/>
          <w:noProof/>
        </w:rPr>
        <w:t>Pagellus bogaraveo</w:t>
      </w:r>
      <w:r>
        <w:rPr>
          <w:noProof/>
        </w:rPr>
        <w:t>) cu paragate și undițe de mână în Marea Alboran.</w:t>
      </w:r>
    </w:p>
    <w:p>
      <w:pPr>
        <w:pStyle w:val="ManualNumPar1"/>
        <w:rPr>
          <w:noProof/>
        </w:rPr>
      </w:pPr>
      <w:r>
        <w:rPr>
          <w:noProof/>
        </w:rPr>
        <w:t>2.</w:t>
      </w:r>
      <w:r>
        <w:rPr>
          <w:noProof/>
        </w:rPr>
        <w:tab/>
        <w:t>Nivelul maxim al capturilor nu depășește nivelurile stabilite în anexa VIII.</w:t>
      </w:r>
    </w:p>
    <w:p>
      <w:pPr>
        <w:pStyle w:val="ManualNumPar1"/>
        <w:rPr>
          <w:noProof/>
        </w:rPr>
      </w:pPr>
      <w:r>
        <w:rPr>
          <w:noProof/>
        </w:rPr>
        <w:t>3.</w:t>
      </w:r>
      <w:r>
        <w:rPr>
          <w:noProof/>
        </w:rPr>
        <w:tab/>
        <w:t>Numărul maxim de nave cu paragate și undițe de mână autorizate să pescuiască pagel argintiu este stabilit în anexa VIII.</w:t>
      </w:r>
    </w:p>
    <w:p>
      <w:pPr>
        <w:pStyle w:val="ManualNumPar1"/>
        <w:rPr>
          <w:noProof/>
        </w:rPr>
      </w:pPr>
      <w:r>
        <w:rPr>
          <w:noProof/>
        </w:rPr>
        <w:t>4.</w:t>
      </w:r>
      <w:r>
        <w:rPr>
          <w:noProof/>
        </w:rPr>
        <w:tab/>
        <w:t>Se stabilește o interdicție temporară în vederea protejării stocului-cheie în timpul perioadei de reproducere, pentru perioade de cel puțin 60 de zile consecutive. Această interdicție durează cel puțin două luni și se aplică în perioada ianuarie-martie 2027 și vizează zonele-cheie de răspândire a pagelului argintiu în Marea Alboran.</w:t>
      </w:r>
    </w:p>
    <w:p>
      <w:pPr>
        <w:pStyle w:val="ManualNumPar1"/>
        <w:rPr>
          <w:noProof/>
        </w:rPr>
      </w:pPr>
      <w:r>
        <w:rPr>
          <w:noProof/>
        </w:rPr>
        <w:t>5.</w:t>
      </w:r>
      <w:r>
        <w:rPr>
          <w:noProof/>
        </w:rPr>
        <w:tab/>
        <w:t>Se interzice pescuitul recreativ de pagel argintiu.</w:t>
      </w:r>
    </w:p>
    <w:p>
      <w:pPr>
        <w:keepNext/>
        <w:spacing w:before="360"/>
        <w:rPr>
          <w:rFonts w:eastAsia="Times New Roman"/>
          <w:iCs/>
          <w:noProof/>
          <w:szCs w:val="24"/>
          <w:lang w:eastAsia="en-IE"/>
        </w:rPr>
      </w:pPr>
    </w:p>
    <w:p>
      <w:pPr>
        <w:pStyle w:val="ChapterTitle"/>
        <w:rPr>
          <w:noProof/>
          <w:sz w:val="24"/>
          <w:szCs w:val="24"/>
        </w:rPr>
      </w:pPr>
      <w:r>
        <w:rPr>
          <w:noProof/>
          <w:sz w:val="24"/>
        </w:rPr>
        <w:t>CAPITOLUL VII</w:t>
      </w:r>
    </w:p>
    <w:p>
      <w:pPr>
        <w:pStyle w:val="ChapterTitle"/>
        <w:rPr>
          <w:noProof/>
          <w:sz w:val="24"/>
          <w:szCs w:val="24"/>
        </w:rPr>
      </w:pPr>
      <w:r>
        <w:rPr>
          <w:noProof/>
          <w:sz w:val="24"/>
        </w:rPr>
        <w:t>Marea Neagră</w:t>
      </w:r>
    </w:p>
    <w:p>
      <w:pPr>
        <w:pStyle w:val="Titrearticle"/>
        <w:rPr>
          <w:rFonts w:eastAsia="Times New Roman"/>
          <w:b/>
          <w:bCs/>
          <w:noProof/>
          <w:szCs w:val="24"/>
        </w:rPr>
      </w:pPr>
      <w:r>
        <w:rPr>
          <w:noProof/>
        </w:rPr>
        <w:t>Articolul 19</w:t>
      </w:r>
      <w:r>
        <w:rPr>
          <w:noProof/>
        </w:rPr>
        <w:br/>
      </w:r>
      <w:r>
        <w:rPr>
          <w:b/>
          <w:noProof/>
        </w:rPr>
        <w:t>Șprot</w:t>
      </w:r>
    </w:p>
    <w:p>
      <w:pPr>
        <w:pStyle w:val="ManualNumPar1"/>
        <w:rPr>
          <w:noProof/>
        </w:rPr>
      </w:pPr>
      <w:r>
        <w:rPr>
          <w:noProof/>
        </w:rPr>
        <w:t>1.</w:t>
      </w:r>
      <w:r>
        <w:rPr>
          <w:noProof/>
        </w:rPr>
        <w:tab/>
        <w:t>Prezentul articol se aplică tuturor activităților desfășurate de navele de pescuit ale Uniunii și altor activități de pescuit ale Uniunii de capturare a șprotului (</w:t>
      </w:r>
      <w:r>
        <w:rPr>
          <w:i/>
          <w:noProof/>
        </w:rPr>
        <w:t>Sprattus sprattus</w:t>
      </w:r>
      <w:r>
        <w:rPr>
          <w:noProof/>
        </w:rPr>
        <w:t>) în Marea Neagră.</w:t>
      </w:r>
    </w:p>
    <w:p>
      <w:pPr>
        <w:pStyle w:val="ManualNumPar1"/>
        <w:rPr>
          <w:noProof/>
        </w:rPr>
      </w:pPr>
      <w:r>
        <w:rPr>
          <w:noProof/>
        </w:rPr>
        <w:t>2.</w:t>
      </w:r>
      <w:r>
        <w:rPr>
          <w:noProof/>
        </w:rPr>
        <w:tab/>
        <w:t xml:space="preserve">Cota autonomă a Uniunii pentru șprot este stabilită în anexa IX. </w:t>
      </w:r>
    </w:p>
    <w:p>
      <w:pPr>
        <w:pStyle w:val="ManualNumPar1"/>
        <w:rPr>
          <w:noProof/>
        </w:rPr>
      </w:pPr>
      <w:r>
        <w:rPr>
          <w:noProof/>
        </w:rPr>
        <w:t>3.</w:t>
      </w:r>
      <w:r>
        <w:rPr>
          <w:noProof/>
        </w:rPr>
        <w:tab/>
        <w:t>Articolele 3 și 4 din Regulamentul (CE) nr. 847/96 nu se aplică în cazul în care un stat membru utilizează flexibilitatea de la an la an prevăzută la articolul 15 alineatul (9) din Regulamentul (UE) nr. 1380/2013.</w:t>
      </w:r>
    </w:p>
    <w:p>
      <w:pPr>
        <w:pStyle w:val="Titrearticle"/>
        <w:rPr>
          <w:rFonts w:eastAsia="Times New Roman"/>
          <w:b/>
          <w:bCs/>
          <w:noProof/>
          <w:szCs w:val="24"/>
        </w:rPr>
      </w:pPr>
      <w:r>
        <w:rPr>
          <w:noProof/>
        </w:rPr>
        <w:t>Articolul 20</w:t>
      </w:r>
      <w:r>
        <w:rPr>
          <w:noProof/>
        </w:rPr>
        <w:br/>
      </w:r>
      <w:r>
        <w:rPr>
          <w:b/>
          <w:noProof/>
        </w:rPr>
        <w:t>Calcan</w:t>
      </w:r>
    </w:p>
    <w:p>
      <w:pPr>
        <w:pStyle w:val="ManualNumPar1"/>
        <w:rPr>
          <w:noProof/>
        </w:rPr>
      </w:pPr>
      <w:r>
        <w:rPr>
          <w:noProof/>
        </w:rPr>
        <w:t>1.</w:t>
      </w:r>
      <w:r>
        <w:rPr>
          <w:noProof/>
        </w:rPr>
        <w:tab/>
        <w:t>Prezentul articol se aplică tuturor activităților desfășurate de navele de pescuit ale Uniunii și altor activități de pescuit ale Uniunii de capturare a calcanului (</w:t>
      </w:r>
      <w:r>
        <w:rPr>
          <w:i/>
          <w:noProof/>
        </w:rPr>
        <w:t>Scophthalmus maximus</w:t>
      </w:r>
      <w:r>
        <w:rPr>
          <w:noProof/>
        </w:rPr>
        <w:t>) în Marea Neagră.</w:t>
      </w:r>
    </w:p>
    <w:p>
      <w:pPr>
        <w:pStyle w:val="ManualNumPar1"/>
        <w:rPr>
          <w:noProof/>
        </w:rPr>
      </w:pPr>
      <w:r>
        <w:rPr>
          <w:noProof/>
        </w:rPr>
        <w:t>2.</w:t>
      </w:r>
      <w:r>
        <w:rPr>
          <w:noProof/>
        </w:rPr>
        <w:tab/>
        <w:t>TAC pentru calcan aplicabilă în apele Uniunii din Marea Neagră și repartizarea acestei TAC între statele membre și condițiile legate funcțional de aceasta, după caz, sunt stabilite în anexa IX.</w:t>
      </w:r>
    </w:p>
    <w:p>
      <w:pPr>
        <w:pStyle w:val="ManualNumPar1"/>
        <w:rPr>
          <w:noProof/>
        </w:rPr>
      </w:pPr>
      <w:r>
        <w:rPr>
          <w:noProof/>
        </w:rPr>
        <w:t>3.</w:t>
      </w:r>
      <w:r>
        <w:rPr>
          <w:noProof/>
        </w:rPr>
        <w:tab/>
        <w:t>Articolele 3 și 4 din Regulamentul (CE) nr. 847/96 nu se aplică în cazul în care un stat membru utilizează flexibilitatea de la an la an prevăzută la articolul 15 alineatul (9) din Regulamentul (UE) nr. 1380/2013.</w:t>
      </w:r>
    </w:p>
    <w:p>
      <w:pPr>
        <w:pStyle w:val="Titrearticle"/>
        <w:rPr>
          <w:noProof/>
          <w:szCs w:val="24"/>
        </w:rPr>
      </w:pPr>
      <w:r>
        <w:rPr>
          <w:noProof/>
        </w:rPr>
        <w:t>Articolul 21</w:t>
      </w:r>
      <w:r>
        <w:rPr>
          <w:noProof/>
        </w:rPr>
        <w:br/>
      </w:r>
      <w:r>
        <w:rPr>
          <w:b/>
          <w:noProof/>
        </w:rPr>
        <w:t>Gestionarea efortului de pescuit pentru calcan</w:t>
      </w:r>
    </w:p>
    <w:p>
      <w:pPr>
        <w:shd w:val="clear" w:color="auto" w:fill="FFFFFF"/>
        <w:spacing w:after="0"/>
        <w:jc w:val="left"/>
        <w:rPr>
          <w:rFonts w:eastAsia="Times New Roman"/>
          <w:noProof/>
          <w:szCs w:val="24"/>
        </w:rPr>
      </w:pPr>
      <w:r>
        <w:rPr>
          <w:noProof/>
        </w:rPr>
        <w:t>Navele de pescuit ale Uniunii autorizate să pescuiască calcan în sensul articolului 20, indiferent de lungimea lor maximă, nu trebuie să depășească 180 de zile de pescuit pe an.</w:t>
      </w:r>
    </w:p>
    <w:p>
      <w:pPr>
        <w:pStyle w:val="Titrearticle"/>
        <w:rPr>
          <w:noProof/>
          <w:szCs w:val="24"/>
        </w:rPr>
      </w:pPr>
      <w:r>
        <w:rPr>
          <w:noProof/>
        </w:rPr>
        <w:t>Articolul 22</w:t>
      </w:r>
      <w:r>
        <w:rPr>
          <w:noProof/>
        </w:rPr>
        <w:br/>
      </w:r>
      <w:r>
        <w:rPr>
          <w:b/>
          <w:noProof/>
        </w:rPr>
        <w:t>Perioada de interdicție pentru calcan</w:t>
      </w:r>
    </w:p>
    <w:p>
      <w:pPr>
        <w:shd w:val="clear" w:color="auto" w:fill="FFFFFF" w:themeFill="background1"/>
        <w:spacing w:after="0"/>
        <w:rPr>
          <w:rFonts w:eastAsia="Times New Roman"/>
          <w:noProof/>
          <w:szCs w:val="24"/>
        </w:rPr>
      </w:pPr>
      <w:r>
        <w:rPr>
          <w:noProof/>
        </w:rPr>
        <w:t>Se interzice navelor de pescuit din Uniune să desfășoare orice activitate de pescuit pentru calcan, inclusiv transbordarea, reținerea la bord, debarcarea și prima vânzare a calcanului în apele Uniunii din Marea Neagră, în perioada 15 aprilie-15 iunie 2027.</w:t>
      </w:r>
    </w:p>
    <w:p>
      <w:pPr>
        <w:pStyle w:val="Titrearticle"/>
        <w:rPr>
          <w:noProof/>
          <w:szCs w:val="24"/>
        </w:rPr>
      </w:pPr>
      <w:r>
        <w:rPr>
          <w:noProof/>
        </w:rPr>
        <w:t>Articolul 23</w:t>
      </w:r>
      <w:r>
        <w:rPr>
          <w:noProof/>
        </w:rPr>
        <w:br/>
      </w:r>
      <w:r>
        <w:rPr>
          <w:b/>
          <w:noProof/>
        </w:rPr>
        <w:t>Dispoziții speciale privind repartizarea posibilităților de pescuit în Marea Neagră</w:t>
      </w:r>
    </w:p>
    <w:p>
      <w:pPr>
        <w:shd w:val="clear" w:color="auto" w:fill="FFFFFF"/>
        <w:spacing w:after="0"/>
        <w:jc w:val="left"/>
        <w:rPr>
          <w:rFonts w:eastAsia="Times New Roman"/>
          <w:noProof/>
          <w:szCs w:val="24"/>
        </w:rPr>
      </w:pPr>
      <w:r>
        <w:rPr>
          <w:noProof/>
        </w:rPr>
        <w:t>Repartizarea posibilităților de pescuit între statele membre, stabilită în anexa IX, nu aduce atingere:</w:t>
      </w:r>
    </w:p>
    <w:p>
      <w:pPr>
        <w:pStyle w:val="Point1"/>
        <w:rPr>
          <w:noProof/>
        </w:rPr>
      </w:pPr>
      <w:r>
        <w:rPr>
          <w:noProof/>
        </w:rPr>
        <w:t>(a)</w:t>
      </w:r>
      <w:r>
        <w:rPr>
          <w:noProof/>
        </w:rPr>
        <w:tab/>
        <w:t>schimburilor efectuate în temeiul articolului 16 alineatul (8) din Regulamentul (UE) nr. 1380/2013;</w:t>
      </w:r>
    </w:p>
    <w:p>
      <w:pPr>
        <w:pStyle w:val="Point1"/>
        <w:rPr>
          <w:noProof/>
        </w:rPr>
      </w:pPr>
      <w:r>
        <w:rPr>
          <w:noProof/>
        </w:rPr>
        <w:t>(b)</w:t>
      </w:r>
      <w:r>
        <w:rPr>
          <w:noProof/>
        </w:rPr>
        <w:tab/>
        <w:t>deducerilor și realocărilor efectuate în temeiul articolului 37 din Regulamentul (CE) nr. 1224/2009;</w:t>
      </w:r>
    </w:p>
    <w:p>
      <w:pPr>
        <w:pStyle w:val="Point1"/>
        <w:rPr>
          <w:noProof/>
        </w:rPr>
      </w:pPr>
      <w:r>
        <w:rPr>
          <w:noProof/>
        </w:rPr>
        <w:t>(c)</w:t>
      </w:r>
      <w:r>
        <w:rPr>
          <w:noProof/>
        </w:rPr>
        <w:tab/>
        <w:t>deducerilor efectuate în temeiul articolelor 105 și 107 din Regulamentul (CE) nr. 1224/2009.</w:t>
      </w:r>
    </w:p>
    <w:p>
      <w:pPr>
        <w:pStyle w:val="Titrearticle"/>
        <w:rPr>
          <w:noProof/>
          <w:szCs w:val="24"/>
        </w:rPr>
      </w:pPr>
      <w:r>
        <w:rPr>
          <w:noProof/>
        </w:rPr>
        <w:t>Articolul 24</w:t>
      </w:r>
      <w:r>
        <w:rPr>
          <w:noProof/>
        </w:rPr>
        <w:br/>
      </w:r>
      <w:r>
        <w:rPr>
          <w:b/>
          <w:noProof/>
        </w:rPr>
        <w:t>Transmiterea datelor</w:t>
      </w:r>
    </w:p>
    <w:p>
      <w:pPr>
        <w:shd w:val="clear" w:color="auto" w:fill="FFFFFF"/>
        <w:spacing w:after="0"/>
        <w:rPr>
          <w:rFonts w:eastAsia="Times New Roman"/>
          <w:noProof/>
          <w:szCs w:val="24"/>
        </w:rPr>
      </w:pPr>
      <w:r>
        <w:rPr>
          <w:noProof/>
        </w:rPr>
        <w:t xml:space="preserve">Atunci când, în temeiul articolelor 33 și 34 din Regulamentul (CE) nr. 1224/2009, statele membre transmit Comisiei date privind cantitățile debarcate din stocurile de șprot și calcan capturate în apele Uniunii din Marea Neagră, acestea utilizează codurile stocurilor prevăzute în anexa IX la prezentul regulament. </w:t>
      </w:r>
    </w:p>
    <w:p>
      <w:pPr>
        <w:pStyle w:val="ChapterTitle"/>
        <w:rPr>
          <w:noProof/>
          <w:sz w:val="24"/>
          <w:szCs w:val="24"/>
        </w:rPr>
      </w:pPr>
      <w:r>
        <w:rPr>
          <w:noProof/>
          <w:sz w:val="24"/>
        </w:rPr>
        <w:t>TITLUL III</w:t>
      </w:r>
    </w:p>
    <w:p>
      <w:pPr>
        <w:pStyle w:val="ChapterTitle"/>
        <w:rPr>
          <w:noProof/>
          <w:sz w:val="24"/>
          <w:szCs w:val="24"/>
        </w:rPr>
      </w:pPr>
      <w:r>
        <w:rPr>
          <w:noProof/>
          <w:sz w:val="24"/>
        </w:rPr>
        <w:t>DISPOZIȚII FINALE</w:t>
      </w:r>
    </w:p>
    <w:p>
      <w:pPr>
        <w:pStyle w:val="Titrearticle"/>
        <w:rPr>
          <w:noProof/>
          <w:szCs w:val="24"/>
        </w:rPr>
      </w:pPr>
      <w:r>
        <w:rPr>
          <w:noProof/>
        </w:rPr>
        <w:t>Articolul 25</w:t>
      </w:r>
      <w:r>
        <w:rPr>
          <w:noProof/>
        </w:rPr>
        <w:br/>
      </w:r>
      <w:r>
        <w:rPr>
          <w:b/>
          <w:noProof/>
        </w:rPr>
        <w:t>Intrarea în vigoare și aplicarea</w:t>
      </w:r>
    </w:p>
    <w:p>
      <w:pPr>
        <w:shd w:val="clear" w:color="auto" w:fill="FFFFFF"/>
        <w:spacing w:after="0"/>
        <w:rPr>
          <w:rFonts w:eastAsia="Times New Roman"/>
          <w:noProof/>
          <w:szCs w:val="24"/>
        </w:rPr>
      </w:pPr>
      <w:r>
        <w:rPr>
          <w:noProof/>
        </w:rPr>
        <w:t xml:space="preserve">Prezentul regulament intră în vigoare în ziua următoare datei publicării în </w:t>
      </w:r>
      <w:r>
        <w:rPr>
          <w:i/>
          <w:noProof/>
        </w:rPr>
        <w:t>Jurnalul Oficial al Uniunii Europene</w:t>
      </w:r>
      <w:r>
        <w:rPr>
          <w:noProof/>
        </w:rPr>
        <w:t>.</w:t>
      </w:r>
    </w:p>
    <w:p>
      <w:pPr>
        <w:shd w:val="clear" w:color="auto" w:fill="FFFFFF"/>
        <w:spacing w:after="0"/>
        <w:rPr>
          <w:rFonts w:eastAsia="Times New Roman"/>
          <w:noProof/>
          <w:szCs w:val="24"/>
        </w:rPr>
      </w:pPr>
      <w:r>
        <w:rPr>
          <w:noProof/>
        </w:rPr>
        <w:t xml:space="preserve">Prezentul regulament este obligatoriu în toate elementele sale și se aplică direct în toate statele membre. </w:t>
      </w:r>
    </w:p>
    <w:p>
      <w:pPr>
        <w:pStyle w:val="Applicationdirecte"/>
        <w:rPr>
          <w:noProof/>
        </w:rPr>
      </w:pPr>
      <w:r>
        <w:rPr>
          <w:noProof/>
        </w:rPr>
        <w:t>Se aplică de la 1 ianuarie 2027 până la 31 decembrie 2027.</w:t>
      </w:r>
    </w:p>
    <w:p>
      <w:pPr>
        <w:pStyle w:val="Fait"/>
        <w:rPr>
          <w:noProof/>
        </w:rPr>
      </w:pPr>
      <w:r>
        <w:rPr>
          <w:noProof/>
        </w:rPr>
        <w:t>Adoptat la Bruxelles,</w:t>
      </w:r>
    </w:p>
    <w:p>
      <w:pPr>
        <w:pStyle w:val="Institutionquisigne"/>
        <w:rPr>
          <w:noProof/>
          <w:szCs w:val="24"/>
        </w:rPr>
      </w:pPr>
      <w:r>
        <w:rPr>
          <w:noProof/>
        </w:rPr>
        <w:tab/>
        <w:t>Pentru Consiliu,</w:t>
      </w:r>
    </w:p>
    <w:p>
      <w:pPr>
        <w:pStyle w:val="Personnequisigne"/>
        <w:rPr>
          <w:noProof/>
          <w:szCs w:val="24"/>
        </w:rPr>
      </w:pPr>
      <w:r>
        <w:rPr>
          <w:noProof/>
        </w:rPr>
        <w:tab/>
        <w:t>Președintele</w:t>
      </w:r>
    </w:p>
    <w:sectPr>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 ELI: http://data.europa.eu/eli/reg/2013/1380/oj).</w:t>
      </w:r>
    </w:p>
  </w:footnote>
  <w:footnote w:id="2">
    <w:p>
      <w:pPr>
        <w:pStyle w:val="FootnoteText"/>
      </w:pPr>
      <w:r>
        <w:rPr>
          <w:rStyle w:val="FootnoteReference"/>
        </w:rPr>
        <w:footnoteRef/>
      </w:r>
      <w:r>
        <w:tab/>
        <w:t>Regulamentul (UE) 2019/1022 al Parlamentului European și al Consiliului din 20 iunie 2019 privind instituirea unui plan multianual pentru activitățile de pescuit care exploatează stocuri demersale în vestul Mării Mediterane și de modificare a Regulamentului (UE) nr. 508/2014 (JO L 172, 26.6.2019, p. 1, ELI: http://data.europa.eu/eli/reg/2019/1022/oj).</w:t>
      </w:r>
    </w:p>
  </w:footnote>
  <w:footnote w:id="3">
    <w:p>
      <w:pPr>
        <w:pStyle w:val="FootnoteText"/>
        <w:ind w:left="0" w:firstLine="0"/>
      </w:pPr>
      <w:r>
        <w:rPr>
          <w:rStyle w:val="FootnoteReference"/>
        </w:rPr>
        <w:footnoteRef/>
      </w:r>
      <w:r>
        <w:tab/>
      </w:r>
      <w:hyperlink r:id="rId1" w:history="1">
        <w:r>
          <w:rPr>
            <w:rStyle w:val="Hyperlink"/>
          </w:rPr>
          <w:t>https://eur-lex.europa.eu/legal-content/RO/TXT/PDF/?uri=COM:2026:271:FIN</w:t>
        </w:r>
      </w:hyperlink>
      <w:r>
        <w:t>.</w:t>
      </w:r>
    </w:p>
  </w:footnote>
  <w:footnote w:id="4">
    <w:p>
      <w:pPr>
        <w:pStyle w:val="FootnoteText"/>
        <w:ind w:left="0" w:firstLine="0"/>
      </w:pPr>
      <w:r>
        <w:rPr>
          <w:rStyle w:val="FootnoteReference"/>
        </w:rPr>
        <w:footnoteRef/>
      </w:r>
      <w:r>
        <w:tab/>
        <w:t>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(https://eur-lex.europa.eu/eli/reg/2009/1224/2026-01-10?eliuri=eli%3Areg%3A2009%3A1224%3A2026-01-10&amp;locale=ro).</w:t>
      </w:r>
    </w:p>
  </w:footnote>
  <w:footnote w:id="5">
    <w:p>
      <w:pPr>
        <w:pStyle w:val="FootnoteText"/>
      </w:pPr>
      <w:r>
        <w:rPr>
          <w:rStyle w:val="FootnoteReference"/>
        </w:rPr>
        <w:footnoteRef/>
      </w:r>
      <w:r>
        <w:tab/>
        <w:t>Regulamentul (UE) 2022/110 al Consiliului din 27 ianuarie 2022 de stabilire, pentru anul 2022, a posibilităților de pescuit pentru anumite stocuri de pește și grupuri de stocuri de pește aplicabile în Marea Mediterană și în Marea Neagră (JO L 21, 31.1.2022, p. 165, ELI: http://data.europa.eu/eli/reg/2022/110/oj).</w:t>
      </w:r>
    </w:p>
  </w:footnote>
  <w:footnote w:id="6">
    <w:p>
      <w:pPr>
        <w:pStyle w:val="FootnoteText"/>
      </w:pPr>
      <w:r>
        <w:rPr>
          <w:rStyle w:val="FootnoteReference"/>
        </w:rPr>
        <w:footnoteRef/>
      </w:r>
      <w:r>
        <w:tab/>
        <w:t>Regulamentul (UE) 2023/195 al Consiliului din 30 ianuarie 2023 de stabilire a posibilităților de pescuit pentru anumite stocuri de pește și grupuri de stocuri de pește aplicabile, pentru anul 2023, în Marea Mediterană și în Marea Neagră, și de modificare a Regulamentului (UE) 2022/110 în ceea ce privește posibilitățile de pescuit aplicabile, pentru anul 2022, în Marea Mediterană și în Marea Neagră (JO L 28, 31.1.2023, p. 220, ELI: http://data.europa.eu/eli/reg/2023/195/oj).</w:t>
      </w:r>
    </w:p>
  </w:footnote>
  <w:footnote w:id="7">
    <w:p>
      <w:pPr>
        <w:pStyle w:val="FootnoteText"/>
      </w:pPr>
      <w:r>
        <w:rPr>
          <w:rStyle w:val="FootnoteReference"/>
        </w:rPr>
        <w:footnoteRef/>
      </w:r>
      <w:r>
        <w:tab/>
        <w:t>Regulamentul (UE) 2024/259 al Consiliului din 10 ianuarie 2024 de stabilire a posibilităților de pescuit pentru anul 2024 pentru anumite stocuri de pește și grupuri de stocuri de pește aplicabile în Marea Mediterană și în Marea Neagră (JO L, 2024/259, 11.1.2024, ELI: http://data.europa.eu/eli/reg/2024/259/oj).</w:t>
      </w:r>
    </w:p>
  </w:footnote>
  <w:footnote w:id="8">
    <w:p>
      <w:pPr>
        <w:pStyle w:val="FootnoteText"/>
      </w:pPr>
      <w:r>
        <w:rPr>
          <w:rStyle w:val="FootnoteReference"/>
        </w:rPr>
        <w:footnoteRef/>
      </w:r>
      <w:r>
        <w:tab/>
        <w:t>Regulamentul (UE) 2025/219 al Consiliului din 30 ianuarie 2025 de stabilire a posibilităților de pescuit pentru anul 2025 pentru anumite stocuri de pește și grupuri de stocuri de pește aplicabile în Marea Mediterană și în Marea Neagră (JO L, 2025/219, 4.2.2025, ELI: http://data.europa.eu/eli/reg/2025/219/oj).</w:t>
      </w:r>
    </w:p>
  </w:footnote>
  <w:footnote w:id="9">
    <w:p>
      <w:pPr>
        <w:pStyle w:val="FootnoteText"/>
      </w:pPr>
      <w:r>
        <w:rPr>
          <w:rStyle w:val="FootnoteReference"/>
        </w:rPr>
        <w:footnoteRef/>
      </w:r>
      <w:r>
        <w:tab/>
        <w:t>Regulamentul (UE) 2026/266 al Consiliului din 26 ianuarie 2026 de stabilire a posibilităților de pescuit pentru anul 2026 pentru anumite stocuri de pește și grupuri de stocuri de pește aplicabile în Marea Mediterană și în Marea Neagră (JO L, 2026/266, 30.1.2026, ELI: http://data.europa.eu/eli/reg/2026/266/oj).</w:t>
      </w:r>
    </w:p>
    <w:p>
      <w:pPr>
        <w:pStyle w:val="FootnoteText"/>
        <w:ind w:left="0" w:firstLine="0"/>
      </w:pPr>
    </w:p>
  </w:footnote>
  <w:footnote w:id="10">
    <w:p>
      <w:pPr>
        <w:pStyle w:val="FootnoteText"/>
      </w:pPr>
      <w:r>
        <w:rPr>
          <w:rStyle w:val="FootnoteReference"/>
        </w:rPr>
        <w:footnoteRef/>
      </w:r>
      <w:r>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 ELI: http://data.europa.eu/eli/reg/2013/1380/oj.</w:t>
      </w:r>
    </w:p>
  </w:footnote>
  <w:footnote w:id="11">
    <w:p>
      <w:pPr>
        <w:pStyle w:val="FootnoteText"/>
      </w:pPr>
      <w:r>
        <w:rPr>
          <w:rStyle w:val="FootnoteReference"/>
        </w:rPr>
        <w:footnoteRef/>
      </w:r>
      <w:r>
        <w:tab/>
        <w:t>Regulamentul (UE) 2019/1022 al Parlamentului European și al Consiliului din 20 iunie 2019 privind instituirea unui plan multianual pentru activitățile de pescuit care exploatează stocuri demersale în vestul Mării Mediterane și de modificare a Regulamentului (UE) nr. 508/2014, JO L 172, 26.6.2019, p. 1, ELI: http://data.europa.eu/eli/reg/2019/1022/oj.</w:t>
      </w:r>
    </w:p>
  </w:footnote>
  <w:footnote w:id="12">
    <w:p>
      <w:pPr>
        <w:pStyle w:val="FootnoteText"/>
      </w:pPr>
      <w:r>
        <w:rPr>
          <w:rStyle w:val="FootnoteReference"/>
        </w:rPr>
        <w:footnoteRef/>
      </w:r>
      <w:r>
        <w:tab/>
        <w:t>Regulamentul (UE) 2022/110 al Consiliului din 27 ianuarie 2022 de stabilire, pentru anul 2022, a posibilităților de pescuit pentru anumite stocuri de pește și grupuri de stocuri de pește aplicabile în Marea Mediterană și în Marea Neagră, JO L 21, 31.1.2022, p. 165, ELI: http://data.europa.eu/eli/reg/2022/110/oj.</w:t>
      </w:r>
    </w:p>
  </w:footnote>
  <w:footnote w:id="13">
    <w:p>
      <w:pPr>
        <w:pStyle w:val="FootnoteText"/>
      </w:pPr>
      <w:r>
        <w:rPr>
          <w:rStyle w:val="FootnoteReference"/>
        </w:rPr>
        <w:footnoteRef/>
      </w:r>
      <w:r>
        <w:tab/>
        <w:t>Regulamentul (CE) nr. 1224/2009 al Consiliului din 20 noiembrie 2009 de stabilire a unui sistem de control al Uniunii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JO L 343, 22.12.2009, p. 1, ELI: http://data.europa.eu/eli/reg/2009/1224/oj.</w:t>
      </w:r>
    </w:p>
  </w:footnote>
  <w:footnote w:id="14">
    <w:p>
      <w:pPr>
        <w:pStyle w:val="FootnoteText"/>
      </w:pPr>
      <w:r>
        <w:rPr>
          <w:rStyle w:val="FootnoteReference"/>
        </w:rPr>
        <w:footnoteRef/>
      </w:r>
      <w:r>
        <w:tab/>
        <w:t>Regulamentul (UE) 2023/2124 al Parlamentului European și al Consiliului din 4 octombrie 2023 privind unele dispoziții referitoare la pescuitul în zona Acordului de instituire a Comisiei Generale pentru Pescuit în Marea Mediterană (CGPM) (reformare) (JO L, 2023/2124, 12.10.2023, ELI: http://data.europa.eu/eli/reg/2023/2124/oj).</w:t>
      </w:r>
    </w:p>
  </w:footnote>
  <w:footnote w:id="15">
    <w:p>
      <w:pPr>
        <w:pStyle w:val="FootnoteText"/>
      </w:pPr>
      <w:r>
        <w:rPr>
          <w:rStyle w:val="FootnoteReference"/>
        </w:rPr>
        <w:footnoteRef/>
      </w:r>
      <w:r>
        <w:tab/>
        <w:t>Regulamentul (CE) nr. 1100/2007 al Consiliului din 18 septembrie 2007 de instituire a unor măsuri pentru regenerarea rezervelor de anghilă din Europa, JO L 248, 22.9.2007, p. 17, ELI: http://data.europa.eu/eli/reg/2007/1100/oj.</w:t>
      </w:r>
    </w:p>
  </w:footnote>
  <w:footnote w:id="16">
    <w:p>
      <w:pPr>
        <w:pStyle w:val="FootnoteText"/>
      </w:pPr>
      <w:r>
        <w:rPr>
          <w:rStyle w:val="FootnoteReference"/>
        </w:rPr>
        <w:footnoteRef/>
      </w:r>
      <w:r>
        <w:tab/>
        <w:t>Regulamentul de punere în aplicare (UE) 2025/2196 al Comisiei din 17 octombrie 2025 de stabilire a normelor de punere în aplicare a Regulamentului (CE) nr. 1224/2009 al Consiliului în ceea ce privește accesul la ape și resurse, controlul pescuitului, supravegherea, inspecția și asigurarea respectării legii, deducerea cotelor și a eforturilor de pescuit, datele și informațiile și de abrogare a Regulamentului de punere în aplicare (UE) nr. 404/2011 al Comisiei (OJ L, 2025/2196, 12.11.2025, ELI: http://data.europa.eu/eli/reg_impl/2025/2196/oj).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C5361CCC"/>
    <w:lvl w:ilvl="0">
      <w:start w:val="1"/>
      <w:numFmt w:val="decimal"/>
      <w:lvlRestart w:val="0"/>
      <w:pStyle w:val="ListBullet4"/>
      <w:lvlText w:val="%1."/>
      <w:lvlJc w:val="left"/>
      <w:pPr>
        <w:tabs>
          <w:tab w:val="num" w:pos="1134"/>
        </w:tabs>
        <w:ind w:left="1134" w:hanging="283"/>
      </w:pPr>
      <w:rPr>
        <w:rFonts w:ascii="Times New Roman" w:eastAsia="Times New Roman" w:hAnsi="Times New Roman" w:cs="Times New Roman"/>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31"/>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num>
  <w:num w:numId="36">
    <w:abstractNumId w:val="24"/>
  </w:num>
  <w:num w:numId="37">
    <w:abstractNumId w:val="13"/>
  </w:num>
  <w:num w:numId="38">
    <w:abstractNumId w:val="27"/>
  </w:num>
  <w:num w:numId="39">
    <w:abstractNumId w:val="7"/>
  </w:num>
  <w:num w:numId="40">
    <w:abstractNumId w:val="14"/>
  </w:num>
  <w:num w:numId="41">
    <w:abstractNumId w:val="15"/>
  </w:num>
  <w:num w:numId="42">
    <w:abstractNumId w:val="4"/>
  </w:num>
  <w:num w:numId="43">
    <w:abstractNumId w:val="26"/>
  </w:num>
  <w:num w:numId="44">
    <w:abstractNumId w:val="3"/>
  </w:num>
  <w:num w:numId="45">
    <w:abstractNumId w:val="16"/>
  </w:num>
  <w:num w:numId="46">
    <w:abstractNumId w:val="22"/>
  </w:num>
  <w:num w:numId="47">
    <w:abstractNumId w:val="23"/>
  </w:num>
  <w:num w:numId="48">
    <w:abstractNumId w:val="6"/>
  </w:num>
  <w:num w:numId="49">
    <w:abstractNumId w:val="20"/>
  </w:num>
  <w:num w:numId="50">
    <w:abstractNumId w:val="3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10:43: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D358222-8DE8-4965-99B0-4CC67248726A"/>
    <w:docVar w:name="LW_COVERPAGE_TYPE" w:val="1"/>
    <w:docVar w:name="LW_CreatedUtc" w:val="2025-06-23T10:33:19.5934512Z"/>
    <w:docVar w:name="LW_CROSSREFERENCE" w:val="&lt;UNUSED&gt;"/>
    <w:docVar w:name="LW_DocType" w:val="COM"/>
    <w:docVar w:name="LW_EMISSION" w:val="17.9.2026"/>
    <w:docVar w:name="LW_EMISSION_ISODATE" w:val="2026-09-17"/>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69"/>
    <w:docVar w:name="LW_REF.II.NEW.CP_YEAR" w:val="2026"/>
    <w:docVar w:name="LW_REF.INST.NEW" w:val="COM"/>
    <w:docVar w:name="LW_REF.INST.NEW_ADOPTED" w:val="final"/>
    <w:docVar w:name="LW_REF.INST.NEW_TEXT" w:val="(2026) 4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posibilit\u259?\u539?ilor de pescuit pentru anul 2027 pentru anumite stocuri de pe\u537?te \u537?i grupuri de stocuri de pe\u537?te aplicabile în Marea Mediteran\u259? \u537?i în Marea Neagr\u259?"/>
    <w:docVar w:name="LW_TYPE.DOC.CP" w:val="REGULAMENT AL CONSILIULUI"/>
    <w:docVar w:name="LwApiVersions" w:val="LW4CoDe 1.25.1.0; LW 9.2, Build 20260702"/>
    <w:docVar w:name="Stamp" w:val="\\dossiers.dgt.cec.eu.int\dossiers\MARE\MARE-2026-00501\MARE-2026-00501-00-00-EN-EDT-00.20260618092811211200.DOCX"/>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E3AE908-CB43-46FB-8C0F-4763219D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numPr>
        <w:numId w:val="12"/>
      </w:numPr>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ointivx">
    <w:name w:val="Point ivx"/>
    <w:basedOn w:val="Normal"/>
    <w:pPr>
      <w:numPr>
        <w:numId w:val="18"/>
      </w:numPr>
      <w:spacing w:line="360" w:lineRule="auto"/>
      <w:jc w:val="left"/>
    </w:pPr>
  </w:style>
  <w:style w:type="paragraph" w:customStyle="1" w:styleId="Pointivx1">
    <w:name w:val="Point ivx (1)"/>
    <w:basedOn w:val="Normal"/>
    <w:pPr>
      <w:numPr>
        <w:ilvl w:val="1"/>
        <w:numId w:val="18"/>
      </w:numPr>
      <w:spacing w:line="360" w:lineRule="auto"/>
      <w:jc w:val="left"/>
    </w:pPr>
  </w:style>
  <w:style w:type="paragraph" w:customStyle="1" w:styleId="Pointivx2">
    <w:name w:val="Point ivx (2)"/>
    <w:basedOn w:val="Normal"/>
    <w:pPr>
      <w:numPr>
        <w:ilvl w:val="2"/>
        <w:numId w:val="18"/>
      </w:numPr>
      <w:spacing w:line="360" w:lineRule="auto"/>
      <w:jc w:val="left"/>
    </w:pPr>
  </w:style>
  <w:style w:type="paragraph" w:customStyle="1" w:styleId="Pointivx3">
    <w:name w:val="Point ivx (3)"/>
    <w:basedOn w:val="Normal"/>
    <w:pPr>
      <w:numPr>
        <w:ilvl w:val="3"/>
        <w:numId w:val="18"/>
      </w:numPr>
      <w:spacing w:line="360" w:lineRule="auto"/>
      <w:jc w:val="left"/>
    </w:pPr>
  </w:style>
  <w:style w:type="paragraph" w:customStyle="1" w:styleId="Pointivx4">
    <w:name w:val="Point ivx (4)"/>
    <w:basedOn w:val="Normal"/>
    <w:pPr>
      <w:numPr>
        <w:ilvl w:val="4"/>
        <w:numId w:val="18"/>
      </w:numPr>
      <w:spacing w:line="360" w:lineRule="auto"/>
      <w:jc w:val="left"/>
    </w:pPr>
  </w:style>
  <w:style w:type="paragraph" w:customStyle="1" w:styleId="Normal1">
    <w:name w:val="Normal1"/>
    <w:basedOn w:val="Normal"/>
    <w:pPr>
      <w:spacing w:before="100" w:beforeAutospacing="1" w:after="100" w:afterAutospacing="1"/>
      <w:jc w:val="left"/>
    </w:pPr>
    <w:rPr>
      <w:rFonts w:eastAsia="Times New Roman"/>
      <w:szCs w:val="24"/>
      <w:lang w:eastAsia="en-IE"/>
    </w:rPr>
  </w:style>
  <w:style w:type="paragraph" w:customStyle="1" w:styleId="li">
    <w:name w:val="li"/>
    <w:basedOn w:val="Normal"/>
    <w:pPr>
      <w:spacing w:before="100" w:beforeAutospacing="1" w:after="100" w:afterAutospacing="1"/>
      <w:jc w:val="left"/>
    </w:pPr>
    <w:rPr>
      <w:rFonts w:eastAsia="Times New Roman"/>
      <w:szCs w:val="24"/>
      <w:lang w:eastAsia="en-IE"/>
    </w:rPr>
  </w:style>
  <w:style w:type="character" w:customStyle="1" w:styleId="num">
    <w:name w:val="num"/>
    <w:basedOn w:val="DefaultParagraphFont"/>
  </w:style>
  <w:style w:type="paragraph" w:customStyle="1" w:styleId="Titlearticle">
    <w:name w:val="Title article"/>
    <w:basedOn w:val="Normal"/>
    <w:pPr>
      <w:keepNext/>
      <w:spacing w:before="360"/>
      <w:jc w:val="center"/>
    </w:pPr>
    <w:rPr>
      <w:i/>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305165">
      <w:bodyDiv w:val="1"/>
      <w:marLeft w:val="0"/>
      <w:marRight w:val="0"/>
      <w:marTop w:val="0"/>
      <w:marBottom w:val="0"/>
      <w:divBdr>
        <w:top w:val="none" w:sz="0" w:space="0" w:color="auto"/>
        <w:left w:val="none" w:sz="0" w:space="0" w:color="auto"/>
        <w:bottom w:val="none" w:sz="0" w:space="0" w:color="auto"/>
        <w:right w:val="none" w:sz="0" w:space="0" w:color="auto"/>
      </w:divBdr>
      <w:divsChild>
        <w:div w:id="124494745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329098158">
      <w:bodyDiv w:val="1"/>
      <w:marLeft w:val="0"/>
      <w:marRight w:val="0"/>
      <w:marTop w:val="0"/>
      <w:marBottom w:val="0"/>
      <w:divBdr>
        <w:top w:val="none" w:sz="0" w:space="0" w:color="auto"/>
        <w:left w:val="none" w:sz="0" w:space="0" w:color="auto"/>
        <w:bottom w:val="none" w:sz="0" w:space="0" w:color="auto"/>
        <w:right w:val="none" w:sz="0" w:space="0" w:color="auto"/>
      </w:divBdr>
      <w:divsChild>
        <w:div w:id="1709404701">
          <w:marLeft w:val="0"/>
          <w:marRight w:val="0"/>
          <w:marTop w:val="0"/>
          <w:marBottom w:val="0"/>
          <w:divBdr>
            <w:top w:val="none" w:sz="0" w:space="0" w:color="auto"/>
            <w:left w:val="none" w:sz="0" w:space="0" w:color="auto"/>
            <w:bottom w:val="none" w:sz="0" w:space="0" w:color="auto"/>
            <w:right w:val="none" w:sz="0" w:space="0" w:color="auto"/>
          </w:divBdr>
        </w:div>
        <w:div w:id="1924217702">
          <w:marLeft w:val="0"/>
          <w:marRight w:val="0"/>
          <w:marTop w:val="0"/>
          <w:marBottom w:val="0"/>
          <w:divBdr>
            <w:top w:val="none" w:sz="0" w:space="0" w:color="auto"/>
            <w:left w:val="none" w:sz="0" w:space="0" w:color="auto"/>
            <w:bottom w:val="none" w:sz="0" w:space="0" w:color="auto"/>
            <w:right w:val="none" w:sz="0" w:space="0" w:color="auto"/>
          </w:divBdr>
        </w:div>
      </w:divsChild>
    </w:div>
    <w:div w:id="146762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RO/TXT/PDF/?uri=COM:2026:271: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ECEA7FF-A242-439C-A368-6CA920210B8A}">
    <t:Anchor>
      <t:Comment id="499773345"/>
    </t:Anchor>
    <t:History>
      <t:Event time="2026-06-09T14:54:36.046Z" id="{761C9436-C054-40E3-853D-510B285EE7F3}">
        <t:Attribution userId="S::larissa.buru@ec.europa.eu::0da8aac0-4af9-4bf1-ab7f-e59a1d7e8660" userName="BURU Larissa (MARE)" userProvider="AD"/>
        <t:Anchor>
          <t:Comment id="1803331235"/>
        </t:Anchor>
        <t:Create/>
      </t:Event>
      <t:Event time="2026-06-09T14:54:36.046Z" id="{6DB78CE9-C8A4-4BA9-A952-58FE6636B8EF}">
        <t:Attribution userId="S::larissa.buru@ec.europa.eu::0da8aac0-4af9-4bf1-ab7f-e59a1d7e8660" userName="BURU Larissa (MARE)" userProvider="AD"/>
        <t:Anchor>
          <t:Comment id="1803331235"/>
        </t:Anchor>
        <t:Assign userId="S::Giacomo-Chato.OSIO@ec.europa.eu::860a614c-6fbb-4eae-82a9-5b459209829d" userName="OSIO Giacomo Chato (MARE)" userProvider="AD"/>
      </t:Event>
      <t:Event time="2026-06-09T14:54:36.046Z" id="{E707D1A3-6E78-46E5-A4B4-6416BDEB2719}">
        <t:Attribution userId="S::larissa.buru@ec.europa.eu::0da8aac0-4af9-4bf1-ab7f-e59a1d7e8660" userName="BURU Larissa (MARE)" userProvider="AD"/>
        <t:Anchor>
          <t:Comment id="1803331235"/>
        </t:Anchor>
        <t:SetTitle title="@OSIO Giacomo Chato (MARE) @TOMESCU Silvia (MARE)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BC0442-C1A4-4EDE-B185-6B8C347F1AAB}">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6AAD50B1-7102-423F-8CF8-773C58258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F3F704-38E0-4334-919C-0FEB64E7360E}">
  <ds:schemaRefs>
    <ds:schemaRef ds:uri="http://schemas.openxmlformats.org/officeDocument/2006/bibliography"/>
  </ds:schemaRefs>
</ds:datastoreItem>
</file>

<file path=customXml/itemProps4.xml><?xml version="1.0" encoding="utf-8"?>
<ds:datastoreItem xmlns:ds="http://schemas.openxmlformats.org/officeDocument/2006/customXml" ds:itemID="{A8041319-B1A2-49E9-A8BB-87CB37B35F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10</Pages>
  <Words>7092</Words>
  <Characters>40426</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47424</CharactersWithSpaces>
  <SharedDoc>false</SharedDoc>
  <HLinks>
    <vt:vector size="36" baseType="variant">
      <vt:variant>
        <vt:i4>1048606</vt:i4>
      </vt:variant>
      <vt:variant>
        <vt:i4>0</vt:i4>
      </vt:variant>
      <vt:variant>
        <vt:i4>0</vt:i4>
      </vt:variant>
      <vt:variant>
        <vt:i4>5</vt:i4>
      </vt:variant>
      <vt:variant>
        <vt:lpwstr>https://eur-lex.europa.eu/legal-content/EN/TXT/PDF/?uri=COM:2026:271:FIN</vt:lpwstr>
      </vt:variant>
      <vt:variant>
        <vt:lpwstr/>
      </vt:variant>
      <vt:variant>
        <vt:i4>5046286</vt:i4>
      </vt:variant>
      <vt:variant>
        <vt:i4>12</vt:i4>
      </vt:variant>
      <vt:variant>
        <vt:i4>0</vt:i4>
      </vt:variant>
      <vt:variant>
        <vt:i4>5</vt:i4>
      </vt:variant>
      <vt:variant>
        <vt:lpwstr>https://style-guide.europa.eu/en/content/-/isg/topic?identifier=5.7-listed-points</vt:lpwstr>
      </vt:variant>
      <vt:variant>
        <vt:lpwstr/>
      </vt:variant>
      <vt:variant>
        <vt:i4>68</vt:i4>
      </vt:variant>
      <vt:variant>
        <vt:i4>9</vt:i4>
      </vt:variant>
      <vt:variant>
        <vt:i4>0</vt:i4>
      </vt:variant>
      <vt:variant>
        <vt:i4>5</vt:i4>
      </vt:variant>
      <vt:variant>
        <vt:lpwstr>https://style-guide.europa.eu/en/content/-/isg/topic?identifier=10.1.8-dashes-and-hyphens</vt:lpwstr>
      </vt:variant>
      <vt:variant>
        <vt:lpwstr/>
      </vt:variant>
      <vt:variant>
        <vt:i4>3932265</vt:i4>
      </vt:variant>
      <vt:variant>
        <vt:i4>6</vt:i4>
      </vt:variant>
      <vt:variant>
        <vt:i4>0</vt:i4>
      </vt:variant>
      <vt:variant>
        <vt:i4>5</vt:i4>
      </vt:variant>
      <vt:variant>
        <vt:lpwstr>https://style-guide.europa.eu/en/content/-/isg/topic?identifier=5.10-quotations</vt:lpwstr>
      </vt:variant>
      <vt:variant>
        <vt:lpwstr/>
      </vt:variant>
      <vt:variant>
        <vt:i4>3932265</vt:i4>
      </vt:variant>
      <vt:variant>
        <vt:i4>3</vt:i4>
      </vt:variant>
      <vt:variant>
        <vt:i4>0</vt:i4>
      </vt:variant>
      <vt:variant>
        <vt:i4>5</vt:i4>
      </vt:variant>
      <vt:variant>
        <vt:lpwstr>https://style-guide.europa.eu/en/content/-/isg/topic?identifier=5.10-quotations</vt:lpwstr>
      </vt:variant>
      <vt:variant>
        <vt:lpwstr/>
      </vt:variant>
      <vt:variant>
        <vt:i4>5963850</vt:i4>
      </vt:variant>
      <vt:variant>
        <vt:i4>0</vt:i4>
      </vt:variant>
      <vt:variant>
        <vt:i4>0</vt:i4>
      </vt:variant>
      <vt:variant>
        <vt:i4>5</vt:i4>
      </vt:variant>
      <vt:variant>
        <vt:lpwstr>https://style-guide.europa.eu/en/content/-/isg/topic?identifier=3.2.1-forms-of-title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42</cp:revision>
  <dcterms:created xsi:type="dcterms:W3CDTF">2026-08-26T14:19:00Z</dcterms:created>
  <dcterms:modified xsi:type="dcterms:W3CDTF">2026-09-17T08:43:00Z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2025-07-14T10:09:30Z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626526f9-1545-4a82-aba9-a325071add91</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SJ-016</vt:lpwstr>
  </property>
  <property fmtid="{D5CDD505-2E9C-101B-9397-08002B2CF9AE}" pid="15" name="ContentTypeId">
    <vt:lpwstr>0x010100BAD999D84E12C74482EA5120F5227F6F00217DECAAC21D6B43958DFE68658C192E</vt:lpwstr>
  </property>
  <property fmtid="{D5CDD505-2E9C-101B-9397-08002B2CF9AE}" pid="16" name="MediaServiceImageTags">
    <vt:lpwstr/>
  </property>
  <property fmtid="{D5CDD505-2E9C-101B-9397-08002B2CF9AE}" pid="17" name="DQCStatus">
    <vt:lpwstr>Green (DQC version 03)</vt:lpwstr>
  </property>
</Properties>
</file>