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4C6DCF5-2A2A-4B91-BD53-16D921CF94F6" style="width:455.25pt;height:381.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ANEXA I</w:t>
      </w:r>
    </w:p>
    <w:p>
      <w:pPr>
        <w:jc w:val="center"/>
        <w:rPr>
          <w:rFonts w:eastAsia="Times New Roman"/>
          <w:b/>
          <w:bCs/>
          <w:noProof/>
        </w:rPr>
      </w:pPr>
      <w:r>
        <w:rPr>
          <w:b/>
          <w:noProof/>
        </w:rPr>
        <w:t>POSIBILITĂȚI DE PESCUIT PENTRU ACTIVITĂȚILE DE PESCUIT COMERCIAL DE PUIET DE ANGHILĂ ALE UNIUNII ÎN CONTEXTUL PLANULUI MULTIANUAL DE GESTIONARE AL CGPM PENTRU ANGHILA EUROPEANĂ ÎN MAREA MEDITERANĂ</w:t>
      </w:r>
    </w:p>
    <w:p>
      <w:pPr>
        <w:rPr>
          <w:rFonts w:eastAsia="Times New Roman"/>
          <w:noProof/>
          <w:szCs w:val="24"/>
          <w:lang w:eastAsia="en-IE"/>
        </w:rPr>
      </w:pPr>
    </w:p>
    <w:p>
      <w:pPr>
        <w:rPr>
          <w:rFonts w:eastAsia="Times New Roman"/>
          <w:i/>
          <w:iCs/>
          <w:noProof/>
          <w:szCs w:val="24"/>
        </w:rPr>
      </w:pPr>
      <w:r>
        <w:rPr>
          <w:noProof/>
        </w:rPr>
        <w:t>Numărul maxim de autorizații de pescuit și de unelte de pescuit autorizate pentru activități de pescuit comercial care vizează anghila europeană (</w:t>
      </w:r>
      <w:r>
        <w:rPr>
          <w:i/>
          <w:noProof/>
        </w:rPr>
        <w:t>Anguilla Anguilla</w:t>
      </w:r>
      <w:r>
        <w:rPr>
          <w:noProof/>
        </w:rPr>
        <w:t>) cu o lungime totală mai mică de 12 cm este cel stabilit în tabelele 1 și, respectiv, 2.</w:t>
      </w:r>
      <w:r>
        <w:rPr>
          <w:rStyle w:val="Tablecaption1"/>
          <w:i/>
          <w:noProof/>
          <w:sz w:val="24"/>
        </w:rPr>
        <w:t xml:space="preserve"> </w:t>
      </w:r>
    </w:p>
    <w:p>
      <w:pPr>
        <w:jc w:val="center"/>
        <w:rPr>
          <w:rFonts w:eastAsia="Times New Roman"/>
          <w:b/>
          <w:bCs/>
          <w:i/>
          <w:iCs/>
          <w:noProof/>
          <w:szCs w:val="24"/>
        </w:rPr>
      </w:pPr>
      <w:r>
        <w:rPr>
          <w:b/>
          <w:i/>
          <w:noProof/>
        </w:rPr>
        <w:t>Tabelul 1</w:t>
      </w:r>
    </w:p>
    <w:p>
      <w:pPr>
        <w:rPr>
          <w:rFonts w:eastAsia="Times New Roman"/>
          <w:b/>
          <w:bCs/>
          <w:noProof/>
          <w:szCs w:val="24"/>
        </w:rPr>
      </w:pPr>
      <w:r>
        <w:rPr>
          <w:b/>
          <w:noProof/>
        </w:rPr>
        <w:t xml:space="preserve">Numărul maxim de autorizații de pescuit </w:t>
      </w:r>
    </w:p>
    <w:tbl>
      <w:tblPr>
        <w:tblStyle w:val="TableGrid0"/>
        <w:tblW w:w="0" w:type="auto"/>
        <w:tblLook w:val="04A0" w:firstRow="1" w:lastRow="0" w:firstColumn="1" w:lastColumn="0" w:noHBand="0" w:noVBand="1"/>
      </w:tblPr>
      <w:tblGrid>
        <w:gridCol w:w="4644"/>
        <w:gridCol w:w="4645"/>
      </w:tblGrid>
      <w:tr>
        <w:tc>
          <w:tcPr>
            <w:tcW w:w="4675" w:type="dxa"/>
          </w:tcPr>
          <w:p>
            <w:pPr>
              <w:rPr>
                <w:rFonts w:eastAsia="Times New Roman"/>
                <w:b/>
                <w:bCs/>
                <w:noProof/>
                <w:szCs w:val="24"/>
              </w:rPr>
            </w:pPr>
            <w:r>
              <w:rPr>
                <w:b/>
                <w:noProof/>
              </w:rPr>
              <w:t>State membre</w:t>
            </w:r>
          </w:p>
        </w:tc>
        <w:tc>
          <w:tcPr>
            <w:tcW w:w="4675" w:type="dxa"/>
          </w:tcPr>
          <w:p>
            <w:pPr>
              <w:rPr>
                <w:rFonts w:eastAsia="Times New Roman"/>
                <w:b/>
                <w:bCs/>
                <w:noProof/>
                <w:szCs w:val="24"/>
              </w:rPr>
            </w:pPr>
            <w:r>
              <w:rPr>
                <w:b/>
                <w:noProof/>
              </w:rPr>
              <w:t xml:space="preserve">Anghila europeană </w:t>
            </w:r>
          </w:p>
          <w:p>
            <w:pPr>
              <w:rPr>
                <w:rFonts w:eastAsia="Times New Roman"/>
                <w:b/>
                <w:bCs/>
                <w:noProof/>
                <w:szCs w:val="24"/>
              </w:rPr>
            </w:pPr>
            <w:r>
              <w:rPr>
                <w:b/>
                <w:noProof/>
              </w:rPr>
              <w:t>ELE</w:t>
            </w:r>
          </w:p>
        </w:tc>
      </w:tr>
      <w:tr>
        <w:tc>
          <w:tcPr>
            <w:tcW w:w="4675" w:type="dxa"/>
          </w:tcPr>
          <w:p>
            <w:pPr>
              <w:rPr>
                <w:rFonts w:eastAsia="Times New Roman"/>
                <w:noProof/>
                <w:szCs w:val="24"/>
              </w:rPr>
            </w:pPr>
            <w:r>
              <w:rPr>
                <w:noProof/>
              </w:rPr>
              <w:t>Spania</w:t>
            </w:r>
          </w:p>
        </w:tc>
        <w:tc>
          <w:tcPr>
            <w:tcW w:w="4675" w:type="dxa"/>
          </w:tcPr>
          <w:p>
            <w:pPr>
              <w:rPr>
                <w:rFonts w:eastAsia="Times New Roman"/>
                <w:noProof/>
                <w:szCs w:val="24"/>
              </w:rPr>
            </w:pPr>
            <w:r>
              <w:rPr>
                <w:noProof/>
              </w:rPr>
              <w:t>153</w:t>
            </w:r>
          </w:p>
        </w:tc>
      </w:tr>
    </w:tbl>
    <w:p>
      <w:pPr>
        <w:rPr>
          <w:rFonts w:eastAsia="Times New Roman"/>
          <w:noProof/>
          <w:szCs w:val="24"/>
          <w:lang w:eastAsia="en-IE"/>
        </w:rPr>
      </w:pPr>
    </w:p>
    <w:p>
      <w:pPr>
        <w:jc w:val="center"/>
        <w:rPr>
          <w:rFonts w:eastAsia="Times New Roman"/>
          <w:b/>
          <w:bCs/>
          <w:i/>
          <w:iCs/>
          <w:noProof/>
          <w:szCs w:val="24"/>
        </w:rPr>
      </w:pPr>
      <w:r>
        <w:rPr>
          <w:b/>
          <w:i/>
          <w:noProof/>
        </w:rPr>
        <w:t>Tabelul 2</w:t>
      </w:r>
    </w:p>
    <w:p>
      <w:pPr>
        <w:rPr>
          <w:rFonts w:eastAsia="Times New Roman"/>
          <w:b/>
          <w:bCs/>
          <w:noProof/>
          <w:szCs w:val="24"/>
        </w:rPr>
      </w:pPr>
      <w:r>
        <w:rPr>
          <w:b/>
          <w:noProof/>
        </w:rPr>
        <w:t>Numărul maxim de unelte de pescuit</w:t>
      </w:r>
    </w:p>
    <w:tbl>
      <w:tblPr>
        <w:tblStyle w:val="TableGrid0"/>
        <w:tblW w:w="0" w:type="auto"/>
        <w:tblLook w:val="04A0" w:firstRow="1" w:lastRow="0" w:firstColumn="1" w:lastColumn="0" w:noHBand="0" w:noVBand="1"/>
      </w:tblPr>
      <w:tblGrid>
        <w:gridCol w:w="2429"/>
        <w:gridCol w:w="2401"/>
        <w:gridCol w:w="2173"/>
        <w:gridCol w:w="2286"/>
      </w:tblGrid>
      <w:tr>
        <w:tc>
          <w:tcPr>
            <w:tcW w:w="2445" w:type="dxa"/>
          </w:tcPr>
          <w:p>
            <w:pPr>
              <w:rPr>
                <w:rFonts w:eastAsia="Times New Roman"/>
                <w:b/>
                <w:bCs/>
                <w:noProof/>
                <w:szCs w:val="24"/>
              </w:rPr>
            </w:pPr>
            <w:r>
              <w:rPr>
                <w:b/>
                <w:noProof/>
              </w:rPr>
              <w:t>State membre</w:t>
            </w:r>
          </w:p>
        </w:tc>
        <w:tc>
          <w:tcPr>
            <w:tcW w:w="2417" w:type="dxa"/>
          </w:tcPr>
          <w:p>
            <w:pPr>
              <w:rPr>
                <w:rFonts w:eastAsia="Times New Roman"/>
                <w:b/>
                <w:bCs/>
                <w:noProof/>
                <w:szCs w:val="24"/>
              </w:rPr>
            </w:pPr>
            <w:r>
              <w:rPr>
                <w:b/>
                <w:noProof/>
              </w:rPr>
              <w:t>Unealtă de pescuit</w:t>
            </w:r>
          </w:p>
        </w:tc>
        <w:tc>
          <w:tcPr>
            <w:tcW w:w="2187" w:type="dxa"/>
          </w:tcPr>
          <w:p>
            <w:pPr>
              <w:rPr>
                <w:rFonts w:eastAsia="Times New Roman"/>
                <w:b/>
                <w:bCs/>
                <w:noProof/>
                <w:szCs w:val="24"/>
              </w:rPr>
            </w:pPr>
            <w:r>
              <w:rPr>
                <w:b/>
                <w:noProof/>
              </w:rPr>
              <w:t>Codul uneltei de pescuit</w:t>
            </w:r>
          </w:p>
        </w:tc>
        <w:tc>
          <w:tcPr>
            <w:tcW w:w="2301" w:type="dxa"/>
          </w:tcPr>
          <w:p>
            <w:pPr>
              <w:rPr>
                <w:rFonts w:eastAsia="Times New Roman"/>
                <w:b/>
                <w:bCs/>
                <w:noProof/>
                <w:szCs w:val="24"/>
              </w:rPr>
            </w:pPr>
            <w:r>
              <w:rPr>
                <w:b/>
                <w:noProof/>
              </w:rPr>
              <w:t>Unități</w:t>
            </w:r>
          </w:p>
        </w:tc>
      </w:tr>
      <w:tr>
        <w:tc>
          <w:tcPr>
            <w:tcW w:w="2445" w:type="dxa"/>
          </w:tcPr>
          <w:p>
            <w:pPr>
              <w:rPr>
                <w:rFonts w:eastAsia="Times New Roman"/>
                <w:noProof/>
                <w:szCs w:val="24"/>
              </w:rPr>
            </w:pPr>
            <w:r>
              <w:rPr>
                <w:noProof/>
              </w:rPr>
              <w:t>Spania</w:t>
            </w:r>
          </w:p>
        </w:tc>
        <w:tc>
          <w:tcPr>
            <w:tcW w:w="2417" w:type="dxa"/>
          </w:tcPr>
          <w:p>
            <w:pPr>
              <w:rPr>
                <w:rFonts w:eastAsia="Times New Roman"/>
                <w:noProof/>
                <w:szCs w:val="24"/>
              </w:rPr>
            </w:pPr>
            <w:r>
              <w:rPr>
                <w:noProof/>
              </w:rPr>
              <w:t>Vârșe și capcane</w:t>
            </w:r>
          </w:p>
        </w:tc>
        <w:tc>
          <w:tcPr>
            <w:tcW w:w="2187" w:type="dxa"/>
          </w:tcPr>
          <w:p>
            <w:pPr>
              <w:rPr>
                <w:rFonts w:eastAsia="Times New Roman"/>
                <w:noProof/>
                <w:szCs w:val="24"/>
              </w:rPr>
            </w:pPr>
            <w:r>
              <w:rPr>
                <w:noProof/>
              </w:rPr>
              <w:t>EPO</w:t>
            </w:r>
          </w:p>
        </w:tc>
        <w:tc>
          <w:tcPr>
            <w:tcW w:w="2301" w:type="dxa"/>
          </w:tcPr>
          <w:p>
            <w:pPr>
              <w:rPr>
                <w:rFonts w:eastAsia="Times New Roman"/>
                <w:noProof/>
                <w:szCs w:val="24"/>
              </w:rPr>
            </w:pPr>
            <w:r>
              <w:rPr>
                <w:noProof/>
              </w:rPr>
              <w:t>249</w:t>
            </w:r>
          </w:p>
        </w:tc>
      </w:tr>
    </w:tbl>
    <w:p>
      <w:pPr>
        <w:rPr>
          <w:noProof/>
        </w:rPr>
      </w:pP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pPr>
        <w:pStyle w:val="Annexetitre"/>
        <w:rPr>
          <w:noProof/>
        </w:rPr>
      </w:pPr>
      <w:r>
        <w:rPr>
          <w:noProof/>
        </w:rPr>
        <w:lastRenderedPageBreak/>
        <w:t>ANEXA II</w:t>
      </w:r>
    </w:p>
    <w:p>
      <w:pPr>
        <w:jc w:val="center"/>
        <w:rPr>
          <w:b/>
          <w:bCs/>
          <w:noProof/>
        </w:rPr>
      </w:pPr>
      <w:r>
        <w:rPr>
          <w:b/>
          <w:noProof/>
        </w:rPr>
        <w:t>POSIBILITĂȚI DE PESCUIT PENTRU NAVELE DE PESCUIT ALE UNIUNII ÎN CONTEXTUL PLANULUI MULTIANUAL DE GESTIONARE AL CGPM PENTRU CORALUL ROȘU ÎN MAREA MEDITERANĂ</w:t>
      </w:r>
    </w:p>
    <w:p>
      <w:pPr>
        <w:rPr>
          <w:b/>
          <w:noProof/>
        </w:rPr>
      </w:pPr>
    </w:p>
    <w:p>
      <w:pPr>
        <w:rPr>
          <w:noProof/>
        </w:rPr>
      </w:pPr>
      <w:r>
        <w:rPr>
          <w:noProof/>
        </w:rPr>
        <w:t>Numărul maxim admisibil de autorizații de pescuit și nivelul maxim al cantităților recoltate de coral roșu în Marea Mediterană sunt stabilite în tabelul 1.</w:t>
      </w:r>
    </w:p>
    <w:p>
      <w:pPr>
        <w:rPr>
          <w:noProof/>
        </w:rPr>
      </w:pPr>
      <w:r>
        <w:rPr>
          <w:noProof/>
        </w:rPr>
        <w:t>Trimiterile la zonele de pescuit se referă la subzonele geografice CGPM.</w:t>
      </w:r>
    </w:p>
    <w:p>
      <w:pPr>
        <w:rPr>
          <w:noProof/>
        </w:rPr>
      </w:pPr>
      <w:r>
        <w:rPr>
          <w:noProof/>
        </w:rPr>
        <w:t>În sensul prezentei anexe, se aplică următorul tabel de corespondență care indică denumirile în limba latină și denumirile comune ale stocurilor de pește:</w:t>
      </w:r>
      <w:r>
        <w:rPr>
          <w:rStyle w:val="Tablecaption1"/>
          <w:noProof/>
          <w:sz w:val="24"/>
        </w:rPr>
        <w:t xml:space="preserve"> </w:t>
      </w:r>
    </w:p>
    <w:tbl>
      <w:tblPr>
        <w:tblStyle w:val="TableGrid1"/>
        <w:tblW w:w="0" w:type="auto"/>
        <w:tblInd w:w="-103" w:type="dxa"/>
        <w:tblLook w:val="04A0" w:firstRow="1" w:lastRow="0" w:firstColumn="1" w:lastColumn="0" w:noHBand="0" w:noVBand="1"/>
      </w:tblPr>
      <w:tblGrid>
        <w:gridCol w:w="3062"/>
        <w:gridCol w:w="3060"/>
        <w:gridCol w:w="3064"/>
      </w:tblGrid>
      <w:tr>
        <w:tc>
          <w:tcPr>
            <w:tcW w:w="3080" w:type="dxa"/>
            <w:tcBorders>
              <w:top w:val="single" w:sz="4" w:space="0" w:color="auto"/>
              <w:left w:val="single" w:sz="4" w:space="0" w:color="auto"/>
              <w:bottom w:val="single" w:sz="4" w:space="0" w:color="auto"/>
              <w:right w:val="single" w:sz="4" w:space="0" w:color="auto"/>
            </w:tcBorders>
            <w:hideMark/>
          </w:tcPr>
          <w:p>
            <w:pPr>
              <w:rPr>
                <w:b/>
                <w:noProof/>
              </w:rPr>
            </w:pPr>
            <w:r>
              <w:rPr>
                <w:b/>
                <w:noProof/>
              </w:rPr>
              <w:t>Denumire științifică</w:t>
            </w:r>
          </w:p>
        </w:tc>
        <w:tc>
          <w:tcPr>
            <w:tcW w:w="3081" w:type="dxa"/>
            <w:tcBorders>
              <w:top w:val="single" w:sz="4" w:space="0" w:color="auto"/>
              <w:left w:val="single" w:sz="4" w:space="0" w:color="auto"/>
              <w:bottom w:val="single" w:sz="4" w:space="0" w:color="auto"/>
              <w:right w:val="single" w:sz="4" w:space="0" w:color="auto"/>
            </w:tcBorders>
            <w:hideMark/>
          </w:tcPr>
          <w:p>
            <w:pPr>
              <w:rPr>
                <w:b/>
                <w:noProof/>
              </w:rPr>
            </w:pPr>
            <w:r>
              <w:rPr>
                <w:b/>
                <w:noProof/>
              </w:rPr>
              <w:t>Codul alfa-3</w:t>
            </w:r>
          </w:p>
        </w:tc>
        <w:tc>
          <w:tcPr>
            <w:tcW w:w="3081" w:type="dxa"/>
            <w:tcBorders>
              <w:top w:val="single" w:sz="4" w:space="0" w:color="auto"/>
              <w:left w:val="single" w:sz="4" w:space="0" w:color="auto"/>
              <w:bottom w:val="single" w:sz="4" w:space="0" w:color="auto"/>
              <w:right w:val="single" w:sz="4" w:space="0" w:color="auto"/>
            </w:tcBorders>
            <w:hideMark/>
          </w:tcPr>
          <w:p>
            <w:pPr>
              <w:rPr>
                <w:b/>
                <w:noProof/>
              </w:rPr>
            </w:pPr>
            <w:r>
              <w:rPr>
                <w:b/>
                <w:noProof/>
              </w:rPr>
              <w:t>Denumirea comună</w:t>
            </w:r>
          </w:p>
        </w:tc>
      </w:tr>
      <w:tr>
        <w:tc>
          <w:tcPr>
            <w:tcW w:w="3080" w:type="dxa"/>
            <w:tcBorders>
              <w:top w:val="single" w:sz="4" w:space="0" w:color="auto"/>
              <w:left w:val="single" w:sz="4" w:space="0" w:color="auto"/>
              <w:bottom w:val="single" w:sz="4" w:space="0" w:color="auto"/>
              <w:right w:val="single" w:sz="4" w:space="0" w:color="auto"/>
            </w:tcBorders>
            <w:hideMark/>
          </w:tcPr>
          <w:p>
            <w:pPr>
              <w:rPr>
                <w:b/>
                <w:noProof/>
              </w:rPr>
            </w:pPr>
            <w:r>
              <w:rPr>
                <w:i/>
                <w:noProof/>
              </w:rPr>
              <w:t>Corallium</w:t>
            </w:r>
            <w:r>
              <w:rPr>
                <w:noProof/>
              </w:rPr>
              <w:t xml:space="preserve"> </w:t>
            </w:r>
            <w:r>
              <w:rPr>
                <w:i/>
                <w:noProof/>
              </w:rPr>
              <w:t>rubrum</w:t>
            </w:r>
          </w:p>
        </w:tc>
        <w:tc>
          <w:tcPr>
            <w:tcW w:w="3081" w:type="dxa"/>
            <w:tcBorders>
              <w:top w:val="single" w:sz="4" w:space="0" w:color="auto"/>
              <w:left w:val="single" w:sz="4" w:space="0" w:color="auto"/>
              <w:bottom w:val="single" w:sz="4" w:space="0" w:color="auto"/>
              <w:right w:val="single" w:sz="4" w:space="0" w:color="auto"/>
            </w:tcBorders>
            <w:hideMark/>
          </w:tcPr>
          <w:p>
            <w:pPr>
              <w:rPr>
                <w:noProof/>
              </w:rPr>
            </w:pPr>
            <w:r>
              <w:rPr>
                <w:noProof/>
              </w:rPr>
              <w:t>COL</w:t>
            </w:r>
          </w:p>
        </w:tc>
        <w:tc>
          <w:tcPr>
            <w:tcW w:w="3081" w:type="dxa"/>
            <w:tcBorders>
              <w:top w:val="single" w:sz="4" w:space="0" w:color="auto"/>
              <w:left w:val="single" w:sz="4" w:space="0" w:color="auto"/>
              <w:bottom w:val="single" w:sz="4" w:space="0" w:color="auto"/>
              <w:right w:val="single" w:sz="4" w:space="0" w:color="auto"/>
            </w:tcBorders>
            <w:hideMark/>
          </w:tcPr>
          <w:p>
            <w:pPr>
              <w:rPr>
                <w:b/>
                <w:noProof/>
              </w:rPr>
            </w:pPr>
            <w:r>
              <w:rPr>
                <w:noProof/>
              </w:rPr>
              <w:t>Coral roșu</w:t>
            </w:r>
          </w:p>
        </w:tc>
      </w:tr>
    </w:tbl>
    <w:p>
      <w:pPr>
        <w:rPr>
          <w:noProof/>
        </w:rPr>
      </w:pPr>
    </w:p>
    <w:p>
      <w:pPr>
        <w:rPr>
          <w:b/>
          <w:noProof/>
        </w:rPr>
      </w:pPr>
      <w:r>
        <w:rPr>
          <w:b/>
          <w:i/>
          <w:noProof/>
        </w:rPr>
        <w:t>Tabelul 1</w:t>
      </w:r>
      <w:r>
        <w:rPr>
          <w:b/>
          <w:noProof/>
        </w:rPr>
        <w:t xml:space="preserve"> Numărul maxim de autorizații de pescuit (*)</w:t>
      </w:r>
    </w:p>
    <w:tbl>
      <w:tblPr>
        <w:tblOverlap w:val="never"/>
        <w:tblW w:w="0" w:type="auto"/>
        <w:tblLayout w:type="fixed"/>
        <w:tblCellMar>
          <w:left w:w="10" w:type="dxa"/>
          <w:right w:w="10" w:type="dxa"/>
        </w:tblCellMar>
        <w:tblLook w:val="0000" w:firstRow="0" w:lastRow="0" w:firstColumn="0" w:lastColumn="0" w:noHBand="0" w:noVBand="0"/>
      </w:tblPr>
      <w:tblGrid>
        <w:gridCol w:w="4949"/>
        <w:gridCol w:w="3418"/>
      </w:tblGrid>
      <w:tr>
        <w:trPr>
          <w:trHeight w:hRule="exact" w:val="978"/>
        </w:trPr>
        <w:tc>
          <w:tcPr>
            <w:tcW w:w="4949" w:type="dxa"/>
            <w:tcBorders>
              <w:top w:val="single" w:sz="4" w:space="0" w:color="auto"/>
              <w:left w:val="single" w:sz="4" w:space="0" w:color="auto"/>
            </w:tcBorders>
          </w:tcPr>
          <w:p>
            <w:pPr>
              <w:rPr>
                <w:noProof/>
                <w:szCs w:val="24"/>
              </w:rPr>
            </w:pPr>
            <w:r>
              <w:rPr>
                <w:rStyle w:val="Other1"/>
                <w:noProof/>
                <w:sz w:val="24"/>
              </w:rPr>
              <w:t>State membre</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rPr>
              <w:t>Coral roșu</w:t>
            </w:r>
          </w:p>
          <w:p>
            <w:pPr>
              <w:rPr>
                <w:rStyle w:val="Other1"/>
                <w:noProof/>
                <w:sz w:val="24"/>
                <w:szCs w:val="24"/>
              </w:rPr>
            </w:pPr>
            <w:r>
              <w:rPr>
                <w:rStyle w:val="Other1"/>
                <w:noProof/>
                <w:sz w:val="24"/>
              </w:rPr>
              <w:t>COL</w:t>
            </w:r>
          </w:p>
          <w:p>
            <w:pPr>
              <w:rPr>
                <w:noProof/>
                <w:szCs w:val="24"/>
              </w:rPr>
            </w:pPr>
          </w:p>
        </w:tc>
      </w:tr>
      <w:tr>
        <w:trPr>
          <w:trHeight w:hRule="exact" w:val="705"/>
        </w:trPr>
        <w:tc>
          <w:tcPr>
            <w:tcW w:w="4949" w:type="dxa"/>
            <w:tcBorders>
              <w:top w:val="single" w:sz="4" w:space="0" w:color="auto"/>
              <w:left w:val="single" w:sz="4" w:space="0" w:color="auto"/>
            </w:tcBorders>
            <w:vAlign w:val="center"/>
          </w:tcPr>
          <w:p>
            <w:pPr>
              <w:rPr>
                <w:noProof/>
                <w:szCs w:val="24"/>
              </w:rPr>
            </w:pPr>
            <w:r>
              <w:rPr>
                <w:rStyle w:val="Other1"/>
                <w:noProof/>
                <w:sz w:val="24"/>
              </w:rPr>
              <w:t>Grecia</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rPr>
              <w:t>12</w:t>
            </w:r>
          </w:p>
        </w:tc>
      </w:tr>
      <w:tr>
        <w:trPr>
          <w:trHeight w:hRule="exact" w:val="577"/>
        </w:trPr>
        <w:tc>
          <w:tcPr>
            <w:tcW w:w="4949" w:type="dxa"/>
            <w:tcBorders>
              <w:top w:val="single" w:sz="4" w:space="0" w:color="auto"/>
              <w:left w:val="single" w:sz="4" w:space="0" w:color="auto"/>
            </w:tcBorders>
            <w:vAlign w:val="center"/>
          </w:tcPr>
          <w:p>
            <w:pPr>
              <w:rPr>
                <w:noProof/>
                <w:szCs w:val="24"/>
              </w:rPr>
            </w:pPr>
            <w:r>
              <w:rPr>
                <w:rStyle w:val="Other1"/>
                <w:noProof/>
                <w:sz w:val="24"/>
              </w:rPr>
              <w:t>Spania</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rPr>
              <w:t>0(**)</w:t>
            </w:r>
          </w:p>
        </w:tc>
      </w:tr>
      <w:tr>
        <w:trPr>
          <w:trHeight w:hRule="exact" w:val="571"/>
        </w:trPr>
        <w:tc>
          <w:tcPr>
            <w:tcW w:w="4949" w:type="dxa"/>
            <w:tcBorders>
              <w:top w:val="single" w:sz="4" w:space="0" w:color="auto"/>
              <w:left w:val="single" w:sz="4" w:space="0" w:color="auto"/>
            </w:tcBorders>
            <w:vAlign w:val="center"/>
          </w:tcPr>
          <w:p>
            <w:pPr>
              <w:rPr>
                <w:noProof/>
                <w:szCs w:val="24"/>
              </w:rPr>
            </w:pPr>
            <w:r>
              <w:rPr>
                <w:rStyle w:val="Other1"/>
                <w:noProof/>
                <w:sz w:val="24"/>
              </w:rPr>
              <w:t>Franța</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rPr>
              <w:t>32</w:t>
            </w:r>
          </w:p>
        </w:tc>
      </w:tr>
      <w:tr>
        <w:trPr>
          <w:trHeight w:hRule="exact" w:val="693"/>
        </w:trPr>
        <w:tc>
          <w:tcPr>
            <w:tcW w:w="4949" w:type="dxa"/>
            <w:tcBorders>
              <w:top w:val="single" w:sz="4" w:space="0" w:color="auto"/>
              <w:left w:val="single" w:sz="4" w:space="0" w:color="auto"/>
            </w:tcBorders>
            <w:vAlign w:val="center"/>
          </w:tcPr>
          <w:p>
            <w:pPr>
              <w:rPr>
                <w:noProof/>
                <w:szCs w:val="24"/>
              </w:rPr>
            </w:pPr>
            <w:r>
              <w:rPr>
                <w:rStyle w:val="Other1"/>
                <w:noProof/>
                <w:sz w:val="24"/>
              </w:rPr>
              <w:t>Croația</w:t>
            </w:r>
          </w:p>
        </w:tc>
        <w:tc>
          <w:tcPr>
            <w:tcW w:w="3418" w:type="dxa"/>
            <w:tcBorders>
              <w:top w:val="single" w:sz="4" w:space="0" w:color="auto"/>
              <w:left w:val="single" w:sz="4" w:space="0" w:color="auto"/>
              <w:right w:val="single" w:sz="4" w:space="0" w:color="auto"/>
            </w:tcBorders>
            <w:vAlign w:val="center"/>
          </w:tcPr>
          <w:p>
            <w:pPr>
              <w:rPr>
                <w:noProof/>
                <w:szCs w:val="24"/>
              </w:rPr>
            </w:pPr>
            <w:r>
              <w:rPr>
                <w:rStyle w:val="Other1"/>
                <w:noProof/>
                <w:sz w:val="24"/>
              </w:rPr>
              <w:t>0(**)</w:t>
            </w:r>
          </w:p>
        </w:tc>
      </w:tr>
      <w:tr>
        <w:trPr>
          <w:trHeight w:hRule="exact" w:val="717"/>
        </w:trPr>
        <w:tc>
          <w:tcPr>
            <w:tcW w:w="4949" w:type="dxa"/>
            <w:tcBorders>
              <w:top w:val="single" w:sz="4" w:space="0" w:color="auto"/>
              <w:left w:val="single" w:sz="4" w:space="0" w:color="auto"/>
              <w:bottom w:val="single" w:sz="4" w:space="0" w:color="auto"/>
            </w:tcBorders>
            <w:vAlign w:val="center"/>
          </w:tcPr>
          <w:p>
            <w:pPr>
              <w:rPr>
                <w:noProof/>
                <w:szCs w:val="24"/>
              </w:rPr>
            </w:pPr>
            <w:r>
              <w:rPr>
                <w:rStyle w:val="Other1"/>
                <w:noProof/>
                <w:sz w:val="24"/>
              </w:rPr>
              <w:t>Italia</w:t>
            </w:r>
          </w:p>
        </w:tc>
        <w:tc>
          <w:tcPr>
            <w:tcW w:w="3418" w:type="dxa"/>
            <w:tcBorders>
              <w:top w:val="single" w:sz="4" w:space="0" w:color="auto"/>
              <w:left w:val="single" w:sz="4" w:space="0" w:color="auto"/>
              <w:bottom w:val="single" w:sz="4" w:space="0" w:color="auto"/>
              <w:right w:val="single" w:sz="4" w:space="0" w:color="auto"/>
            </w:tcBorders>
            <w:vAlign w:val="center"/>
          </w:tcPr>
          <w:p>
            <w:pPr>
              <w:rPr>
                <w:noProof/>
                <w:szCs w:val="24"/>
              </w:rPr>
            </w:pPr>
            <w:r>
              <w:rPr>
                <w:rStyle w:val="Other1"/>
                <w:noProof/>
                <w:sz w:val="24"/>
              </w:rPr>
              <w:t>40</w:t>
            </w:r>
          </w:p>
        </w:tc>
      </w:tr>
    </w:tbl>
    <w:p>
      <w:pPr>
        <w:rPr>
          <w:rStyle w:val="Tablecaption1"/>
          <w:noProof/>
          <w:sz w:val="24"/>
          <w:szCs w:val="24"/>
        </w:rPr>
      </w:pPr>
    </w:p>
    <w:p>
      <w:pPr>
        <w:rPr>
          <w:rStyle w:val="Tablecaption1"/>
          <w:noProof/>
          <w:sz w:val="24"/>
          <w:szCs w:val="24"/>
        </w:rPr>
      </w:pPr>
      <w:r>
        <w:rPr>
          <w:rStyle w:val="Tablecaption1"/>
          <w:noProof/>
          <w:sz w:val="24"/>
        </w:rPr>
        <w:t>(*) Reprezentând numărul de nave sau scafandri sau ambele sau o pereche formată dintr-un scafandru și o navă, autorizați să recolteze coral roșu.</w:t>
      </w:r>
    </w:p>
    <w:p>
      <w:pPr>
        <w:rPr>
          <w:i/>
          <w:iCs/>
          <w:noProof/>
        </w:rPr>
      </w:pPr>
      <w:r>
        <w:rPr>
          <w:rStyle w:val="Tablecaption1"/>
          <w:noProof/>
          <w:sz w:val="24"/>
        </w:rPr>
        <w:t>(**) În conformitate cu interdicția temporară actuală pentru pescuitul de coral roșu stabilită în apele spaniole și în apele croate, în așteptarea unor posibile modificări în viitor.</w:t>
      </w:r>
      <w:r>
        <w:rPr>
          <w:noProof/>
        </w:rPr>
        <w:br w:type="page"/>
      </w:r>
    </w:p>
    <w:p>
      <w:pPr>
        <w:jc w:val="center"/>
        <w:rPr>
          <w:b/>
          <w:bCs/>
          <w:i/>
          <w:iCs/>
          <w:noProof/>
        </w:rPr>
      </w:pPr>
      <w:r>
        <w:rPr>
          <w:b/>
          <w:i/>
          <w:noProof/>
        </w:rPr>
        <w:lastRenderedPageBreak/>
        <w:t>Tabelul 2</w:t>
      </w:r>
    </w:p>
    <w:p>
      <w:pPr>
        <w:rPr>
          <w:i/>
          <w:iCs/>
          <w:noProof/>
        </w:rPr>
      </w:pPr>
      <w:r>
        <w:rPr>
          <w:b/>
          <w:noProof/>
        </w:rPr>
        <w:t>Nivelul maxim al cantităților recoltate exprimat în kilograme de greutate în viu</w:t>
      </w:r>
    </w:p>
    <w:tbl>
      <w:tblPr>
        <w:tblOverlap w:val="never"/>
        <w:tblW w:w="0" w:type="auto"/>
        <w:tblLayout w:type="fixed"/>
        <w:tblCellMar>
          <w:left w:w="10" w:type="dxa"/>
          <w:right w:w="10" w:type="dxa"/>
        </w:tblCellMar>
        <w:tblLook w:val="0000" w:firstRow="0" w:lastRow="0" w:firstColumn="0" w:lastColumn="0" w:noHBand="0" w:noVBand="0"/>
      </w:tblPr>
      <w:tblGrid>
        <w:gridCol w:w="974"/>
        <w:gridCol w:w="1872"/>
        <w:gridCol w:w="749"/>
        <w:gridCol w:w="5062"/>
      </w:tblGrid>
      <w:tr>
        <w:trPr>
          <w:trHeight w:hRule="exact" w:val="772"/>
        </w:trPr>
        <w:tc>
          <w:tcPr>
            <w:tcW w:w="974" w:type="dxa"/>
            <w:tcBorders>
              <w:top w:val="single" w:sz="4" w:space="0" w:color="auto"/>
              <w:left w:val="single" w:sz="4" w:space="0" w:color="auto"/>
            </w:tcBorders>
            <w:vAlign w:val="center"/>
          </w:tcPr>
          <w:p>
            <w:pPr>
              <w:rPr>
                <w:b/>
                <w:bCs/>
                <w:noProof/>
                <w:szCs w:val="24"/>
              </w:rPr>
            </w:pPr>
            <w:r>
              <w:rPr>
                <w:rStyle w:val="Other1"/>
                <w:b/>
                <w:noProof/>
                <w:sz w:val="24"/>
              </w:rPr>
              <w:t>Specia:</w:t>
            </w:r>
          </w:p>
        </w:tc>
        <w:tc>
          <w:tcPr>
            <w:tcW w:w="1872" w:type="dxa"/>
            <w:tcBorders>
              <w:top w:val="single" w:sz="4" w:space="0" w:color="auto"/>
              <w:left w:val="single" w:sz="4" w:space="0" w:color="auto"/>
            </w:tcBorders>
            <w:vAlign w:val="center"/>
          </w:tcPr>
          <w:p>
            <w:pPr>
              <w:rPr>
                <w:b/>
                <w:bCs/>
                <w:noProof/>
                <w:szCs w:val="24"/>
              </w:rPr>
            </w:pPr>
            <w:r>
              <w:rPr>
                <w:rStyle w:val="Other1"/>
                <w:b/>
                <w:noProof/>
                <w:sz w:val="24"/>
              </w:rPr>
              <w:t>Coral roșu</w:t>
            </w:r>
          </w:p>
        </w:tc>
        <w:tc>
          <w:tcPr>
            <w:tcW w:w="749" w:type="dxa"/>
            <w:tcBorders>
              <w:top w:val="single" w:sz="4" w:space="0" w:color="auto"/>
              <w:left w:val="single" w:sz="4" w:space="0" w:color="auto"/>
            </w:tcBorders>
            <w:vAlign w:val="center"/>
          </w:tcPr>
          <w:p>
            <w:pPr>
              <w:rPr>
                <w:b/>
                <w:bCs/>
                <w:noProof/>
                <w:szCs w:val="24"/>
              </w:rPr>
            </w:pPr>
            <w:r>
              <w:rPr>
                <w:rStyle w:val="Other1"/>
                <w:b/>
                <w:noProof/>
                <w:sz w:val="24"/>
              </w:rPr>
              <w:t>Zona:</w:t>
            </w:r>
          </w:p>
        </w:tc>
        <w:tc>
          <w:tcPr>
            <w:tcW w:w="5062" w:type="dxa"/>
            <w:tcBorders>
              <w:top w:val="single" w:sz="4" w:space="0" w:color="auto"/>
              <w:left w:val="single" w:sz="4" w:space="0" w:color="auto"/>
              <w:right w:val="single" w:sz="4" w:space="0" w:color="auto"/>
            </w:tcBorders>
            <w:vAlign w:val="center"/>
          </w:tcPr>
          <w:p>
            <w:pPr>
              <w:rPr>
                <w:rStyle w:val="Other1"/>
                <w:b/>
                <w:bCs/>
                <w:noProof/>
                <w:sz w:val="24"/>
                <w:szCs w:val="24"/>
              </w:rPr>
            </w:pPr>
            <w:r>
              <w:rPr>
                <w:rStyle w:val="Other1"/>
                <w:b/>
                <w:noProof/>
                <w:sz w:val="24"/>
              </w:rPr>
              <w:t>Apele Uniunii din Marea Mediterană</w:t>
            </w:r>
          </w:p>
          <w:p>
            <w:pPr>
              <w:rPr>
                <w:b/>
                <w:bCs/>
                <w:noProof/>
                <w:szCs w:val="24"/>
              </w:rPr>
            </w:pPr>
            <w:r>
              <w:rPr>
                <w:rStyle w:val="Other1"/>
                <w:b/>
                <w:noProof/>
                <w:sz w:val="24"/>
              </w:rPr>
              <w:t>subzonele geografice 1-27</w:t>
            </w:r>
          </w:p>
        </w:tc>
      </w:tr>
      <w:tr>
        <w:trPr>
          <w:trHeight w:hRule="exact" w:val="569"/>
        </w:trPr>
        <w:tc>
          <w:tcPr>
            <w:tcW w:w="974" w:type="dxa"/>
            <w:tcBorders>
              <w:top w:val="single" w:sz="4" w:space="0" w:color="auto"/>
              <w:left w:val="single" w:sz="4" w:space="0" w:color="auto"/>
            </w:tcBorders>
          </w:tcPr>
          <w:p>
            <w:pPr>
              <w:rPr>
                <w:noProof/>
                <w:szCs w:val="24"/>
              </w:rPr>
            </w:pPr>
          </w:p>
        </w:tc>
        <w:tc>
          <w:tcPr>
            <w:tcW w:w="1872" w:type="dxa"/>
            <w:tcBorders>
              <w:top w:val="single" w:sz="4" w:space="0" w:color="auto"/>
              <w:left w:val="single" w:sz="4" w:space="0" w:color="auto"/>
            </w:tcBorders>
            <w:vAlign w:val="center"/>
          </w:tcPr>
          <w:p>
            <w:pPr>
              <w:rPr>
                <w:i/>
                <w:iCs/>
                <w:noProof/>
                <w:szCs w:val="24"/>
              </w:rPr>
            </w:pPr>
            <w:r>
              <w:rPr>
                <w:rStyle w:val="Other1"/>
                <w:i/>
                <w:noProof/>
                <w:sz w:val="24"/>
              </w:rPr>
              <w:t>Corallium rubrum</w:t>
            </w:r>
          </w:p>
        </w:tc>
        <w:tc>
          <w:tcPr>
            <w:tcW w:w="5811" w:type="dxa"/>
            <w:gridSpan w:val="2"/>
            <w:tcBorders>
              <w:top w:val="single" w:sz="4" w:space="0" w:color="auto"/>
              <w:left w:val="single" w:sz="4" w:space="0" w:color="auto"/>
              <w:right w:val="single" w:sz="4" w:space="0" w:color="auto"/>
            </w:tcBorders>
            <w:vAlign w:val="center"/>
          </w:tcPr>
          <w:p>
            <w:pPr>
              <w:rPr>
                <w:noProof/>
              </w:rPr>
            </w:pPr>
            <w:r>
              <w:rPr>
                <w:rStyle w:val="Other1"/>
                <w:noProof/>
                <w:sz w:val="24"/>
              </w:rPr>
              <w:t>COL/GF1-27</w:t>
            </w:r>
          </w:p>
        </w:tc>
      </w:tr>
      <w:tr>
        <w:trPr>
          <w:trHeight w:hRule="exact" w:val="563"/>
        </w:trPr>
        <w:tc>
          <w:tcPr>
            <w:tcW w:w="974" w:type="dxa"/>
            <w:tcBorders>
              <w:top w:val="single" w:sz="4" w:space="0" w:color="auto"/>
              <w:left w:val="single" w:sz="4" w:space="0" w:color="auto"/>
            </w:tcBorders>
            <w:vAlign w:val="center"/>
          </w:tcPr>
          <w:p>
            <w:pPr>
              <w:rPr>
                <w:noProof/>
                <w:szCs w:val="24"/>
              </w:rPr>
            </w:pPr>
            <w:r>
              <w:rPr>
                <w:rStyle w:val="Other1"/>
                <w:noProof/>
                <w:sz w:val="24"/>
              </w:rPr>
              <w:t>Grecia</w:t>
            </w:r>
          </w:p>
        </w:tc>
        <w:tc>
          <w:tcPr>
            <w:tcW w:w="1872" w:type="dxa"/>
            <w:tcBorders>
              <w:top w:val="single" w:sz="4" w:space="0" w:color="auto"/>
              <w:left w:val="single" w:sz="4" w:space="0" w:color="auto"/>
            </w:tcBorders>
            <w:vAlign w:val="center"/>
          </w:tcPr>
          <w:p>
            <w:pPr>
              <w:rPr>
                <w:noProof/>
                <w:szCs w:val="24"/>
              </w:rPr>
            </w:pPr>
            <w:r>
              <w:rPr>
                <w:rStyle w:val="Other1"/>
                <w:noProof/>
                <w:sz w:val="24"/>
              </w:rPr>
              <w:t>1 844</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71"/>
        </w:trPr>
        <w:tc>
          <w:tcPr>
            <w:tcW w:w="974" w:type="dxa"/>
            <w:tcBorders>
              <w:top w:val="single" w:sz="4" w:space="0" w:color="auto"/>
              <w:left w:val="single" w:sz="4" w:space="0" w:color="auto"/>
            </w:tcBorders>
            <w:vAlign w:val="center"/>
          </w:tcPr>
          <w:p>
            <w:pPr>
              <w:rPr>
                <w:noProof/>
                <w:szCs w:val="24"/>
              </w:rPr>
            </w:pPr>
            <w:r>
              <w:rPr>
                <w:rStyle w:val="Other1"/>
                <w:noProof/>
                <w:sz w:val="24"/>
              </w:rPr>
              <w:t>Spania</w:t>
            </w:r>
          </w:p>
        </w:tc>
        <w:tc>
          <w:tcPr>
            <w:tcW w:w="1872" w:type="dxa"/>
            <w:tcBorders>
              <w:top w:val="single" w:sz="4" w:space="0" w:color="auto"/>
              <w:left w:val="single" w:sz="4" w:space="0" w:color="auto"/>
            </w:tcBorders>
            <w:vAlign w:val="center"/>
          </w:tcPr>
          <w:p>
            <w:pPr>
              <w:rPr>
                <w:rStyle w:val="Other1"/>
                <w:noProof/>
                <w:sz w:val="24"/>
                <w:szCs w:val="24"/>
              </w:rPr>
            </w:pPr>
            <w:r>
              <w:rPr>
                <w:rStyle w:val="Other1"/>
                <w:noProof/>
                <w:sz w:val="24"/>
              </w:rPr>
              <w:t>0(**)</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65"/>
        </w:trPr>
        <w:tc>
          <w:tcPr>
            <w:tcW w:w="974" w:type="dxa"/>
            <w:tcBorders>
              <w:top w:val="single" w:sz="4" w:space="0" w:color="auto"/>
              <w:left w:val="single" w:sz="4" w:space="0" w:color="auto"/>
            </w:tcBorders>
            <w:vAlign w:val="center"/>
          </w:tcPr>
          <w:p>
            <w:pPr>
              <w:rPr>
                <w:noProof/>
                <w:szCs w:val="24"/>
              </w:rPr>
            </w:pPr>
            <w:r>
              <w:rPr>
                <w:rStyle w:val="Other1"/>
                <w:noProof/>
                <w:sz w:val="24"/>
              </w:rPr>
              <w:t>Franța</w:t>
            </w:r>
          </w:p>
        </w:tc>
        <w:tc>
          <w:tcPr>
            <w:tcW w:w="1872" w:type="dxa"/>
            <w:tcBorders>
              <w:top w:val="single" w:sz="4" w:space="0" w:color="auto"/>
              <w:left w:val="single" w:sz="4" w:space="0" w:color="auto"/>
            </w:tcBorders>
            <w:vAlign w:val="center"/>
          </w:tcPr>
          <w:p>
            <w:pPr>
              <w:rPr>
                <w:noProof/>
                <w:szCs w:val="24"/>
              </w:rPr>
            </w:pPr>
            <w:r>
              <w:rPr>
                <w:rStyle w:val="Other1"/>
                <w:noProof/>
                <w:sz w:val="24"/>
              </w:rPr>
              <w:t>1 400</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73"/>
        </w:trPr>
        <w:tc>
          <w:tcPr>
            <w:tcW w:w="974" w:type="dxa"/>
            <w:tcBorders>
              <w:top w:val="single" w:sz="4" w:space="0" w:color="auto"/>
              <w:left w:val="single" w:sz="4" w:space="0" w:color="auto"/>
            </w:tcBorders>
            <w:vAlign w:val="center"/>
          </w:tcPr>
          <w:p>
            <w:pPr>
              <w:rPr>
                <w:noProof/>
                <w:szCs w:val="24"/>
              </w:rPr>
            </w:pPr>
            <w:r>
              <w:rPr>
                <w:rStyle w:val="Other1"/>
                <w:noProof/>
                <w:sz w:val="24"/>
              </w:rPr>
              <w:t>Croația</w:t>
            </w:r>
          </w:p>
        </w:tc>
        <w:tc>
          <w:tcPr>
            <w:tcW w:w="1872" w:type="dxa"/>
            <w:tcBorders>
              <w:top w:val="single" w:sz="4" w:space="0" w:color="auto"/>
              <w:left w:val="single" w:sz="4" w:space="0" w:color="auto"/>
            </w:tcBorders>
            <w:vAlign w:val="center"/>
          </w:tcPr>
          <w:p>
            <w:pPr>
              <w:rPr>
                <w:noProof/>
                <w:szCs w:val="24"/>
              </w:rPr>
            </w:pPr>
            <w:r>
              <w:rPr>
                <w:rStyle w:val="Other1"/>
                <w:noProof/>
                <w:sz w:val="24"/>
              </w:rPr>
              <w:t>0(**)</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53"/>
        </w:trPr>
        <w:tc>
          <w:tcPr>
            <w:tcW w:w="974" w:type="dxa"/>
            <w:tcBorders>
              <w:top w:val="single" w:sz="4" w:space="0" w:color="auto"/>
              <w:left w:val="single" w:sz="4" w:space="0" w:color="auto"/>
            </w:tcBorders>
            <w:vAlign w:val="center"/>
          </w:tcPr>
          <w:p>
            <w:pPr>
              <w:rPr>
                <w:noProof/>
                <w:szCs w:val="24"/>
              </w:rPr>
            </w:pPr>
            <w:r>
              <w:rPr>
                <w:rStyle w:val="Other1"/>
                <w:noProof/>
                <w:sz w:val="24"/>
              </w:rPr>
              <w:t>Italia</w:t>
            </w:r>
          </w:p>
        </w:tc>
        <w:tc>
          <w:tcPr>
            <w:tcW w:w="1872" w:type="dxa"/>
            <w:tcBorders>
              <w:top w:val="single" w:sz="4" w:space="0" w:color="auto"/>
              <w:left w:val="single" w:sz="4" w:space="0" w:color="auto"/>
            </w:tcBorders>
            <w:vAlign w:val="center"/>
          </w:tcPr>
          <w:p>
            <w:pPr>
              <w:rPr>
                <w:noProof/>
                <w:szCs w:val="24"/>
              </w:rPr>
            </w:pPr>
            <w:r>
              <w:rPr>
                <w:rStyle w:val="Other1"/>
                <w:noProof/>
                <w:sz w:val="24"/>
              </w:rPr>
              <w:t>1 378</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09"/>
        </w:trPr>
        <w:tc>
          <w:tcPr>
            <w:tcW w:w="974" w:type="dxa"/>
            <w:tcBorders>
              <w:top w:val="single" w:sz="4" w:space="0" w:color="auto"/>
              <w:left w:val="single" w:sz="4" w:space="0" w:color="auto"/>
            </w:tcBorders>
            <w:vAlign w:val="center"/>
          </w:tcPr>
          <w:p>
            <w:pPr>
              <w:rPr>
                <w:noProof/>
                <w:szCs w:val="24"/>
              </w:rPr>
            </w:pPr>
            <w:r>
              <w:rPr>
                <w:rStyle w:val="Other1"/>
                <w:noProof/>
                <w:sz w:val="24"/>
              </w:rPr>
              <w:t>Uniune</w:t>
            </w:r>
          </w:p>
        </w:tc>
        <w:tc>
          <w:tcPr>
            <w:tcW w:w="1872" w:type="dxa"/>
            <w:tcBorders>
              <w:top w:val="single" w:sz="4" w:space="0" w:color="auto"/>
              <w:left w:val="single" w:sz="4" w:space="0" w:color="auto"/>
            </w:tcBorders>
            <w:vAlign w:val="center"/>
          </w:tcPr>
          <w:p>
            <w:pPr>
              <w:rPr>
                <w:rStyle w:val="Other1"/>
                <w:noProof/>
                <w:sz w:val="24"/>
                <w:szCs w:val="24"/>
              </w:rPr>
            </w:pPr>
            <w:r>
              <w:rPr>
                <w:rStyle w:val="Other1"/>
                <w:noProof/>
                <w:sz w:val="24"/>
              </w:rPr>
              <w:t xml:space="preserve">4 622  </w:t>
            </w:r>
          </w:p>
        </w:tc>
        <w:tc>
          <w:tcPr>
            <w:tcW w:w="5811" w:type="dxa"/>
            <w:gridSpan w:val="2"/>
            <w:tcBorders>
              <w:top w:val="single" w:sz="4" w:space="0" w:color="auto"/>
              <w:left w:val="single" w:sz="4" w:space="0" w:color="auto"/>
              <w:right w:val="single" w:sz="4" w:space="0" w:color="auto"/>
            </w:tcBorders>
          </w:tcPr>
          <w:p>
            <w:pPr>
              <w:rPr>
                <w:noProof/>
                <w:szCs w:val="24"/>
              </w:rPr>
            </w:pPr>
          </w:p>
        </w:tc>
      </w:tr>
      <w:tr>
        <w:trPr>
          <w:trHeight w:hRule="exact" w:val="518"/>
        </w:trPr>
        <w:tc>
          <w:tcPr>
            <w:tcW w:w="974" w:type="dxa"/>
            <w:tcBorders>
              <w:top w:val="single" w:sz="4" w:space="0" w:color="auto"/>
              <w:left w:val="single" w:sz="4" w:space="0" w:color="auto"/>
              <w:bottom w:val="single" w:sz="4" w:space="0" w:color="auto"/>
            </w:tcBorders>
          </w:tcPr>
          <w:p>
            <w:pPr>
              <w:rPr>
                <w:noProof/>
                <w:szCs w:val="24"/>
              </w:rPr>
            </w:pPr>
            <w:r>
              <w:rPr>
                <w:rStyle w:val="Other1"/>
                <w:noProof/>
                <w:sz w:val="24"/>
              </w:rPr>
              <w:t>TAC</w:t>
            </w:r>
          </w:p>
        </w:tc>
        <w:tc>
          <w:tcPr>
            <w:tcW w:w="1872" w:type="dxa"/>
            <w:tcBorders>
              <w:top w:val="single" w:sz="4" w:space="0" w:color="auto"/>
              <w:left w:val="single" w:sz="4" w:space="0" w:color="auto"/>
              <w:bottom w:val="single" w:sz="4" w:space="0" w:color="auto"/>
            </w:tcBorders>
          </w:tcPr>
          <w:p>
            <w:pPr>
              <w:rPr>
                <w:noProof/>
                <w:szCs w:val="24"/>
              </w:rPr>
            </w:pPr>
            <w:r>
              <w:rPr>
                <w:rStyle w:val="Other1"/>
                <w:noProof/>
                <w:sz w:val="24"/>
              </w:rPr>
              <w:t>Nu se aplică</w:t>
            </w:r>
          </w:p>
        </w:tc>
        <w:tc>
          <w:tcPr>
            <w:tcW w:w="5811" w:type="dxa"/>
            <w:gridSpan w:val="2"/>
            <w:tcBorders>
              <w:top w:val="single" w:sz="4" w:space="0" w:color="auto"/>
              <w:left w:val="single" w:sz="4" w:space="0" w:color="auto"/>
              <w:bottom w:val="single" w:sz="4" w:space="0" w:color="auto"/>
              <w:right w:val="single" w:sz="4" w:space="0" w:color="auto"/>
            </w:tcBorders>
          </w:tcPr>
          <w:p>
            <w:pPr>
              <w:rPr>
                <w:noProof/>
                <w:szCs w:val="24"/>
              </w:rPr>
            </w:pPr>
          </w:p>
        </w:tc>
      </w:tr>
    </w:tbl>
    <w:p>
      <w:pPr>
        <w:rPr>
          <w:noProof/>
        </w:rPr>
      </w:pPr>
      <w:r>
        <w:rPr>
          <w:rStyle w:val="Tablecaption1"/>
          <w:noProof/>
        </w:rPr>
        <w:t>(**) În conformitate cu interdicția temporară actuală pentru pescuitul de coral roșu stabilită în apele spaniole și în apele croate, în așteptarea unor posibile modificări în viitor.</w:t>
      </w: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ANEXA III</w:t>
      </w:r>
    </w:p>
    <w:p>
      <w:pPr>
        <w:jc w:val="center"/>
        <w:rPr>
          <w:b/>
          <w:bCs/>
          <w:noProof/>
        </w:rPr>
      </w:pPr>
      <w:r>
        <w:rPr>
          <w:b/>
          <w:noProof/>
        </w:rPr>
        <w:t>POSIBILITĂȚ DE PESCUIT PENTRU NAVELE DE PESCUIT ALE UNIUNII ÎN CONTEXTUL GESTIONĂRII CORIFENEI COMUNE ÎN MAREA MEDITERANĂ</w:t>
      </w:r>
    </w:p>
    <w:p>
      <w:pPr>
        <w:rPr>
          <w:rFonts w:eastAsia="Times New Roman"/>
          <w:i/>
          <w:iCs/>
          <w:noProof/>
          <w:szCs w:val="24"/>
        </w:rPr>
      </w:pPr>
      <w:r>
        <w:rPr>
          <w:noProof/>
        </w:rPr>
        <w:t xml:space="preserve">Numărul maxim, kW și tonajul brut pentru navele de pescuit din Uniune autorizate să pescuiască corifenă comună utilizând FAD-uri în Marea Mediterană și nivelul maxim al capturilor sunt stabilite în tabelele 1, 2 și 3. </w:t>
      </w:r>
    </w:p>
    <w:p>
      <w:pPr>
        <w:rPr>
          <w:rFonts w:eastAsia="Times New Roman"/>
          <w:noProof/>
          <w:szCs w:val="24"/>
        </w:rPr>
      </w:pPr>
      <w:r>
        <w:rPr>
          <w:noProof/>
        </w:rPr>
        <w:t>Trimiterile la zonele de pescuit se referă la subzonele geografice CGPM.</w:t>
      </w:r>
    </w:p>
    <w:p>
      <w:pPr>
        <w:rPr>
          <w:noProof/>
        </w:rPr>
      </w:pPr>
      <w:r>
        <w:rPr>
          <w:noProof/>
        </w:rPr>
        <w:br w:type="page"/>
      </w:r>
    </w:p>
    <w:p>
      <w:pPr>
        <w:rPr>
          <w:rFonts w:eastAsia="Times New Roman"/>
          <w:noProof/>
          <w:szCs w:val="24"/>
        </w:rPr>
      </w:pPr>
      <w:r>
        <w:rPr>
          <w:noProof/>
        </w:rPr>
        <w:lastRenderedPageBreak/>
        <w:t>În sensul prezentei anexe, următorul tabel de corespondență indică denumirile în limba latină și denumirile comune ale stocurilor de pește: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533"/>
        <w:gridCol w:w="2155"/>
        <w:gridCol w:w="3401"/>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Denumire științifică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Codul alfa-3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Denumirea comună</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Coryphaena hippurus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DOL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Corifenă comună</w:t>
            </w:r>
          </w:p>
        </w:tc>
      </w:tr>
    </w:tbl>
    <w:p>
      <w:pPr>
        <w:rPr>
          <w:rFonts w:eastAsia="Times New Roman"/>
          <w:b/>
          <w:bCs/>
          <w:noProof/>
          <w:szCs w:val="24"/>
        </w:rPr>
      </w:pPr>
      <w:bookmarkStart w:id="0" w:name="_Hlk168408212"/>
      <w:r>
        <w:rPr>
          <w:b/>
          <w:noProof/>
        </w:rPr>
        <w:t>Tabelul 1 - Capacitatea maximă a flotei navelor care vizează corifena comună utilizând FAD-uri în Marea Mediterană (subzonele geografice 1-27)</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813"/>
        <w:gridCol w:w="3208"/>
        <w:gridCol w:w="1534"/>
        <w:gridCol w:w="1534"/>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Statul membru</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Numărul de nave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kW</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TB</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Italia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261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21061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1986</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Malta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130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16 662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1 296,28</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Spania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45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2 105,73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153,34</w:t>
            </w:r>
          </w:p>
        </w:tc>
      </w:tr>
    </w:tbl>
    <w:bookmarkEnd w:id="0"/>
    <w:p>
      <w:pPr>
        <w:rPr>
          <w:rFonts w:eastAsia="Times New Roman"/>
          <w:b/>
          <w:bCs/>
          <w:noProof/>
          <w:szCs w:val="24"/>
        </w:rPr>
      </w:pPr>
      <w:r>
        <w:rPr>
          <w:b/>
          <w:noProof/>
        </w:rPr>
        <w:t>Tabelul 2 - Numărul maxim de FAD-uri per navă autorizată să vizeze corifena comună în Marea Mediterană (subzonele geografice 1-27)</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023"/>
        <w:gridCol w:w="6066"/>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Statul membru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Numărul de FAD-uri per navă</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Italia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100</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Malta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200</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Spania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50</w:t>
            </w:r>
          </w:p>
        </w:tc>
      </w:tr>
    </w:tbl>
    <w:p>
      <w:pPr>
        <w:rPr>
          <w:rFonts w:eastAsia="Times New Roman"/>
          <w:b/>
          <w:bCs/>
          <w:noProof/>
          <w:szCs w:val="24"/>
        </w:rPr>
      </w:pPr>
      <w:r>
        <w:rPr>
          <w:b/>
          <w:noProof/>
        </w:rPr>
        <w:t>Tabelul 3 - Nivelul maxim al capturilor în tone de greutate în viu capturate în Marea Mediterană (subzonele geografice 1-27) </w:t>
      </w:r>
      <w:r>
        <w:rPr>
          <w:noProof/>
        </w:rPr>
        <w:t xml:space="preserve">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00"/>
        <w:gridCol w:w="1697"/>
        <w:gridCol w:w="32"/>
        <w:gridCol w:w="578"/>
        <w:gridCol w:w="6082"/>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Specia:</w:t>
            </w:r>
          </w:p>
        </w:tc>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Corifenă comună</w:t>
            </w:r>
          </w:p>
          <w:p>
            <w:pPr>
              <w:rPr>
                <w:rFonts w:eastAsia="Times New Roman"/>
                <w:b/>
                <w:bCs/>
                <w:noProof/>
              </w:rPr>
            </w:pPr>
            <w:r>
              <w:rPr>
                <w:b/>
                <w:i/>
                <w:noProof/>
                <w:sz w:val="22"/>
              </w:rPr>
              <w:t>Coryphaena hippurus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Zona: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Apele Uniunii și apele internaționale din subzonele geografice CGPM 1-27 (DOL/MED)</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Italia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 xml:space="preserve"> </w:t>
            </w:r>
          </w:p>
        </w:tc>
        <w:tc>
          <w:tcPr>
            <w:tcW w:w="0" w:type="auto"/>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Nivelul maxim al capturilor</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Malta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 xml:space="preserve"> </w:t>
            </w:r>
          </w:p>
        </w:tc>
        <w:tc>
          <w:tcPr>
            <w:tcW w:w="0" w:type="auto"/>
            <w:gridSpan w:val="2"/>
            <w:vMerge/>
            <w:vAlign w:val="center"/>
            <w:hideMark/>
          </w:tcPr>
          <w:p>
            <w:pPr>
              <w:rPr>
                <w:rFonts w:eastAsia="Times New Roman"/>
                <w:noProof/>
                <w:lang w:eastAsia="en-IE"/>
              </w:rPr>
            </w:pP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Spania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 xml:space="preserve"> </w:t>
            </w:r>
          </w:p>
        </w:tc>
        <w:tc>
          <w:tcPr>
            <w:tcW w:w="0" w:type="auto"/>
            <w:gridSpan w:val="2"/>
            <w:vMerge/>
            <w:vAlign w:val="center"/>
            <w:hideMark/>
          </w:tcPr>
          <w:p>
            <w:pPr>
              <w:rPr>
                <w:rFonts w:eastAsia="Times New Roman"/>
                <w:noProof/>
                <w:lang w:eastAsia="en-IE"/>
              </w:rPr>
            </w:pP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Uniune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rPr>
              <w:t>pm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lang w:eastAsia="en-IE"/>
              </w:rPr>
            </w:pPr>
          </w:p>
        </w:tc>
        <w:tc>
          <w:tcPr>
            <w:tcW w:w="0" w:type="auto"/>
            <w:gridSpan w:val="2"/>
            <w:vMerge/>
            <w:vAlign w:val="center"/>
            <w:hideMark/>
          </w:tcPr>
          <w:p>
            <w:pPr>
              <w:rPr>
                <w:rFonts w:eastAsia="Times New Roman"/>
                <w:noProof/>
                <w:lang w:eastAsia="en-IE"/>
              </w:rPr>
            </w:pP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TAC</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Nu se aplică</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 xml:space="preserve"> </w:t>
            </w:r>
          </w:p>
        </w:tc>
        <w:tc>
          <w:tcPr>
            <w:tcW w:w="0" w:type="auto"/>
            <w:gridSpan w:val="2"/>
            <w:vMerge/>
            <w:vAlign w:val="center"/>
            <w:hideMark/>
          </w:tcPr>
          <w:p>
            <w:pPr>
              <w:rPr>
                <w:rFonts w:eastAsia="Times New Roman"/>
                <w:noProof/>
                <w:lang w:eastAsia="en-IE"/>
              </w:rPr>
            </w:pPr>
          </w:p>
        </w:tc>
      </w:tr>
    </w:tbl>
    <w:p>
      <w:pPr>
        <w:rPr>
          <w:rStyle w:val="Marke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ANEXA IV</w:t>
      </w:r>
    </w:p>
    <w:p>
      <w:pPr>
        <w:jc w:val="center"/>
        <w:rPr>
          <w:b/>
          <w:bCs/>
          <w:noProof/>
        </w:rPr>
      </w:pPr>
      <w:r>
        <w:rPr>
          <w:b/>
          <w:noProof/>
        </w:rPr>
        <w:t>POSIBILITĂȚI DE PESCUIT PENTRU NAVELE DE PESCUIT ALE UNIUNII ÎN CONTEXTUL GESTIONĂRII STOCURILOR DEMERSALE ÎN VESTUL MĂRII MEDITERANE</w:t>
      </w:r>
    </w:p>
    <w:p>
      <w:pPr>
        <w:rPr>
          <w:noProof/>
        </w:rPr>
      </w:pPr>
      <w:r>
        <w:rPr>
          <w:noProof/>
        </w:rPr>
        <w:t>Efortul de pescuit maxim admisibil (în zile de pescuit) pe grupuri de stocuri, astfel cum sunt definite la articolul 2 punctul 13 din Regulamentul (UE) 2019/1022, limitele maxime de captură și lungimea maximă a navelor pentru toate tipurile de traule</w:t>
      </w:r>
      <w:r>
        <w:rPr>
          <w:rStyle w:val="FootnoteReference"/>
          <w:noProof/>
        </w:rPr>
        <w:footnoteReference w:customMarkFollows="1" w:id="1"/>
        <w:t>1</w:t>
      </w:r>
      <w:r>
        <w:rPr>
          <w:noProof/>
        </w:rPr>
        <w:t xml:space="preserve"> și de nave de pescuit la adâncime cu paragate care vizează stocurile demersale în vestul Mării Mediterane sunt stabilite în tabelele de mai jos.</w:t>
      </w:r>
    </w:p>
    <w:p>
      <w:pPr>
        <w:rPr>
          <w:noProof/>
        </w:rPr>
      </w:pPr>
      <w:r>
        <w:rPr>
          <w:noProof/>
        </w:rPr>
        <w:t xml:space="preserve">Toate posibilitățile de pescuit stabilite în prezenta anexă fac obiectul normelor stabilite la articolul 7 din Regulamentul (UE) 2019/1022 și la articolele 26-35 din Regulamentul (CE) nr. 1224/2009. </w:t>
      </w:r>
    </w:p>
    <w:p>
      <w:pPr>
        <w:rPr>
          <w:noProof/>
        </w:rPr>
      </w:pPr>
      <w:r>
        <w:rPr>
          <w:noProof/>
        </w:rPr>
        <w:t>Trimiterile la zonele de pescuit se referă la subzonele geografice CGPM.</w:t>
      </w:r>
    </w:p>
    <w:p>
      <w:pPr>
        <w:rPr>
          <w:noProof/>
        </w:rPr>
      </w:pPr>
      <w:r>
        <w:rPr>
          <w:noProof/>
        </w:rPr>
        <w:t>În sensul prezentei anexe, următorul tabel de corespondență indică denumirile în limba latină și denumirile comune ale stocurilor de pește:</w:t>
      </w:r>
    </w:p>
    <w:p>
      <w:pPr>
        <w:rPr>
          <w:noProof/>
        </w:rPr>
      </w:pPr>
    </w:p>
    <w:tbl>
      <w:tblPr>
        <w:tblStyle w:val="TableGrid1"/>
        <w:tblW w:w="0" w:type="auto"/>
        <w:tblInd w:w="-108" w:type="dxa"/>
        <w:tblLook w:val="04A0" w:firstRow="1" w:lastRow="0" w:firstColumn="1" w:lastColumn="0" w:noHBand="0" w:noVBand="1"/>
      </w:tblPr>
      <w:tblGrid>
        <w:gridCol w:w="3064"/>
        <w:gridCol w:w="3056"/>
        <w:gridCol w:w="3061"/>
      </w:tblGrid>
      <w:tr>
        <w:tc>
          <w:tcPr>
            <w:tcW w:w="3080" w:type="dxa"/>
            <w:hideMark/>
          </w:tcPr>
          <w:p>
            <w:pPr>
              <w:rPr>
                <w:b/>
                <w:noProof/>
              </w:rPr>
            </w:pPr>
            <w:r>
              <w:rPr>
                <w:b/>
                <w:noProof/>
              </w:rPr>
              <w:t>Denumire științifică</w:t>
            </w:r>
          </w:p>
        </w:tc>
        <w:tc>
          <w:tcPr>
            <w:tcW w:w="3081" w:type="dxa"/>
            <w:hideMark/>
          </w:tcPr>
          <w:p>
            <w:pPr>
              <w:rPr>
                <w:b/>
                <w:noProof/>
              </w:rPr>
            </w:pPr>
            <w:r>
              <w:rPr>
                <w:b/>
                <w:noProof/>
              </w:rPr>
              <w:t>Codul alfa-3</w:t>
            </w:r>
          </w:p>
        </w:tc>
        <w:tc>
          <w:tcPr>
            <w:tcW w:w="3081" w:type="dxa"/>
            <w:hideMark/>
          </w:tcPr>
          <w:p>
            <w:pPr>
              <w:rPr>
                <w:b/>
                <w:noProof/>
              </w:rPr>
            </w:pPr>
            <w:r>
              <w:rPr>
                <w:b/>
                <w:noProof/>
              </w:rPr>
              <w:t>Denumirea comună</w:t>
            </w:r>
          </w:p>
        </w:tc>
      </w:tr>
      <w:tr>
        <w:tc>
          <w:tcPr>
            <w:tcW w:w="3080" w:type="dxa"/>
            <w:hideMark/>
          </w:tcPr>
          <w:p>
            <w:pPr>
              <w:rPr>
                <w:i/>
                <w:noProof/>
              </w:rPr>
            </w:pPr>
            <w:r>
              <w:rPr>
                <w:i/>
                <w:noProof/>
              </w:rPr>
              <w:t>Aristaeomorpha foliacea</w:t>
            </w:r>
          </w:p>
        </w:tc>
        <w:tc>
          <w:tcPr>
            <w:tcW w:w="3081" w:type="dxa"/>
            <w:hideMark/>
          </w:tcPr>
          <w:p>
            <w:pPr>
              <w:rPr>
                <w:noProof/>
              </w:rPr>
            </w:pPr>
            <w:r>
              <w:rPr>
                <w:noProof/>
              </w:rPr>
              <w:t>ARS</w:t>
            </w:r>
          </w:p>
        </w:tc>
        <w:tc>
          <w:tcPr>
            <w:tcW w:w="3081" w:type="dxa"/>
            <w:hideMark/>
          </w:tcPr>
          <w:p>
            <w:pPr>
              <w:rPr>
                <w:noProof/>
              </w:rPr>
            </w:pPr>
            <w:r>
              <w:rPr>
                <w:noProof/>
              </w:rPr>
              <w:t>Crevete roșu gigant</w:t>
            </w:r>
          </w:p>
        </w:tc>
      </w:tr>
      <w:tr>
        <w:tc>
          <w:tcPr>
            <w:tcW w:w="3080" w:type="dxa"/>
            <w:hideMark/>
          </w:tcPr>
          <w:p>
            <w:pPr>
              <w:rPr>
                <w:i/>
                <w:noProof/>
              </w:rPr>
            </w:pPr>
            <w:r>
              <w:rPr>
                <w:i/>
                <w:noProof/>
              </w:rPr>
              <w:t>Aristeus antennatus</w:t>
            </w:r>
          </w:p>
        </w:tc>
        <w:tc>
          <w:tcPr>
            <w:tcW w:w="3081" w:type="dxa"/>
            <w:hideMark/>
          </w:tcPr>
          <w:p>
            <w:pPr>
              <w:rPr>
                <w:noProof/>
              </w:rPr>
            </w:pPr>
            <w:r>
              <w:rPr>
                <w:noProof/>
              </w:rPr>
              <w:t>ARA</w:t>
            </w:r>
          </w:p>
        </w:tc>
        <w:tc>
          <w:tcPr>
            <w:tcW w:w="3081" w:type="dxa"/>
            <w:hideMark/>
          </w:tcPr>
          <w:p>
            <w:pPr>
              <w:rPr>
                <w:noProof/>
              </w:rPr>
            </w:pPr>
            <w:r>
              <w:rPr>
                <w:noProof/>
              </w:rPr>
              <w:t>Crevete roșu</w:t>
            </w:r>
          </w:p>
        </w:tc>
      </w:tr>
      <w:tr>
        <w:tc>
          <w:tcPr>
            <w:tcW w:w="3080" w:type="dxa"/>
            <w:hideMark/>
          </w:tcPr>
          <w:p>
            <w:pPr>
              <w:rPr>
                <w:i/>
                <w:noProof/>
              </w:rPr>
            </w:pPr>
            <w:r>
              <w:rPr>
                <w:i/>
                <w:noProof/>
              </w:rPr>
              <w:t>Merluccius merluccius</w:t>
            </w:r>
          </w:p>
        </w:tc>
        <w:tc>
          <w:tcPr>
            <w:tcW w:w="3081" w:type="dxa"/>
            <w:hideMark/>
          </w:tcPr>
          <w:p>
            <w:pPr>
              <w:rPr>
                <w:noProof/>
              </w:rPr>
            </w:pPr>
            <w:r>
              <w:rPr>
                <w:noProof/>
              </w:rPr>
              <w:t>HKE</w:t>
            </w:r>
          </w:p>
        </w:tc>
        <w:tc>
          <w:tcPr>
            <w:tcW w:w="3081" w:type="dxa"/>
            <w:hideMark/>
          </w:tcPr>
          <w:p>
            <w:pPr>
              <w:rPr>
                <w:noProof/>
              </w:rPr>
            </w:pPr>
            <w:r>
              <w:rPr>
                <w:noProof/>
              </w:rPr>
              <w:t>Merluciu</w:t>
            </w:r>
          </w:p>
        </w:tc>
      </w:tr>
      <w:tr>
        <w:tc>
          <w:tcPr>
            <w:tcW w:w="3080" w:type="dxa"/>
            <w:hideMark/>
          </w:tcPr>
          <w:p>
            <w:pPr>
              <w:rPr>
                <w:i/>
                <w:noProof/>
              </w:rPr>
            </w:pPr>
            <w:r>
              <w:rPr>
                <w:i/>
                <w:noProof/>
              </w:rPr>
              <w:t>Mullus barbatus</w:t>
            </w:r>
          </w:p>
        </w:tc>
        <w:tc>
          <w:tcPr>
            <w:tcW w:w="3081" w:type="dxa"/>
            <w:hideMark/>
          </w:tcPr>
          <w:p>
            <w:pPr>
              <w:rPr>
                <w:noProof/>
              </w:rPr>
            </w:pPr>
            <w:r>
              <w:rPr>
                <w:noProof/>
              </w:rPr>
              <w:t>MUT</w:t>
            </w:r>
          </w:p>
        </w:tc>
        <w:tc>
          <w:tcPr>
            <w:tcW w:w="3081" w:type="dxa"/>
            <w:hideMark/>
          </w:tcPr>
          <w:p>
            <w:pPr>
              <w:rPr>
                <w:noProof/>
              </w:rPr>
            </w:pPr>
            <w:r>
              <w:rPr>
                <w:noProof/>
              </w:rPr>
              <w:t>Barbun</w:t>
            </w:r>
          </w:p>
        </w:tc>
      </w:tr>
      <w:tr>
        <w:tc>
          <w:tcPr>
            <w:tcW w:w="3080" w:type="dxa"/>
            <w:hideMark/>
          </w:tcPr>
          <w:p>
            <w:pPr>
              <w:rPr>
                <w:i/>
                <w:noProof/>
              </w:rPr>
            </w:pPr>
            <w:r>
              <w:rPr>
                <w:i/>
                <w:noProof/>
              </w:rPr>
              <w:t>Nephrops norvegicus</w:t>
            </w:r>
          </w:p>
        </w:tc>
        <w:tc>
          <w:tcPr>
            <w:tcW w:w="3081" w:type="dxa"/>
            <w:hideMark/>
          </w:tcPr>
          <w:p>
            <w:pPr>
              <w:rPr>
                <w:noProof/>
              </w:rPr>
            </w:pPr>
            <w:r>
              <w:rPr>
                <w:noProof/>
              </w:rPr>
              <w:t>NEP</w:t>
            </w:r>
          </w:p>
        </w:tc>
        <w:tc>
          <w:tcPr>
            <w:tcW w:w="3081" w:type="dxa"/>
            <w:hideMark/>
          </w:tcPr>
          <w:p>
            <w:pPr>
              <w:rPr>
                <w:noProof/>
              </w:rPr>
            </w:pPr>
            <w:r>
              <w:rPr>
                <w:noProof/>
              </w:rPr>
              <w:t>Langustină</w:t>
            </w:r>
          </w:p>
        </w:tc>
      </w:tr>
      <w:tr>
        <w:tc>
          <w:tcPr>
            <w:tcW w:w="3080" w:type="dxa"/>
            <w:hideMark/>
          </w:tcPr>
          <w:p>
            <w:pPr>
              <w:rPr>
                <w:i/>
                <w:noProof/>
              </w:rPr>
            </w:pPr>
            <w:r>
              <w:rPr>
                <w:i/>
                <w:noProof/>
              </w:rPr>
              <w:t>Parapenaeus longirostris</w:t>
            </w:r>
          </w:p>
        </w:tc>
        <w:tc>
          <w:tcPr>
            <w:tcW w:w="3081" w:type="dxa"/>
            <w:hideMark/>
          </w:tcPr>
          <w:p>
            <w:pPr>
              <w:rPr>
                <w:noProof/>
              </w:rPr>
            </w:pPr>
            <w:r>
              <w:rPr>
                <w:noProof/>
              </w:rPr>
              <w:t>DPS</w:t>
            </w:r>
          </w:p>
        </w:tc>
        <w:tc>
          <w:tcPr>
            <w:tcW w:w="3081" w:type="dxa"/>
            <w:hideMark/>
          </w:tcPr>
          <w:p>
            <w:pPr>
              <w:rPr>
                <w:noProof/>
                <w:szCs w:val="24"/>
              </w:rPr>
            </w:pPr>
            <w:r>
              <w:rPr>
                <w:noProof/>
              </w:rPr>
              <w:t>Caridă-roz-de-adâncime</w:t>
            </w:r>
          </w:p>
        </w:tc>
      </w:tr>
    </w:tbl>
    <w:p>
      <w:pPr>
        <w:rPr>
          <w:bCs/>
          <w:noProof/>
        </w:rPr>
      </w:pPr>
    </w:p>
    <w:p>
      <w:pPr>
        <w:rPr>
          <w:noProof/>
        </w:rPr>
      </w:pPr>
      <w:r>
        <w:rPr>
          <w:noProof/>
        </w:rPr>
        <w:br w:type="page"/>
      </w:r>
    </w:p>
    <w:p>
      <w:pPr>
        <w:pStyle w:val="NumPar1"/>
        <w:numPr>
          <w:ilvl w:val="0"/>
          <w:numId w:val="1"/>
        </w:numPr>
        <w:rPr>
          <w:noProof/>
        </w:rPr>
      </w:pPr>
      <w:r>
        <w:rPr>
          <w:noProof/>
        </w:rPr>
        <w:lastRenderedPageBreak/>
        <w:t>Efortul de pescuit maxim admisibil (în zile de pescuit)</w:t>
      </w:r>
    </w:p>
    <w:p>
      <w:pPr>
        <w:pStyle w:val="Point0letter"/>
        <w:numPr>
          <w:ilvl w:val="1"/>
          <w:numId w:val="6"/>
        </w:numPr>
        <w:rPr>
          <w:noProof/>
        </w:rPr>
      </w:pPr>
      <w:r>
        <w:rPr>
          <w:noProof/>
        </w:rPr>
        <w:t>Numărul de zile de pescuit pentru traulere în Marea Alboran, Insulele Baleare, nordul Spaniei și Golful Lion (subzonele geografice 1, 2, 5, 6 și 7)</w:t>
      </w:r>
    </w:p>
    <w:tbl>
      <w:tblPr>
        <w:tblStyle w:val="TableGrid"/>
        <w:tblW w:w="5000" w:type="pct"/>
        <w:tblLook w:val="04A0" w:firstRow="1" w:lastRow="0" w:firstColumn="1" w:lastColumn="0" w:noHBand="0" w:noVBand="1"/>
      </w:tblPr>
      <w:tblGrid>
        <w:gridCol w:w="1191"/>
        <w:gridCol w:w="1217"/>
        <w:gridCol w:w="897"/>
        <w:gridCol w:w="896"/>
        <w:gridCol w:w="742"/>
        <w:gridCol w:w="1949"/>
        <w:gridCol w:w="2397"/>
      </w:tblGrid>
      <w:tr>
        <w:trPr>
          <w:trHeight w:val="1743"/>
        </w:trPr>
        <w:tc>
          <w:tcPr>
            <w:tcW w:w="623"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Grup de stocuri</w:t>
            </w:r>
          </w:p>
        </w:tc>
        <w:tc>
          <w:tcPr>
            <w:tcW w:w="600"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Lungimea maximă a navelor</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Spania</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 xml:space="preserve">Franța </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Italia</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Codul grupului de efort de pescuit</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Codul alocării suplimentare</w:t>
            </w:r>
          </w:p>
        </w:tc>
      </w:tr>
      <w:tr>
        <w:trPr>
          <w:trHeight w:val="1744"/>
        </w:trPr>
        <w:tc>
          <w:tcPr>
            <w:tcW w:w="623" w:type="pct"/>
            <w:vMerge w:val="restar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Barbun în subzonele geografice 1, 5, 6 și 7; merluciu în subzonele geografice 1, 5, 6 și 7; caridă-roz-de-adâncime în subzonele geografice 1, 5 și 6; langustină în subzonele geografice 5 și 6</w:t>
            </w:r>
          </w:p>
        </w:tc>
        <w:tc>
          <w:tcPr>
            <w:tcW w:w="600"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&lt; 12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EFF1/MED1_TR1</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EFF1/MED1_TR1_AA</w:t>
            </w:r>
          </w:p>
        </w:tc>
      </w:tr>
      <w:tr>
        <w:trPr>
          <w:trHeight w:val="1743"/>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12 m și &lt; 18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EFF1/MED1_TR2</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EFF1/MED1_TR2_AA</w:t>
            </w:r>
          </w:p>
        </w:tc>
      </w:tr>
      <w:tr>
        <w:trPr>
          <w:trHeight w:val="1744"/>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18 m și &lt;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EFF1/MED1_TR3</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EFF1/MED1_TR3_AA</w:t>
            </w:r>
          </w:p>
        </w:tc>
      </w:tr>
      <w:tr>
        <w:trPr>
          <w:trHeight w:val="1743"/>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EFF1/MED1_TR4</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EFF1/MED1_TR4_AA</w:t>
            </w:r>
          </w:p>
        </w:tc>
      </w:tr>
      <w:tr>
        <w:trPr>
          <w:trHeight w:val="1744"/>
        </w:trPr>
        <w:tc>
          <w:tcPr>
            <w:tcW w:w="623" w:type="pct"/>
            <w:vMerge w:val="restart"/>
            <w:tcBorders>
              <w:top w:val="nil"/>
              <w:left w:val="single" w:sz="8" w:space="0" w:color="auto"/>
              <w:bottom w:val="single" w:sz="8" w:space="0" w:color="auto"/>
              <w:right w:val="single" w:sz="8" w:space="0" w:color="auto"/>
            </w:tcBorders>
            <w:tcMar>
              <w:left w:w="108" w:type="dxa"/>
              <w:right w:w="108" w:type="dxa"/>
            </w:tcMar>
          </w:tcPr>
          <w:p>
            <w:pPr>
              <w:rPr>
                <w:noProof/>
                <w:szCs w:val="24"/>
              </w:rPr>
            </w:pPr>
            <w:r>
              <w:rPr>
                <w:noProof/>
              </w:rPr>
              <w:t>Crevete roșu în subzonele geografice 1, 2, 5, 6 și 7</w:t>
            </w:r>
          </w:p>
        </w:tc>
        <w:tc>
          <w:tcPr>
            <w:tcW w:w="600"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&lt; 12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EFF2/MED1_TR1</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EFF2/MED1_TR1_AA</w:t>
            </w:r>
          </w:p>
        </w:tc>
      </w:tr>
      <w:tr>
        <w:trPr>
          <w:trHeight w:val="1743"/>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12 m și &lt; 18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EFF2/MED1_TR2</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EFF2/MED1_TR2_AA</w:t>
            </w:r>
          </w:p>
        </w:tc>
      </w:tr>
      <w:tr>
        <w:trPr>
          <w:trHeight w:val="1744"/>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18 m și &lt;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EFF2/MED1_TR3</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EFF2/MED1_TR3_AA</w:t>
            </w:r>
          </w:p>
        </w:tc>
      </w:tr>
      <w:tr>
        <w:trPr>
          <w:trHeight w:val="1744"/>
        </w:trPr>
        <w:tc>
          <w:tcPr>
            <w:tcW w:w="623" w:type="pct"/>
            <w:vMerge/>
            <w:vAlign w:val="center"/>
          </w:tcPr>
          <w:p>
            <w:pPr>
              <w:rPr>
                <w:noProof/>
              </w:rPr>
            </w:pPr>
          </w:p>
        </w:tc>
        <w:tc>
          <w:tcPr>
            <w:tcW w:w="600" w:type="pct"/>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24 m</w:t>
            </w:r>
          </w:p>
        </w:tc>
        <w:tc>
          <w:tcPr>
            <w:tcW w:w="522"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491"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384"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4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EFF2/MED1_TR4</w:t>
            </w:r>
          </w:p>
        </w:tc>
        <w:tc>
          <w:tcPr>
            <w:tcW w:w="1235" w:type="pc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EFF2/MED1_TR4_AA</w:t>
            </w:r>
          </w:p>
        </w:tc>
      </w:tr>
    </w:tbl>
    <w:p>
      <w:pPr>
        <w:rPr>
          <w:rFonts w:eastAsia="Times New Roman"/>
          <w:b/>
          <w:bCs/>
          <w:noProof/>
          <w:szCs w:val="24"/>
        </w:rPr>
      </w:pPr>
    </w:p>
    <w:p>
      <w:pPr>
        <w:pStyle w:val="Point0letter"/>
        <w:numPr>
          <w:ilvl w:val="1"/>
          <w:numId w:val="6"/>
        </w:numPr>
        <w:rPr>
          <w:noProof/>
        </w:rPr>
      </w:pPr>
      <w:r>
        <w:rPr>
          <w:noProof/>
        </w:rPr>
        <w:t>Numărul de zile de pescuit pentru traulere în Insula Corsica, Marea Ligurică, Marea Tireniană și Insula Sardinia (subzonele geografice 8, 9, 10 și 11)</w:t>
      </w:r>
    </w:p>
    <w:tbl>
      <w:tblPr>
        <w:tblStyle w:val="TableGrid"/>
        <w:tblW w:w="0" w:type="auto"/>
        <w:tblLayout w:type="fixed"/>
        <w:tblLook w:val="04A0" w:firstRow="1" w:lastRow="0" w:firstColumn="1" w:lastColumn="0" w:noHBand="0" w:noVBand="1"/>
      </w:tblPr>
      <w:tblGrid>
        <w:gridCol w:w="1249"/>
        <w:gridCol w:w="1119"/>
        <w:gridCol w:w="1164"/>
        <w:gridCol w:w="1176"/>
        <w:gridCol w:w="1152"/>
        <w:gridCol w:w="1669"/>
        <w:gridCol w:w="2101"/>
      </w:tblGrid>
      <w:tr>
        <w:trPr>
          <w:trHeight w:val="300"/>
        </w:trPr>
        <w:tc>
          <w:tcPr>
            <w:tcW w:w="1249"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Grup de stocuri</w:t>
            </w:r>
          </w:p>
        </w:tc>
        <w:tc>
          <w:tcPr>
            <w:tcW w:w="1119"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Lungimea maximă a navelor</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Spania</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 xml:space="preserve">Franța </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Italia</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Codul grupului de efort de pescuit</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b/>
                <w:bCs/>
                <w:noProof/>
                <w:szCs w:val="24"/>
              </w:rPr>
            </w:pPr>
            <w:r>
              <w:rPr>
                <w:b/>
                <w:noProof/>
              </w:rPr>
              <w:t>Codul alocării suplimentare</w:t>
            </w:r>
          </w:p>
        </w:tc>
      </w:tr>
      <w:tr>
        <w:trPr>
          <w:trHeight w:val="300"/>
        </w:trPr>
        <w:tc>
          <w:tcPr>
            <w:tcW w:w="124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Barbun în subzonele geografice 8, 9, 10 și 11; merluciu în subzonele geografice 8, 9, 10 și 11; caridă-roz-de-adâncime în subzonele geografice 9, 10 și 11; langustină în subzonele geografice 9 și 10</w:t>
            </w:r>
          </w:p>
        </w:tc>
        <w:tc>
          <w:tcPr>
            <w:tcW w:w="111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&lt; 12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EFF1/MED2_TR1</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EFF1/MED2_TR1_AA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12 m și &lt; 18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EFF1/MED2_TR2</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EFF1/MED2_TR2_AA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18 m și &lt;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EFF1/MED2_TR3</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EFF1/MED2_TR3_AA</w:t>
            </w:r>
          </w:p>
        </w:tc>
      </w:tr>
      <w:tr>
        <w:trPr>
          <w:trHeight w:val="300"/>
        </w:trPr>
        <w:tc>
          <w:tcPr>
            <w:tcW w:w="1249" w:type="dxa"/>
            <w:vMerge/>
            <w:tcBorders>
              <w:left w:val="single" w:sz="0" w:space="0" w:color="auto"/>
              <w:bottom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EFF1/MED2_TR4</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EFF1/MED2_TR4_AA</w:t>
            </w:r>
          </w:p>
        </w:tc>
      </w:tr>
      <w:tr>
        <w:trPr>
          <w:trHeight w:val="300"/>
        </w:trPr>
        <w:tc>
          <w:tcPr>
            <w:tcW w:w="1249" w:type="dxa"/>
            <w:vMerge w:val="restart"/>
            <w:tcBorders>
              <w:top w:val="nil"/>
              <w:left w:val="single" w:sz="8" w:space="0" w:color="auto"/>
              <w:bottom w:val="single" w:sz="8" w:space="0" w:color="auto"/>
              <w:right w:val="single" w:sz="8" w:space="0" w:color="auto"/>
            </w:tcBorders>
            <w:tcMar>
              <w:left w:w="108" w:type="dxa"/>
              <w:right w:w="108" w:type="dxa"/>
            </w:tcMar>
          </w:tcPr>
          <w:p>
            <w:pPr>
              <w:rPr>
                <w:noProof/>
                <w:szCs w:val="24"/>
              </w:rPr>
            </w:pPr>
            <w:r>
              <w:rPr>
                <w:noProof/>
              </w:rPr>
              <w:t xml:space="preserve">Crevete roșu gigant în subzonele </w:t>
            </w:r>
            <w:r>
              <w:rPr>
                <w:noProof/>
              </w:rPr>
              <w:lastRenderedPageBreak/>
              <w:t>geografice 8, 9, 10 și 11</w:t>
            </w:r>
          </w:p>
        </w:tc>
        <w:tc>
          <w:tcPr>
            <w:tcW w:w="111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lastRenderedPageBreak/>
              <w:t>&lt; 12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EFF2/MED2_TR1</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EFF2/MED2_TR1_AA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xml:space="preserve">≥ 12 m și </w:t>
            </w:r>
            <w:r>
              <w:rPr>
                <w:noProof/>
              </w:rPr>
              <w:lastRenderedPageBreak/>
              <w:t>&lt; 18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lastRenderedPageBreak/>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w:t>
            </w:r>
            <w:r>
              <w:rPr>
                <w:noProof/>
              </w:rPr>
              <w:lastRenderedPageBreak/>
              <w:t>TR2</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lastRenderedPageBreak/>
              <w:t>EFF2/MED2_TR2</w:t>
            </w:r>
            <w:r>
              <w:rPr>
                <w:noProof/>
              </w:rPr>
              <w:lastRenderedPageBreak/>
              <w:t>_AA</w:t>
            </w:r>
          </w:p>
        </w:tc>
      </w:tr>
      <w:tr>
        <w:trPr>
          <w:trHeight w:val="300"/>
        </w:trPr>
        <w:tc>
          <w:tcPr>
            <w:tcW w:w="1249" w:type="dxa"/>
            <w:vMerge/>
            <w:tcBorders>
              <w:left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18 m și &lt;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EFF2/MED2_TR3</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EFF2/MED2_TR3_AA</w:t>
            </w:r>
          </w:p>
        </w:tc>
      </w:tr>
      <w:tr>
        <w:trPr>
          <w:trHeight w:val="300"/>
        </w:trPr>
        <w:tc>
          <w:tcPr>
            <w:tcW w:w="1249" w:type="dxa"/>
            <w:vMerge/>
            <w:tcBorders>
              <w:left w:val="single" w:sz="0" w:space="0" w:color="auto"/>
              <w:bottom w:val="single" w:sz="0" w:space="0" w:color="auto"/>
              <w:right w:val="single" w:sz="0" w:space="0" w:color="auto"/>
            </w:tcBorders>
            <w:vAlign w:val="center"/>
          </w:tcPr>
          <w:p>
            <w:pPr>
              <w:rPr>
                <w:noProof/>
              </w:rPr>
            </w:pPr>
          </w:p>
        </w:tc>
        <w:tc>
          <w:tcPr>
            <w:tcW w:w="1119" w:type="dxa"/>
            <w:tcBorders>
              <w:top w:val="single" w:sz="8" w:space="0" w:color="auto"/>
              <w:left w:val="nil"/>
              <w:bottom w:val="single" w:sz="8" w:space="0" w:color="auto"/>
              <w:right w:val="single" w:sz="8" w:space="0" w:color="auto"/>
            </w:tcBorders>
            <w:tcMar>
              <w:left w:w="108" w:type="dxa"/>
              <w:right w:w="108" w:type="dxa"/>
            </w:tcMar>
          </w:tcPr>
          <w:p>
            <w:pPr>
              <w:rPr>
                <w:noProof/>
                <w:szCs w:val="24"/>
              </w:rPr>
            </w:pPr>
            <w:r>
              <w:rPr>
                <w:noProof/>
              </w:rPr>
              <w:t>≥ 24 m</w:t>
            </w:r>
          </w:p>
        </w:tc>
        <w:tc>
          <w:tcPr>
            <w:tcW w:w="1164"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76"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152"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Cs w:val="24"/>
              </w:rPr>
            </w:pPr>
            <w:r>
              <w:rPr>
                <w:noProof/>
              </w:rPr>
              <w:t>pm</w:t>
            </w:r>
          </w:p>
        </w:tc>
        <w:tc>
          <w:tcPr>
            <w:tcW w:w="166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EFF2/MED2_TR4</w:t>
            </w:r>
          </w:p>
        </w:tc>
        <w:tc>
          <w:tcPr>
            <w:tcW w:w="2101"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rPr>
              <w:t>EFF2/MED2_TR4_AA</w:t>
            </w:r>
          </w:p>
        </w:tc>
      </w:tr>
    </w:tbl>
    <w:p>
      <w:pPr>
        <w:pStyle w:val="Point0letter"/>
        <w:numPr>
          <w:ilvl w:val="1"/>
          <w:numId w:val="6"/>
        </w:numPr>
        <w:rPr>
          <w:noProof/>
        </w:rPr>
      </w:pPr>
      <w:r>
        <w:rPr>
          <w:noProof/>
        </w:rPr>
        <w:t>Numărul de zile de pescuit pentru nave de pescuit cu paragate de fund în Marea Alboran, Insulele Baleare, nordul Spaniei și Golful Lion (subzonele geografice 1, 2, 5, 6 și 7)</w:t>
      </w:r>
    </w:p>
    <w:tbl>
      <w:tblPr>
        <w:tblW w:w="5000" w:type="pct"/>
        <w:tblLook w:val="04A0" w:firstRow="1" w:lastRow="0" w:firstColumn="1" w:lastColumn="0" w:noHBand="0" w:noVBand="1"/>
      </w:tblPr>
      <w:tblGrid>
        <w:gridCol w:w="1716"/>
        <w:gridCol w:w="2413"/>
        <w:gridCol w:w="995"/>
        <w:gridCol w:w="709"/>
        <w:gridCol w:w="709"/>
        <w:gridCol w:w="2551"/>
      </w:tblGrid>
      <w:tr>
        <w:trPr>
          <w:trHeight w:val="828"/>
        </w:trPr>
        <w:tc>
          <w:tcPr>
            <w:tcW w:w="94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Grup de stocuri</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Lungimea maximă a navelor</w:t>
            </w:r>
          </w:p>
        </w:tc>
        <w:tc>
          <w:tcPr>
            <w:tcW w:w="547"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Spania</w:t>
            </w:r>
          </w:p>
        </w:tc>
        <w:tc>
          <w:tcPr>
            <w:tcW w:w="390"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Franța</w:t>
            </w:r>
          </w:p>
        </w:tc>
        <w:tc>
          <w:tcPr>
            <w:tcW w:w="390"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Italia</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noProof/>
              </w:rPr>
              <w:t>Codul grupului de efort de pescuit</w:t>
            </w:r>
          </w:p>
        </w:tc>
      </w:tr>
      <w:tr>
        <w:trPr>
          <w:trHeight w:val="828"/>
        </w:trPr>
        <w:tc>
          <w:tcPr>
            <w:tcW w:w="94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Merluciu în subzonele geografice 1, 2, 5, 6 și 7</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&lt; 12 m</w:t>
            </w:r>
          </w:p>
        </w:tc>
        <w:tc>
          <w:tcPr>
            <w:tcW w:w="54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noProof/>
              </w:rPr>
              <w:t>EFF1/MED1_LL1</w:t>
            </w:r>
          </w:p>
        </w:tc>
      </w:tr>
      <w:tr>
        <w:trPr>
          <w:trHeight w:val="828"/>
        </w:trPr>
        <w:tc>
          <w:tcPr>
            <w:tcW w:w="943"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 12 m și &lt; 18 m</w:t>
            </w:r>
          </w:p>
        </w:tc>
        <w:tc>
          <w:tcPr>
            <w:tcW w:w="54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noProof/>
              </w:rPr>
              <w:t>EFF1/MED1_LL2</w:t>
            </w:r>
          </w:p>
        </w:tc>
      </w:tr>
      <w:tr>
        <w:trPr>
          <w:trHeight w:val="828"/>
        </w:trPr>
        <w:tc>
          <w:tcPr>
            <w:tcW w:w="943"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1327"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 18 m și &lt; 24 m</w:t>
            </w:r>
          </w:p>
        </w:tc>
        <w:tc>
          <w:tcPr>
            <w:tcW w:w="54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404" w:type="pct"/>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noProof/>
              </w:rPr>
              <w:t>EFF1/MED1_LL3</w:t>
            </w:r>
          </w:p>
        </w:tc>
      </w:tr>
      <w:tr>
        <w:trPr>
          <w:trHeight w:val="828"/>
        </w:trPr>
        <w:tc>
          <w:tcPr>
            <w:tcW w:w="943"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noProof/>
              </w:rPr>
              <w:t xml:space="preserve"> </w:t>
            </w:r>
          </w:p>
        </w:tc>
        <w:tc>
          <w:tcPr>
            <w:tcW w:w="1327" w:type="pct"/>
            <w:tcBorders>
              <w:top w:val="single" w:sz="8" w:space="0" w:color="auto"/>
              <w:left w:val="single" w:sz="8" w:space="0" w:color="auto"/>
              <w:bottom w:val="single" w:sz="8" w:space="0" w:color="auto"/>
              <w:right w:val="nil"/>
            </w:tcBorders>
            <w:tcMar>
              <w:left w:w="10" w:type="dxa"/>
              <w:right w:w="10" w:type="dxa"/>
            </w:tcMar>
            <w:vAlign w:val="center"/>
          </w:tcPr>
          <w:p>
            <w:pPr>
              <w:rPr>
                <w:noProof/>
                <w:szCs w:val="24"/>
              </w:rPr>
            </w:pPr>
            <w:r>
              <w:rPr>
                <w:noProof/>
              </w:rPr>
              <w:t>≥ 24 m</w:t>
            </w:r>
          </w:p>
        </w:tc>
        <w:tc>
          <w:tcPr>
            <w:tcW w:w="547"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noProof/>
              </w:rPr>
              <w:t>pm</w:t>
            </w:r>
          </w:p>
        </w:tc>
        <w:tc>
          <w:tcPr>
            <w:tcW w:w="390" w:type="pct"/>
            <w:tcBorders>
              <w:top w:val="single" w:sz="8" w:space="0" w:color="auto"/>
              <w:left w:val="single" w:sz="8" w:space="0" w:color="auto"/>
              <w:bottom w:val="single" w:sz="8" w:space="0" w:color="auto"/>
              <w:right w:val="nil"/>
            </w:tcBorders>
            <w:tcMar>
              <w:left w:w="10" w:type="dxa"/>
              <w:right w:w="10" w:type="dxa"/>
            </w:tcMar>
          </w:tcPr>
          <w:p>
            <w:pPr>
              <w:rPr>
                <w:noProof/>
                <w:szCs w:val="24"/>
              </w:rPr>
            </w:pPr>
            <w:r>
              <w:rPr>
                <w:noProof/>
              </w:rPr>
              <w:t>pm</w:t>
            </w:r>
          </w:p>
        </w:tc>
        <w:tc>
          <w:tcPr>
            <w:tcW w:w="1404" w:type="pct"/>
            <w:tcBorders>
              <w:top w:val="single" w:sz="8" w:space="0" w:color="auto"/>
              <w:left w:val="single" w:sz="8" w:space="0" w:color="auto"/>
              <w:bottom w:val="single" w:sz="8" w:space="0" w:color="auto"/>
              <w:right w:val="single" w:sz="8" w:space="0" w:color="auto"/>
            </w:tcBorders>
            <w:tcMar>
              <w:left w:w="10" w:type="dxa"/>
              <w:right w:w="10" w:type="dxa"/>
            </w:tcMar>
            <w:vAlign w:val="center"/>
          </w:tcPr>
          <w:p>
            <w:pPr>
              <w:rPr>
                <w:noProof/>
                <w:szCs w:val="24"/>
              </w:rPr>
            </w:pPr>
            <w:r>
              <w:rPr>
                <w:noProof/>
              </w:rPr>
              <w:t>EFF1/MED1_LL4</w:t>
            </w:r>
          </w:p>
        </w:tc>
      </w:tr>
    </w:tbl>
    <w:p>
      <w:pPr>
        <w:pStyle w:val="Point0letter"/>
        <w:numPr>
          <w:ilvl w:val="1"/>
          <w:numId w:val="6"/>
        </w:numPr>
        <w:rPr>
          <w:noProof/>
        </w:rPr>
      </w:pPr>
      <w:r>
        <w:rPr>
          <w:noProof/>
        </w:rPr>
        <w:t>Numărul de zile de pescuit pentru nave de pescuit cu paragate de fund în Insula Corsica, Marea Ligurică, Marea Tireniană și Insula Sardinia (subzonele geografice 8, 9, 10 și 11)</w:t>
      </w: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2408"/>
        <w:gridCol w:w="2232"/>
        <w:gridCol w:w="752"/>
        <w:gridCol w:w="843"/>
        <w:gridCol w:w="796"/>
        <w:gridCol w:w="2072"/>
      </w:tblGrid>
      <w:tr>
        <w:trPr>
          <w:trHeight w:val="345"/>
        </w:trPr>
        <w:tc>
          <w:tcPr>
            <w:tcW w:w="1323" w:type="pct"/>
            <w:tcBorders>
              <w:bottom w:val="nil"/>
              <w:right w:val="nil"/>
            </w:tcBorders>
            <w:tcMar>
              <w:left w:w="10" w:type="dxa"/>
              <w:right w:w="10" w:type="dxa"/>
            </w:tcMar>
            <w:vAlign w:val="center"/>
          </w:tcPr>
          <w:p>
            <w:pPr>
              <w:rPr>
                <w:noProof/>
                <w:szCs w:val="24"/>
              </w:rPr>
            </w:pPr>
            <w:r>
              <w:rPr>
                <w:noProof/>
              </w:rPr>
              <w:t>Grup de stocuri</w:t>
            </w:r>
          </w:p>
        </w:tc>
        <w:tc>
          <w:tcPr>
            <w:tcW w:w="1226" w:type="pct"/>
            <w:tcBorders>
              <w:left w:val="single" w:sz="8" w:space="0" w:color="auto"/>
              <w:bottom w:val="nil"/>
              <w:right w:val="nil"/>
            </w:tcBorders>
            <w:tcMar>
              <w:left w:w="10" w:type="dxa"/>
              <w:right w:w="10" w:type="dxa"/>
            </w:tcMar>
            <w:vAlign w:val="center"/>
          </w:tcPr>
          <w:p>
            <w:pPr>
              <w:rPr>
                <w:noProof/>
                <w:szCs w:val="24"/>
              </w:rPr>
            </w:pPr>
            <w:r>
              <w:rPr>
                <w:noProof/>
              </w:rPr>
              <w:t>Lungimea maximă a navelor</w:t>
            </w:r>
          </w:p>
        </w:tc>
        <w:tc>
          <w:tcPr>
            <w:tcW w:w="413" w:type="pct"/>
            <w:tcBorders>
              <w:left w:val="single" w:sz="8" w:space="0" w:color="auto"/>
              <w:bottom w:val="nil"/>
              <w:right w:val="nil"/>
            </w:tcBorders>
            <w:tcMar>
              <w:left w:w="10" w:type="dxa"/>
              <w:right w:w="10" w:type="dxa"/>
            </w:tcMar>
            <w:vAlign w:val="center"/>
          </w:tcPr>
          <w:p>
            <w:pPr>
              <w:rPr>
                <w:noProof/>
                <w:szCs w:val="24"/>
              </w:rPr>
            </w:pPr>
            <w:r>
              <w:rPr>
                <w:noProof/>
              </w:rPr>
              <w:t>Spania</w:t>
            </w:r>
          </w:p>
        </w:tc>
        <w:tc>
          <w:tcPr>
            <w:tcW w:w="463" w:type="pct"/>
            <w:tcBorders>
              <w:left w:val="single" w:sz="8" w:space="0" w:color="auto"/>
              <w:bottom w:val="nil"/>
              <w:right w:val="nil"/>
            </w:tcBorders>
            <w:tcMar>
              <w:left w:w="10" w:type="dxa"/>
              <w:right w:w="10" w:type="dxa"/>
            </w:tcMar>
            <w:vAlign w:val="center"/>
          </w:tcPr>
          <w:p>
            <w:pPr>
              <w:rPr>
                <w:noProof/>
                <w:szCs w:val="24"/>
              </w:rPr>
            </w:pPr>
            <w:r>
              <w:rPr>
                <w:noProof/>
              </w:rPr>
              <w:t>Franța</w:t>
            </w:r>
          </w:p>
        </w:tc>
        <w:tc>
          <w:tcPr>
            <w:tcW w:w="437" w:type="pct"/>
            <w:tcBorders>
              <w:left w:val="single" w:sz="8" w:space="0" w:color="auto"/>
              <w:bottom w:val="nil"/>
              <w:right w:val="nil"/>
            </w:tcBorders>
            <w:tcMar>
              <w:left w:w="10" w:type="dxa"/>
              <w:right w:w="10" w:type="dxa"/>
            </w:tcMar>
            <w:vAlign w:val="center"/>
          </w:tcPr>
          <w:p>
            <w:pPr>
              <w:rPr>
                <w:noProof/>
                <w:szCs w:val="24"/>
              </w:rPr>
            </w:pPr>
            <w:r>
              <w:rPr>
                <w:noProof/>
              </w:rPr>
              <w:t>Italia</w:t>
            </w:r>
          </w:p>
        </w:tc>
        <w:tc>
          <w:tcPr>
            <w:tcW w:w="1138" w:type="pct"/>
            <w:tcBorders>
              <w:left w:val="single" w:sz="8" w:space="0" w:color="auto"/>
              <w:bottom w:val="nil"/>
            </w:tcBorders>
            <w:tcMar>
              <w:left w:w="10" w:type="dxa"/>
              <w:right w:w="10" w:type="dxa"/>
            </w:tcMar>
            <w:vAlign w:val="center"/>
          </w:tcPr>
          <w:p>
            <w:pPr>
              <w:rPr>
                <w:noProof/>
                <w:szCs w:val="24"/>
              </w:rPr>
            </w:pPr>
            <w:r>
              <w:rPr>
                <w:noProof/>
              </w:rPr>
              <w:t>Codul grupului de efort de pescuit</w:t>
            </w:r>
          </w:p>
        </w:tc>
      </w:tr>
      <w:tr>
        <w:trPr>
          <w:trHeight w:val="345"/>
        </w:trPr>
        <w:tc>
          <w:tcPr>
            <w:tcW w:w="1323" w:type="pct"/>
            <w:tcBorders>
              <w:top w:val="single" w:sz="8" w:space="0" w:color="auto"/>
              <w:bottom w:val="nil"/>
              <w:right w:val="nil"/>
            </w:tcBorders>
            <w:tcMar>
              <w:left w:w="10" w:type="dxa"/>
              <w:right w:w="10" w:type="dxa"/>
            </w:tcMar>
            <w:vAlign w:val="center"/>
          </w:tcPr>
          <w:p>
            <w:pPr>
              <w:rPr>
                <w:noProof/>
                <w:szCs w:val="24"/>
              </w:rPr>
            </w:pPr>
            <w:r>
              <w:rPr>
                <w:noProof/>
              </w:rPr>
              <w:t>Merluciu în subzonele geografice 8, 9, 10 și 11</w:t>
            </w:r>
          </w:p>
        </w:tc>
        <w:tc>
          <w:tcPr>
            <w:tcW w:w="1226"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&lt; 12 m</w:t>
            </w:r>
          </w:p>
        </w:tc>
        <w:tc>
          <w:tcPr>
            <w:tcW w:w="41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6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3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138" w:type="pct"/>
            <w:tcBorders>
              <w:top w:val="single" w:sz="8" w:space="0" w:color="auto"/>
              <w:left w:val="single" w:sz="8" w:space="0" w:color="auto"/>
              <w:bottom w:val="nil"/>
            </w:tcBorders>
            <w:tcMar>
              <w:left w:w="10" w:type="dxa"/>
              <w:right w:w="10" w:type="dxa"/>
            </w:tcMar>
            <w:vAlign w:val="center"/>
          </w:tcPr>
          <w:p>
            <w:pPr>
              <w:rPr>
                <w:noProof/>
                <w:szCs w:val="24"/>
              </w:rPr>
            </w:pPr>
            <w:r>
              <w:rPr>
                <w:noProof/>
              </w:rPr>
              <w:t>EFF1/MED2_LL1</w:t>
            </w:r>
          </w:p>
        </w:tc>
      </w:tr>
      <w:tr>
        <w:trPr>
          <w:trHeight w:val="345"/>
        </w:trPr>
        <w:tc>
          <w:tcPr>
            <w:tcW w:w="1323" w:type="pct"/>
            <w:tcBorders>
              <w:top w:val="single" w:sz="8" w:space="0" w:color="auto"/>
              <w:bottom w:val="nil"/>
              <w:right w:val="nil"/>
            </w:tcBorders>
            <w:tcMar>
              <w:left w:w="10" w:type="dxa"/>
              <w:right w:w="10" w:type="dxa"/>
            </w:tcMar>
          </w:tcPr>
          <w:p>
            <w:pPr>
              <w:rPr>
                <w:noProof/>
                <w:szCs w:val="24"/>
              </w:rPr>
            </w:pPr>
            <w:r>
              <w:rPr>
                <w:noProof/>
              </w:rPr>
              <w:t xml:space="preserve"> </w:t>
            </w:r>
          </w:p>
        </w:tc>
        <w:tc>
          <w:tcPr>
            <w:tcW w:w="1226"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 12 m și &lt; 18 m</w:t>
            </w:r>
          </w:p>
        </w:tc>
        <w:tc>
          <w:tcPr>
            <w:tcW w:w="41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6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3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138" w:type="pct"/>
            <w:tcBorders>
              <w:top w:val="single" w:sz="8" w:space="0" w:color="auto"/>
              <w:left w:val="single" w:sz="8" w:space="0" w:color="auto"/>
              <w:bottom w:val="nil"/>
            </w:tcBorders>
            <w:tcMar>
              <w:left w:w="10" w:type="dxa"/>
              <w:right w:w="10" w:type="dxa"/>
            </w:tcMar>
            <w:vAlign w:val="center"/>
          </w:tcPr>
          <w:p>
            <w:pPr>
              <w:rPr>
                <w:noProof/>
                <w:szCs w:val="24"/>
              </w:rPr>
            </w:pPr>
            <w:r>
              <w:rPr>
                <w:noProof/>
              </w:rPr>
              <w:t>EFF1/MED2_LL2</w:t>
            </w:r>
          </w:p>
        </w:tc>
      </w:tr>
      <w:tr>
        <w:trPr>
          <w:trHeight w:val="345"/>
        </w:trPr>
        <w:tc>
          <w:tcPr>
            <w:tcW w:w="1323" w:type="pct"/>
            <w:tcBorders>
              <w:top w:val="single" w:sz="8" w:space="0" w:color="auto"/>
              <w:bottom w:val="nil"/>
              <w:right w:val="nil"/>
            </w:tcBorders>
            <w:tcMar>
              <w:left w:w="10" w:type="dxa"/>
              <w:right w:w="10" w:type="dxa"/>
            </w:tcMar>
          </w:tcPr>
          <w:p>
            <w:pPr>
              <w:rPr>
                <w:noProof/>
                <w:szCs w:val="24"/>
              </w:rPr>
            </w:pPr>
            <w:r>
              <w:rPr>
                <w:noProof/>
              </w:rPr>
              <w:t xml:space="preserve"> </w:t>
            </w:r>
          </w:p>
        </w:tc>
        <w:tc>
          <w:tcPr>
            <w:tcW w:w="1226"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 18 m și &lt; 24 m</w:t>
            </w:r>
          </w:p>
        </w:tc>
        <w:tc>
          <w:tcPr>
            <w:tcW w:w="41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6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37"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1138" w:type="pct"/>
            <w:tcBorders>
              <w:top w:val="single" w:sz="8" w:space="0" w:color="auto"/>
              <w:left w:val="single" w:sz="8" w:space="0" w:color="auto"/>
              <w:bottom w:val="nil"/>
            </w:tcBorders>
            <w:tcMar>
              <w:left w:w="10" w:type="dxa"/>
              <w:right w:w="10" w:type="dxa"/>
            </w:tcMar>
            <w:vAlign w:val="center"/>
          </w:tcPr>
          <w:p>
            <w:pPr>
              <w:rPr>
                <w:noProof/>
                <w:szCs w:val="24"/>
              </w:rPr>
            </w:pPr>
            <w:r>
              <w:rPr>
                <w:noProof/>
              </w:rPr>
              <w:t>EFF1/MED2_LL3</w:t>
            </w:r>
          </w:p>
        </w:tc>
      </w:tr>
      <w:tr>
        <w:trPr>
          <w:trHeight w:val="345"/>
        </w:trPr>
        <w:tc>
          <w:tcPr>
            <w:tcW w:w="1323" w:type="pct"/>
            <w:tcBorders>
              <w:top w:val="single" w:sz="8" w:space="0" w:color="auto"/>
              <w:right w:val="nil"/>
            </w:tcBorders>
            <w:tcMar>
              <w:left w:w="10" w:type="dxa"/>
              <w:right w:w="10" w:type="dxa"/>
            </w:tcMar>
          </w:tcPr>
          <w:p>
            <w:pPr>
              <w:rPr>
                <w:noProof/>
                <w:szCs w:val="24"/>
              </w:rPr>
            </w:pPr>
            <w:r>
              <w:rPr>
                <w:noProof/>
              </w:rPr>
              <w:t xml:space="preserve"> </w:t>
            </w:r>
          </w:p>
        </w:tc>
        <w:tc>
          <w:tcPr>
            <w:tcW w:w="1226" w:type="pct"/>
            <w:tcBorders>
              <w:top w:val="single" w:sz="8" w:space="0" w:color="auto"/>
              <w:left w:val="single" w:sz="8" w:space="0" w:color="auto"/>
              <w:right w:val="nil"/>
            </w:tcBorders>
            <w:tcMar>
              <w:left w:w="10" w:type="dxa"/>
              <w:right w:w="10" w:type="dxa"/>
            </w:tcMar>
            <w:vAlign w:val="center"/>
          </w:tcPr>
          <w:p>
            <w:pPr>
              <w:rPr>
                <w:noProof/>
                <w:szCs w:val="24"/>
              </w:rPr>
            </w:pPr>
            <w:r>
              <w:rPr>
                <w:noProof/>
              </w:rPr>
              <w:t>≥ 24 m</w:t>
            </w:r>
          </w:p>
        </w:tc>
        <w:tc>
          <w:tcPr>
            <w:tcW w:w="413" w:type="pct"/>
            <w:tcBorders>
              <w:top w:val="single" w:sz="8" w:space="0" w:color="auto"/>
              <w:left w:val="single" w:sz="8" w:space="0" w:color="auto"/>
              <w:right w:val="nil"/>
            </w:tcBorders>
            <w:tcMar>
              <w:left w:w="10" w:type="dxa"/>
              <w:right w:w="10" w:type="dxa"/>
            </w:tcMar>
          </w:tcPr>
          <w:p>
            <w:pPr>
              <w:rPr>
                <w:noProof/>
                <w:szCs w:val="24"/>
              </w:rPr>
            </w:pPr>
            <w:r>
              <w:rPr>
                <w:noProof/>
              </w:rPr>
              <w:t>pm</w:t>
            </w:r>
          </w:p>
        </w:tc>
        <w:tc>
          <w:tcPr>
            <w:tcW w:w="463" w:type="pct"/>
            <w:tcBorders>
              <w:top w:val="single" w:sz="8" w:space="0" w:color="auto"/>
              <w:left w:val="single" w:sz="8" w:space="0" w:color="auto"/>
              <w:right w:val="nil"/>
            </w:tcBorders>
            <w:tcMar>
              <w:left w:w="10" w:type="dxa"/>
              <w:right w:w="10" w:type="dxa"/>
            </w:tcMar>
          </w:tcPr>
          <w:p>
            <w:pPr>
              <w:rPr>
                <w:noProof/>
                <w:szCs w:val="24"/>
              </w:rPr>
            </w:pPr>
            <w:r>
              <w:rPr>
                <w:noProof/>
              </w:rPr>
              <w:t>pm</w:t>
            </w:r>
          </w:p>
        </w:tc>
        <w:tc>
          <w:tcPr>
            <w:tcW w:w="437" w:type="pct"/>
            <w:tcBorders>
              <w:top w:val="single" w:sz="8" w:space="0" w:color="auto"/>
              <w:left w:val="single" w:sz="8" w:space="0" w:color="auto"/>
              <w:right w:val="nil"/>
            </w:tcBorders>
            <w:tcMar>
              <w:left w:w="10" w:type="dxa"/>
              <w:right w:w="10" w:type="dxa"/>
            </w:tcMar>
          </w:tcPr>
          <w:p>
            <w:pPr>
              <w:rPr>
                <w:noProof/>
                <w:szCs w:val="24"/>
              </w:rPr>
            </w:pPr>
            <w:r>
              <w:rPr>
                <w:noProof/>
              </w:rPr>
              <w:t>pm</w:t>
            </w:r>
          </w:p>
        </w:tc>
        <w:tc>
          <w:tcPr>
            <w:tcW w:w="1138" w:type="pct"/>
            <w:tcBorders>
              <w:top w:val="single" w:sz="8" w:space="0" w:color="auto"/>
              <w:left w:val="single" w:sz="8" w:space="0" w:color="auto"/>
            </w:tcBorders>
            <w:tcMar>
              <w:left w:w="10" w:type="dxa"/>
              <w:right w:w="10" w:type="dxa"/>
            </w:tcMar>
            <w:vAlign w:val="center"/>
          </w:tcPr>
          <w:p>
            <w:pPr>
              <w:rPr>
                <w:noProof/>
                <w:szCs w:val="24"/>
              </w:rPr>
            </w:pPr>
            <w:r>
              <w:rPr>
                <w:noProof/>
              </w:rPr>
              <w:t>EFF1/MED2_LL4</w:t>
            </w:r>
          </w:p>
        </w:tc>
      </w:tr>
    </w:tbl>
    <w:p>
      <w:pPr>
        <w:rPr>
          <w:rFonts w:eastAsia="Times New Roman"/>
          <w:b/>
          <w:noProof/>
          <w:szCs w:val="24"/>
        </w:rPr>
      </w:pPr>
    </w:p>
    <w:p>
      <w:pPr>
        <w:rPr>
          <w:noProof/>
        </w:rPr>
      </w:pPr>
      <w:r>
        <w:rPr>
          <w:noProof/>
        </w:rPr>
        <w:t>2. Limite maxime de captură pentru crevetele roșu (</w:t>
      </w:r>
      <w:r>
        <w:rPr>
          <w:i/>
          <w:iCs/>
          <w:noProof/>
        </w:rPr>
        <w:t>Aristeus antennatus</w:t>
      </w:r>
      <w:r>
        <w:rPr>
          <w:noProof/>
        </w:rPr>
        <w:t>) și crevetele roșu gigant (</w:t>
      </w:r>
      <w:r>
        <w:rPr>
          <w:i/>
          <w:iCs/>
          <w:noProof/>
        </w:rPr>
        <w:t>Aristaeomorpha foliacea</w:t>
      </w:r>
      <w:r>
        <w:rPr>
          <w:noProof/>
        </w:rPr>
        <w:t>)</w:t>
      </w:r>
    </w:p>
    <w:tbl>
      <w:tblPr>
        <w:tblW w:w="5235" w:type="pct"/>
        <w:tblInd w:w="-426" w:type="dxa"/>
        <w:shd w:val="clear" w:color="auto" w:fill="FFFFFF"/>
        <w:tblLayout w:type="fixed"/>
        <w:tblCellMar>
          <w:left w:w="0" w:type="dxa"/>
          <w:right w:w="0" w:type="dxa"/>
        </w:tblCellMar>
        <w:tblLook w:val="04A0" w:firstRow="1" w:lastRow="0" w:firstColumn="1" w:lastColumn="0" w:noHBand="0" w:noVBand="1"/>
      </w:tblPr>
      <w:tblGrid>
        <w:gridCol w:w="426"/>
        <w:gridCol w:w="9073"/>
      </w:tblGrid>
      <w:tr>
        <w:tc>
          <w:tcPr>
            <w:tcW w:w="224" w:type="pct"/>
            <w:shd w:val="clear" w:color="auto" w:fill="FFFFFF" w:themeFill="background1"/>
            <w:hideMark/>
          </w:tcPr>
          <w:p>
            <w:pPr>
              <w:rPr>
                <w:rFonts w:eastAsia="Times New Roman"/>
                <w:noProof/>
                <w:szCs w:val="24"/>
              </w:rPr>
            </w:pPr>
            <w:r>
              <w:rPr>
                <w:noProof/>
              </w:rPr>
              <w:t>(a)</w:t>
            </w:r>
          </w:p>
        </w:tc>
        <w:tc>
          <w:tcPr>
            <w:tcW w:w="4776" w:type="pct"/>
            <w:shd w:val="clear" w:color="auto" w:fill="FFFFFF" w:themeFill="background1"/>
            <w:hideMark/>
          </w:tcPr>
          <w:p>
            <w:pPr>
              <w:rPr>
                <w:noProof/>
              </w:rPr>
            </w:pPr>
            <w:r>
              <w:rPr>
                <w:noProof/>
              </w:rPr>
              <w:t>Posibilități de pescuit pentru crevetele roșu (</w:t>
            </w:r>
            <w:r>
              <w:rPr>
                <w:i/>
                <w:noProof/>
              </w:rPr>
              <w:t>Aristeus antennatus</w:t>
            </w:r>
            <w:r>
              <w:rPr>
                <w:noProof/>
              </w:rPr>
              <w:t>) în Marea Alboran, Insulele Baleare, nordul Spaniei și Golful Lion (subzonele geografice 1, 2, 5, 6 și 7) exprimate ca nivel maxim al capturilor în tone de greutate în viu</w:t>
            </w:r>
          </w:p>
          <w:p>
            <w:pPr>
              <w:rPr>
                <w:rFonts w:eastAsia="Times New Roman"/>
                <w:noProof/>
                <w:szCs w:val="24"/>
              </w:rPr>
            </w:pP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Look w:val="04A0" w:firstRow="1" w:lastRow="0" w:firstColumn="1" w:lastColumn="0" w:noHBand="0" w:noVBand="1"/>
            </w:tblPr>
            <w:tblGrid>
              <w:gridCol w:w="1559"/>
              <w:gridCol w:w="2499"/>
              <w:gridCol w:w="736"/>
              <w:gridCol w:w="1243"/>
              <w:gridCol w:w="3006"/>
            </w:tblGrid>
            <w:tr>
              <w:trPr>
                <w:trHeight w:val="690"/>
              </w:trPr>
              <w:tc>
                <w:tcPr>
                  <w:tcW w:w="862" w:type="pct"/>
                  <w:tcBorders>
                    <w:bottom w:val="nil"/>
                    <w:right w:val="nil"/>
                  </w:tcBorders>
                  <w:tcMar>
                    <w:left w:w="10" w:type="dxa"/>
                    <w:right w:w="10" w:type="dxa"/>
                  </w:tcMar>
                </w:tcPr>
                <w:p>
                  <w:pPr>
                    <w:rPr>
                      <w:b/>
                      <w:bCs/>
                      <w:noProof/>
                      <w:szCs w:val="24"/>
                    </w:rPr>
                  </w:pPr>
                  <w:r>
                    <w:rPr>
                      <w:b/>
                      <w:noProof/>
                    </w:rPr>
                    <w:t>Specia:</w:t>
                  </w:r>
                </w:p>
              </w:tc>
              <w:tc>
                <w:tcPr>
                  <w:tcW w:w="1789" w:type="pct"/>
                  <w:gridSpan w:val="2"/>
                  <w:tcBorders>
                    <w:left w:val="single" w:sz="8" w:space="0" w:color="auto"/>
                    <w:bottom w:val="nil"/>
                    <w:right w:val="nil"/>
                  </w:tcBorders>
                  <w:tcMar>
                    <w:left w:w="10" w:type="dxa"/>
                    <w:right w:w="10" w:type="dxa"/>
                  </w:tcMar>
                  <w:vAlign w:val="center"/>
                </w:tcPr>
                <w:p>
                  <w:pPr>
                    <w:rPr>
                      <w:b/>
                      <w:bCs/>
                      <w:noProof/>
                      <w:szCs w:val="24"/>
                    </w:rPr>
                  </w:pPr>
                  <w:r>
                    <w:rPr>
                      <w:b/>
                      <w:noProof/>
                    </w:rPr>
                    <w:t>Crevete roșu</w:t>
                  </w:r>
                </w:p>
                <w:p>
                  <w:pPr>
                    <w:rPr>
                      <w:b/>
                      <w:bCs/>
                      <w:noProof/>
                      <w:szCs w:val="24"/>
                    </w:rPr>
                  </w:pPr>
                  <w:r>
                    <w:rPr>
                      <w:b/>
                      <w:i/>
                      <w:noProof/>
                    </w:rPr>
                    <w:t>Aristeus antennatus</w:t>
                  </w:r>
                </w:p>
              </w:tc>
              <w:tc>
                <w:tcPr>
                  <w:tcW w:w="687" w:type="pct"/>
                  <w:tcBorders>
                    <w:left w:val="single" w:sz="8" w:space="0" w:color="auto"/>
                    <w:bottom w:val="nil"/>
                    <w:right w:val="nil"/>
                  </w:tcBorders>
                  <w:tcMar>
                    <w:left w:w="10" w:type="dxa"/>
                    <w:right w:w="10" w:type="dxa"/>
                  </w:tcMar>
                </w:tcPr>
                <w:p>
                  <w:pPr>
                    <w:rPr>
                      <w:b/>
                      <w:bCs/>
                      <w:noProof/>
                      <w:szCs w:val="24"/>
                    </w:rPr>
                  </w:pPr>
                  <w:r>
                    <w:rPr>
                      <w:b/>
                      <w:noProof/>
                    </w:rPr>
                    <w:t>Zona:</w:t>
                  </w:r>
                </w:p>
              </w:tc>
              <w:tc>
                <w:tcPr>
                  <w:tcW w:w="1663" w:type="pct"/>
                  <w:tcBorders>
                    <w:left w:val="single" w:sz="8" w:space="0" w:color="auto"/>
                    <w:bottom w:val="nil"/>
                  </w:tcBorders>
                  <w:tcMar>
                    <w:left w:w="10" w:type="dxa"/>
                    <w:right w:w="10" w:type="dxa"/>
                  </w:tcMar>
                  <w:vAlign w:val="center"/>
                </w:tcPr>
                <w:p>
                  <w:pPr>
                    <w:rPr>
                      <w:b/>
                      <w:bCs/>
                      <w:noProof/>
                      <w:szCs w:val="24"/>
                    </w:rPr>
                  </w:pPr>
                  <w:r>
                    <w:rPr>
                      <w:b/>
                      <w:noProof/>
                    </w:rPr>
                    <w:t>subzonele geografice 1, 2, 5, 6 și 7</w:t>
                  </w:r>
                </w:p>
                <w:p>
                  <w:pPr>
                    <w:rPr>
                      <w:b/>
                      <w:bCs/>
                      <w:noProof/>
                      <w:szCs w:val="24"/>
                    </w:rPr>
                  </w:pPr>
                  <w:r>
                    <w:rPr>
                      <w:b/>
                      <w:noProof/>
                    </w:rPr>
                    <w:t>(ARA/GF1-7)</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noProof/>
                    </w:rPr>
                    <w:t>Spania</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noProof/>
                    </w:rPr>
                    <w:t xml:space="preserve"> </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noProof/>
                    </w:rPr>
                    <w:t>Franța</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noProof/>
                    </w:rPr>
                    <w:t xml:space="preserve"> </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noProof/>
                    </w:rPr>
                    <w:t>Italia</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noProof/>
                    </w:rPr>
                    <w:t xml:space="preserve"> </w:t>
                  </w:r>
                </w:p>
              </w:tc>
            </w:tr>
            <w:tr>
              <w:trPr>
                <w:trHeight w:val="345"/>
              </w:trPr>
              <w:tc>
                <w:tcPr>
                  <w:tcW w:w="862" w:type="pct"/>
                  <w:tcBorders>
                    <w:top w:val="single" w:sz="8" w:space="0" w:color="auto"/>
                    <w:bottom w:val="nil"/>
                    <w:right w:val="nil"/>
                  </w:tcBorders>
                  <w:tcMar>
                    <w:left w:w="10" w:type="dxa"/>
                    <w:right w:w="10" w:type="dxa"/>
                  </w:tcMar>
                  <w:vAlign w:val="center"/>
                </w:tcPr>
                <w:p>
                  <w:pPr>
                    <w:rPr>
                      <w:noProof/>
                      <w:szCs w:val="24"/>
                    </w:rPr>
                  </w:pPr>
                  <w:r>
                    <w:rPr>
                      <w:noProof/>
                    </w:rPr>
                    <w:t>Uniune</w:t>
                  </w:r>
                </w:p>
              </w:tc>
              <w:tc>
                <w:tcPr>
                  <w:tcW w:w="1382"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407" w:type="pct"/>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350" w:type="pct"/>
                  <w:gridSpan w:val="2"/>
                  <w:tcBorders>
                    <w:top w:val="single" w:sz="8" w:space="0" w:color="auto"/>
                    <w:left w:val="single" w:sz="8" w:space="0" w:color="auto"/>
                    <w:bottom w:val="nil"/>
                  </w:tcBorders>
                  <w:tcMar>
                    <w:left w:w="10" w:type="dxa"/>
                    <w:right w:w="10" w:type="dxa"/>
                  </w:tcMar>
                </w:tcPr>
                <w:p>
                  <w:pPr>
                    <w:rPr>
                      <w:noProof/>
                      <w:szCs w:val="24"/>
                    </w:rPr>
                  </w:pPr>
                  <w:r>
                    <w:rPr>
                      <w:noProof/>
                    </w:rPr>
                    <w:t xml:space="preserve"> </w:t>
                  </w:r>
                </w:p>
              </w:tc>
            </w:tr>
            <w:tr>
              <w:trPr>
                <w:trHeight w:val="345"/>
              </w:trPr>
              <w:tc>
                <w:tcPr>
                  <w:tcW w:w="862" w:type="pct"/>
                  <w:tcBorders>
                    <w:top w:val="single" w:sz="8" w:space="0" w:color="auto"/>
                    <w:right w:val="nil"/>
                  </w:tcBorders>
                  <w:tcMar>
                    <w:left w:w="10" w:type="dxa"/>
                    <w:right w:w="10" w:type="dxa"/>
                  </w:tcMar>
                  <w:vAlign w:val="center"/>
                </w:tcPr>
                <w:p>
                  <w:pPr>
                    <w:rPr>
                      <w:noProof/>
                      <w:szCs w:val="24"/>
                    </w:rPr>
                  </w:pPr>
                  <w:r>
                    <w:rPr>
                      <w:noProof/>
                    </w:rPr>
                    <w:t>TAC</w:t>
                  </w:r>
                </w:p>
              </w:tc>
              <w:tc>
                <w:tcPr>
                  <w:tcW w:w="1382" w:type="pct"/>
                  <w:tcBorders>
                    <w:top w:val="single" w:sz="8" w:space="0" w:color="auto"/>
                    <w:left w:val="single" w:sz="8" w:space="0" w:color="auto"/>
                    <w:right w:val="nil"/>
                  </w:tcBorders>
                  <w:tcMar>
                    <w:left w:w="10" w:type="dxa"/>
                    <w:right w:w="10" w:type="dxa"/>
                  </w:tcMar>
                  <w:vAlign w:val="center"/>
                </w:tcPr>
                <w:p>
                  <w:pPr>
                    <w:rPr>
                      <w:noProof/>
                      <w:szCs w:val="24"/>
                    </w:rPr>
                  </w:pPr>
                  <w:r>
                    <w:rPr>
                      <w:noProof/>
                    </w:rPr>
                    <w:t>Nu se aplică</w:t>
                  </w:r>
                </w:p>
              </w:tc>
              <w:tc>
                <w:tcPr>
                  <w:tcW w:w="407" w:type="pct"/>
                  <w:tcBorders>
                    <w:top w:val="single" w:sz="8" w:space="0" w:color="auto"/>
                    <w:left w:val="single" w:sz="8" w:space="0" w:color="auto"/>
                    <w:right w:val="nil"/>
                  </w:tcBorders>
                  <w:tcMar>
                    <w:left w:w="10" w:type="dxa"/>
                    <w:right w:w="10" w:type="dxa"/>
                  </w:tcMar>
                </w:tcPr>
                <w:p>
                  <w:pPr>
                    <w:rPr>
                      <w:noProof/>
                      <w:szCs w:val="24"/>
                    </w:rPr>
                  </w:pPr>
                  <w:r>
                    <w:rPr>
                      <w:noProof/>
                    </w:rPr>
                    <w:t xml:space="preserve"> </w:t>
                  </w:r>
                </w:p>
              </w:tc>
              <w:tc>
                <w:tcPr>
                  <w:tcW w:w="2350" w:type="pct"/>
                  <w:gridSpan w:val="2"/>
                  <w:tcBorders>
                    <w:top w:val="single" w:sz="8" w:space="0" w:color="auto"/>
                    <w:left w:val="single" w:sz="8" w:space="0" w:color="auto"/>
                  </w:tcBorders>
                  <w:tcMar>
                    <w:left w:w="10" w:type="dxa"/>
                    <w:right w:w="10" w:type="dxa"/>
                  </w:tcMar>
                  <w:vAlign w:val="center"/>
                </w:tcPr>
                <w:p>
                  <w:pPr>
                    <w:rPr>
                      <w:noProof/>
                      <w:szCs w:val="24"/>
                    </w:rPr>
                  </w:pPr>
                  <w:r>
                    <w:rPr>
                      <w:noProof/>
                    </w:rPr>
                    <w:t>Nivelul maxim al capturilor</w:t>
                  </w:r>
                </w:p>
              </w:tc>
            </w:tr>
          </w:tbl>
          <w:p>
            <w:pPr>
              <w:rPr>
                <w:rFonts w:eastAsia="Times New Roman"/>
                <w:noProof/>
                <w:szCs w:val="24"/>
              </w:rPr>
            </w:pPr>
          </w:p>
        </w:tc>
      </w:tr>
      <w:tr>
        <w:tc>
          <w:tcPr>
            <w:tcW w:w="224" w:type="pct"/>
            <w:shd w:val="clear" w:color="auto" w:fill="FFFFFF" w:themeFill="background1"/>
            <w:hideMark/>
          </w:tcPr>
          <w:p>
            <w:pPr>
              <w:rPr>
                <w:rFonts w:eastAsia="Times New Roman"/>
                <w:noProof/>
                <w:szCs w:val="24"/>
              </w:rPr>
            </w:pPr>
            <w:r>
              <w:rPr>
                <w:noProof/>
              </w:rPr>
              <w:lastRenderedPageBreak/>
              <w:t>(b)</w:t>
            </w:r>
          </w:p>
        </w:tc>
        <w:tc>
          <w:tcPr>
            <w:tcW w:w="4776" w:type="pct"/>
            <w:shd w:val="clear" w:color="auto" w:fill="FFFFFF" w:themeFill="background1"/>
            <w:hideMark/>
          </w:tcPr>
          <w:p>
            <w:pPr>
              <w:rPr>
                <w:noProof/>
              </w:rPr>
            </w:pPr>
            <w:r>
              <w:rPr>
                <w:noProof/>
              </w:rPr>
              <w:t>Posibilități de pescuit pentru crevetele roșu (</w:t>
            </w:r>
            <w:r>
              <w:rPr>
                <w:i/>
                <w:noProof/>
              </w:rPr>
              <w:t>Aristeus antennatus</w:t>
            </w:r>
            <w:r>
              <w:rPr>
                <w:noProof/>
              </w:rPr>
              <w:t>) și crevete roșu gigant (</w:t>
            </w:r>
            <w:r>
              <w:rPr>
                <w:i/>
                <w:noProof/>
              </w:rPr>
              <w:t>Aristaeomorpha foliacea</w:t>
            </w:r>
            <w:r>
              <w:rPr>
                <w:noProof/>
              </w:rPr>
              <w:t>) în Corsica, Marea Ligurică, Marea Tireniană și Insula Sardinia (subzonele geografice 8, 9, 10 și 11) exprimate ca nivel maxim al capturilor în tone de greutate în viu</w:t>
            </w:r>
          </w:p>
          <w:p>
            <w:pPr>
              <w:rPr>
                <w:rFonts w:eastAsia="Times New Roman"/>
                <w:noProof/>
                <w:szCs w:val="24"/>
              </w:rPr>
            </w:pPr>
          </w:p>
        </w:tc>
      </w:tr>
      <w:tr>
        <w:trPr>
          <w:trHeight w:val="2505"/>
        </w:trPr>
        <w:tc>
          <w:tcPr>
            <w:tcW w:w="224" w:type="pct"/>
            <w:shd w:val="clear" w:color="auto" w:fill="FFFFFF" w:themeFill="background1"/>
            <w:hideMark/>
          </w:tcPr>
          <w:p>
            <w:pPr>
              <w:rPr>
                <w:rFonts w:eastAsia="Times New Roman"/>
                <w:noProof/>
                <w:szCs w:val="24"/>
              </w:rPr>
            </w:pPr>
          </w:p>
        </w:tc>
        <w:tc>
          <w:tcPr>
            <w:tcW w:w="4776" w:type="pct"/>
            <w:shd w:val="clear" w:color="auto" w:fill="FFFFFF" w:themeFill="background1"/>
            <w:hideMark/>
          </w:tcPr>
          <w:tbl>
            <w:tblPr>
              <w:tblW w:w="5000" w:type="pct"/>
              <w:tblLayout w:type="fixed"/>
              <w:tblLook w:val="04A0" w:firstRow="1" w:lastRow="0" w:firstColumn="1" w:lastColumn="0" w:noHBand="0" w:noVBand="1"/>
            </w:tblPr>
            <w:tblGrid>
              <w:gridCol w:w="1472"/>
              <w:gridCol w:w="2576"/>
              <w:gridCol w:w="252"/>
              <w:gridCol w:w="366"/>
              <w:gridCol w:w="295"/>
              <w:gridCol w:w="894"/>
              <w:gridCol w:w="252"/>
              <w:gridCol w:w="2946"/>
            </w:tblGrid>
            <w:tr>
              <w:trPr>
                <w:trHeight w:val="690"/>
              </w:trPr>
              <w:tc>
                <w:tcPr>
                  <w:tcW w:w="813" w:type="pct"/>
                  <w:tcBorders>
                    <w:top w:val="single" w:sz="8" w:space="0" w:color="auto"/>
                    <w:left w:val="single" w:sz="8" w:space="0" w:color="auto"/>
                    <w:bottom w:val="nil"/>
                    <w:right w:val="nil"/>
                  </w:tcBorders>
                  <w:tcMar>
                    <w:left w:w="10" w:type="dxa"/>
                    <w:right w:w="10" w:type="dxa"/>
                  </w:tcMar>
                </w:tcPr>
                <w:p>
                  <w:pPr>
                    <w:rPr>
                      <w:b/>
                      <w:bCs/>
                      <w:noProof/>
                      <w:szCs w:val="24"/>
                    </w:rPr>
                  </w:pPr>
                  <w:r>
                    <w:rPr>
                      <w:b/>
                      <w:noProof/>
                    </w:rPr>
                    <w:t>Specia:</w:t>
                  </w:r>
                </w:p>
              </w:tc>
              <w:tc>
                <w:tcPr>
                  <w:tcW w:w="1764" w:type="pct"/>
                  <w:gridSpan w:val="3"/>
                  <w:tcBorders>
                    <w:top w:val="single" w:sz="8" w:space="0" w:color="auto"/>
                    <w:left w:val="single" w:sz="8" w:space="0" w:color="auto"/>
                    <w:bottom w:val="nil"/>
                    <w:right w:val="nil"/>
                  </w:tcBorders>
                  <w:tcMar>
                    <w:left w:w="10" w:type="dxa"/>
                    <w:right w:w="10" w:type="dxa"/>
                  </w:tcMar>
                  <w:vAlign w:val="center"/>
                </w:tcPr>
                <w:p>
                  <w:pPr>
                    <w:rPr>
                      <w:b/>
                      <w:bCs/>
                      <w:noProof/>
                      <w:szCs w:val="24"/>
                    </w:rPr>
                  </w:pPr>
                  <w:r>
                    <w:rPr>
                      <w:b/>
                      <w:noProof/>
                    </w:rPr>
                    <w:t>Crevete roșu</w:t>
                  </w:r>
                </w:p>
                <w:p>
                  <w:pPr>
                    <w:rPr>
                      <w:b/>
                      <w:bCs/>
                      <w:noProof/>
                      <w:szCs w:val="24"/>
                    </w:rPr>
                  </w:pPr>
                  <w:r>
                    <w:rPr>
                      <w:b/>
                      <w:i/>
                      <w:noProof/>
                    </w:rPr>
                    <w:t>Aristeus antennatus</w:t>
                  </w:r>
                </w:p>
              </w:tc>
              <w:tc>
                <w:tcPr>
                  <w:tcW w:w="657" w:type="pct"/>
                  <w:gridSpan w:val="2"/>
                  <w:tcBorders>
                    <w:top w:val="single" w:sz="8" w:space="0" w:color="auto"/>
                    <w:left w:val="single" w:sz="8" w:space="0" w:color="auto"/>
                    <w:bottom w:val="nil"/>
                    <w:right w:val="nil"/>
                  </w:tcBorders>
                  <w:tcMar>
                    <w:left w:w="10" w:type="dxa"/>
                    <w:right w:w="10" w:type="dxa"/>
                  </w:tcMar>
                </w:tcPr>
                <w:p>
                  <w:pPr>
                    <w:rPr>
                      <w:b/>
                      <w:bCs/>
                      <w:noProof/>
                      <w:szCs w:val="24"/>
                    </w:rPr>
                  </w:pPr>
                  <w:r>
                    <w:rPr>
                      <w:b/>
                      <w:noProof/>
                    </w:rPr>
                    <w:t>Zona:</w:t>
                  </w:r>
                </w:p>
              </w:tc>
              <w:tc>
                <w:tcPr>
                  <w:tcW w:w="1766" w:type="pct"/>
                  <w:gridSpan w:val="2"/>
                  <w:tcBorders>
                    <w:top w:val="single" w:sz="8" w:space="0" w:color="auto"/>
                    <w:left w:val="single" w:sz="8" w:space="0" w:color="auto"/>
                    <w:bottom w:val="nil"/>
                    <w:right w:val="single" w:sz="8" w:space="0" w:color="auto"/>
                  </w:tcBorders>
                  <w:tcMar>
                    <w:left w:w="10" w:type="dxa"/>
                    <w:right w:w="10" w:type="dxa"/>
                  </w:tcMar>
                  <w:vAlign w:val="center"/>
                </w:tcPr>
                <w:p>
                  <w:pPr>
                    <w:rPr>
                      <w:b/>
                      <w:bCs/>
                      <w:noProof/>
                      <w:szCs w:val="24"/>
                    </w:rPr>
                  </w:pPr>
                  <w:r>
                    <w:rPr>
                      <w:b/>
                      <w:noProof/>
                    </w:rPr>
                    <w:t>subzonele geografice 8, 9, 10 și 11</w:t>
                  </w:r>
                </w:p>
                <w:p>
                  <w:pPr>
                    <w:rPr>
                      <w:b/>
                      <w:bCs/>
                      <w:noProof/>
                      <w:szCs w:val="24"/>
                    </w:rPr>
                  </w:pPr>
                  <w:r>
                    <w:rPr>
                      <w:b/>
                      <w:noProof/>
                    </w:rPr>
                    <w:t>(ARA/GF8-11)</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Spania</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Franța</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Italia</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Uniune</w:t>
                  </w:r>
                </w:p>
              </w:tc>
              <w:tc>
                <w:tcPr>
                  <w:tcW w:w="1423" w:type="pct"/>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Limita de captură de precauție</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TAC</w:t>
                  </w:r>
                </w:p>
              </w:tc>
              <w:tc>
                <w:tcPr>
                  <w:tcW w:w="142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Nu se aplică</w:t>
                  </w:r>
                </w:p>
              </w:tc>
              <w:tc>
                <w:tcPr>
                  <w:tcW w:w="341"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423" w:type="pct"/>
                  <w:gridSpan w:val="4"/>
                  <w:tcBorders>
                    <w:top w:val="single" w:sz="8" w:space="0" w:color="auto"/>
                    <w:left w:val="single" w:sz="8" w:space="0" w:color="auto"/>
                    <w:bottom w:val="nil"/>
                    <w:right w:val="single" w:sz="8" w:space="0" w:color="auto"/>
                  </w:tcBorders>
                  <w:tcMar>
                    <w:left w:w="10" w:type="dxa"/>
                    <w:right w:w="10" w:type="dxa"/>
                  </w:tcMar>
                  <w:vAlign w:val="center"/>
                </w:tcPr>
                <w:p>
                  <w:pPr>
                    <w:rPr>
                      <w:noProof/>
                      <w:szCs w:val="24"/>
                    </w:rPr>
                  </w:pPr>
                  <w:r>
                    <w:rPr>
                      <w:noProof/>
                    </w:rPr>
                    <w:t>Nivelul maxim al capturilor</w:t>
                  </w:r>
                </w:p>
              </w:tc>
            </w:tr>
            <w:tr>
              <w:trPr>
                <w:trHeight w:val="615"/>
              </w:trPr>
              <w:tc>
                <w:tcPr>
                  <w:tcW w:w="5000" w:type="pct"/>
                  <w:gridSpan w:val="8"/>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690"/>
              </w:trPr>
              <w:tc>
                <w:tcPr>
                  <w:tcW w:w="813" w:type="pct"/>
                  <w:tcBorders>
                    <w:top w:val="single" w:sz="8" w:space="0" w:color="auto"/>
                    <w:left w:val="single" w:sz="8" w:space="0" w:color="auto"/>
                    <w:bottom w:val="nil"/>
                    <w:right w:val="nil"/>
                  </w:tcBorders>
                  <w:tcMar>
                    <w:left w:w="10" w:type="dxa"/>
                    <w:right w:w="10" w:type="dxa"/>
                  </w:tcMar>
                </w:tcPr>
                <w:p>
                  <w:pPr>
                    <w:rPr>
                      <w:b/>
                      <w:bCs/>
                      <w:noProof/>
                      <w:szCs w:val="24"/>
                    </w:rPr>
                  </w:pPr>
                  <w:r>
                    <w:rPr>
                      <w:b/>
                      <w:noProof/>
                    </w:rPr>
                    <w:t>Specia:</w:t>
                  </w:r>
                </w:p>
              </w:tc>
              <w:tc>
                <w:tcPr>
                  <w:tcW w:w="1927" w:type="pct"/>
                  <w:gridSpan w:val="4"/>
                  <w:tcBorders>
                    <w:top w:val="single" w:sz="8" w:space="0" w:color="auto"/>
                    <w:left w:val="single" w:sz="8" w:space="0" w:color="auto"/>
                    <w:bottom w:val="nil"/>
                    <w:right w:val="nil"/>
                  </w:tcBorders>
                  <w:tcMar>
                    <w:left w:w="10" w:type="dxa"/>
                    <w:right w:w="10" w:type="dxa"/>
                  </w:tcMar>
                  <w:vAlign w:val="center"/>
                </w:tcPr>
                <w:p>
                  <w:pPr>
                    <w:rPr>
                      <w:b/>
                      <w:bCs/>
                      <w:noProof/>
                      <w:szCs w:val="24"/>
                    </w:rPr>
                  </w:pPr>
                  <w:r>
                    <w:rPr>
                      <w:b/>
                      <w:noProof/>
                    </w:rPr>
                    <w:t>Crevete roșu gigant</w:t>
                  </w:r>
                </w:p>
                <w:p>
                  <w:pPr>
                    <w:rPr>
                      <w:b/>
                      <w:bCs/>
                      <w:noProof/>
                      <w:szCs w:val="24"/>
                    </w:rPr>
                  </w:pPr>
                  <w:r>
                    <w:rPr>
                      <w:b/>
                      <w:i/>
                      <w:noProof/>
                    </w:rPr>
                    <w:t>Aristaeomorpha foliacea</w:t>
                  </w:r>
                </w:p>
              </w:tc>
              <w:tc>
                <w:tcPr>
                  <w:tcW w:w="633" w:type="pct"/>
                  <w:gridSpan w:val="2"/>
                  <w:tcBorders>
                    <w:top w:val="single" w:sz="8" w:space="0" w:color="auto"/>
                    <w:left w:val="single" w:sz="8" w:space="0" w:color="auto"/>
                    <w:bottom w:val="nil"/>
                    <w:right w:val="nil"/>
                  </w:tcBorders>
                  <w:tcMar>
                    <w:left w:w="10" w:type="dxa"/>
                    <w:right w:w="10" w:type="dxa"/>
                  </w:tcMar>
                </w:tcPr>
                <w:p>
                  <w:pPr>
                    <w:rPr>
                      <w:b/>
                      <w:bCs/>
                      <w:noProof/>
                      <w:szCs w:val="24"/>
                    </w:rPr>
                  </w:pPr>
                  <w:r>
                    <w:rPr>
                      <w:b/>
                      <w:noProof/>
                    </w:rPr>
                    <w:t>Zona:</w:t>
                  </w:r>
                </w:p>
              </w:tc>
              <w:tc>
                <w:tcPr>
                  <w:tcW w:w="1627" w:type="pct"/>
                  <w:tcBorders>
                    <w:top w:val="single" w:sz="8" w:space="0" w:color="auto"/>
                    <w:left w:val="single" w:sz="8" w:space="0" w:color="auto"/>
                    <w:bottom w:val="nil"/>
                    <w:right w:val="single" w:sz="8" w:space="0" w:color="auto"/>
                  </w:tcBorders>
                  <w:tcMar>
                    <w:left w:w="10" w:type="dxa"/>
                    <w:right w:w="10" w:type="dxa"/>
                  </w:tcMar>
                  <w:vAlign w:val="center"/>
                </w:tcPr>
                <w:p>
                  <w:pPr>
                    <w:rPr>
                      <w:b/>
                      <w:bCs/>
                      <w:noProof/>
                      <w:szCs w:val="24"/>
                    </w:rPr>
                  </w:pPr>
                  <w:r>
                    <w:rPr>
                      <w:b/>
                      <w:noProof/>
                    </w:rPr>
                    <w:t>subzonele geografice 8, 9, 10 și 11</w:t>
                  </w:r>
                </w:p>
                <w:p>
                  <w:pPr>
                    <w:rPr>
                      <w:b/>
                      <w:bCs/>
                      <w:noProof/>
                      <w:szCs w:val="24"/>
                    </w:rPr>
                  </w:pPr>
                  <w:r>
                    <w:rPr>
                      <w:b/>
                      <w:noProof/>
                    </w:rPr>
                    <w:t>(ARS/GF8-11)</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Spania</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Franța</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Italia</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noProof/>
                      <w:szCs w:val="24"/>
                    </w:rPr>
                  </w:pPr>
                  <w:r>
                    <w:rPr>
                      <w:noProof/>
                    </w:rPr>
                    <w:t xml:space="preserve"> </w:t>
                  </w:r>
                </w:p>
              </w:tc>
            </w:tr>
            <w:tr>
              <w:trPr>
                <w:trHeight w:val="345"/>
              </w:trPr>
              <w:tc>
                <w:tcPr>
                  <w:tcW w:w="813" w:type="pct"/>
                  <w:tcBorders>
                    <w:top w:val="single" w:sz="8" w:space="0" w:color="auto"/>
                    <w:left w:val="single" w:sz="8" w:space="0" w:color="auto"/>
                    <w:bottom w:val="nil"/>
                    <w:right w:val="nil"/>
                  </w:tcBorders>
                  <w:tcMar>
                    <w:left w:w="10" w:type="dxa"/>
                    <w:right w:w="10" w:type="dxa"/>
                  </w:tcMar>
                  <w:vAlign w:val="center"/>
                </w:tcPr>
                <w:p>
                  <w:pPr>
                    <w:rPr>
                      <w:noProof/>
                      <w:szCs w:val="24"/>
                    </w:rPr>
                  </w:pPr>
                  <w:r>
                    <w:rPr>
                      <w:noProof/>
                    </w:rPr>
                    <w:t>Uniune</w:t>
                  </w:r>
                </w:p>
              </w:tc>
              <w:tc>
                <w:tcPr>
                  <w:tcW w:w="1562"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pm</w:t>
                  </w:r>
                </w:p>
              </w:tc>
              <w:tc>
                <w:tcPr>
                  <w:tcW w:w="365" w:type="pct"/>
                  <w:gridSpan w:val="2"/>
                  <w:tcBorders>
                    <w:top w:val="single" w:sz="8" w:space="0" w:color="auto"/>
                    <w:left w:val="single" w:sz="8" w:space="0" w:color="auto"/>
                    <w:bottom w:val="nil"/>
                    <w:right w:val="nil"/>
                  </w:tcBorders>
                  <w:tcMar>
                    <w:left w:w="10" w:type="dxa"/>
                    <w:right w:w="10" w:type="dxa"/>
                  </w:tcMar>
                </w:tcPr>
                <w:p>
                  <w:pPr>
                    <w:rPr>
                      <w:noProof/>
                      <w:szCs w:val="24"/>
                    </w:rPr>
                  </w:pPr>
                  <w:r>
                    <w:rPr>
                      <w:noProof/>
                    </w:rPr>
                    <w:t xml:space="preserve"> </w:t>
                  </w:r>
                </w:p>
              </w:tc>
              <w:tc>
                <w:tcPr>
                  <w:tcW w:w="2259" w:type="pct"/>
                  <w:gridSpan w:val="3"/>
                  <w:tcBorders>
                    <w:top w:val="single" w:sz="8" w:space="0" w:color="auto"/>
                    <w:left w:val="single" w:sz="8" w:space="0" w:color="auto"/>
                    <w:bottom w:val="nil"/>
                    <w:right w:val="single" w:sz="8" w:space="0" w:color="auto"/>
                  </w:tcBorders>
                  <w:tcMar>
                    <w:left w:w="10" w:type="dxa"/>
                    <w:right w:w="10" w:type="dxa"/>
                  </w:tcMar>
                </w:tcPr>
                <w:p>
                  <w:pPr>
                    <w:rPr>
                      <w:rFonts w:eastAsia="Times New Roman"/>
                      <w:noProof/>
                      <w:szCs w:val="24"/>
                    </w:rPr>
                  </w:pPr>
                  <w:r>
                    <w:rPr>
                      <w:noProof/>
                    </w:rPr>
                    <w:t>Limite de captură analitice</w:t>
                  </w:r>
                </w:p>
                <w:p>
                  <w:pPr>
                    <w:rPr>
                      <w:rFonts w:eastAsia="Times New Roman"/>
                      <w:noProof/>
                      <w:szCs w:val="24"/>
                    </w:rPr>
                  </w:pPr>
                </w:p>
              </w:tc>
            </w:tr>
            <w:tr>
              <w:trPr>
                <w:trHeight w:val="195"/>
              </w:trPr>
              <w:tc>
                <w:tcPr>
                  <w:tcW w:w="5000" w:type="pct"/>
                  <w:gridSpan w:val="8"/>
                  <w:tcBorders>
                    <w:top w:val="single" w:sz="8" w:space="0" w:color="auto"/>
                    <w:left w:val="single" w:sz="8" w:space="0" w:color="auto"/>
                    <w:bottom w:val="single" w:sz="8" w:space="0" w:color="auto"/>
                    <w:right w:val="single" w:sz="8" w:space="0" w:color="auto"/>
                  </w:tcBorders>
                  <w:tcMar>
                    <w:left w:w="10" w:type="dxa"/>
                    <w:right w:w="10" w:type="dxa"/>
                  </w:tcMar>
                </w:tcPr>
                <w:p>
                  <w:pPr>
                    <w:rPr>
                      <w:rFonts w:eastAsia="Times New Roman"/>
                      <w:noProof/>
                      <w:szCs w:val="24"/>
                    </w:rPr>
                  </w:pPr>
                  <w:r>
                    <w:rPr>
                      <w:noProof/>
                    </w:rPr>
                    <w:t xml:space="preserve"> TAC                          Nu se aplică                                      Nivelul maxim al capturilor</w:t>
                  </w:r>
                </w:p>
              </w:tc>
            </w:tr>
          </w:tbl>
          <w:p>
            <w:pPr>
              <w:rPr>
                <w:rFonts w:eastAsia="Times New Roman"/>
                <w:noProof/>
                <w:szCs w:val="24"/>
              </w:rPr>
            </w:pPr>
          </w:p>
        </w:tc>
      </w:tr>
    </w:tbl>
    <w:p>
      <w:pPr>
        <w:rPr>
          <w:b/>
          <w:bCs/>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ANEXA V</w:t>
      </w:r>
    </w:p>
    <w:p>
      <w:pPr>
        <w:jc w:val="center"/>
        <w:rPr>
          <w:b/>
          <w:bCs/>
          <w:noProof/>
        </w:rPr>
      </w:pPr>
      <w:r>
        <w:rPr>
          <w:b/>
          <w:noProof/>
        </w:rPr>
        <w:t>POSIBILITĂȚI DE PESCUIT PENTRU NAVELE DE PESCUIT ALE UNIUNII ÎN MAREA ADRIATICĂ</w:t>
      </w:r>
    </w:p>
    <w:p>
      <w:pPr>
        <w:rPr>
          <w:rFonts w:eastAsia="Times New Roman"/>
          <w:noProof/>
          <w:szCs w:val="24"/>
        </w:rPr>
      </w:pPr>
      <w:r>
        <w:rPr>
          <w:noProof/>
        </w:rPr>
        <w:t>Posibilitățile de pescuit pe stoc sau pe grupuri de efort de pescuit și, după caz, condițiile legate funcțional de acestea, inclusiv numărul maxim de nave de pescuit din Uniune autorizate să pescuiască pești pelagici mici sunt stabilite în tabelele de mai jos.</w:t>
      </w:r>
    </w:p>
    <w:p>
      <w:pPr>
        <w:rPr>
          <w:rFonts w:eastAsia="Times New Roman"/>
          <w:noProof/>
          <w:szCs w:val="24"/>
        </w:rPr>
      </w:pPr>
      <w:r>
        <w:rPr>
          <w:noProof/>
        </w:rPr>
        <w:t>Toate posibilitățile de pescuit din prezenta anexă fac obiectul normelor stabilite la articolele 26-35 din Regulamentul (CE) nr. 1224/2009.</w:t>
      </w:r>
    </w:p>
    <w:p>
      <w:pPr>
        <w:rPr>
          <w:noProof/>
        </w:rPr>
      </w:pPr>
      <w:r>
        <w:rPr>
          <w:noProof/>
        </w:rPr>
        <w:t xml:space="preserve">Trimiterile la zonele de pescuit se referă la subzonele geografice CGPM. </w:t>
      </w:r>
    </w:p>
    <w:p>
      <w:pPr>
        <w:rPr>
          <w:rFonts w:eastAsia="Times New Roman"/>
          <w:noProof/>
          <w:szCs w:val="24"/>
        </w:rPr>
      </w:pPr>
      <w:r>
        <w:rPr>
          <w:noProof/>
        </w:rPr>
        <w:t>În sensul prezentei anexe, următorul tabel de corespondență indică denumirile în limba latină și denumirile comune: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669"/>
        <w:gridCol w:w="1922"/>
        <w:gridCol w:w="3498"/>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Denumire științifică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Codul alfa-3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Denumirea comună</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Engraulis encrasicolus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ANE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Hamsie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Merluccius merluccius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HKE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Merluciu</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Mullus barbatus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MUT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Barbun</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Nephrops norvegicus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NEP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Langustină</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Parapenaeus longirostris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DPS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Caridă-roz-de-adâncime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Sardina pilchardus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PIL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Sardină</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Solea solea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SOL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Limbă-de-mare comună</w:t>
            </w:r>
          </w:p>
        </w:tc>
      </w:tr>
    </w:tbl>
    <w:p>
      <w:pPr>
        <w:rPr>
          <w:noProof/>
        </w:rPr>
      </w:pPr>
    </w:p>
    <w:p>
      <w:pPr>
        <w:rPr>
          <w:noProof/>
        </w:rPr>
      </w:pPr>
      <w:r>
        <w:rPr>
          <w:noProof/>
        </w:rPr>
        <w:t>1. Stocuri de pești pelagici mici – subzonele geografice 17 și 18</w:t>
      </w:r>
    </w:p>
    <w:p>
      <w:pPr>
        <w:rPr>
          <w:noProof/>
        </w:rPr>
      </w:pPr>
      <w:r>
        <w:rPr>
          <w:noProof/>
        </w:rPr>
        <w:t>(a) Nivelul maxim al capturilor exprimat în tone de greutate în viu</w:t>
      </w:r>
    </w:p>
    <w:tbl>
      <w:tblPr>
        <w:tblOverlap w:val="never"/>
        <w:tblW w:w="0" w:type="auto"/>
        <w:jc w:val="center"/>
        <w:tblLayout w:type="fixed"/>
        <w:tblCellMar>
          <w:left w:w="10" w:type="dxa"/>
          <w:right w:w="10" w:type="dxa"/>
        </w:tblCellMar>
        <w:tblLook w:val="04A0" w:firstRow="1" w:lastRow="0" w:firstColumn="1" w:lastColumn="0" w:noHBand="0" w:noVBand="1"/>
      </w:tblPr>
      <w:tblGrid>
        <w:gridCol w:w="992"/>
        <w:gridCol w:w="1843"/>
        <w:gridCol w:w="1701"/>
        <w:gridCol w:w="708"/>
        <w:gridCol w:w="3864"/>
      </w:tblGrid>
      <w:tr>
        <w:trPr>
          <w:trHeight w:hRule="exact" w:val="791"/>
          <w:jc w:val="center"/>
        </w:trPr>
        <w:tc>
          <w:tcPr>
            <w:tcW w:w="992" w:type="dxa"/>
            <w:tcBorders>
              <w:top w:val="single" w:sz="4" w:space="0" w:color="auto"/>
              <w:left w:val="single" w:sz="4" w:space="0" w:color="auto"/>
            </w:tcBorders>
            <w:vAlign w:val="center"/>
          </w:tcPr>
          <w:p>
            <w:pPr>
              <w:rPr>
                <w:noProof/>
                <w:szCs w:val="24"/>
              </w:rPr>
            </w:pPr>
            <w:r>
              <w:rPr>
                <w:rStyle w:val="Other1"/>
                <w:noProof/>
                <w:sz w:val="24"/>
              </w:rPr>
              <w:t>Specia</w:t>
            </w:r>
          </w:p>
        </w:tc>
        <w:tc>
          <w:tcPr>
            <w:tcW w:w="3544" w:type="dxa"/>
            <w:gridSpan w:val="2"/>
            <w:tcBorders>
              <w:top w:val="single" w:sz="4" w:space="0" w:color="auto"/>
              <w:left w:val="single" w:sz="4" w:space="0" w:color="auto"/>
            </w:tcBorders>
            <w:vAlign w:val="center"/>
          </w:tcPr>
          <w:p>
            <w:pPr>
              <w:rPr>
                <w:noProof/>
                <w:szCs w:val="24"/>
              </w:rPr>
            </w:pPr>
            <w:r>
              <w:rPr>
                <w:rStyle w:val="Other1"/>
                <w:noProof/>
                <w:sz w:val="24"/>
              </w:rPr>
              <w:t>Specii de pești pelagici mici (hamsie și sardină)</w:t>
            </w:r>
          </w:p>
        </w:tc>
        <w:tc>
          <w:tcPr>
            <w:tcW w:w="708" w:type="dxa"/>
            <w:tcBorders>
              <w:top w:val="single" w:sz="4" w:space="0" w:color="auto"/>
              <w:left w:val="single" w:sz="4" w:space="0" w:color="auto"/>
            </w:tcBorders>
            <w:vAlign w:val="center"/>
          </w:tcPr>
          <w:p>
            <w:pPr>
              <w:rPr>
                <w:noProof/>
                <w:szCs w:val="24"/>
              </w:rPr>
            </w:pPr>
            <w:r>
              <w:rPr>
                <w:rStyle w:val="Other1"/>
                <w:noProof/>
                <w:sz w:val="24"/>
              </w:rPr>
              <w:t>Zona</w:t>
            </w:r>
          </w:p>
        </w:tc>
        <w:tc>
          <w:tcPr>
            <w:tcW w:w="3864" w:type="dxa"/>
            <w:tcBorders>
              <w:top w:val="single" w:sz="4" w:space="0" w:color="auto"/>
              <w:left w:val="single" w:sz="4" w:space="0" w:color="auto"/>
              <w:right w:val="single" w:sz="4" w:space="0" w:color="auto"/>
            </w:tcBorders>
            <w:vAlign w:val="center"/>
          </w:tcPr>
          <w:p>
            <w:pPr>
              <w:rPr>
                <w:noProof/>
                <w:szCs w:val="24"/>
              </w:rPr>
            </w:pPr>
            <w:r>
              <w:rPr>
                <w:rStyle w:val="Other1"/>
                <w:noProof/>
                <w:sz w:val="24"/>
              </w:rPr>
              <w:t>Apele Uniunii și apele internaționale din subzonele geografice CGPM 17 și 18</w:t>
            </w:r>
          </w:p>
        </w:tc>
      </w:tr>
      <w:tr>
        <w:trPr>
          <w:trHeight w:hRule="exact" w:val="1045"/>
          <w:jc w:val="center"/>
        </w:trPr>
        <w:tc>
          <w:tcPr>
            <w:tcW w:w="992" w:type="dxa"/>
            <w:tcBorders>
              <w:top w:val="single" w:sz="4" w:space="0" w:color="auto"/>
              <w:left w:val="single" w:sz="4" w:space="0" w:color="auto"/>
            </w:tcBorders>
          </w:tcPr>
          <w:p>
            <w:pPr>
              <w:rPr>
                <w:noProof/>
                <w:szCs w:val="24"/>
              </w:rPr>
            </w:pPr>
          </w:p>
        </w:tc>
        <w:tc>
          <w:tcPr>
            <w:tcW w:w="1843" w:type="dxa"/>
            <w:tcBorders>
              <w:top w:val="single" w:sz="4" w:space="0" w:color="auto"/>
              <w:left w:val="single" w:sz="4" w:space="0" w:color="auto"/>
            </w:tcBorders>
            <w:vAlign w:val="center"/>
          </w:tcPr>
          <w:p>
            <w:pPr>
              <w:rPr>
                <w:i/>
                <w:iCs/>
                <w:noProof/>
                <w:szCs w:val="24"/>
              </w:rPr>
            </w:pPr>
            <w:r>
              <w:rPr>
                <w:rStyle w:val="Other1"/>
                <w:i/>
                <w:noProof/>
                <w:sz w:val="24"/>
              </w:rPr>
              <w:t>Engraulis encrasicolus</w:t>
            </w:r>
          </w:p>
          <w:p>
            <w:pPr>
              <w:rPr>
                <w:noProof/>
                <w:szCs w:val="24"/>
              </w:rPr>
            </w:pPr>
            <w:r>
              <w:rPr>
                <w:rStyle w:val="Other1"/>
                <w:noProof/>
                <w:sz w:val="24"/>
              </w:rPr>
              <w:t>(ANE/GF1718)</w:t>
            </w:r>
          </w:p>
        </w:tc>
        <w:tc>
          <w:tcPr>
            <w:tcW w:w="1701" w:type="dxa"/>
            <w:tcBorders>
              <w:top w:val="single" w:sz="4" w:space="0" w:color="auto"/>
              <w:left w:val="single" w:sz="4" w:space="0" w:color="auto"/>
            </w:tcBorders>
            <w:vAlign w:val="center"/>
          </w:tcPr>
          <w:p>
            <w:pPr>
              <w:rPr>
                <w:i/>
                <w:iCs/>
                <w:noProof/>
                <w:szCs w:val="24"/>
              </w:rPr>
            </w:pPr>
            <w:r>
              <w:rPr>
                <w:rStyle w:val="Other1"/>
                <w:i/>
                <w:noProof/>
                <w:sz w:val="24"/>
              </w:rPr>
              <w:t>Sardina pilchardus</w:t>
            </w:r>
          </w:p>
          <w:p>
            <w:pPr>
              <w:rPr>
                <w:noProof/>
                <w:szCs w:val="24"/>
              </w:rPr>
            </w:pPr>
            <w:r>
              <w:rPr>
                <w:rStyle w:val="Other1"/>
                <w:noProof/>
                <w:sz w:val="24"/>
              </w:rPr>
              <w:t>(PIL/GF1718)</w:t>
            </w:r>
          </w:p>
        </w:tc>
        <w:tc>
          <w:tcPr>
            <w:tcW w:w="708" w:type="dxa"/>
            <w:tcBorders>
              <w:top w:val="single" w:sz="4" w:space="0" w:color="auto"/>
              <w:left w:val="single" w:sz="4" w:space="0" w:color="auto"/>
            </w:tcBorders>
          </w:tcPr>
          <w:p>
            <w:pPr>
              <w:rPr>
                <w:noProof/>
                <w:szCs w:val="24"/>
              </w:rPr>
            </w:pPr>
          </w:p>
        </w:tc>
        <w:tc>
          <w:tcPr>
            <w:tcW w:w="3864" w:type="dxa"/>
            <w:tcBorders>
              <w:top w:val="single" w:sz="4" w:space="0" w:color="auto"/>
              <w:left w:val="single" w:sz="4" w:space="0" w:color="auto"/>
              <w:right w:val="single" w:sz="4" w:space="0" w:color="auto"/>
            </w:tcBorders>
          </w:tcPr>
          <w:p>
            <w:pPr>
              <w:rPr>
                <w:noProof/>
                <w:szCs w:val="24"/>
              </w:rPr>
            </w:pPr>
          </w:p>
        </w:tc>
      </w:tr>
      <w:tr>
        <w:trPr>
          <w:trHeight w:hRule="exact" w:val="451"/>
          <w:jc w:val="center"/>
        </w:trPr>
        <w:tc>
          <w:tcPr>
            <w:tcW w:w="992" w:type="dxa"/>
            <w:tcBorders>
              <w:top w:val="single" w:sz="4" w:space="0" w:color="auto"/>
              <w:left w:val="single" w:sz="4" w:space="0" w:color="auto"/>
            </w:tcBorders>
            <w:vAlign w:val="center"/>
          </w:tcPr>
          <w:p>
            <w:pPr>
              <w:rPr>
                <w:noProof/>
                <w:szCs w:val="24"/>
              </w:rPr>
            </w:pPr>
            <w:r>
              <w:rPr>
                <w:rStyle w:val="Other1"/>
                <w:noProof/>
                <w:sz w:val="24"/>
              </w:rPr>
              <w:t>Italia</w:t>
            </w:r>
          </w:p>
        </w:tc>
        <w:tc>
          <w:tcPr>
            <w:tcW w:w="1843" w:type="dxa"/>
            <w:tcBorders>
              <w:top w:val="single" w:sz="4" w:space="0" w:color="auto"/>
              <w:left w:val="single" w:sz="4" w:space="0" w:color="auto"/>
            </w:tcBorders>
            <w:vAlign w:val="center"/>
          </w:tcPr>
          <w:p>
            <w:pPr>
              <w:rPr>
                <w:noProof/>
                <w:szCs w:val="24"/>
              </w:rPr>
            </w:pPr>
            <w:r>
              <w:rPr>
                <w:noProof/>
              </w:rPr>
              <w:t>pm</w:t>
            </w:r>
          </w:p>
        </w:tc>
        <w:tc>
          <w:tcPr>
            <w:tcW w:w="1701" w:type="dxa"/>
            <w:tcBorders>
              <w:top w:val="single" w:sz="4" w:space="0" w:color="auto"/>
              <w:left w:val="single" w:sz="4" w:space="0" w:color="auto"/>
            </w:tcBorders>
            <w:vAlign w:val="center"/>
          </w:tcPr>
          <w:p>
            <w:pPr>
              <w:rPr>
                <w:noProof/>
                <w:szCs w:val="24"/>
              </w:rPr>
            </w:pPr>
            <w:r>
              <w:rPr>
                <w:noProof/>
              </w:rPr>
              <w:t>pm</w:t>
            </w:r>
          </w:p>
        </w:tc>
        <w:tc>
          <w:tcPr>
            <w:tcW w:w="4572" w:type="dxa"/>
            <w:gridSpan w:val="2"/>
            <w:tcBorders>
              <w:top w:val="single" w:sz="4" w:space="0" w:color="auto"/>
              <w:left w:val="single" w:sz="4" w:space="0" w:color="auto"/>
              <w:right w:val="single" w:sz="4" w:space="0" w:color="auto"/>
            </w:tcBorders>
            <w:vAlign w:val="center"/>
          </w:tcPr>
          <w:p>
            <w:pPr>
              <w:rPr>
                <w:noProof/>
                <w:szCs w:val="24"/>
              </w:rPr>
            </w:pPr>
          </w:p>
        </w:tc>
      </w:tr>
      <w:tr>
        <w:trPr>
          <w:trHeight w:hRule="exact" w:val="451"/>
          <w:jc w:val="center"/>
        </w:trPr>
        <w:tc>
          <w:tcPr>
            <w:tcW w:w="992" w:type="dxa"/>
            <w:tcBorders>
              <w:top w:val="single" w:sz="4" w:space="0" w:color="auto"/>
              <w:left w:val="single" w:sz="4" w:space="0" w:color="auto"/>
            </w:tcBorders>
            <w:vAlign w:val="center"/>
          </w:tcPr>
          <w:p>
            <w:pPr>
              <w:rPr>
                <w:noProof/>
                <w:szCs w:val="24"/>
              </w:rPr>
            </w:pPr>
            <w:r>
              <w:rPr>
                <w:rStyle w:val="Other1"/>
                <w:noProof/>
                <w:sz w:val="24"/>
              </w:rPr>
              <w:t>Croația</w:t>
            </w:r>
          </w:p>
        </w:tc>
        <w:tc>
          <w:tcPr>
            <w:tcW w:w="1843" w:type="dxa"/>
            <w:tcBorders>
              <w:top w:val="single" w:sz="4" w:space="0" w:color="auto"/>
              <w:left w:val="single" w:sz="4" w:space="0" w:color="auto"/>
            </w:tcBorders>
            <w:vAlign w:val="center"/>
          </w:tcPr>
          <w:p>
            <w:pPr>
              <w:rPr>
                <w:noProof/>
                <w:szCs w:val="24"/>
              </w:rPr>
            </w:pPr>
            <w:r>
              <w:rPr>
                <w:noProof/>
              </w:rPr>
              <w:t>pm</w:t>
            </w:r>
          </w:p>
        </w:tc>
        <w:tc>
          <w:tcPr>
            <w:tcW w:w="1701" w:type="dxa"/>
            <w:tcBorders>
              <w:top w:val="single" w:sz="4" w:space="0" w:color="auto"/>
              <w:left w:val="single" w:sz="4" w:space="0" w:color="auto"/>
            </w:tcBorders>
            <w:vAlign w:val="center"/>
          </w:tcPr>
          <w:p>
            <w:pPr>
              <w:rPr>
                <w:noProof/>
                <w:szCs w:val="24"/>
              </w:rPr>
            </w:pPr>
            <w:r>
              <w:rPr>
                <w:noProof/>
              </w:rPr>
              <w:t>pm</w:t>
            </w:r>
          </w:p>
        </w:tc>
        <w:tc>
          <w:tcPr>
            <w:tcW w:w="4572" w:type="dxa"/>
            <w:gridSpan w:val="2"/>
            <w:tcBorders>
              <w:top w:val="single" w:sz="4" w:space="0" w:color="auto"/>
              <w:left w:val="single" w:sz="4" w:space="0" w:color="auto"/>
              <w:right w:val="single" w:sz="4" w:space="0" w:color="auto"/>
            </w:tcBorders>
          </w:tcPr>
          <w:p>
            <w:pPr>
              <w:rPr>
                <w:noProof/>
                <w:szCs w:val="24"/>
              </w:rPr>
            </w:pPr>
          </w:p>
        </w:tc>
      </w:tr>
      <w:tr>
        <w:trPr>
          <w:trHeight w:hRule="exact" w:val="451"/>
          <w:jc w:val="center"/>
        </w:trPr>
        <w:tc>
          <w:tcPr>
            <w:tcW w:w="992" w:type="dxa"/>
            <w:tcBorders>
              <w:top w:val="single" w:sz="4" w:space="0" w:color="auto"/>
              <w:left w:val="single" w:sz="4" w:space="0" w:color="auto"/>
            </w:tcBorders>
            <w:vAlign w:val="center"/>
          </w:tcPr>
          <w:p>
            <w:pPr>
              <w:rPr>
                <w:rStyle w:val="Other1"/>
                <w:noProof/>
                <w:sz w:val="24"/>
                <w:szCs w:val="24"/>
              </w:rPr>
            </w:pPr>
            <w:r>
              <w:rPr>
                <w:rStyle w:val="Other1"/>
                <w:noProof/>
                <w:sz w:val="24"/>
              </w:rPr>
              <w:t>Slovenia</w:t>
            </w:r>
          </w:p>
        </w:tc>
        <w:tc>
          <w:tcPr>
            <w:tcW w:w="1843" w:type="dxa"/>
            <w:tcBorders>
              <w:top w:val="single" w:sz="4" w:space="0" w:color="auto"/>
              <w:left w:val="single" w:sz="4" w:space="0" w:color="auto"/>
            </w:tcBorders>
            <w:vAlign w:val="center"/>
          </w:tcPr>
          <w:p>
            <w:pPr>
              <w:rPr>
                <w:rStyle w:val="Other1"/>
                <w:noProof/>
                <w:sz w:val="24"/>
                <w:szCs w:val="24"/>
              </w:rPr>
            </w:pPr>
            <w:r>
              <w:rPr>
                <w:noProof/>
              </w:rPr>
              <w:t>pm</w:t>
            </w:r>
          </w:p>
        </w:tc>
        <w:tc>
          <w:tcPr>
            <w:tcW w:w="1701" w:type="dxa"/>
            <w:tcBorders>
              <w:top w:val="single" w:sz="4" w:space="0" w:color="auto"/>
              <w:left w:val="single" w:sz="4" w:space="0" w:color="auto"/>
            </w:tcBorders>
            <w:vAlign w:val="center"/>
          </w:tcPr>
          <w:p>
            <w:pPr>
              <w:rPr>
                <w:rStyle w:val="Other1"/>
                <w:noProof/>
                <w:sz w:val="24"/>
                <w:szCs w:val="24"/>
              </w:rPr>
            </w:pPr>
            <w:r>
              <w:rPr>
                <w:noProof/>
              </w:rPr>
              <w:t>pm</w:t>
            </w:r>
          </w:p>
        </w:tc>
        <w:tc>
          <w:tcPr>
            <w:tcW w:w="4572" w:type="dxa"/>
            <w:gridSpan w:val="2"/>
            <w:tcBorders>
              <w:top w:val="single" w:sz="4" w:space="0" w:color="auto"/>
              <w:left w:val="single" w:sz="4" w:space="0" w:color="auto"/>
              <w:right w:val="single" w:sz="4" w:space="0" w:color="auto"/>
            </w:tcBorders>
          </w:tcPr>
          <w:p>
            <w:pPr>
              <w:rPr>
                <w:noProof/>
                <w:szCs w:val="24"/>
              </w:rPr>
            </w:pPr>
          </w:p>
        </w:tc>
      </w:tr>
      <w:tr>
        <w:trPr>
          <w:trHeight w:val="300"/>
          <w:jc w:val="center"/>
        </w:trPr>
        <w:tc>
          <w:tcPr>
            <w:tcW w:w="992" w:type="dxa"/>
            <w:tcBorders>
              <w:top w:val="single" w:sz="4" w:space="0" w:color="auto"/>
              <w:left w:val="single" w:sz="4" w:space="0" w:color="auto"/>
            </w:tcBorders>
            <w:vAlign w:val="center"/>
          </w:tcPr>
          <w:p>
            <w:pPr>
              <w:rPr>
                <w:rStyle w:val="Other1"/>
                <w:noProof/>
                <w:sz w:val="24"/>
                <w:szCs w:val="24"/>
              </w:rPr>
            </w:pPr>
            <w:r>
              <w:rPr>
                <w:rStyle w:val="Other1"/>
                <w:noProof/>
                <w:sz w:val="24"/>
              </w:rPr>
              <w:t>Uniune</w:t>
            </w:r>
          </w:p>
        </w:tc>
        <w:tc>
          <w:tcPr>
            <w:tcW w:w="1843" w:type="dxa"/>
            <w:tcBorders>
              <w:top w:val="single" w:sz="4" w:space="0" w:color="auto"/>
              <w:left w:val="single" w:sz="4" w:space="0" w:color="auto"/>
            </w:tcBorders>
            <w:vAlign w:val="center"/>
          </w:tcPr>
          <w:p>
            <w:pPr>
              <w:rPr>
                <w:rStyle w:val="Other1"/>
                <w:noProof/>
                <w:sz w:val="24"/>
                <w:szCs w:val="24"/>
              </w:rPr>
            </w:pPr>
            <w:r>
              <w:rPr>
                <w:noProof/>
              </w:rPr>
              <w:t>pm</w:t>
            </w:r>
          </w:p>
        </w:tc>
        <w:tc>
          <w:tcPr>
            <w:tcW w:w="1701" w:type="dxa"/>
            <w:tcBorders>
              <w:top w:val="single" w:sz="4" w:space="0" w:color="auto"/>
              <w:left w:val="single" w:sz="4" w:space="0" w:color="auto"/>
            </w:tcBorders>
            <w:vAlign w:val="center"/>
          </w:tcPr>
          <w:p>
            <w:pPr>
              <w:rPr>
                <w:rStyle w:val="Other1"/>
                <w:noProof/>
                <w:sz w:val="24"/>
                <w:szCs w:val="24"/>
              </w:rPr>
            </w:pPr>
            <w:r>
              <w:rPr>
                <w:noProof/>
              </w:rPr>
              <w:t>pm</w:t>
            </w:r>
          </w:p>
        </w:tc>
        <w:tc>
          <w:tcPr>
            <w:tcW w:w="4572" w:type="dxa"/>
            <w:gridSpan w:val="2"/>
            <w:tcBorders>
              <w:top w:val="single" w:sz="4" w:space="0" w:color="auto"/>
              <w:left w:val="single" w:sz="4" w:space="0" w:color="auto"/>
              <w:right w:val="single" w:sz="4" w:space="0" w:color="auto"/>
            </w:tcBorders>
          </w:tcPr>
          <w:p>
            <w:pPr>
              <w:rPr>
                <w:noProof/>
              </w:rPr>
            </w:pPr>
          </w:p>
        </w:tc>
      </w:tr>
      <w:tr>
        <w:trPr>
          <w:trHeight w:hRule="exact" w:val="469"/>
          <w:jc w:val="center"/>
        </w:trPr>
        <w:tc>
          <w:tcPr>
            <w:tcW w:w="992" w:type="dxa"/>
            <w:tcBorders>
              <w:top w:val="single" w:sz="4" w:space="0" w:color="auto"/>
              <w:left w:val="single" w:sz="4" w:space="0" w:color="auto"/>
              <w:bottom w:val="single" w:sz="4" w:space="0" w:color="auto"/>
            </w:tcBorders>
            <w:vAlign w:val="center"/>
          </w:tcPr>
          <w:p>
            <w:pPr>
              <w:rPr>
                <w:noProof/>
                <w:szCs w:val="24"/>
              </w:rPr>
            </w:pPr>
            <w:r>
              <w:rPr>
                <w:rStyle w:val="Other1"/>
                <w:noProof/>
                <w:sz w:val="24"/>
              </w:rPr>
              <w:t>TAC</w:t>
            </w:r>
          </w:p>
        </w:tc>
        <w:tc>
          <w:tcPr>
            <w:tcW w:w="3544" w:type="dxa"/>
            <w:gridSpan w:val="2"/>
            <w:tcBorders>
              <w:top w:val="single" w:sz="4" w:space="0" w:color="auto"/>
              <w:left w:val="single" w:sz="4" w:space="0" w:color="auto"/>
              <w:bottom w:val="single" w:sz="4" w:space="0" w:color="auto"/>
            </w:tcBorders>
            <w:vAlign w:val="center"/>
          </w:tcPr>
          <w:p>
            <w:pPr>
              <w:rPr>
                <w:noProof/>
                <w:szCs w:val="24"/>
              </w:rPr>
            </w:pPr>
            <w:r>
              <w:rPr>
                <w:rStyle w:val="Other1"/>
                <w:noProof/>
                <w:sz w:val="24"/>
              </w:rPr>
              <w:t>Nu se aplică</w:t>
            </w:r>
          </w:p>
        </w:tc>
        <w:tc>
          <w:tcPr>
            <w:tcW w:w="4572" w:type="dxa"/>
            <w:gridSpan w:val="2"/>
            <w:tcBorders>
              <w:top w:val="single" w:sz="4" w:space="0" w:color="auto"/>
              <w:left w:val="single" w:sz="4" w:space="0" w:color="auto"/>
              <w:bottom w:val="single" w:sz="4" w:space="0" w:color="auto"/>
              <w:right w:val="single" w:sz="4" w:space="0" w:color="auto"/>
            </w:tcBorders>
          </w:tcPr>
          <w:p>
            <w:pPr>
              <w:rPr>
                <w:noProof/>
                <w:szCs w:val="24"/>
              </w:rPr>
            </w:pPr>
          </w:p>
        </w:tc>
      </w:tr>
    </w:tbl>
    <w:p>
      <w:pPr>
        <w:rPr>
          <w:rFonts w:eastAsia="Times New Roman"/>
          <w:noProof/>
          <w:sz w:val="19"/>
          <w:szCs w:val="19"/>
        </w:rPr>
      </w:pPr>
    </w:p>
    <w:p>
      <w:pPr>
        <w:rPr>
          <w:noProof/>
        </w:rPr>
      </w:pPr>
      <w:r>
        <w:rPr>
          <w:noProof/>
        </w:rPr>
        <w:t>(b) Capacitatea maximă a flotei de traulere și de nave de pescuit cu plasă-pungă care pescuiesc în mod activ pești pelagici mici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978"/>
        <w:gridCol w:w="2392"/>
        <w:gridCol w:w="2257"/>
        <w:gridCol w:w="1231"/>
        <w:gridCol w:w="1231"/>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bookmarkStart w:id="1" w:name="_Hlk168408828"/>
            <w:r>
              <w:rPr>
                <w:b/>
                <w:noProof/>
                <w:sz w:val="22"/>
              </w:rPr>
              <w:lastRenderedPageBreak/>
              <w:t>Statul membru</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Unealta de pescuit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Numărul de nave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kW</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TB</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Croația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249</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77 145,52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18 537,72</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Italia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PTM, OTM și 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187</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64655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14065</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Slovenia</w:t>
            </w:r>
            <w:hyperlink r:id="rId23" w:anchor="ntr2-L_2022021EN.01018201-E0002" w:history="1">
              <w:r>
                <w:rPr>
                  <w:noProof/>
                  <w:sz w:val="22"/>
                  <w:u w:val="single"/>
                </w:rPr>
                <w:t> (</w:t>
              </w:r>
              <w:r>
                <w:rPr>
                  <w:noProof/>
                  <w:sz w:val="15"/>
                  <w:vertAlign w:val="superscript"/>
                </w:rPr>
                <w:t>*</w:t>
              </w:r>
              <w:r>
                <w:rPr>
                  <w:noProof/>
                  <w:sz w:val="22"/>
                  <w:u w:val="single"/>
                </w:rPr>
                <w:t>)</w:t>
              </w:r>
            </w:hyperlink>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PS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433,7</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rPr>
            </w:pPr>
            <w:r>
              <w:rPr>
                <w:noProof/>
                <w:sz w:val="22"/>
              </w:rPr>
              <w:t>38,5</w:t>
            </w:r>
          </w:p>
        </w:tc>
      </w:tr>
    </w:tbl>
    <w:bookmarkEnd w:id="1"/>
    <w:p>
      <w:pPr>
        <w:rPr>
          <w:noProof/>
          <w:sz w:val="19"/>
          <w:szCs w:val="19"/>
          <w:shd w:val="clear" w:color="auto" w:fill="FFFFFF"/>
        </w:rPr>
      </w:pPr>
      <w:r>
        <w:rPr>
          <w:noProof/>
          <w:sz w:val="19"/>
          <w:shd w:val="clear" w:color="auto" w:fill="FFFFFF"/>
        </w:rPr>
        <w:t>(*) Punctul 28 din CGPM/44/2021/20 nu se aplică flotelor naționale de mai puțin de zece nave cu plasă-pungă sau traulere pelagice care pescuiesc activ stocuri de pești pelagici mici, astfel cum sunt înregistrate atât în registrul național, cât și în registrul CGPM în 2014, așa cum e cazul Sloveniei. În acest caz, capacitatea flotei active poate crește cu cel mult 50 % în ceea ce privește numărul de nave și tonajul brut (TB), tonajul registru brut (TRB) și kW.</w:t>
      </w:r>
    </w:p>
    <w:p>
      <w:pPr>
        <w:rPr>
          <w:noProof/>
        </w:rPr>
      </w:pPr>
      <w:r>
        <w:rPr>
          <w:noProof/>
        </w:rPr>
        <w:t>2. Stocuri demersale – subzonele geografice 17 și 18</w:t>
      </w:r>
    </w:p>
    <w:p>
      <w:pPr>
        <w:rPr>
          <w:b/>
          <w:bCs/>
          <w:i/>
          <w:iCs/>
          <w:noProof/>
        </w:rPr>
      </w:pPr>
      <w:r>
        <w:rPr>
          <w:b/>
          <w:i/>
          <w:noProof/>
        </w:rPr>
        <w:t>[SPAȚIU REZERVAT]</w:t>
      </w: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rFonts w:eastAsia="Times New Roman"/>
          <w:noProof/>
        </w:rPr>
      </w:pPr>
    </w:p>
    <w:p>
      <w:pPr>
        <w:rPr>
          <w:noProof/>
        </w:rPr>
      </w:pPr>
    </w:p>
    <w:p>
      <w:pPr>
        <w:rPr>
          <w:noProof/>
        </w:rPr>
      </w:pPr>
    </w:p>
    <w:p>
      <w:pPr>
        <w:rPr>
          <w:noProof/>
        </w:rPr>
      </w:pPr>
    </w:p>
    <w:p>
      <w:pPr>
        <w:rP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ANEXA VI</w:t>
      </w:r>
    </w:p>
    <w:p>
      <w:pPr>
        <w:jc w:val="center"/>
        <w:rPr>
          <w:b/>
          <w:bCs/>
          <w:noProof/>
        </w:rPr>
      </w:pPr>
      <w:r>
        <w:rPr>
          <w:b/>
          <w:noProof/>
        </w:rPr>
        <w:t>POSIBILITĂȚI DE PESCUIT PENTRU NAVELE DE PESCUIT ALE UNIUNII ÎN STRÂMTOAREA SICILIEI</w:t>
      </w:r>
    </w:p>
    <w:p>
      <w:pPr>
        <w:rPr>
          <w:noProof/>
        </w:rPr>
      </w:pPr>
    </w:p>
    <w:p>
      <w:pPr>
        <w:rPr>
          <w:noProof/>
        </w:rPr>
      </w:pPr>
      <w:r>
        <w:rPr>
          <w:noProof/>
        </w:rPr>
        <w:t xml:space="preserve">Posibilitățile de pescuit pe stoc sau pe grupuri de efort de pescuit și, după caz, condițiile legate funcțional de acestea, inclusiv numărul maxim de nave de pescuit din Uniune autorizate să pescuiască specii demersale și creveți de adâncime sunt stabilite în tabelele de mai jos. </w:t>
      </w:r>
    </w:p>
    <w:p>
      <w:pPr>
        <w:rPr>
          <w:noProof/>
        </w:rPr>
      </w:pPr>
      <w:r>
        <w:rPr>
          <w:noProof/>
        </w:rPr>
        <w:t xml:space="preserve">Toate posibilitățile de pescuit din prezenta anexă fac obiectul normelor stabilite la articolele 26-35 din Regulamentul (CE) nr. 1224/2009. </w:t>
      </w:r>
    </w:p>
    <w:p>
      <w:pPr>
        <w:rPr>
          <w:noProof/>
        </w:rPr>
      </w:pPr>
      <w:r>
        <w:rPr>
          <w:noProof/>
        </w:rPr>
        <w:t xml:space="preserve">Trimiterile la zonele de pescuit se referă la subzonele geografice CGPM. </w:t>
      </w:r>
    </w:p>
    <w:p>
      <w:pPr>
        <w:rPr>
          <w:noProof/>
        </w:rPr>
      </w:pPr>
      <w:r>
        <w:rPr>
          <w:noProof/>
        </w:rPr>
        <w:t>În sensul prezentei anexe, următorul tabel de corespondență indică denumirile în limba latină și denumirile comune: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967"/>
        <w:gridCol w:w="1906"/>
        <w:gridCol w:w="3782"/>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Denumire științifică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Codul alfa-3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Denumirea comună</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Merluccius merluccius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HKE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Merluciu</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Parapenaeus longirostris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DPS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Caridă-roz-de-adâncime</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Aristaeomorpha foliacea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Crevete roșu gigant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Aristeus antennatus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Crevete roșu</w:t>
            </w:r>
          </w:p>
        </w:tc>
      </w:tr>
    </w:tbl>
    <w:p>
      <w:pPr>
        <w:rPr>
          <w:bCs/>
          <w:iCs/>
          <w:noProof/>
        </w:rPr>
      </w:pPr>
    </w:p>
    <w:p>
      <w:pPr>
        <w:rPr>
          <w:noProof/>
        </w:rPr>
      </w:pPr>
      <w:r>
        <w:rPr>
          <w:noProof/>
        </w:rPr>
        <w:t xml:space="preserve">1. Stocuri demersale </w:t>
      </w:r>
    </w:p>
    <w:p>
      <w:pPr>
        <w:rPr>
          <w:noProof/>
        </w:rPr>
      </w:pPr>
      <w:r>
        <w:rPr>
          <w:noProof/>
        </w:rPr>
        <w:t>(a) Capacitatea maximă a flotei de traulere de fund autorizate să pescuiască specii demersale în Strâmtoarea Siciliei (subzonele geografice 12, 13, 14, 15 și 16), exprimată în număr de nave, kW și tonaj brut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252"/>
        <w:gridCol w:w="2722"/>
        <w:gridCol w:w="2568"/>
        <w:gridCol w:w="1143"/>
        <w:gridCol w:w="970"/>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Statul membru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Unealta de pescuit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Numărul de nave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TB</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Cipru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265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105</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Spania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118</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Italia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594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144 175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36 856</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noProof/>
              </w:rPr>
            </w:pPr>
            <w:r>
              <w:rPr>
                <w:noProof/>
              </w:rPr>
              <w:t>Malta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5 562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2 007</w:t>
            </w:r>
          </w:p>
        </w:tc>
      </w:tr>
    </w:tbl>
    <w:p>
      <w:pPr>
        <w:rPr>
          <w:noProof/>
        </w:rPr>
      </w:pPr>
      <w:r>
        <w:rPr>
          <w:noProof/>
        </w:rPr>
        <w:t>(b) Nivelul maxim al efortului de pescuit (în număr de zile de pescuit) pentru traulerele cu panouri (OTB) care vizează merluciul (</w:t>
      </w:r>
      <w:r>
        <w:rPr>
          <w:i/>
          <w:noProof/>
        </w:rPr>
        <w:t>Merluccius merluccius</w:t>
      </w:r>
      <w:r>
        <w:rPr>
          <w:noProof/>
        </w:rPr>
        <w:t>) în Strâmtoarea Siciliei (subzonele geografice 12, 13, 14, 15 și 16)</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576"/>
        <w:gridCol w:w="1904"/>
        <w:gridCol w:w="1670"/>
        <w:gridCol w:w="2460"/>
        <w:gridCol w:w="2045"/>
      </w:tblGrid>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Statul membru</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Unealta de pescuit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Lungimea navei</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Codul grupului de efort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bCs/>
                <w:noProof/>
              </w:rPr>
            </w:pPr>
            <w:r>
              <w:rPr>
                <w:b/>
                <w:noProof/>
                <w:sz w:val="22"/>
              </w:rPr>
              <w:t>Zile de pescuit 2027</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CYP</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T-07</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T-10</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E</w:t>
            </w:r>
            <w:r>
              <w:rPr>
                <w:noProof/>
              </w:rPr>
              <w:t>FF4/MED4_OTB2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lastRenderedPageBreak/>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t>ITA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t>MLT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T-11</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noProof/>
              </w:rPr>
            </w:pPr>
            <w:r>
              <w:rPr>
                <w:noProof/>
              </w:rPr>
              <w:t>MLT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OTB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T-12</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rPr>
              <w:t>EFF4/MED4_OTB4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pPr>
              <w:rPr>
                <w:rFonts w:eastAsia="Times New Roman"/>
                <w:noProof/>
              </w:rPr>
            </w:pPr>
            <w:r>
              <w:rPr>
                <w:noProof/>
                <w:sz w:val="22"/>
              </w:rPr>
              <w:t>pm</w:t>
            </w:r>
          </w:p>
        </w:tc>
      </w:tr>
    </w:tbl>
    <w:p>
      <w:pPr>
        <w:rPr>
          <w:noProof/>
        </w:rPr>
        <w:sectPr>
          <w:pgSz w:w="11907" w:h="16839"/>
          <w:pgMar w:top="1134" w:right="1134" w:bottom="1134" w:left="1134" w:header="567" w:footer="567" w:gutter="0"/>
          <w:cols w:space="720"/>
          <w:docGrid w:linePitch="360"/>
        </w:sectPr>
      </w:pPr>
    </w:p>
    <w:p>
      <w:pPr>
        <w:rPr>
          <w:b/>
          <w:noProof/>
        </w:rPr>
      </w:pPr>
      <w:r>
        <w:rPr>
          <w:noProof/>
        </w:rPr>
        <w:lastRenderedPageBreak/>
        <w:t>(c) Nivelul maxim al capturilor de caridă-roz-de-adâncime (</w:t>
      </w:r>
      <w:r>
        <w:rPr>
          <w:i/>
          <w:noProof/>
        </w:rPr>
        <w:t>Parapenaeus longirostris</w:t>
      </w:r>
      <w:r>
        <w:rPr>
          <w:noProof/>
        </w:rPr>
        <w:t>) în Strâmtoarea Siciliei (subzonele geografice 12, 13, 14, 15 și 16), exprimat în tone de greutate în viu</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themeFill="background1"/>
            <w:hideMark/>
          </w:tcPr>
          <w:p>
            <w:pPr>
              <w:rPr>
                <w:rFonts w:eastAsia="Times New Roman"/>
                <w:b/>
                <w:bCs/>
                <w:noProof/>
              </w:rPr>
            </w:pPr>
            <w:r>
              <w:rPr>
                <w:b/>
                <w:noProof/>
                <w:sz w:val="22"/>
              </w:rPr>
              <w:t>Specia:</w:t>
            </w:r>
          </w:p>
        </w:tc>
        <w:tc>
          <w:tcPr>
            <w:tcW w:w="1911" w:type="pct"/>
            <w:tcBorders>
              <w:top w:val="single" w:sz="4" w:space="0" w:color="auto"/>
              <w:left w:val="nil"/>
              <w:bottom w:val="single" w:sz="4" w:space="0" w:color="auto"/>
              <w:right w:val="single" w:sz="4" w:space="0" w:color="auto"/>
            </w:tcBorders>
            <w:shd w:val="clear" w:color="auto" w:fill="FFFFFF" w:themeFill="background1"/>
            <w:hideMark/>
          </w:tcPr>
          <w:p>
            <w:pPr>
              <w:rPr>
                <w:rFonts w:eastAsia="Times New Roman"/>
                <w:b/>
                <w:bCs/>
                <w:noProof/>
              </w:rPr>
            </w:pPr>
            <w:r>
              <w:rPr>
                <w:b/>
                <w:noProof/>
                <w:sz w:val="22"/>
              </w:rPr>
              <w:t>Caridă-roz-de-adâncime</w:t>
            </w:r>
          </w:p>
          <w:p>
            <w:pPr>
              <w:rPr>
                <w:rFonts w:eastAsia="Times New Roman"/>
                <w:b/>
                <w:bCs/>
                <w:i/>
                <w:iCs/>
                <w:noProof/>
              </w:rPr>
            </w:pPr>
            <w:r>
              <w:rPr>
                <w:b/>
                <w:i/>
                <w:noProof/>
                <w:sz w:val="22"/>
              </w:rPr>
              <w:t>Parapenaeus longirostris</w:t>
            </w:r>
          </w:p>
        </w:tc>
        <w:tc>
          <w:tcPr>
            <w:tcW w:w="22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pPr>
              <w:rPr>
                <w:rFonts w:eastAsia="Times New Roman"/>
                <w:b/>
                <w:bCs/>
                <w:noProof/>
              </w:rPr>
            </w:pPr>
            <w:r>
              <w:rPr>
                <w:b/>
                <w:noProof/>
                <w:sz w:val="22"/>
              </w:rPr>
              <w:t xml:space="preserve">Zona: subzonele geografice 12, 13, 14, 15 și 16 </w:t>
            </w:r>
          </w:p>
          <w:p>
            <w:pPr>
              <w:rPr>
                <w:rFonts w:eastAsia="Times New Roman"/>
                <w:b/>
                <w:bCs/>
                <w:noProof/>
              </w:rPr>
            </w:pPr>
            <w:r>
              <w:rPr>
                <w:b/>
                <w:noProof/>
                <w:sz w:val="22"/>
              </w:rPr>
              <w:t>(DPS/GF12-16)</w:t>
            </w:r>
          </w:p>
        </w:tc>
      </w:tr>
      <w:tr>
        <w:tc>
          <w:tcPr>
            <w:tcW w:w="885" w:type="pct"/>
            <w:tcBorders>
              <w:top w:val="single" w:sz="4" w:space="0" w:color="auto"/>
              <w:left w:val="single" w:sz="4" w:space="0" w:color="auto"/>
              <w:bottom w:val="nil"/>
              <w:right w:val="nil"/>
            </w:tcBorders>
            <w:shd w:val="clear" w:color="auto" w:fill="FFFFFF" w:themeFill="background1"/>
          </w:tcPr>
          <w:p>
            <w:pPr>
              <w:rPr>
                <w:rFonts w:eastAsia="Times New Roman"/>
                <w:noProof/>
              </w:rPr>
            </w:pPr>
            <w:r>
              <w:rPr>
                <w:noProof/>
              </w:rPr>
              <w:t>Cipru</w:t>
            </w:r>
          </w:p>
        </w:tc>
        <w:tc>
          <w:tcPr>
            <w:tcW w:w="1911" w:type="pct"/>
            <w:tcBorders>
              <w:top w:val="single" w:sz="4" w:space="0" w:color="auto"/>
              <w:left w:val="nil"/>
              <w:bottom w:val="nil"/>
              <w:right w:val="nil"/>
            </w:tcBorders>
            <w:shd w:val="clear" w:color="auto" w:fill="FFFFFF" w:themeFill="background1"/>
          </w:tcPr>
          <w:p>
            <w:pPr>
              <w:rPr>
                <w:rFonts w:eastAsia="Times New Roman"/>
                <w:noProof/>
              </w:rPr>
            </w:pPr>
            <w:r>
              <w:rPr>
                <w:noProof/>
                <w:sz w:val="22"/>
              </w:rPr>
              <w:t xml:space="preserve">pm </w:t>
            </w:r>
          </w:p>
        </w:tc>
        <w:tc>
          <w:tcPr>
            <w:tcW w:w="2204" w:type="pct"/>
            <w:tcBorders>
              <w:top w:val="single" w:sz="4" w:space="0" w:color="auto"/>
              <w:left w:val="nil"/>
              <w:bottom w:val="nil"/>
              <w:right w:val="single" w:sz="4" w:space="0" w:color="auto"/>
            </w:tcBorders>
            <w:shd w:val="clear" w:color="auto" w:fill="FFFFFF" w:themeFill="background1"/>
          </w:tcPr>
          <w:p>
            <w:pPr>
              <w:rPr>
                <w:rFonts w:eastAsia="Times New Roman"/>
                <w:noProof/>
              </w:rPr>
            </w:pPr>
            <w:r>
              <w:rPr>
                <w:noProof/>
                <w:sz w:val="22"/>
              </w:rPr>
              <w:t>Limita de captură analitică</w:t>
            </w: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Italia</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 xml:space="preserve">pm </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Malta</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noProof/>
              </w:rPr>
            </w:pPr>
            <w:r>
              <w:rPr>
                <w:noProof/>
              </w:rPr>
              <w:t>Uniune</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single" w:sz="4" w:space="0" w:color="auto"/>
              <w:right w:val="nil"/>
            </w:tcBorders>
            <w:shd w:val="clear" w:color="auto" w:fill="FFFFFF" w:themeFill="background1"/>
          </w:tcPr>
          <w:p>
            <w:pPr>
              <w:rPr>
                <w:noProof/>
              </w:rPr>
            </w:pPr>
            <w:r>
              <w:rPr>
                <w:noProof/>
              </w:rPr>
              <w:t>TAC</w:t>
            </w:r>
          </w:p>
        </w:tc>
        <w:tc>
          <w:tcPr>
            <w:tcW w:w="1911" w:type="pct"/>
            <w:tcBorders>
              <w:top w:val="nil"/>
              <w:left w:val="nil"/>
              <w:bottom w:val="single" w:sz="4" w:space="0" w:color="auto"/>
              <w:right w:val="nil"/>
            </w:tcBorders>
            <w:shd w:val="clear" w:color="auto" w:fill="FFFFFF" w:themeFill="background1"/>
          </w:tcPr>
          <w:p>
            <w:pPr>
              <w:rPr>
                <w:rFonts w:eastAsia="Times New Roman"/>
                <w:noProof/>
              </w:rPr>
            </w:pPr>
            <w:r>
              <w:rPr>
                <w:noProof/>
                <w:sz w:val="22"/>
              </w:rPr>
              <w:t>Nu se aplică</w:t>
            </w:r>
          </w:p>
        </w:tc>
        <w:tc>
          <w:tcPr>
            <w:tcW w:w="2204" w:type="pct"/>
            <w:tcBorders>
              <w:top w:val="nil"/>
              <w:left w:val="nil"/>
              <w:bottom w:val="single" w:sz="4" w:space="0" w:color="auto"/>
              <w:right w:val="single" w:sz="4" w:space="0" w:color="auto"/>
            </w:tcBorders>
            <w:shd w:val="clear" w:color="auto" w:fill="FFFFFF" w:themeFill="background1"/>
          </w:tcPr>
          <w:p>
            <w:pPr>
              <w:rPr>
                <w:rFonts w:eastAsia="Times New Roman"/>
                <w:noProof/>
              </w:rPr>
            </w:pPr>
          </w:p>
        </w:tc>
      </w:tr>
    </w:tbl>
    <w:p>
      <w:pPr>
        <w:rPr>
          <w:noProof/>
        </w:rPr>
      </w:pPr>
      <w:r>
        <w:rPr>
          <w:noProof/>
        </w:rPr>
        <w:t>2. Creveți de adâncime</w:t>
      </w:r>
    </w:p>
    <w:p>
      <w:pPr>
        <w:rPr>
          <w:noProof/>
        </w:rPr>
      </w:pPr>
      <w:bookmarkStart w:id="2" w:name="_Hlk168482871"/>
      <w:r>
        <w:rPr>
          <w:noProof/>
        </w:rPr>
        <w:t>(a) Capacitatea maximă a flotei de traulere de fund autorizate să pescuiască creveți de adâncime în Strâmtoarea Siciliei (subzonele geografice 12, 13, 14, 15 și 16), exprimată în număr de nave, kW și tonaj brut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158"/>
        <w:gridCol w:w="2609"/>
        <w:gridCol w:w="2462"/>
        <w:gridCol w:w="930"/>
        <w:gridCol w:w="930"/>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Statul membru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Unealta de pescuit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Numărul de nave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TB</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Cipru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265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105</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Spania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440,56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218,78</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Italia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76 232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22 672</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noProof/>
              </w:rPr>
            </w:pPr>
            <w:r>
              <w:rPr>
                <w:noProof/>
              </w:rPr>
              <w:t>Malta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5 562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2 007</w:t>
            </w:r>
          </w:p>
        </w:tc>
      </w:tr>
      <w:bookmarkEnd w:id="2"/>
    </w:tbl>
    <w:p>
      <w:pPr>
        <w:rPr>
          <w:noProof/>
        </w:rPr>
      </w:pPr>
    </w:p>
    <w:p>
      <w:pPr>
        <w:rPr>
          <w:noProof/>
        </w:rPr>
      </w:pPr>
      <w:r>
        <w:rPr>
          <w:noProof/>
        </w:rPr>
        <w:t>(b) Nivelul maxim al capturilor de crevete roșu gigant (</w:t>
      </w:r>
      <w:r>
        <w:rPr>
          <w:i/>
          <w:noProof/>
        </w:rPr>
        <w:t>Aristaeomorpha foliacea</w:t>
      </w:r>
      <w:r>
        <w:rPr>
          <w:noProof/>
        </w:rPr>
        <w:t>) în Strâmtoarea Siciliei (subzonele geografice 12, 13, 14, 15 și 16), exprimat în tone de greutate în viu</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b/>
                <w:noProof/>
                <w:sz w:val="22"/>
              </w:rPr>
              <w:t>Specia:</w:t>
            </w:r>
          </w:p>
        </w:tc>
        <w:tc>
          <w:tcPr>
            <w:tcW w:w="1911"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Crevete roșu gigant </w:t>
            </w:r>
          </w:p>
          <w:p>
            <w:pPr>
              <w:rPr>
                <w:rFonts w:eastAsia="Times New Roman"/>
                <w:b/>
                <w:bCs/>
                <w:i/>
                <w:iCs/>
                <w:noProof/>
              </w:rPr>
            </w:pPr>
            <w:r>
              <w:rPr>
                <w:i/>
                <w:noProof/>
              </w:rPr>
              <w:t>Aristaeomorpha foliacea</w:t>
            </w:r>
          </w:p>
        </w:tc>
        <w:tc>
          <w:tcPr>
            <w:tcW w:w="2204"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b/>
                <w:noProof/>
                <w:sz w:val="22"/>
              </w:rPr>
              <w:t xml:space="preserve">Zona: subzonele geografice 12, 13, 14, 15 și 16 </w:t>
            </w:r>
          </w:p>
          <w:p>
            <w:pPr>
              <w:rPr>
                <w:rFonts w:eastAsia="Times New Roman"/>
                <w:b/>
                <w:bCs/>
                <w:noProof/>
              </w:rPr>
            </w:pPr>
            <w:r>
              <w:rPr>
                <w:b/>
                <w:noProof/>
                <w:sz w:val="22"/>
              </w:rPr>
              <w:t>(ARS/GF12-16)</w:t>
            </w:r>
          </w:p>
        </w:tc>
      </w:tr>
      <w:tr>
        <w:tc>
          <w:tcPr>
            <w:tcW w:w="885" w:type="pct"/>
            <w:tcBorders>
              <w:top w:val="single" w:sz="4" w:space="0" w:color="auto"/>
              <w:left w:val="nil"/>
              <w:bottom w:val="nil"/>
              <w:right w:val="nil"/>
            </w:tcBorders>
            <w:shd w:val="clear" w:color="auto" w:fill="FFFFFF"/>
          </w:tcPr>
          <w:p>
            <w:pPr>
              <w:rPr>
                <w:rFonts w:eastAsia="Times New Roman"/>
                <w:noProof/>
              </w:rPr>
            </w:pPr>
            <w:r>
              <w:rPr>
                <w:noProof/>
                <w:sz w:val="22"/>
              </w:rPr>
              <w:t>Spania</w:t>
            </w:r>
          </w:p>
        </w:tc>
        <w:tc>
          <w:tcPr>
            <w:tcW w:w="1911" w:type="pct"/>
            <w:tcBorders>
              <w:top w:val="single" w:sz="4" w:space="0" w:color="auto"/>
              <w:left w:val="nil"/>
              <w:bottom w:val="nil"/>
              <w:right w:val="nil"/>
            </w:tcBorders>
            <w:shd w:val="clear" w:color="auto" w:fill="FFFFFF"/>
          </w:tcPr>
          <w:p>
            <w:pPr>
              <w:rPr>
                <w:rFonts w:eastAsia="Times New Roman"/>
                <w:noProof/>
              </w:rPr>
            </w:pPr>
            <w:r>
              <w:rPr>
                <w:noProof/>
                <w:sz w:val="22"/>
              </w:rPr>
              <w:t>pm</w:t>
            </w:r>
          </w:p>
        </w:tc>
        <w:tc>
          <w:tcPr>
            <w:tcW w:w="2204" w:type="pct"/>
            <w:tcBorders>
              <w:top w:val="single" w:sz="4" w:space="0" w:color="auto"/>
              <w:left w:val="nil"/>
              <w:bottom w:val="nil"/>
              <w:right w:val="nil"/>
            </w:tcBorders>
            <w:shd w:val="clear" w:color="auto" w:fill="FFFFFF"/>
          </w:tcPr>
          <w:p>
            <w:pPr>
              <w:rPr>
                <w:rFonts w:eastAsia="Times New Roman"/>
                <w:noProof/>
              </w:rPr>
            </w:pPr>
            <w:r>
              <w:rPr>
                <w:noProof/>
                <w:sz w:val="22"/>
              </w:rPr>
              <w:t>Limita de captură analitică</w:t>
            </w:r>
          </w:p>
        </w:tc>
      </w:tr>
      <w:tr>
        <w:tc>
          <w:tcPr>
            <w:tcW w:w="885" w:type="pct"/>
            <w:tcBorders>
              <w:top w:val="nil"/>
              <w:left w:val="nil"/>
              <w:bottom w:val="nil"/>
              <w:right w:val="nil"/>
            </w:tcBorders>
            <w:shd w:val="clear" w:color="auto" w:fill="FFFFFF"/>
          </w:tcPr>
          <w:p>
            <w:pPr>
              <w:rPr>
                <w:noProof/>
              </w:rPr>
            </w:pPr>
            <w:r>
              <w:rPr>
                <w:noProof/>
              </w:rPr>
              <w:t>Italia</w:t>
            </w:r>
          </w:p>
        </w:tc>
        <w:tc>
          <w:tcPr>
            <w:tcW w:w="1911" w:type="pct"/>
            <w:tcBorders>
              <w:top w:val="nil"/>
              <w:left w:val="nil"/>
              <w:bottom w:val="nil"/>
              <w:right w:val="nil"/>
            </w:tcBorders>
            <w:shd w:val="clear" w:color="auto" w:fill="FFFFFF"/>
          </w:tcPr>
          <w:p>
            <w:pPr>
              <w:rPr>
                <w:rFonts w:eastAsia="Times New Roman"/>
                <w:noProof/>
              </w:rPr>
            </w:pPr>
            <w:r>
              <w:rPr>
                <w:noProof/>
                <w:sz w:val="22"/>
              </w:rPr>
              <w:t xml:space="preserve">pm </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rFonts w:eastAsia="Times New Roman"/>
                <w:noProof/>
              </w:rPr>
            </w:pPr>
            <w:r>
              <w:rPr>
                <w:noProof/>
                <w:sz w:val="22"/>
              </w:rPr>
              <w:t>Cipru</w:t>
            </w:r>
          </w:p>
        </w:tc>
        <w:tc>
          <w:tcPr>
            <w:tcW w:w="1911" w:type="pct"/>
            <w:tcBorders>
              <w:top w:val="nil"/>
              <w:left w:val="nil"/>
              <w:bottom w:val="nil"/>
              <w:right w:val="nil"/>
            </w:tcBorders>
            <w:shd w:val="clear" w:color="auto" w:fill="FFFFFF"/>
          </w:tcPr>
          <w:p>
            <w:pPr>
              <w:rPr>
                <w:rFonts w:eastAsia="Times New Roman"/>
                <w:noProof/>
              </w:rPr>
            </w:pPr>
            <w:r>
              <w:rPr>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rFonts w:eastAsia="Times New Roman"/>
                <w:noProof/>
              </w:rPr>
            </w:pPr>
            <w:r>
              <w:rPr>
                <w:noProof/>
              </w:rPr>
              <w:t>Malta</w:t>
            </w:r>
          </w:p>
        </w:tc>
        <w:tc>
          <w:tcPr>
            <w:tcW w:w="1911" w:type="pct"/>
            <w:tcBorders>
              <w:top w:val="nil"/>
              <w:left w:val="nil"/>
              <w:bottom w:val="nil"/>
              <w:right w:val="nil"/>
            </w:tcBorders>
            <w:shd w:val="clear" w:color="auto" w:fill="FFFFFF"/>
          </w:tcPr>
          <w:p>
            <w:pPr>
              <w:rPr>
                <w:rFonts w:eastAsia="Times New Roman"/>
                <w:noProof/>
              </w:rPr>
            </w:pPr>
            <w:r>
              <w:rPr>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Uniune</w:t>
            </w:r>
          </w:p>
        </w:tc>
        <w:tc>
          <w:tcPr>
            <w:tcW w:w="1911" w:type="pct"/>
            <w:tcBorders>
              <w:top w:val="nil"/>
              <w:left w:val="nil"/>
              <w:bottom w:val="nil"/>
              <w:right w:val="nil"/>
            </w:tcBorders>
            <w:shd w:val="clear" w:color="auto" w:fill="FFFFFF"/>
          </w:tcPr>
          <w:p>
            <w:pPr>
              <w:rPr>
                <w:rFonts w:eastAsia="Times New Roman"/>
                <w:noProof/>
              </w:rPr>
            </w:pPr>
            <w:r>
              <w:rPr>
                <w:noProof/>
                <w:sz w:val="22"/>
              </w:rPr>
              <w:t xml:space="preserve">pm </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TAC</w:t>
            </w:r>
          </w:p>
        </w:tc>
        <w:tc>
          <w:tcPr>
            <w:tcW w:w="1911" w:type="pct"/>
            <w:tcBorders>
              <w:top w:val="nil"/>
              <w:left w:val="nil"/>
              <w:bottom w:val="nil"/>
              <w:right w:val="nil"/>
            </w:tcBorders>
            <w:shd w:val="clear" w:color="auto" w:fill="FFFFFF"/>
          </w:tcPr>
          <w:p>
            <w:pPr>
              <w:rPr>
                <w:rFonts w:eastAsia="Times New Roman"/>
                <w:noProof/>
              </w:rPr>
            </w:pPr>
            <w:r>
              <w:rPr>
                <w:noProof/>
                <w:sz w:val="22"/>
              </w:rPr>
              <w:t>Nu se aplică</w:t>
            </w:r>
          </w:p>
        </w:tc>
        <w:tc>
          <w:tcPr>
            <w:tcW w:w="2204" w:type="pct"/>
            <w:tcBorders>
              <w:top w:val="nil"/>
              <w:left w:val="nil"/>
              <w:bottom w:val="nil"/>
              <w:right w:val="nil"/>
            </w:tcBorders>
            <w:shd w:val="clear" w:color="auto" w:fill="FFFFFF"/>
          </w:tcPr>
          <w:p>
            <w:pPr>
              <w:rPr>
                <w:rFonts w:eastAsia="Times New Roman"/>
                <w:noProof/>
              </w:rPr>
            </w:pPr>
          </w:p>
        </w:tc>
      </w:tr>
    </w:tbl>
    <w:p>
      <w:pPr>
        <w:rPr>
          <w:noProof/>
        </w:rPr>
      </w:pPr>
      <w:r>
        <w:rPr>
          <w:noProof/>
        </w:rPr>
        <w:lastRenderedPageBreak/>
        <w:t>(c) Nivelul maxim al capturilor de crevete roșu (</w:t>
      </w:r>
      <w:r>
        <w:rPr>
          <w:i/>
          <w:noProof/>
        </w:rPr>
        <w:t>Aristeus antennatus</w:t>
      </w:r>
      <w:r>
        <w:rPr>
          <w:noProof/>
        </w:rPr>
        <w:t>) în Strâmtoarea Siciliei (subzonele geografice 12, 13, 14, 15 și 16), exprimat în tone de greutate în viu</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themeFill="background1"/>
            <w:hideMark/>
          </w:tcPr>
          <w:p>
            <w:pPr>
              <w:rPr>
                <w:rFonts w:eastAsia="Times New Roman"/>
                <w:b/>
                <w:bCs/>
                <w:noProof/>
              </w:rPr>
            </w:pPr>
            <w:r>
              <w:rPr>
                <w:b/>
                <w:noProof/>
                <w:sz w:val="22"/>
              </w:rPr>
              <w:t>Specia:</w:t>
            </w:r>
          </w:p>
        </w:tc>
        <w:tc>
          <w:tcPr>
            <w:tcW w:w="1911" w:type="pct"/>
            <w:tcBorders>
              <w:top w:val="single" w:sz="4" w:space="0" w:color="auto"/>
              <w:left w:val="nil"/>
              <w:bottom w:val="single" w:sz="4" w:space="0" w:color="auto"/>
              <w:right w:val="single" w:sz="4" w:space="0" w:color="auto"/>
            </w:tcBorders>
            <w:shd w:val="clear" w:color="auto" w:fill="FFFFFF" w:themeFill="background1"/>
            <w:hideMark/>
          </w:tcPr>
          <w:p>
            <w:pPr>
              <w:rPr>
                <w:noProof/>
              </w:rPr>
            </w:pPr>
            <w:r>
              <w:rPr>
                <w:noProof/>
              </w:rPr>
              <w:t xml:space="preserve">Crevete roșu </w:t>
            </w:r>
          </w:p>
          <w:p>
            <w:pPr>
              <w:rPr>
                <w:rFonts w:eastAsia="Times New Roman"/>
                <w:b/>
                <w:bCs/>
                <w:i/>
                <w:iCs/>
                <w:noProof/>
              </w:rPr>
            </w:pPr>
            <w:r>
              <w:rPr>
                <w:i/>
                <w:noProof/>
              </w:rPr>
              <w:t>Aristeus antennatus</w:t>
            </w:r>
          </w:p>
        </w:tc>
        <w:tc>
          <w:tcPr>
            <w:tcW w:w="22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pPr>
              <w:rPr>
                <w:rFonts w:eastAsia="Times New Roman"/>
                <w:b/>
                <w:bCs/>
                <w:noProof/>
              </w:rPr>
            </w:pPr>
            <w:r>
              <w:rPr>
                <w:b/>
                <w:noProof/>
                <w:sz w:val="22"/>
              </w:rPr>
              <w:t>Zona: subzonele geografice 12, 13, 14, 15 și 16</w:t>
            </w:r>
          </w:p>
          <w:p>
            <w:pPr>
              <w:rPr>
                <w:rFonts w:eastAsia="Times New Roman"/>
                <w:b/>
                <w:bCs/>
                <w:noProof/>
              </w:rPr>
            </w:pPr>
            <w:r>
              <w:rPr>
                <w:b/>
                <w:noProof/>
                <w:sz w:val="22"/>
              </w:rPr>
              <w:t xml:space="preserve"> (ARA/GF12-16)</w:t>
            </w:r>
          </w:p>
        </w:tc>
      </w:tr>
      <w:tr>
        <w:tc>
          <w:tcPr>
            <w:tcW w:w="885" w:type="pct"/>
            <w:tcBorders>
              <w:top w:val="single" w:sz="4" w:space="0" w:color="auto"/>
              <w:left w:val="single" w:sz="4" w:space="0" w:color="auto"/>
              <w:bottom w:val="nil"/>
              <w:right w:val="nil"/>
            </w:tcBorders>
            <w:shd w:val="clear" w:color="auto" w:fill="FFFFFF" w:themeFill="background1"/>
          </w:tcPr>
          <w:p>
            <w:pPr>
              <w:rPr>
                <w:rFonts w:eastAsia="Times New Roman"/>
                <w:noProof/>
              </w:rPr>
            </w:pPr>
            <w:r>
              <w:rPr>
                <w:noProof/>
              </w:rPr>
              <w:t>Spania</w:t>
            </w:r>
          </w:p>
        </w:tc>
        <w:tc>
          <w:tcPr>
            <w:tcW w:w="1911" w:type="pct"/>
            <w:tcBorders>
              <w:top w:val="single" w:sz="4" w:space="0" w:color="auto"/>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single" w:sz="4" w:space="0" w:color="auto"/>
              <w:left w:val="nil"/>
              <w:bottom w:val="nil"/>
              <w:right w:val="single" w:sz="4" w:space="0" w:color="auto"/>
            </w:tcBorders>
            <w:shd w:val="clear" w:color="auto" w:fill="FFFFFF" w:themeFill="background1"/>
          </w:tcPr>
          <w:p>
            <w:pPr>
              <w:rPr>
                <w:rFonts w:eastAsia="Times New Roman"/>
                <w:noProof/>
              </w:rPr>
            </w:pPr>
            <w:r>
              <w:rPr>
                <w:noProof/>
                <w:sz w:val="22"/>
              </w:rPr>
              <w:t>Limita de captură de precauție</w:t>
            </w: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Italia</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noProof/>
              </w:rPr>
            </w:pPr>
            <w:r>
              <w:rPr>
                <w:noProof/>
              </w:rPr>
              <w:t>Cipru</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rFonts w:eastAsia="Times New Roman"/>
                <w:noProof/>
              </w:rPr>
            </w:pPr>
            <w:r>
              <w:rPr>
                <w:noProof/>
              </w:rPr>
              <w:t>Malta</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nil"/>
              <w:right w:val="nil"/>
            </w:tcBorders>
            <w:shd w:val="clear" w:color="auto" w:fill="FFFFFF" w:themeFill="background1"/>
          </w:tcPr>
          <w:p>
            <w:pPr>
              <w:rPr>
                <w:noProof/>
              </w:rPr>
            </w:pPr>
            <w:r>
              <w:rPr>
                <w:noProof/>
              </w:rPr>
              <w:t>Uniune</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 xml:space="preserve">pm </w:t>
            </w:r>
          </w:p>
        </w:tc>
        <w:tc>
          <w:tcPr>
            <w:tcW w:w="2204" w:type="pct"/>
            <w:tcBorders>
              <w:top w:val="nil"/>
              <w:left w:val="nil"/>
              <w:bottom w:val="nil"/>
              <w:right w:val="single" w:sz="4" w:space="0" w:color="auto"/>
            </w:tcBorders>
            <w:shd w:val="clear" w:color="auto" w:fill="FFFFFF" w:themeFill="background1"/>
          </w:tcPr>
          <w:p>
            <w:pPr>
              <w:rPr>
                <w:rFonts w:eastAsia="Times New Roman"/>
                <w:noProof/>
              </w:rPr>
            </w:pPr>
          </w:p>
        </w:tc>
      </w:tr>
      <w:tr>
        <w:tc>
          <w:tcPr>
            <w:tcW w:w="885" w:type="pct"/>
            <w:tcBorders>
              <w:top w:val="nil"/>
              <w:left w:val="single" w:sz="4" w:space="0" w:color="auto"/>
              <w:bottom w:val="single" w:sz="4" w:space="0" w:color="auto"/>
              <w:right w:val="nil"/>
            </w:tcBorders>
            <w:shd w:val="clear" w:color="auto" w:fill="FFFFFF" w:themeFill="background1"/>
          </w:tcPr>
          <w:p>
            <w:pPr>
              <w:rPr>
                <w:noProof/>
              </w:rPr>
            </w:pPr>
            <w:r>
              <w:rPr>
                <w:noProof/>
              </w:rPr>
              <w:t>TAC</w:t>
            </w:r>
          </w:p>
        </w:tc>
        <w:tc>
          <w:tcPr>
            <w:tcW w:w="1911" w:type="pct"/>
            <w:tcBorders>
              <w:top w:val="nil"/>
              <w:left w:val="nil"/>
              <w:bottom w:val="single" w:sz="4" w:space="0" w:color="auto"/>
              <w:right w:val="nil"/>
            </w:tcBorders>
            <w:shd w:val="clear" w:color="auto" w:fill="FFFFFF" w:themeFill="background1"/>
          </w:tcPr>
          <w:p>
            <w:pPr>
              <w:rPr>
                <w:rFonts w:eastAsia="Times New Roman"/>
                <w:noProof/>
              </w:rPr>
            </w:pPr>
            <w:r>
              <w:rPr>
                <w:noProof/>
                <w:sz w:val="22"/>
              </w:rPr>
              <w:t>Nu se aplică</w:t>
            </w:r>
          </w:p>
        </w:tc>
        <w:tc>
          <w:tcPr>
            <w:tcW w:w="2204" w:type="pct"/>
            <w:tcBorders>
              <w:top w:val="nil"/>
              <w:left w:val="nil"/>
              <w:bottom w:val="single" w:sz="4" w:space="0" w:color="auto"/>
              <w:right w:val="single" w:sz="4" w:space="0" w:color="auto"/>
            </w:tcBorders>
            <w:shd w:val="clear" w:color="auto" w:fill="FFFFFF" w:themeFill="background1"/>
          </w:tcPr>
          <w:p>
            <w:pPr>
              <w:rPr>
                <w:rFonts w:eastAsia="Times New Roman"/>
                <w:noProof/>
              </w:rPr>
            </w:pPr>
          </w:p>
        </w:tc>
      </w:tr>
    </w:tbl>
    <w:p>
      <w:pPr>
        <w:rP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ANEXA VII</w:t>
      </w:r>
    </w:p>
    <w:p>
      <w:pPr>
        <w:jc w:val="center"/>
        <w:rPr>
          <w:b/>
          <w:bCs/>
          <w:noProof/>
        </w:rPr>
      </w:pPr>
      <w:r>
        <w:rPr>
          <w:b/>
          <w:noProof/>
        </w:rPr>
        <w:t>POSIBILITĂȚI DE PESCUIT PENTRU NAVELE DE PESCUIT ALE UNIUNII ÎN MAREA IONICĂ ȘI ÎN MAREA LEVANTULUI</w:t>
      </w:r>
    </w:p>
    <w:p>
      <w:pPr>
        <w:rPr>
          <w:noProof/>
        </w:rPr>
      </w:pPr>
    </w:p>
    <w:p>
      <w:pPr>
        <w:rPr>
          <w:b/>
          <w:noProof/>
        </w:rPr>
      </w:pPr>
      <w:r>
        <w:rPr>
          <w:noProof/>
        </w:rPr>
        <w:t xml:space="preserve">Numărul maxim de nave de pescuit ale Uniunii autorizate să pescuiască stocuri demersale în Marea Ionică și în Marea Levantului este stabilit în tabelele de mai jos. Trimiterile la zonele de pescuit se referă la subzonele geografice CGPM. </w:t>
      </w:r>
    </w:p>
    <w:p>
      <w:pPr>
        <w:rPr>
          <w:b/>
          <w:noProof/>
        </w:rPr>
      </w:pPr>
      <w:r>
        <w:rPr>
          <w:noProof/>
        </w:rPr>
        <w:t>În sensul prezentei anexe, următorul tabel de corespondență indică denumirile în limba latină și denumirile comune ale stocurilor de pește: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990"/>
        <w:gridCol w:w="1960"/>
        <w:gridCol w:w="3139"/>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Denumire științifică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Codul alfa-3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Denumirea comună</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Aristaeomorpha foliacea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Crevete roșu gigant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i/>
                <w:iCs/>
                <w:noProof/>
              </w:rPr>
            </w:pPr>
            <w:r>
              <w:rPr>
                <w:i/>
                <w:noProof/>
              </w:rPr>
              <w:t>Aristeus antennatus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ARA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Crevete roșu</w:t>
            </w:r>
          </w:p>
        </w:tc>
      </w:tr>
    </w:tbl>
    <w:p>
      <w:pPr>
        <w:rPr>
          <w:noProof/>
        </w:rPr>
      </w:pPr>
      <w:bookmarkStart w:id="3" w:name="_Hlk168482925"/>
      <w:r>
        <w:rPr>
          <w:noProof/>
        </w:rPr>
        <w:t xml:space="preserve">1. Marea Ionică </w:t>
      </w:r>
    </w:p>
    <w:p>
      <w:pPr>
        <w:rPr>
          <w:noProof/>
        </w:rPr>
      </w:pPr>
      <w:r>
        <w:rPr>
          <w:noProof/>
        </w:rPr>
        <w:t>(a) Capacitatea maximă a flotei de traulere de fund autorizate să pescuiască creveți de adâncime în Marea Ionică (subzonele geografice 19, 20 și 21), exprimată în număr de nave, kW și tonaj brut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158"/>
        <w:gridCol w:w="2609"/>
        <w:gridCol w:w="2462"/>
        <w:gridCol w:w="930"/>
        <w:gridCol w:w="930"/>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Statul membru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Unealta de pescuit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Numărul de nave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TB</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Grecia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69 281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23 101</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Italia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 xml:space="preserve">291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72383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16853</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noProof/>
              </w:rPr>
            </w:pPr>
            <w:r>
              <w:rPr>
                <w:noProof/>
              </w:rPr>
              <w:t>Malta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5 562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2 007</w:t>
            </w:r>
          </w:p>
        </w:tc>
      </w:tr>
    </w:tbl>
    <w:bookmarkEnd w:id="3"/>
    <w:p>
      <w:pPr>
        <w:rPr>
          <w:noProof/>
        </w:rPr>
      </w:pPr>
      <w:r>
        <w:rPr>
          <w:noProof/>
        </w:rPr>
        <w:t>(b) Nivelul maxim al capturilor de crevete roșu gigant (</w:t>
      </w:r>
      <w:r>
        <w:rPr>
          <w:i/>
          <w:noProof/>
        </w:rPr>
        <w:t>Aristaeomorpha foliacea</w:t>
      </w:r>
      <w:r>
        <w:rPr>
          <w:noProof/>
        </w:rPr>
        <w:t>) în Marea Ionică (subzonele geografice 19, 20 și 21), exprimat în tone de greutate în viu</w:t>
      </w:r>
    </w:p>
    <w:tbl>
      <w:tblPr>
        <w:tblW w:w="4997"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706"/>
        <w:gridCol w:w="3686"/>
        <w:gridCol w:w="3686"/>
      </w:tblGrid>
      <w:tr>
        <w:tc>
          <w:tcPr>
            <w:tcW w:w="940"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b/>
                <w:noProof/>
                <w:sz w:val="22"/>
              </w:rPr>
              <w:t>Specia:</w:t>
            </w:r>
          </w:p>
        </w:tc>
        <w:tc>
          <w:tcPr>
            <w:tcW w:w="2030"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Crevete roșu gigant </w:t>
            </w:r>
          </w:p>
          <w:p>
            <w:pPr>
              <w:rPr>
                <w:rFonts w:eastAsia="Times New Roman"/>
                <w:b/>
                <w:bCs/>
                <w:i/>
                <w:iCs/>
                <w:noProof/>
              </w:rPr>
            </w:pPr>
            <w:r>
              <w:rPr>
                <w:i/>
                <w:noProof/>
              </w:rPr>
              <w:t>Aristaeomorpha foliacea</w:t>
            </w:r>
          </w:p>
        </w:tc>
        <w:tc>
          <w:tcPr>
            <w:tcW w:w="2030"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b/>
                <w:noProof/>
                <w:sz w:val="22"/>
              </w:rPr>
              <w:t>Zona: Subzonele geografice 19, 20 și 21 (ARS/GF19-21)</w:t>
            </w:r>
          </w:p>
        </w:tc>
      </w:tr>
      <w:tr>
        <w:tc>
          <w:tcPr>
            <w:tcW w:w="940" w:type="pct"/>
            <w:tcBorders>
              <w:top w:val="single" w:sz="4" w:space="0" w:color="auto"/>
              <w:left w:val="nil"/>
              <w:bottom w:val="nil"/>
              <w:right w:val="nil"/>
            </w:tcBorders>
            <w:shd w:val="clear" w:color="auto" w:fill="FFFFFF"/>
          </w:tcPr>
          <w:p>
            <w:pPr>
              <w:rPr>
                <w:rFonts w:eastAsia="Times New Roman"/>
                <w:noProof/>
              </w:rPr>
            </w:pPr>
            <w:r>
              <w:rPr>
                <w:noProof/>
                <w:sz w:val="22"/>
              </w:rPr>
              <w:t>Grecia</w:t>
            </w:r>
          </w:p>
        </w:tc>
        <w:tc>
          <w:tcPr>
            <w:tcW w:w="2030" w:type="pct"/>
            <w:tcBorders>
              <w:top w:val="single" w:sz="4" w:space="0" w:color="auto"/>
              <w:left w:val="nil"/>
              <w:bottom w:val="nil"/>
              <w:right w:val="nil"/>
            </w:tcBorders>
            <w:shd w:val="clear" w:color="auto" w:fill="FFFFFF"/>
          </w:tcPr>
          <w:p>
            <w:pPr>
              <w:rPr>
                <w:rFonts w:eastAsia="Times New Roman"/>
                <w:noProof/>
              </w:rPr>
            </w:pPr>
            <w:r>
              <w:rPr>
                <w:noProof/>
                <w:sz w:val="22"/>
              </w:rPr>
              <w:t>pm</w:t>
            </w:r>
          </w:p>
        </w:tc>
        <w:tc>
          <w:tcPr>
            <w:tcW w:w="2030" w:type="pct"/>
            <w:tcBorders>
              <w:top w:val="single" w:sz="4" w:space="0" w:color="auto"/>
              <w:left w:val="nil"/>
              <w:bottom w:val="nil"/>
              <w:right w:val="nil"/>
            </w:tcBorders>
            <w:shd w:val="clear" w:color="auto" w:fill="FFFFFF"/>
          </w:tcPr>
          <w:p>
            <w:pPr>
              <w:rPr>
                <w:rFonts w:eastAsia="Times New Roman"/>
                <w:noProof/>
              </w:rPr>
            </w:pPr>
            <w:r>
              <w:rPr>
                <w:noProof/>
                <w:sz w:val="22"/>
              </w:rPr>
              <w:t>Limita de captură analitică</w:t>
            </w:r>
          </w:p>
        </w:tc>
      </w:tr>
      <w:tr>
        <w:tc>
          <w:tcPr>
            <w:tcW w:w="940" w:type="pct"/>
            <w:tcBorders>
              <w:top w:val="nil"/>
              <w:left w:val="nil"/>
              <w:bottom w:val="nil"/>
              <w:right w:val="nil"/>
            </w:tcBorders>
            <w:shd w:val="clear" w:color="auto" w:fill="FFFFFF"/>
          </w:tcPr>
          <w:p>
            <w:pPr>
              <w:rPr>
                <w:noProof/>
              </w:rPr>
            </w:pPr>
            <w:r>
              <w:rPr>
                <w:noProof/>
              </w:rPr>
              <w:t>Italia</w:t>
            </w:r>
          </w:p>
        </w:tc>
        <w:tc>
          <w:tcPr>
            <w:tcW w:w="2030" w:type="pct"/>
            <w:tcBorders>
              <w:top w:val="nil"/>
              <w:left w:val="nil"/>
              <w:bottom w:val="nil"/>
              <w:right w:val="nil"/>
            </w:tcBorders>
            <w:shd w:val="clear" w:color="auto" w:fill="FFFFFF"/>
          </w:tcPr>
          <w:p>
            <w:pPr>
              <w:rPr>
                <w:rFonts w:eastAsia="Times New Roman"/>
                <w:noProof/>
              </w:rPr>
            </w:pPr>
            <w:r>
              <w:rPr>
                <w:noProof/>
                <w:sz w:val="22"/>
              </w:rPr>
              <w:t>pm</w:t>
            </w:r>
          </w:p>
        </w:tc>
        <w:tc>
          <w:tcPr>
            <w:tcW w:w="2030" w:type="pct"/>
            <w:tcBorders>
              <w:top w:val="nil"/>
              <w:left w:val="nil"/>
              <w:bottom w:val="nil"/>
              <w:right w:val="nil"/>
            </w:tcBorders>
            <w:shd w:val="clear" w:color="auto" w:fill="FFFFFF"/>
          </w:tcPr>
          <w:p>
            <w:pPr>
              <w:rPr>
                <w:rFonts w:eastAsia="Times New Roman"/>
                <w:noProof/>
              </w:rPr>
            </w:pPr>
          </w:p>
        </w:tc>
      </w:tr>
      <w:tr>
        <w:tc>
          <w:tcPr>
            <w:tcW w:w="940" w:type="pct"/>
            <w:tcBorders>
              <w:top w:val="nil"/>
              <w:left w:val="nil"/>
              <w:bottom w:val="nil"/>
              <w:right w:val="nil"/>
            </w:tcBorders>
            <w:shd w:val="clear" w:color="auto" w:fill="FFFFFF"/>
          </w:tcPr>
          <w:p>
            <w:pPr>
              <w:rPr>
                <w:rFonts w:eastAsia="Times New Roman"/>
                <w:noProof/>
              </w:rPr>
            </w:pPr>
            <w:r>
              <w:rPr>
                <w:noProof/>
              </w:rPr>
              <w:t>Malta</w:t>
            </w:r>
          </w:p>
        </w:tc>
        <w:tc>
          <w:tcPr>
            <w:tcW w:w="2030" w:type="pct"/>
            <w:tcBorders>
              <w:top w:val="nil"/>
              <w:left w:val="nil"/>
              <w:bottom w:val="nil"/>
              <w:right w:val="nil"/>
            </w:tcBorders>
            <w:shd w:val="clear" w:color="auto" w:fill="FFFFFF"/>
          </w:tcPr>
          <w:p>
            <w:pPr>
              <w:rPr>
                <w:rFonts w:eastAsia="Times New Roman"/>
                <w:noProof/>
              </w:rPr>
            </w:pPr>
            <w:r>
              <w:rPr>
                <w:noProof/>
                <w:sz w:val="22"/>
              </w:rPr>
              <w:t>pm</w:t>
            </w:r>
          </w:p>
        </w:tc>
        <w:tc>
          <w:tcPr>
            <w:tcW w:w="2030" w:type="pct"/>
            <w:tcBorders>
              <w:top w:val="nil"/>
              <w:left w:val="nil"/>
              <w:bottom w:val="nil"/>
              <w:right w:val="nil"/>
            </w:tcBorders>
            <w:shd w:val="clear" w:color="auto" w:fill="FFFFFF"/>
          </w:tcPr>
          <w:p>
            <w:pPr>
              <w:rPr>
                <w:rFonts w:eastAsia="Times New Roman"/>
                <w:noProof/>
              </w:rPr>
            </w:pPr>
          </w:p>
        </w:tc>
      </w:tr>
      <w:tr>
        <w:tc>
          <w:tcPr>
            <w:tcW w:w="940" w:type="pct"/>
            <w:tcBorders>
              <w:top w:val="nil"/>
              <w:left w:val="nil"/>
              <w:bottom w:val="nil"/>
              <w:right w:val="nil"/>
            </w:tcBorders>
            <w:shd w:val="clear" w:color="auto" w:fill="FFFFFF"/>
          </w:tcPr>
          <w:p>
            <w:pPr>
              <w:rPr>
                <w:noProof/>
              </w:rPr>
            </w:pPr>
            <w:r>
              <w:rPr>
                <w:noProof/>
              </w:rPr>
              <w:t>Uniune</w:t>
            </w:r>
          </w:p>
        </w:tc>
        <w:tc>
          <w:tcPr>
            <w:tcW w:w="2030" w:type="pct"/>
            <w:tcBorders>
              <w:top w:val="nil"/>
              <w:left w:val="nil"/>
              <w:bottom w:val="nil"/>
              <w:right w:val="nil"/>
            </w:tcBorders>
            <w:shd w:val="clear" w:color="auto" w:fill="FFFFFF"/>
          </w:tcPr>
          <w:p>
            <w:pPr>
              <w:rPr>
                <w:rFonts w:eastAsia="Times New Roman"/>
                <w:noProof/>
              </w:rPr>
            </w:pPr>
            <w:r>
              <w:rPr>
                <w:noProof/>
                <w:sz w:val="22"/>
              </w:rPr>
              <w:t>pm</w:t>
            </w:r>
          </w:p>
        </w:tc>
        <w:tc>
          <w:tcPr>
            <w:tcW w:w="2030" w:type="pct"/>
            <w:tcBorders>
              <w:top w:val="nil"/>
              <w:left w:val="nil"/>
              <w:bottom w:val="nil"/>
              <w:right w:val="nil"/>
            </w:tcBorders>
            <w:shd w:val="clear" w:color="auto" w:fill="FFFFFF"/>
          </w:tcPr>
          <w:p>
            <w:pPr>
              <w:rPr>
                <w:rFonts w:eastAsia="Times New Roman"/>
                <w:noProof/>
              </w:rPr>
            </w:pPr>
          </w:p>
        </w:tc>
      </w:tr>
      <w:tr>
        <w:tc>
          <w:tcPr>
            <w:tcW w:w="940" w:type="pct"/>
            <w:tcBorders>
              <w:top w:val="nil"/>
              <w:left w:val="nil"/>
              <w:bottom w:val="nil"/>
              <w:right w:val="nil"/>
            </w:tcBorders>
            <w:shd w:val="clear" w:color="auto" w:fill="FFFFFF"/>
          </w:tcPr>
          <w:p>
            <w:pPr>
              <w:rPr>
                <w:noProof/>
              </w:rPr>
            </w:pPr>
            <w:r>
              <w:rPr>
                <w:noProof/>
              </w:rPr>
              <w:t>TAC</w:t>
            </w:r>
          </w:p>
        </w:tc>
        <w:tc>
          <w:tcPr>
            <w:tcW w:w="2030" w:type="pct"/>
            <w:tcBorders>
              <w:top w:val="nil"/>
              <w:left w:val="nil"/>
              <w:bottom w:val="nil"/>
              <w:right w:val="nil"/>
            </w:tcBorders>
            <w:shd w:val="clear" w:color="auto" w:fill="FFFFFF"/>
          </w:tcPr>
          <w:p>
            <w:pPr>
              <w:rPr>
                <w:rFonts w:eastAsia="Times New Roman"/>
                <w:noProof/>
              </w:rPr>
            </w:pPr>
            <w:r>
              <w:rPr>
                <w:noProof/>
                <w:sz w:val="22"/>
              </w:rPr>
              <w:t>Nu se aplică</w:t>
            </w:r>
          </w:p>
        </w:tc>
        <w:tc>
          <w:tcPr>
            <w:tcW w:w="2030" w:type="pct"/>
            <w:tcBorders>
              <w:top w:val="nil"/>
              <w:left w:val="nil"/>
              <w:bottom w:val="nil"/>
              <w:right w:val="nil"/>
            </w:tcBorders>
            <w:shd w:val="clear" w:color="auto" w:fill="FFFFFF"/>
          </w:tcPr>
          <w:p>
            <w:pPr>
              <w:rPr>
                <w:rFonts w:eastAsia="Times New Roman"/>
                <w:noProof/>
              </w:rPr>
            </w:pPr>
          </w:p>
        </w:tc>
      </w:tr>
    </w:tbl>
    <w:p>
      <w:pPr>
        <w:rPr>
          <w:noProof/>
        </w:rPr>
      </w:pPr>
      <w:r>
        <w:rPr>
          <w:noProof/>
        </w:rPr>
        <w:t>(c) Nivelul maxim al capturilor de crevete roșu (</w:t>
      </w:r>
      <w:r>
        <w:rPr>
          <w:i/>
          <w:noProof/>
        </w:rPr>
        <w:t>Aristeus antennatus</w:t>
      </w:r>
      <w:r>
        <w:rPr>
          <w:noProof/>
        </w:rPr>
        <w:t>) în Marea Ionică (subzonele geografice 19, 20 și 21), exprimat în tone de greutate în viu</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themeFill="background1"/>
            <w:hideMark/>
          </w:tcPr>
          <w:p>
            <w:pPr>
              <w:rPr>
                <w:rFonts w:eastAsia="Times New Roman"/>
                <w:b/>
                <w:bCs/>
                <w:noProof/>
              </w:rPr>
            </w:pPr>
            <w:r>
              <w:rPr>
                <w:b/>
                <w:noProof/>
                <w:sz w:val="22"/>
              </w:rPr>
              <w:t>Specia:</w:t>
            </w:r>
          </w:p>
        </w:tc>
        <w:tc>
          <w:tcPr>
            <w:tcW w:w="1911" w:type="pct"/>
            <w:tcBorders>
              <w:top w:val="single" w:sz="4" w:space="0" w:color="auto"/>
              <w:left w:val="nil"/>
              <w:bottom w:val="single" w:sz="4" w:space="0" w:color="auto"/>
              <w:right w:val="single" w:sz="4" w:space="0" w:color="auto"/>
            </w:tcBorders>
            <w:shd w:val="clear" w:color="auto" w:fill="FFFFFF" w:themeFill="background1"/>
            <w:hideMark/>
          </w:tcPr>
          <w:p>
            <w:pPr>
              <w:rPr>
                <w:noProof/>
              </w:rPr>
            </w:pPr>
            <w:r>
              <w:rPr>
                <w:noProof/>
              </w:rPr>
              <w:t xml:space="preserve">Crevete roșu </w:t>
            </w:r>
          </w:p>
          <w:p>
            <w:pPr>
              <w:rPr>
                <w:rFonts w:eastAsia="Times New Roman"/>
                <w:b/>
                <w:bCs/>
                <w:i/>
                <w:iCs/>
                <w:noProof/>
              </w:rPr>
            </w:pPr>
            <w:r>
              <w:rPr>
                <w:i/>
                <w:noProof/>
              </w:rPr>
              <w:t>Aristeus antennatus</w:t>
            </w:r>
          </w:p>
        </w:tc>
        <w:tc>
          <w:tcPr>
            <w:tcW w:w="22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pPr>
              <w:rPr>
                <w:rFonts w:eastAsia="Times New Roman"/>
                <w:b/>
                <w:bCs/>
                <w:noProof/>
              </w:rPr>
            </w:pPr>
            <w:r>
              <w:rPr>
                <w:b/>
                <w:noProof/>
                <w:sz w:val="22"/>
              </w:rPr>
              <w:t>Zona: Subzonele geografice 19, 20 și 21 (ARA/GF19-21)</w:t>
            </w:r>
          </w:p>
        </w:tc>
      </w:tr>
      <w:tr>
        <w:tc>
          <w:tcPr>
            <w:tcW w:w="885" w:type="pct"/>
            <w:tcBorders>
              <w:top w:val="single" w:sz="4" w:space="0" w:color="auto"/>
              <w:left w:val="nil"/>
              <w:bottom w:val="nil"/>
              <w:right w:val="nil"/>
            </w:tcBorders>
            <w:shd w:val="clear" w:color="auto" w:fill="FFFFFF" w:themeFill="background1"/>
          </w:tcPr>
          <w:p>
            <w:pPr>
              <w:rPr>
                <w:rFonts w:eastAsia="Times New Roman"/>
                <w:noProof/>
              </w:rPr>
            </w:pPr>
            <w:r>
              <w:rPr>
                <w:noProof/>
                <w:sz w:val="22"/>
              </w:rPr>
              <w:lastRenderedPageBreak/>
              <w:t>Grecia</w:t>
            </w:r>
          </w:p>
        </w:tc>
        <w:tc>
          <w:tcPr>
            <w:tcW w:w="1911" w:type="pct"/>
            <w:tcBorders>
              <w:top w:val="single" w:sz="4" w:space="0" w:color="auto"/>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single" w:sz="4" w:space="0" w:color="auto"/>
              <w:left w:val="nil"/>
              <w:bottom w:val="nil"/>
              <w:right w:val="nil"/>
            </w:tcBorders>
            <w:shd w:val="clear" w:color="auto" w:fill="FFFFFF" w:themeFill="background1"/>
          </w:tcPr>
          <w:p>
            <w:pPr>
              <w:rPr>
                <w:rFonts w:eastAsia="Times New Roman"/>
                <w:noProof/>
              </w:rPr>
            </w:pPr>
            <w:r>
              <w:rPr>
                <w:noProof/>
                <w:sz w:val="22"/>
              </w:rPr>
              <w:t>Limita de captură analitică</w:t>
            </w:r>
          </w:p>
        </w:tc>
      </w:tr>
      <w:tr>
        <w:tc>
          <w:tcPr>
            <w:tcW w:w="885" w:type="pct"/>
            <w:tcBorders>
              <w:top w:val="nil"/>
              <w:left w:val="nil"/>
              <w:bottom w:val="nil"/>
              <w:right w:val="nil"/>
            </w:tcBorders>
            <w:shd w:val="clear" w:color="auto" w:fill="FFFFFF" w:themeFill="background1"/>
          </w:tcPr>
          <w:p>
            <w:pPr>
              <w:rPr>
                <w:noProof/>
              </w:rPr>
            </w:pPr>
            <w:r>
              <w:rPr>
                <w:noProof/>
              </w:rPr>
              <w:t>Italia</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nil"/>
            </w:tcBorders>
            <w:shd w:val="clear" w:color="auto" w:fill="FFFFFF" w:themeFill="background1"/>
          </w:tcPr>
          <w:p>
            <w:pPr>
              <w:rPr>
                <w:rFonts w:eastAsia="Times New Roman"/>
                <w:noProof/>
              </w:rPr>
            </w:pPr>
          </w:p>
        </w:tc>
      </w:tr>
      <w:tr>
        <w:tc>
          <w:tcPr>
            <w:tcW w:w="885" w:type="pct"/>
            <w:tcBorders>
              <w:top w:val="nil"/>
              <w:left w:val="nil"/>
              <w:bottom w:val="nil"/>
              <w:right w:val="nil"/>
            </w:tcBorders>
            <w:shd w:val="clear" w:color="auto" w:fill="FFFFFF" w:themeFill="background1"/>
          </w:tcPr>
          <w:p>
            <w:pPr>
              <w:rPr>
                <w:rFonts w:eastAsia="Times New Roman"/>
                <w:noProof/>
              </w:rPr>
            </w:pPr>
            <w:r>
              <w:rPr>
                <w:noProof/>
              </w:rPr>
              <w:t>Malta</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pm</w:t>
            </w:r>
          </w:p>
        </w:tc>
        <w:tc>
          <w:tcPr>
            <w:tcW w:w="2204" w:type="pct"/>
            <w:tcBorders>
              <w:top w:val="nil"/>
              <w:left w:val="nil"/>
              <w:bottom w:val="nil"/>
              <w:right w:val="nil"/>
            </w:tcBorders>
            <w:shd w:val="clear" w:color="auto" w:fill="FFFFFF" w:themeFill="background1"/>
          </w:tcPr>
          <w:p>
            <w:pPr>
              <w:rPr>
                <w:rFonts w:eastAsia="Times New Roman"/>
                <w:noProof/>
              </w:rPr>
            </w:pPr>
          </w:p>
        </w:tc>
      </w:tr>
      <w:tr>
        <w:tc>
          <w:tcPr>
            <w:tcW w:w="885" w:type="pct"/>
            <w:tcBorders>
              <w:top w:val="nil"/>
              <w:left w:val="nil"/>
              <w:bottom w:val="nil"/>
              <w:right w:val="nil"/>
            </w:tcBorders>
            <w:shd w:val="clear" w:color="auto" w:fill="FFFFFF" w:themeFill="background1"/>
          </w:tcPr>
          <w:p>
            <w:pPr>
              <w:rPr>
                <w:noProof/>
              </w:rPr>
            </w:pPr>
            <w:r>
              <w:rPr>
                <w:noProof/>
              </w:rPr>
              <w:t>Uniune</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 xml:space="preserve">pm </w:t>
            </w:r>
          </w:p>
        </w:tc>
        <w:tc>
          <w:tcPr>
            <w:tcW w:w="2204" w:type="pct"/>
            <w:tcBorders>
              <w:top w:val="nil"/>
              <w:left w:val="nil"/>
              <w:bottom w:val="nil"/>
              <w:right w:val="nil"/>
            </w:tcBorders>
            <w:shd w:val="clear" w:color="auto" w:fill="FFFFFF" w:themeFill="background1"/>
          </w:tcPr>
          <w:p>
            <w:pPr>
              <w:rPr>
                <w:rFonts w:eastAsia="Times New Roman"/>
                <w:noProof/>
              </w:rPr>
            </w:pPr>
          </w:p>
        </w:tc>
      </w:tr>
      <w:tr>
        <w:tc>
          <w:tcPr>
            <w:tcW w:w="885" w:type="pct"/>
            <w:tcBorders>
              <w:top w:val="nil"/>
              <w:left w:val="nil"/>
              <w:bottom w:val="nil"/>
              <w:right w:val="nil"/>
            </w:tcBorders>
            <w:shd w:val="clear" w:color="auto" w:fill="FFFFFF" w:themeFill="background1"/>
          </w:tcPr>
          <w:p>
            <w:pPr>
              <w:rPr>
                <w:noProof/>
              </w:rPr>
            </w:pPr>
            <w:r>
              <w:rPr>
                <w:noProof/>
              </w:rPr>
              <w:t>TAC</w:t>
            </w:r>
          </w:p>
        </w:tc>
        <w:tc>
          <w:tcPr>
            <w:tcW w:w="1911" w:type="pct"/>
            <w:tcBorders>
              <w:top w:val="nil"/>
              <w:left w:val="nil"/>
              <w:bottom w:val="nil"/>
              <w:right w:val="nil"/>
            </w:tcBorders>
            <w:shd w:val="clear" w:color="auto" w:fill="FFFFFF" w:themeFill="background1"/>
          </w:tcPr>
          <w:p>
            <w:pPr>
              <w:rPr>
                <w:rFonts w:eastAsia="Times New Roman"/>
                <w:noProof/>
              </w:rPr>
            </w:pPr>
            <w:r>
              <w:rPr>
                <w:noProof/>
                <w:sz w:val="22"/>
              </w:rPr>
              <w:t>Nu se aplică</w:t>
            </w:r>
          </w:p>
        </w:tc>
        <w:tc>
          <w:tcPr>
            <w:tcW w:w="2204" w:type="pct"/>
            <w:tcBorders>
              <w:top w:val="nil"/>
              <w:left w:val="nil"/>
              <w:bottom w:val="nil"/>
              <w:right w:val="nil"/>
            </w:tcBorders>
            <w:shd w:val="clear" w:color="auto" w:fill="FFFFFF" w:themeFill="background1"/>
          </w:tcPr>
          <w:p>
            <w:pPr>
              <w:rPr>
                <w:rFonts w:eastAsia="Times New Roman"/>
                <w:noProof/>
              </w:rPr>
            </w:pPr>
          </w:p>
        </w:tc>
      </w:tr>
    </w:tbl>
    <w:p>
      <w:pPr>
        <w:rPr>
          <w:noProof/>
        </w:rPr>
      </w:pPr>
    </w:p>
    <w:p>
      <w:pPr>
        <w:rPr>
          <w:noProof/>
        </w:rPr>
      </w:pPr>
      <w:bookmarkStart w:id="4" w:name="_Hlk168482985"/>
      <w:r>
        <w:rPr>
          <w:noProof/>
        </w:rPr>
        <w:t xml:space="preserve">2. Marea Levantului </w:t>
      </w:r>
    </w:p>
    <w:p>
      <w:pPr>
        <w:rPr>
          <w:noProof/>
        </w:rPr>
      </w:pPr>
      <w:r>
        <w:rPr>
          <w:noProof/>
        </w:rPr>
        <w:t>(a) Capacitatea maximă a flotei traulerelor de fund autorizate să pescuiască creveți de adâncime în Marea Levantului (subzonele geografice 24, 25, 26 și 27), exprimată în număr de nave, kW și tonaj brut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241"/>
        <w:gridCol w:w="2707"/>
        <w:gridCol w:w="2554"/>
        <w:gridCol w:w="879"/>
        <w:gridCol w:w="708"/>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Statul membru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Unealta de pescuit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Numărul de nave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kW</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TB</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Cipru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2 048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618</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Italia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rPr>
              <w:t>OTB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 xml:space="preserve">34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15345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pPr>
              <w:rPr>
                <w:rFonts w:eastAsia="Times New Roman"/>
                <w:noProof/>
              </w:rPr>
            </w:pPr>
            <w:r>
              <w:rPr>
                <w:noProof/>
                <w:sz w:val="22"/>
              </w:rPr>
              <w:t>5542</w:t>
            </w:r>
          </w:p>
        </w:tc>
      </w:tr>
      <w:bookmarkEnd w:id="4"/>
    </w:tbl>
    <w:p>
      <w:pPr>
        <w:rPr>
          <w:noProof/>
        </w:rPr>
      </w:pPr>
    </w:p>
    <w:p>
      <w:pPr>
        <w:rPr>
          <w:noProof/>
        </w:rPr>
      </w:pPr>
      <w:r>
        <w:rPr>
          <w:noProof/>
        </w:rPr>
        <w:t>(b) Nivelul maxim al capturilor de crevete roșu gigant (</w:t>
      </w:r>
      <w:r>
        <w:rPr>
          <w:i/>
          <w:noProof/>
        </w:rPr>
        <w:t>Aristaeomorpha foliacea</w:t>
      </w:r>
      <w:r>
        <w:rPr>
          <w:noProof/>
        </w:rPr>
        <w:t>) în Marea Levantului (subzonele geografice 24, 25, 26 și 27), exprimat în tone de greutate în viu</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b/>
                <w:noProof/>
                <w:sz w:val="22"/>
              </w:rPr>
              <w:t>Specia:</w:t>
            </w:r>
          </w:p>
        </w:tc>
        <w:tc>
          <w:tcPr>
            <w:tcW w:w="1911"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Crevete roșu gigant </w:t>
            </w:r>
          </w:p>
          <w:p>
            <w:pPr>
              <w:rPr>
                <w:rFonts w:eastAsia="Times New Roman"/>
                <w:b/>
                <w:bCs/>
                <w:i/>
                <w:iCs/>
                <w:noProof/>
              </w:rPr>
            </w:pPr>
            <w:r>
              <w:rPr>
                <w:i/>
                <w:noProof/>
              </w:rPr>
              <w:t>Aristaeomorpha foliacea</w:t>
            </w:r>
          </w:p>
        </w:tc>
        <w:tc>
          <w:tcPr>
            <w:tcW w:w="2204"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b/>
                <w:noProof/>
                <w:sz w:val="22"/>
              </w:rPr>
              <w:t xml:space="preserve">Zona: </w:t>
            </w:r>
            <w:r>
              <w:rPr>
                <w:b/>
                <w:noProof/>
              </w:rPr>
              <w:t>subzonele geografice 24, 25, 26 și 27 (ARS/GF24-27)</w:t>
            </w:r>
          </w:p>
        </w:tc>
      </w:tr>
      <w:tr>
        <w:tc>
          <w:tcPr>
            <w:tcW w:w="885" w:type="pct"/>
            <w:tcBorders>
              <w:top w:val="single" w:sz="4" w:space="0" w:color="auto"/>
              <w:left w:val="nil"/>
              <w:bottom w:val="nil"/>
              <w:right w:val="nil"/>
            </w:tcBorders>
            <w:shd w:val="clear" w:color="auto" w:fill="FFFFFF"/>
          </w:tcPr>
          <w:p>
            <w:pPr>
              <w:rPr>
                <w:rFonts w:eastAsia="Times New Roman"/>
                <w:noProof/>
              </w:rPr>
            </w:pPr>
            <w:r>
              <w:rPr>
                <w:noProof/>
                <w:sz w:val="22"/>
              </w:rPr>
              <w:t>Italia</w:t>
            </w:r>
          </w:p>
        </w:tc>
        <w:tc>
          <w:tcPr>
            <w:tcW w:w="1911" w:type="pct"/>
            <w:tcBorders>
              <w:top w:val="single" w:sz="4" w:space="0" w:color="auto"/>
              <w:left w:val="nil"/>
              <w:bottom w:val="nil"/>
              <w:right w:val="nil"/>
            </w:tcBorders>
            <w:shd w:val="clear" w:color="auto" w:fill="FFFFFF"/>
          </w:tcPr>
          <w:p>
            <w:pPr>
              <w:rPr>
                <w:rFonts w:eastAsia="Times New Roman"/>
                <w:noProof/>
              </w:rPr>
            </w:pPr>
            <w:r>
              <w:rPr>
                <w:noProof/>
                <w:sz w:val="22"/>
              </w:rPr>
              <w:t>pm</w:t>
            </w:r>
          </w:p>
        </w:tc>
        <w:tc>
          <w:tcPr>
            <w:tcW w:w="2204" w:type="pct"/>
            <w:tcBorders>
              <w:top w:val="single" w:sz="4" w:space="0" w:color="auto"/>
              <w:left w:val="nil"/>
              <w:bottom w:val="nil"/>
              <w:right w:val="nil"/>
            </w:tcBorders>
            <w:shd w:val="clear" w:color="auto" w:fill="FFFFFF"/>
          </w:tcPr>
          <w:p>
            <w:pPr>
              <w:rPr>
                <w:rFonts w:eastAsia="Times New Roman"/>
                <w:noProof/>
              </w:rPr>
            </w:pPr>
            <w:r>
              <w:rPr>
                <w:noProof/>
                <w:sz w:val="22"/>
              </w:rPr>
              <w:t>Limita de captură de precauție</w:t>
            </w:r>
          </w:p>
        </w:tc>
      </w:tr>
      <w:tr>
        <w:tc>
          <w:tcPr>
            <w:tcW w:w="885" w:type="pct"/>
            <w:tcBorders>
              <w:top w:val="nil"/>
              <w:left w:val="nil"/>
              <w:bottom w:val="nil"/>
              <w:right w:val="nil"/>
            </w:tcBorders>
            <w:shd w:val="clear" w:color="auto" w:fill="FFFFFF"/>
          </w:tcPr>
          <w:p>
            <w:pPr>
              <w:rPr>
                <w:noProof/>
              </w:rPr>
            </w:pPr>
            <w:r>
              <w:rPr>
                <w:noProof/>
              </w:rPr>
              <w:t>Cipru</w:t>
            </w:r>
          </w:p>
        </w:tc>
        <w:tc>
          <w:tcPr>
            <w:tcW w:w="1911" w:type="pct"/>
            <w:tcBorders>
              <w:top w:val="nil"/>
              <w:left w:val="nil"/>
              <w:bottom w:val="nil"/>
              <w:right w:val="nil"/>
            </w:tcBorders>
            <w:shd w:val="clear" w:color="auto" w:fill="FFFFFF"/>
          </w:tcPr>
          <w:p>
            <w:pPr>
              <w:rPr>
                <w:rFonts w:eastAsia="Times New Roman"/>
                <w:noProof/>
              </w:rPr>
            </w:pPr>
            <w:r>
              <w:rPr>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Uniune</w:t>
            </w:r>
          </w:p>
        </w:tc>
        <w:tc>
          <w:tcPr>
            <w:tcW w:w="1911" w:type="pct"/>
            <w:tcBorders>
              <w:top w:val="nil"/>
              <w:left w:val="nil"/>
              <w:bottom w:val="nil"/>
              <w:right w:val="nil"/>
            </w:tcBorders>
            <w:shd w:val="clear" w:color="auto" w:fill="FFFFFF"/>
          </w:tcPr>
          <w:p>
            <w:pPr>
              <w:rPr>
                <w:rFonts w:eastAsia="Times New Roman"/>
                <w:noProof/>
              </w:rPr>
            </w:pPr>
            <w:r>
              <w:rPr>
                <w:noProof/>
                <w:sz w:val="22"/>
              </w:rPr>
              <w:t xml:space="preserve">pm </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TAC</w:t>
            </w:r>
          </w:p>
        </w:tc>
        <w:tc>
          <w:tcPr>
            <w:tcW w:w="1911" w:type="pct"/>
            <w:tcBorders>
              <w:top w:val="nil"/>
              <w:left w:val="nil"/>
              <w:bottom w:val="nil"/>
              <w:right w:val="nil"/>
            </w:tcBorders>
            <w:shd w:val="clear" w:color="auto" w:fill="FFFFFF"/>
          </w:tcPr>
          <w:p>
            <w:pPr>
              <w:rPr>
                <w:rFonts w:eastAsia="Times New Roman"/>
                <w:noProof/>
              </w:rPr>
            </w:pPr>
            <w:r>
              <w:rPr>
                <w:noProof/>
                <w:sz w:val="22"/>
              </w:rPr>
              <w:t>Nu se aplică</w:t>
            </w:r>
          </w:p>
        </w:tc>
        <w:tc>
          <w:tcPr>
            <w:tcW w:w="2204" w:type="pct"/>
            <w:tcBorders>
              <w:top w:val="nil"/>
              <w:left w:val="nil"/>
              <w:bottom w:val="nil"/>
              <w:right w:val="nil"/>
            </w:tcBorders>
            <w:shd w:val="clear" w:color="auto" w:fill="FFFFFF"/>
          </w:tcPr>
          <w:p>
            <w:pPr>
              <w:rPr>
                <w:rFonts w:eastAsia="Times New Roman"/>
                <w:noProof/>
              </w:rPr>
            </w:pPr>
          </w:p>
        </w:tc>
      </w:tr>
    </w:tbl>
    <w:p>
      <w:pPr>
        <w:rPr>
          <w:noProof/>
        </w:rPr>
      </w:pPr>
    </w:p>
    <w:p>
      <w:pPr>
        <w:rPr>
          <w:noProof/>
        </w:rPr>
      </w:pPr>
      <w:r>
        <w:rPr>
          <w:noProof/>
        </w:rPr>
        <w:t>(c) Nivelul maxim al capturilor de crevete roșu (</w:t>
      </w:r>
      <w:r>
        <w:rPr>
          <w:i/>
          <w:noProof/>
        </w:rPr>
        <w:t>Aristeus antennatus</w:t>
      </w:r>
      <w:r>
        <w:rPr>
          <w:noProof/>
        </w:rPr>
        <w:t>) în Marea Levantului (subzonele geografice 24, 25, 26 și 27), exprimat în tone de greutate în viu</w:t>
      </w:r>
    </w:p>
    <w:tbl>
      <w:tblPr>
        <w:tblW w:w="530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06"/>
        <w:gridCol w:w="3685"/>
        <w:gridCol w:w="4250"/>
      </w:tblGrid>
      <w:tr>
        <w:tc>
          <w:tcPr>
            <w:tcW w:w="885" w:type="pct"/>
            <w:tcBorders>
              <w:top w:val="single" w:sz="4" w:space="0" w:color="auto"/>
              <w:left w:val="single" w:sz="4" w:space="0" w:color="auto"/>
              <w:bottom w:val="single" w:sz="4" w:space="0" w:color="auto"/>
              <w:right w:val="nil"/>
            </w:tcBorders>
            <w:shd w:val="clear" w:color="auto" w:fill="FFFFFF"/>
            <w:hideMark/>
          </w:tcPr>
          <w:p>
            <w:pPr>
              <w:rPr>
                <w:rFonts w:eastAsia="Times New Roman"/>
                <w:b/>
                <w:bCs/>
                <w:noProof/>
              </w:rPr>
            </w:pPr>
            <w:r>
              <w:rPr>
                <w:b/>
                <w:noProof/>
                <w:sz w:val="22"/>
              </w:rPr>
              <w:t>Specia:</w:t>
            </w:r>
          </w:p>
        </w:tc>
        <w:tc>
          <w:tcPr>
            <w:tcW w:w="1911" w:type="pct"/>
            <w:tcBorders>
              <w:top w:val="single" w:sz="4" w:space="0" w:color="auto"/>
              <w:left w:val="nil"/>
              <w:bottom w:val="single" w:sz="4" w:space="0" w:color="auto"/>
              <w:right w:val="single" w:sz="4" w:space="0" w:color="auto"/>
            </w:tcBorders>
            <w:shd w:val="clear" w:color="auto" w:fill="FFFFFF"/>
            <w:hideMark/>
          </w:tcPr>
          <w:p>
            <w:pPr>
              <w:rPr>
                <w:noProof/>
              </w:rPr>
            </w:pPr>
            <w:r>
              <w:rPr>
                <w:noProof/>
              </w:rPr>
              <w:t xml:space="preserve">Crevete roșu </w:t>
            </w:r>
          </w:p>
          <w:p>
            <w:pPr>
              <w:rPr>
                <w:rFonts w:eastAsia="Times New Roman"/>
                <w:b/>
                <w:bCs/>
                <w:i/>
                <w:iCs/>
                <w:noProof/>
              </w:rPr>
            </w:pPr>
            <w:r>
              <w:rPr>
                <w:i/>
                <w:noProof/>
              </w:rPr>
              <w:t>Aristeus antennatus</w:t>
            </w:r>
          </w:p>
        </w:tc>
        <w:tc>
          <w:tcPr>
            <w:tcW w:w="2204" w:type="pct"/>
            <w:tcBorders>
              <w:top w:val="single" w:sz="4" w:space="0" w:color="auto"/>
              <w:left w:val="single" w:sz="4" w:space="0" w:color="auto"/>
              <w:bottom w:val="single" w:sz="4" w:space="0" w:color="auto"/>
              <w:right w:val="single" w:sz="4" w:space="0" w:color="auto"/>
            </w:tcBorders>
            <w:shd w:val="clear" w:color="auto" w:fill="FFFFFF"/>
            <w:hideMark/>
          </w:tcPr>
          <w:p>
            <w:pPr>
              <w:rPr>
                <w:rFonts w:eastAsia="Times New Roman"/>
                <w:b/>
                <w:bCs/>
                <w:noProof/>
              </w:rPr>
            </w:pPr>
            <w:r>
              <w:rPr>
                <w:b/>
                <w:noProof/>
                <w:sz w:val="22"/>
              </w:rPr>
              <w:t xml:space="preserve">Zona: </w:t>
            </w:r>
            <w:r>
              <w:rPr>
                <w:b/>
                <w:noProof/>
              </w:rPr>
              <w:t>subzonele geografice 24, 25, 26 și 27 (ARA/GF24-27)</w:t>
            </w:r>
          </w:p>
        </w:tc>
      </w:tr>
      <w:tr>
        <w:tc>
          <w:tcPr>
            <w:tcW w:w="885" w:type="pct"/>
            <w:tcBorders>
              <w:top w:val="single" w:sz="4" w:space="0" w:color="auto"/>
              <w:left w:val="nil"/>
              <w:bottom w:val="nil"/>
              <w:right w:val="nil"/>
            </w:tcBorders>
            <w:shd w:val="clear" w:color="auto" w:fill="FFFFFF"/>
          </w:tcPr>
          <w:p>
            <w:pPr>
              <w:rPr>
                <w:rFonts w:eastAsia="Times New Roman"/>
                <w:noProof/>
              </w:rPr>
            </w:pPr>
            <w:r>
              <w:rPr>
                <w:noProof/>
                <w:sz w:val="22"/>
              </w:rPr>
              <w:t>Italia</w:t>
            </w:r>
          </w:p>
        </w:tc>
        <w:tc>
          <w:tcPr>
            <w:tcW w:w="1911" w:type="pct"/>
            <w:tcBorders>
              <w:top w:val="single" w:sz="4" w:space="0" w:color="auto"/>
              <w:left w:val="nil"/>
              <w:bottom w:val="nil"/>
              <w:right w:val="nil"/>
            </w:tcBorders>
            <w:shd w:val="clear" w:color="auto" w:fill="FFFFFF"/>
          </w:tcPr>
          <w:p>
            <w:pPr>
              <w:rPr>
                <w:rFonts w:eastAsia="Times New Roman"/>
                <w:noProof/>
              </w:rPr>
            </w:pPr>
            <w:r>
              <w:rPr>
                <w:noProof/>
                <w:sz w:val="22"/>
              </w:rPr>
              <w:t>pm</w:t>
            </w:r>
          </w:p>
        </w:tc>
        <w:tc>
          <w:tcPr>
            <w:tcW w:w="2204" w:type="pct"/>
            <w:tcBorders>
              <w:top w:val="single" w:sz="4" w:space="0" w:color="auto"/>
              <w:left w:val="nil"/>
              <w:bottom w:val="nil"/>
              <w:right w:val="nil"/>
            </w:tcBorders>
            <w:shd w:val="clear" w:color="auto" w:fill="FFFFFF"/>
          </w:tcPr>
          <w:p>
            <w:pPr>
              <w:rPr>
                <w:rFonts w:eastAsia="Times New Roman"/>
                <w:noProof/>
              </w:rPr>
            </w:pPr>
            <w:r>
              <w:rPr>
                <w:noProof/>
                <w:sz w:val="22"/>
              </w:rPr>
              <w:t>Limita de captură de precauție</w:t>
            </w:r>
          </w:p>
        </w:tc>
      </w:tr>
      <w:tr>
        <w:tc>
          <w:tcPr>
            <w:tcW w:w="885" w:type="pct"/>
            <w:tcBorders>
              <w:top w:val="nil"/>
              <w:left w:val="nil"/>
              <w:bottom w:val="nil"/>
              <w:right w:val="nil"/>
            </w:tcBorders>
            <w:shd w:val="clear" w:color="auto" w:fill="FFFFFF"/>
          </w:tcPr>
          <w:p>
            <w:pPr>
              <w:rPr>
                <w:noProof/>
              </w:rPr>
            </w:pPr>
            <w:r>
              <w:rPr>
                <w:noProof/>
              </w:rPr>
              <w:t>Cipru</w:t>
            </w:r>
          </w:p>
        </w:tc>
        <w:tc>
          <w:tcPr>
            <w:tcW w:w="1911" w:type="pct"/>
            <w:tcBorders>
              <w:top w:val="nil"/>
              <w:left w:val="nil"/>
              <w:bottom w:val="nil"/>
              <w:right w:val="nil"/>
            </w:tcBorders>
            <w:shd w:val="clear" w:color="auto" w:fill="FFFFFF"/>
          </w:tcPr>
          <w:p>
            <w:pPr>
              <w:rPr>
                <w:rFonts w:eastAsia="Times New Roman"/>
                <w:noProof/>
              </w:rPr>
            </w:pPr>
            <w:r>
              <w:rPr>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Uniune</w:t>
            </w:r>
          </w:p>
        </w:tc>
        <w:tc>
          <w:tcPr>
            <w:tcW w:w="1911" w:type="pct"/>
            <w:tcBorders>
              <w:top w:val="nil"/>
              <w:left w:val="nil"/>
              <w:bottom w:val="nil"/>
              <w:right w:val="nil"/>
            </w:tcBorders>
            <w:shd w:val="clear" w:color="auto" w:fill="FFFFFF"/>
          </w:tcPr>
          <w:p>
            <w:pPr>
              <w:rPr>
                <w:rFonts w:eastAsia="Times New Roman"/>
                <w:noProof/>
              </w:rPr>
            </w:pPr>
            <w:r>
              <w:rPr>
                <w:noProof/>
                <w:sz w:val="22"/>
              </w:rPr>
              <w:t>pm</w:t>
            </w:r>
          </w:p>
        </w:tc>
        <w:tc>
          <w:tcPr>
            <w:tcW w:w="2204" w:type="pct"/>
            <w:tcBorders>
              <w:top w:val="nil"/>
              <w:left w:val="nil"/>
              <w:bottom w:val="nil"/>
              <w:right w:val="nil"/>
            </w:tcBorders>
            <w:shd w:val="clear" w:color="auto" w:fill="FFFFFF"/>
          </w:tcPr>
          <w:p>
            <w:pPr>
              <w:rPr>
                <w:rFonts w:eastAsia="Times New Roman"/>
                <w:noProof/>
              </w:rPr>
            </w:pPr>
          </w:p>
        </w:tc>
      </w:tr>
      <w:tr>
        <w:tc>
          <w:tcPr>
            <w:tcW w:w="885" w:type="pct"/>
            <w:tcBorders>
              <w:top w:val="nil"/>
              <w:left w:val="nil"/>
              <w:bottom w:val="nil"/>
              <w:right w:val="nil"/>
            </w:tcBorders>
            <w:shd w:val="clear" w:color="auto" w:fill="FFFFFF"/>
          </w:tcPr>
          <w:p>
            <w:pPr>
              <w:rPr>
                <w:noProof/>
              </w:rPr>
            </w:pPr>
            <w:r>
              <w:rPr>
                <w:noProof/>
              </w:rPr>
              <w:t>TAC</w:t>
            </w:r>
          </w:p>
        </w:tc>
        <w:tc>
          <w:tcPr>
            <w:tcW w:w="1911" w:type="pct"/>
            <w:tcBorders>
              <w:top w:val="nil"/>
              <w:left w:val="nil"/>
              <w:bottom w:val="nil"/>
              <w:right w:val="nil"/>
            </w:tcBorders>
            <w:shd w:val="clear" w:color="auto" w:fill="FFFFFF"/>
          </w:tcPr>
          <w:p>
            <w:pPr>
              <w:rPr>
                <w:rFonts w:eastAsia="Times New Roman"/>
                <w:noProof/>
              </w:rPr>
            </w:pPr>
            <w:r>
              <w:rPr>
                <w:noProof/>
                <w:sz w:val="22"/>
              </w:rPr>
              <w:t>Nu se aplică</w:t>
            </w:r>
          </w:p>
        </w:tc>
        <w:tc>
          <w:tcPr>
            <w:tcW w:w="2204" w:type="pct"/>
            <w:tcBorders>
              <w:top w:val="nil"/>
              <w:left w:val="nil"/>
              <w:bottom w:val="nil"/>
              <w:right w:val="nil"/>
            </w:tcBorders>
            <w:shd w:val="clear" w:color="auto" w:fill="FFFFFF"/>
          </w:tcPr>
          <w:p>
            <w:pPr>
              <w:rPr>
                <w:rFonts w:eastAsia="Times New Roman"/>
                <w:noProof/>
              </w:rPr>
            </w:pPr>
          </w:p>
        </w:tc>
      </w:tr>
    </w:tbl>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ANEXA VIII</w:t>
      </w:r>
    </w:p>
    <w:p>
      <w:pPr>
        <w:jc w:val="center"/>
        <w:rPr>
          <w:b/>
          <w:bCs/>
          <w:noProof/>
        </w:rPr>
      </w:pPr>
      <w:r>
        <w:rPr>
          <w:b/>
          <w:noProof/>
        </w:rPr>
        <w:t>POSIBILITĂȚI DE PESCUIT PENTRU NAVELE DE PESCUIT ALE UNIUNII ÎN MAREA ALBORAN</w:t>
      </w:r>
    </w:p>
    <w:p>
      <w:pPr>
        <w:rPr>
          <w:b/>
          <w:bCs/>
          <w:noProof/>
        </w:rPr>
      </w:pPr>
    </w:p>
    <w:p>
      <w:pPr>
        <w:rPr>
          <w:rFonts w:eastAsia="Times New Roman"/>
          <w:noProof/>
          <w:szCs w:val="24"/>
        </w:rPr>
      </w:pPr>
      <w:r>
        <w:rPr>
          <w:noProof/>
        </w:rPr>
        <w:t>Tabelele din prezenta anexă stabilesc numărul maxim de nave de pescuit din Uniune autorizate să pescuiască pagel argintiu în Marea Alboran și nivelul maxim al capturilor.</w:t>
      </w:r>
    </w:p>
    <w:p>
      <w:pPr>
        <w:spacing w:line="360" w:lineRule="auto"/>
        <w:rPr>
          <w:rFonts w:eastAsia="Times New Roman"/>
          <w:noProof/>
          <w:szCs w:val="24"/>
        </w:rPr>
      </w:pPr>
      <w:r>
        <w:rPr>
          <w:noProof/>
        </w:rPr>
        <w:t>Trimiterile la zone de pescuit reprezintă trimiteri la subzonele geografice CGPM.</w:t>
      </w:r>
    </w:p>
    <w:p>
      <w:pPr>
        <w:spacing w:line="360" w:lineRule="auto"/>
        <w:rPr>
          <w:rFonts w:eastAsia="Times New Roman"/>
          <w:noProof/>
          <w:szCs w:val="24"/>
        </w:rPr>
      </w:pPr>
      <w:r>
        <w:rPr>
          <w:noProof/>
        </w:rPr>
        <w:t>În sensul prezentei anexe, următorul tabel de corespondență indică denumirile în limba latină și denumirile comune ale stocurilor de pește:</w:t>
      </w:r>
    </w:p>
    <w:tbl>
      <w:tblPr>
        <w:tblW w:w="0" w:type="auto"/>
        <w:tblInd w:w="-105" w:type="dxa"/>
        <w:tblLook w:val="04A0" w:firstRow="1" w:lastRow="0" w:firstColumn="1" w:lastColumn="0" w:noHBand="0" w:noVBand="1"/>
      </w:tblPr>
      <w:tblGrid>
        <w:gridCol w:w="3075"/>
        <w:gridCol w:w="3075"/>
        <w:gridCol w:w="3075"/>
      </w:tblGrid>
      <w:tr>
        <w:trPr>
          <w:trHeight w:val="300"/>
        </w:trPr>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b/>
                <w:bCs/>
                <w:noProof/>
                <w:szCs w:val="24"/>
                <w:u w:val="single"/>
              </w:rPr>
            </w:pPr>
            <w:r>
              <w:rPr>
                <w:b/>
                <w:noProof/>
                <w:u w:val="single"/>
              </w:rPr>
              <w:t>Denumire științifică</w:t>
            </w:r>
          </w:p>
        </w:tc>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b/>
                <w:bCs/>
                <w:noProof/>
                <w:szCs w:val="24"/>
                <w:u w:val="single"/>
              </w:rPr>
            </w:pPr>
            <w:r>
              <w:rPr>
                <w:b/>
                <w:noProof/>
                <w:u w:val="single"/>
              </w:rPr>
              <w:t>Codul alfa-3</w:t>
            </w:r>
          </w:p>
        </w:tc>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b/>
                <w:bCs/>
                <w:noProof/>
                <w:szCs w:val="24"/>
                <w:u w:val="single"/>
              </w:rPr>
            </w:pPr>
            <w:r>
              <w:rPr>
                <w:b/>
                <w:noProof/>
                <w:u w:val="single"/>
              </w:rPr>
              <w:t>Denumirea comună</w:t>
            </w:r>
          </w:p>
        </w:tc>
      </w:tr>
      <w:tr>
        <w:trPr>
          <w:trHeight w:val="300"/>
        </w:trPr>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i/>
                <w:iCs/>
                <w:noProof/>
                <w:szCs w:val="24"/>
              </w:rPr>
            </w:pPr>
            <w:r>
              <w:rPr>
                <w:i/>
                <w:noProof/>
              </w:rPr>
              <w:t>Pagellus boraraveo</w:t>
            </w:r>
          </w:p>
        </w:tc>
        <w:tc>
          <w:tcPr>
            <w:tcW w:w="3075" w:type="dxa"/>
            <w:tcBorders>
              <w:top w:val="single" w:sz="8" w:space="0" w:color="auto"/>
              <w:left w:val="single" w:sz="8" w:space="0" w:color="auto"/>
              <w:bottom w:val="single" w:sz="8" w:space="0" w:color="auto"/>
              <w:right w:val="single" w:sz="8" w:space="0" w:color="auto"/>
            </w:tcBorders>
          </w:tcPr>
          <w:p>
            <w:pPr>
              <w:spacing w:line="360" w:lineRule="auto"/>
              <w:jc w:val="center"/>
              <w:rPr>
                <w:rFonts w:eastAsia="Times New Roman"/>
                <w:noProof/>
                <w:szCs w:val="24"/>
              </w:rPr>
            </w:pPr>
            <w:r>
              <w:rPr>
                <w:noProof/>
              </w:rPr>
              <w:t>SBR</w:t>
            </w:r>
          </w:p>
        </w:tc>
        <w:tc>
          <w:tcPr>
            <w:tcW w:w="3075" w:type="dxa"/>
            <w:tcBorders>
              <w:top w:val="single" w:sz="8" w:space="0" w:color="auto"/>
              <w:left w:val="single" w:sz="8" w:space="0" w:color="auto"/>
              <w:bottom w:val="single" w:sz="8" w:space="0" w:color="auto"/>
              <w:right w:val="single" w:sz="8" w:space="0" w:color="auto"/>
            </w:tcBorders>
          </w:tcPr>
          <w:p>
            <w:pPr>
              <w:spacing w:after="96" w:line="257" w:lineRule="auto"/>
              <w:ind w:left="6" w:right="769"/>
              <w:jc w:val="center"/>
              <w:rPr>
                <w:rFonts w:eastAsia="Times New Roman"/>
                <w:noProof/>
                <w:szCs w:val="24"/>
              </w:rPr>
            </w:pPr>
            <w:r>
              <w:rPr>
                <w:noProof/>
              </w:rPr>
              <w:t>Pagel argintiu</w:t>
            </w:r>
          </w:p>
        </w:tc>
      </w:tr>
    </w:tbl>
    <w:p>
      <w:pPr>
        <w:spacing w:line="257" w:lineRule="auto"/>
        <w:ind w:left="10" w:right="344"/>
        <w:rPr>
          <w:rFonts w:eastAsia="Times New Roman"/>
          <w:noProof/>
          <w:color w:val="000000" w:themeColor="text1"/>
          <w:szCs w:val="24"/>
        </w:rPr>
      </w:pPr>
    </w:p>
    <w:p>
      <w:pPr>
        <w:spacing w:line="257" w:lineRule="auto"/>
        <w:ind w:left="10" w:right="344"/>
        <w:rPr>
          <w:rFonts w:eastAsia="Times New Roman"/>
          <w:noProof/>
          <w:color w:val="000000" w:themeColor="text1"/>
          <w:szCs w:val="24"/>
        </w:rPr>
      </w:pPr>
      <w:r>
        <w:rPr>
          <w:noProof/>
          <w:color w:val="000000" w:themeColor="text1"/>
        </w:rPr>
        <w:t>(a) Nivelul maxim al capturilor realizate cu paragate și linii de pescuit, exprimat în tone de greutate în viu</w:t>
      </w:r>
    </w:p>
    <w:tbl>
      <w:tblPr>
        <w:tblW w:w="0" w:type="auto"/>
        <w:tblLook w:val="04A0" w:firstRow="1" w:lastRow="0" w:firstColumn="1" w:lastColumn="0" w:noHBand="0" w:noVBand="1"/>
      </w:tblPr>
      <w:tblGrid>
        <w:gridCol w:w="1994"/>
        <w:gridCol w:w="3681"/>
        <w:gridCol w:w="3621"/>
      </w:tblGrid>
      <w:tr>
        <w:trPr>
          <w:trHeight w:val="108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tcPr>
          <w:p>
            <w:pPr>
              <w:spacing w:before="0" w:after="0" w:line="257" w:lineRule="auto"/>
              <w:ind w:left="5" w:right="769"/>
              <w:jc w:val="center"/>
              <w:rPr>
                <w:rFonts w:eastAsia="Times New Roman"/>
                <w:noProof/>
                <w:color w:val="000000" w:themeColor="text1"/>
                <w:szCs w:val="24"/>
              </w:rPr>
            </w:pPr>
            <w:r>
              <w:rPr>
                <w:noProof/>
                <w:color w:val="000000" w:themeColor="text1"/>
              </w:rPr>
              <w:t xml:space="preserve">Specie </w:t>
            </w:r>
          </w:p>
        </w:tc>
        <w:tc>
          <w:tcPr>
            <w:tcW w:w="36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tcPr>
          <w:p>
            <w:pPr>
              <w:spacing w:after="96" w:line="257" w:lineRule="auto"/>
              <w:ind w:left="6" w:right="769"/>
              <w:jc w:val="center"/>
              <w:rPr>
                <w:rFonts w:eastAsia="Times New Roman"/>
                <w:noProof/>
                <w:color w:val="000000" w:themeColor="text1"/>
                <w:szCs w:val="24"/>
              </w:rPr>
            </w:pPr>
            <w:r>
              <w:rPr>
                <w:noProof/>
                <w:color w:val="000000" w:themeColor="text1"/>
              </w:rPr>
              <w:t xml:space="preserve">Pagel argintiu </w:t>
            </w:r>
          </w:p>
          <w:p>
            <w:pPr>
              <w:spacing w:before="0" w:after="0" w:line="257" w:lineRule="auto"/>
              <w:ind w:left="7" w:right="769"/>
              <w:jc w:val="center"/>
              <w:rPr>
                <w:rFonts w:eastAsia="Times New Roman"/>
                <w:i/>
                <w:iCs/>
                <w:noProof/>
                <w:color w:val="000000" w:themeColor="text1"/>
                <w:szCs w:val="24"/>
              </w:rPr>
            </w:pPr>
            <w:r>
              <w:rPr>
                <w:i/>
                <w:noProof/>
                <w:color w:val="000000" w:themeColor="text1"/>
              </w:rPr>
              <w:t>Pagellus boraraveo</w:t>
            </w:r>
          </w:p>
        </w:tc>
        <w:tc>
          <w:tcPr>
            <w:tcW w:w="3621" w:type="dxa"/>
            <w:tcBorders>
              <w:top w:val="single" w:sz="8" w:space="0" w:color="000000" w:themeColor="text1"/>
              <w:left w:val="single" w:sz="8" w:space="0" w:color="000000" w:themeColor="text1"/>
              <w:bottom w:val="single" w:sz="2" w:space="0" w:color="000000" w:themeColor="text1"/>
              <w:right w:val="single" w:sz="8" w:space="0" w:color="000000" w:themeColor="text1"/>
            </w:tcBorders>
            <w:tcMar>
              <w:top w:w="177" w:type="dxa"/>
              <w:left w:w="108" w:type="dxa"/>
              <w:bottom w:w="10" w:type="dxa"/>
              <w:right w:w="115" w:type="dxa"/>
            </w:tcMar>
            <w:vAlign w:val="bottom"/>
          </w:tcPr>
          <w:p>
            <w:pPr>
              <w:spacing w:before="0" w:after="0" w:line="257" w:lineRule="auto"/>
              <w:ind w:left="7" w:right="142"/>
              <w:jc w:val="center"/>
              <w:rPr>
                <w:rFonts w:eastAsia="Times New Roman"/>
                <w:noProof/>
                <w:color w:val="000000" w:themeColor="text1"/>
                <w:szCs w:val="24"/>
              </w:rPr>
            </w:pPr>
            <w:r>
              <w:rPr>
                <w:noProof/>
                <w:color w:val="000000" w:themeColor="text1"/>
              </w:rPr>
              <w:t xml:space="preserve">Zona: Apele Uniunii din </w:t>
            </w:r>
          </w:p>
          <w:p>
            <w:pPr>
              <w:spacing w:after="96" w:line="257" w:lineRule="auto"/>
              <w:ind w:left="5" w:right="142"/>
              <w:jc w:val="center"/>
              <w:rPr>
                <w:rFonts w:eastAsia="Times New Roman"/>
                <w:noProof/>
                <w:color w:val="000000" w:themeColor="text1"/>
                <w:szCs w:val="24"/>
              </w:rPr>
            </w:pPr>
            <w:r>
              <w:rPr>
                <w:noProof/>
              </w:rPr>
              <w:t xml:space="preserve">Marea Alboran – subzonele geografice 1, 2 și 3 </w:t>
            </w:r>
          </w:p>
          <w:p>
            <w:pPr>
              <w:spacing w:before="0" w:after="0" w:line="257" w:lineRule="auto"/>
              <w:ind w:left="3"/>
              <w:jc w:val="center"/>
              <w:rPr>
                <w:rFonts w:eastAsia="Times New Roman"/>
                <w:noProof/>
                <w:color w:val="000000" w:themeColor="text1"/>
                <w:szCs w:val="24"/>
              </w:rPr>
            </w:pPr>
            <w:r>
              <w:rPr>
                <w:noProof/>
                <w:color w:val="000000" w:themeColor="text1"/>
              </w:rPr>
              <w:t xml:space="preserve">(SBR/GF1-3) </w:t>
            </w:r>
          </w:p>
        </w:tc>
      </w:tr>
      <w:tr>
        <w:trPr>
          <w:trHeight w:val="66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vAlign w:val="center"/>
          </w:tcPr>
          <w:p>
            <w:pPr>
              <w:spacing w:before="0" w:after="0" w:line="257" w:lineRule="auto"/>
              <w:ind w:right="769"/>
              <w:rPr>
                <w:rFonts w:eastAsia="Times New Roman"/>
                <w:noProof/>
                <w:color w:val="000000" w:themeColor="text1"/>
                <w:szCs w:val="24"/>
              </w:rPr>
            </w:pPr>
            <w:r>
              <w:rPr>
                <w:noProof/>
                <w:color w:val="000000" w:themeColor="text1"/>
              </w:rPr>
              <w:t xml:space="preserve">Spania </w:t>
            </w:r>
          </w:p>
        </w:tc>
        <w:tc>
          <w:tcPr>
            <w:tcW w:w="3681" w:type="dxa"/>
            <w:tcBorders>
              <w:top w:val="single" w:sz="8" w:space="0" w:color="000000" w:themeColor="text1"/>
              <w:left w:val="single" w:sz="8" w:space="0" w:color="000000" w:themeColor="text1"/>
              <w:bottom w:val="single" w:sz="8" w:space="0" w:color="000000" w:themeColor="text1"/>
              <w:right w:val="single" w:sz="2" w:space="0" w:color="000000" w:themeColor="text1"/>
            </w:tcBorders>
            <w:tcMar>
              <w:top w:w="177" w:type="dxa"/>
              <w:left w:w="108" w:type="dxa"/>
              <w:bottom w:w="10" w:type="dxa"/>
              <w:right w:w="115" w:type="dxa"/>
            </w:tcMar>
            <w:vAlign w:val="center"/>
          </w:tcPr>
          <w:p>
            <w:pPr>
              <w:spacing w:before="0" w:after="0" w:line="257" w:lineRule="auto"/>
              <w:ind w:left="3" w:right="769"/>
              <w:jc w:val="right"/>
              <w:rPr>
                <w:noProof/>
              </w:rPr>
            </w:pPr>
            <w:r>
              <w:rPr>
                <w:noProof/>
              </w:rPr>
              <w:t>pm</w:t>
            </w:r>
          </w:p>
        </w:tc>
        <w:tc>
          <w:tcPr>
            <w:tcW w:w="3621" w:type="dxa"/>
            <w:vMerge w:val="restart"/>
            <w:tcBorders>
              <w:top w:val="single" w:sz="2" w:space="0" w:color="000000" w:themeColor="text1"/>
              <w:left w:val="single" w:sz="2" w:space="0" w:color="000000" w:themeColor="text1"/>
              <w:bottom w:val="single" w:sz="2" w:space="0" w:color="000000" w:themeColor="text1"/>
              <w:right w:val="single" w:sz="2" w:space="0" w:color="000000" w:themeColor="text1"/>
            </w:tcBorders>
            <w:tcMar>
              <w:top w:w="177" w:type="dxa"/>
              <w:left w:w="108" w:type="dxa"/>
              <w:bottom w:w="10" w:type="dxa"/>
              <w:right w:w="115" w:type="dxa"/>
            </w:tcMar>
          </w:tcPr>
          <w:p>
            <w:pPr>
              <w:spacing w:after="355" w:line="257" w:lineRule="auto"/>
              <w:ind w:left="68" w:right="769"/>
              <w:jc w:val="center"/>
              <w:rPr>
                <w:rFonts w:eastAsia="Times New Roman"/>
                <w:noProof/>
                <w:color w:val="000000" w:themeColor="text1"/>
                <w:szCs w:val="24"/>
              </w:rPr>
            </w:pPr>
            <w:r>
              <w:rPr>
                <w:noProof/>
                <w:color w:val="000000" w:themeColor="text1"/>
              </w:rPr>
              <w:t xml:space="preserve"> </w:t>
            </w:r>
          </w:p>
          <w:p>
            <w:pPr>
              <w:spacing w:after="352" w:line="257" w:lineRule="auto"/>
              <w:ind w:left="68" w:right="769"/>
              <w:jc w:val="center"/>
              <w:rPr>
                <w:rFonts w:eastAsia="Times New Roman"/>
                <w:noProof/>
                <w:color w:val="000000" w:themeColor="text1"/>
                <w:szCs w:val="24"/>
              </w:rPr>
            </w:pPr>
            <w:r>
              <w:rPr>
                <w:noProof/>
                <w:color w:val="000000" w:themeColor="text1"/>
              </w:rPr>
              <w:t xml:space="preserve"> </w:t>
            </w:r>
          </w:p>
          <w:p>
            <w:pPr>
              <w:spacing w:before="0" w:after="0" w:line="257" w:lineRule="auto"/>
              <w:ind w:left="3" w:right="769"/>
              <w:jc w:val="center"/>
              <w:rPr>
                <w:rFonts w:eastAsia="Times New Roman"/>
                <w:noProof/>
                <w:color w:val="000000" w:themeColor="text1"/>
                <w:szCs w:val="24"/>
              </w:rPr>
            </w:pPr>
            <w:r>
              <w:rPr>
                <w:noProof/>
                <w:color w:val="000000" w:themeColor="text1"/>
              </w:rPr>
              <w:t xml:space="preserve">Nivelul maxim al capturilor </w:t>
            </w:r>
          </w:p>
        </w:tc>
      </w:tr>
      <w:tr>
        <w:trPr>
          <w:trHeight w:val="66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vAlign w:val="center"/>
          </w:tcPr>
          <w:p>
            <w:pPr>
              <w:spacing w:before="0" w:after="0" w:line="257" w:lineRule="auto"/>
              <w:ind w:right="769"/>
              <w:rPr>
                <w:rFonts w:eastAsia="Times New Roman"/>
                <w:noProof/>
                <w:color w:val="000000" w:themeColor="text1"/>
                <w:szCs w:val="24"/>
              </w:rPr>
            </w:pPr>
            <w:r>
              <w:rPr>
                <w:noProof/>
                <w:color w:val="000000" w:themeColor="text1"/>
              </w:rPr>
              <w:t xml:space="preserve">Uniune </w:t>
            </w:r>
          </w:p>
        </w:tc>
        <w:tc>
          <w:tcPr>
            <w:tcW w:w="3681" w:type="dxa"/>
            <w:tcBorders>
              <w:top w:val="single" w:sz="8" w:space="0" w:color="000000" w:themeColor="text1"/>
              <w:left w:val="single" w:sz="8" w:space="0" w:color="000000" w:themeColor="text1"/>
              <w:bottom w:val="single" w:sz="8" w:space="0" w:color="000000" w:themeColor="text1"/>
              <w:right w:val="single" w:sz="2" w:space="0" w:color="000000" w:themeColor="text1"/>
            </w:tcBorders>
            <w:tcMar>
              <w:top w:w="177" w:type="dxa"/>
              <w:left w:w="108" w:type="dxa"/>
              <w:bottom w:w="10" w:type="dxa"/>
              <w:right w:w="115" w:type="dxa"/>
            </w:tcMar>
            <w:vAlign w:val="center"/>
          </w:tcPr>
          <w:p>
            <w:pPr>
              <w:spacing w:before="0" w:after="0" w:line="257" w:lineRule="auto"/>
              <w:ind w:left="3" w:right="769"/>
              <w:jc w:val="right"/>
              <w:rPr>
                <w:noProof/>
              </w:rPr>
            </w:pPr>
            <w:r>
              <w:rPr>
                <w:noProof/>
              </w:rPr>
              <w:t>pm</w:t>
            </w:r>
          </w:p>
        </w:tc>
        <w:tc>
          <w:tcPr>
            <w:tcW w:w="3621" w:type="dxa"/>
            <w:vMerge/>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pPr>
              <w:rPr>
                <w:noProof/>
              </w:rPr>
            </w:pPr>
          </w:p>
        </w:tc>
      </w:tr>
      <w:tr>
        <w:trPr>
          <w:trHeight w:val="660"/>
        </w:trPr>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77" w:type="dxa"/>
              <w:left w:w="108" w:type="dxa"/>
              <w:bottom w:w="10" w:type="dxa"/>
              <w:right w:w="115" w:type="dxa"/>
            </w:tcMar>
            <w:vAlign w:val="center"/>
          </w:tcPr>
          <w:p>
            <w:pPr>
              <w:spacing w:before="0" w:after="0" w:line="257" w:lineRule="auto"/>
              <w:ind w:right="769"/>
              <w:rPr>
                <w:rFonts w:eastAsia="Times New Roman"/>
                <w:noProof/>
                <w:color w:val="000000" w:themeColor="text1"/>
                <w:szCs w:val="24"/>
              </w:rPr>
            </w:pPr>
            <w:r>
              <w:rPr>
                <w:noProof/>
                <w:color w:val="000000" w:themeColor="text1"/>
              </w:rPr>
              <w:t xml:space="preserve">TAC </w:t>
            </w:r>
          </w:p>
        </w:tc>
        <w:tc>
          <w:tcPr>
            <w:tcW w:w="3681" w:type="dxa"/>
            <w:tcBorders>
              <w:top w:val="single" w:sz="8" w:space="0" w:color="000000" w:themeColor="text1"/>
              <w:left w:val="single" w:sz="8" w:space="0" w:color="000000" w:themeColor="text1"/>
              <w:bottom w:val="single" w:sz="8" w:space="0" w:color="000000" w:themeColor="text1"/>
              <w:right w:val="single" w:sz="2" w:space="0" w:color="000000" w:themeColor="text1"/>
            </w:tcBorders>
            <w:tcMar>
              <w:top w:w="177" w:type="dxa"/>
              <w:left w:w="108" w:type="dxa"/>
              <w:bottom w:w="10" w:type="dxa"/>
              <w:right w:w="115" w:type="dxa"/>
            </w:tcMar>
            <w:vAlign w:val="center"/>
          </w:tcPr>
          <w:p>
            <w:pPr>
              <w:spacing w:before="0" w:after="0" w:line="257" w:lineRule="auto"/>
              <w:ind w:left="2" w:right="769"/>
              <w:jc w:val="right"/>
              <w:rPr>
                <w:rFonts w:eastAsia="Times New Roman"/>
                <w:noProof/>
                <w:color w:val="000000" w:themeColor="text1"/>
                <w:szCs w:val="24"/>
              </w:rPr>
            </w:pPr>
            <w:r>
              <w:rPr>
                <w:noProof/>
                <w:color w:val="000000" w:themeColor="text1"/>
              </w:rPr>
              <w:t xml:space="preserve">Nu se aplică </w:t>
            </w:r>
          </w:p>
        </w:tc>
        <w:tc>
          <w:tcPr>
            <w:tcW w:w="3621" w:type="dxa"/>
            <w:vMerge/>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pPr>
              <w:rPr>
                <w:noProof/>
              </w:rPr>
            </w:pPr>
          </w:p>
        </w:tc>
      </w:tr>
    </w:tbl>
    <w:p>
      <w:pPr>
        <w:spacing w:after="365" w:line="245" w:lineRule="auto"/>
        <w:ind w:right="769"/>
        <w:rPr>
          <w:rFonts w:eastAsia="Times New Roman"/>
          <w:noProof/>
          <w:color w:val="000000" w:themeColor="text1"/>
          <w:szCs w:val="24"/>
        </w:rPr>
      </w:pPr>
      <w:r>
        <w:rPr>
          <w:noProof/>
          <w:color w:val="000000" w:themeColor="text1"/>
        </w:rPr>
        <w:t xml:space="preserve"> </w:t>
      </w:r>
    </w:p>
    <w:p>
      <w:pPr>
        <w:spacing w:after="365" w:line="245" w:lineRule="auto"/>
        <w:ind w:right="769"/>
        <w:rPr>
          <w:rFonts w:eastAsia="Times New Roman"/>
          <w:noProof/>
          <w:color w:val="000000" w:themeColor="text1"/>
          <w:szCs w:val="24"/>
        </w:rPr>
      </w:pPr>
      <w:r>
        <w:rPr>
          <w:noProof/>
          <w:color w:val="000000" w:themeColor="text1"/>
        </w:rPr>
        <w:t>(b) Numărul maxim de paragate și linii de pescuit autorizate să pescuiască în Marea Alboran (subzonele geografice 1, 2 și 3)</w:t>
      </w:r>
    </w:p>
    <w:tbl>
      <w:tblPr>
        <w:tblStyle w:val="TableGrid"/>
        <w:tblW w:w="0" w:type="auto"/>
        <w:tblLook w:val="04A0" w:firstRow="1" w:lastRow="0" w:firstColumn="1" w:lastColumn="0" w:noHBand="0" w:noVBand="1"/>
      </w:tblPr>
      <w:tblGrid>
        <w:gridCol w:w="3080"/>
        <w:gridCol w:w="6209"/>
      </w:tblGrid>
      <w:tr>
        <w:trPr>
          <w:trHeight w:val="300"/>
        </w:trPr>
        <w:tc>
          <w:tcPr>
            <w:tcW w:w="313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rPr>
            </w:pPr>
            <w:r>
              <w:rPr>
                <w:noProof/>
                <w:color w:val="000000" w:themeColor="text1"/>
              </w:rPr>
              <w:t>Statul membru</w:t>
            </w:r>
          </w:p>
        </w:tc>
        <w:tc>
          <w:tcPr>
            <w:tcW w:w="6390"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rPr>
            </w:pPr>
            <w:r>
              <w:rPr>
                <w:noProof/>
                <w:color w:val="000000" w:themeColor="text1"/>
              </w:rPr>
              <w:t>Pagel argintiu în subzonele geografice 1, 2 și 3</w:t>
            </w:r>
          </w:p>
        </w:tc>
      </w:tr>
      <w:tr>
        <w:trPr>
          <w:trHeight w:val="300"/>
        </w:trPr>
        <w:tc>
          <w:tcPr>
            <w:tcW w:w="313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rPr>
            </w:pPr>
            <w:r>
              <w:rPr>
                <w:noProof/>
                <w:color w:val="000000" w:themeColor="text1"/>
              </w:rPr>
              <w:t xml:space="preserve">Spania </w:t>
            </w:r>
          </w:p>
        </w:tc>
        <w:tc>
          <w:tcPr>
            <w:tcW w:w="6390"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365" w:line="245" w:lineRule="auto"/>
              <w:ind w:right="769"/>
              <w:rPr>
                <w:noProof/>
                <w:color w:val="000000" w:themeColor="text1"/>
                <w:szCs w:val="24"/>
              </w:rPr>
            </w:pPr>
            <w:r>
              <w:rPr>
                <w:noProof/>
                <w:color w:val="000000" w:themeColor="text1"/>
              </w:rPr>
              <w:t>82</w:t>
            </w:r>
          </w:p>
        </w:tc>
      </w:tr>
    </w:tbl>
    <w:p>
      <w:pPr>
        <w:rP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ANEXA IX</w:t>
      </w:r>
    </w:p>
    <w:p>
      <w:pPr>
        <w:jc w:val="center"/>
        <w:rPr>
          <w:b/>
          <w:bCs/>
          <w:noProof/>
        </w:rPr>
      </w:pPr>
      <w:r>
        <w:rPr>
          <w:b/>
          <w:noProof/>
        </w:rPr>
        <w:t>POSIBILITĂȚI DE PESCUIT PENTRU NAVELE DE PESCUIT ALE UNIUNII ÎN MAREA NEAGRĂ</w:t>
      </w:r>
    </w:p>
    <w:p>
      <w:pPr>
        <w:rPr>
          <w:rFonts w:eastAsia="Times New Roman"/>
          <w:noProof/>
          <w:szCs w:val="24"/>
        </w:rPr>
      </w:pPr>
    </w:p>
    <w:p>
      <w:pPr>
        <w:rPr>
          <w:rFonts w:eastAsia="Times New Roman"/>
          <w:noProof/>
          <w:szCs w:val="24"/>
        </w:rPr>
      </w:pPr>
      <w:r>
        <w:rPr>
          <w:noProof/>
        </w:rPr>
        <w:t>Tabelele din prezenta anexă stabilesc TAC-urile și cotele, exprimate în tone de greutate în viu pe stoc, precum și, după caz, condițiile legate funcțional de acestea.</w:t>
      </w:r>
    </w:p>
    <w:p>
      <w:pPr>
        <w:rPr>
          <w:rFonts w:eastAsia="Times New Roman"/>
          <w:noProof/>
          <w:szCs w:val="24"/>
        </w:rPr>
      </w:pPr>
      <w:r>
        <w:rPr>
          <w:noProof/>
        </w:rPr>
        <w:t>Toate posibilitățile de pescuit din prezenta anexă fac obiectul normelor stabilite la articolele 26-35 din Regulamentul (CE) nr. 1224/2009.</w:t>
      </w:r>
    </w:p>
    <w:p>
      <w:pPr>
        <w:rPr>
          <w:rFonts w:eastAsia="Times New Roman"/>
          <w:noProof/>
          <w:szCs w:val="24"/>
        </w:rPr>
      </w:pPr>
      <w:r>
        <w:rPr>
          <w:noProof/>
        </w:rPr>
        <w:t>Trimiterile la zonele de pescuit se referă la subzonele geografice CGPM.</w:t>
      </w:r>
    </w:p>
    <w:p>
      <w:pPr>
        <w:rPr>
          <w:rFonts w:eastAsia="Times New Roman"/>
          <w:noProof/>
          <w:szCs w:val="24"/>
        </w:rPr>
      </w:pPr>
      <w:r>
        <w:rPr>
          <w:noProof/>
        </w:rPr>
        <w:t>În sensul prezentei anexe, următorul tabel de corespondență indică denumirile în limba latină și denumirile comune:</w:t>
      </w:r>
    </w:p>
    <w:p>
      <w:pPr>
        <w:rPr>
          <w:rFonts w:eastAsia="Times New Roman"/>
          <w:noProof/>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693"/>
        <w:gridCol w:w="2093"/>
        <w:gridCol w:w="3303"/>
      </w:tblGrid>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Denumire științifică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Codul alfa-3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Denumirea comună</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Sprattus sprattus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SPR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Șprot</w:t>
            </w:r>
          </w:p>
        </w:tc>
      </w:tr>
      <w:t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i/>
                <w:noProof/>
                <w:sz w:val="22"/>
              </w:rPr>
              <w:t>Scophthalmus maximus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TUR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noProof/>
              </w:rPr>
            </w:pPr>
            <w:r>
              <w:rPr>
                <w:noProof/>
                <w:sz w:val="22"/>
              </w:rPr>
              <w:t>Calcan</w:t>
            </w:r>
          </w:p>
        </w:tc>
      </w:tr>
    </w:tbl>
    <w:p>
      <w:pPr>
        <w:rPr>
          <w:rFonts w:eastAsia="Times New Roman"/>
          <w:noProof/>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284"/>
        <w:gridCol w:w="1927"/>
        <w:gridCol w:w="105"/>
        <w:gridCol w:w="651"/>
        <w:gridCol w:w="5122"/>
      </w:tblGrid>
      <w:tr>
        <w:tc>
          <w:tcPr>
            <w:tcW w:w="706" w:type="pct"/>
            <w:tcBorders>
              <w:top w:val="single" w:sz="6" w:space="0" w:color="000000"/>
              <w:left w:val="single" w:sz="6" w:space="0" w:color="000000"/>
              <w:bottom w:val="single" w:sz="4" w:space="0" w:color="auto"/>
              <w:right w:val="single" w:sz="6" w:space="0" w:color="000000"/>
            </w:tcBorders>
            <w:shd w:val="clear" w:color="auto" w:fill="FFFFFF"/>
            <w:hideMark/>
          </w:tcPr>
          <w:p>
            <w:pPr>
              <w:rPr>
                <w:rFonts w:eastAsia="Times New Roman"/>
                <w:b/>
                <w:bCs/>
                <w:noProof/>
              </w:rPr>
            </w:pPr>
            <w:r>
              <w:rPr>
                <w:b/>
                <w:noProof/>
                <w:sz w:val="22"/>
              </w:rPr>
              <w:t>Specia</w:t>
            </w:r>
          </w:p>
        </w:tc>
        <w:tc>
          <w:tcPr>
            <w:tcW w:w="1118" w:type="pct"/>
            <w:gridSpan w:val="2"/>
            <w:tcBorders>
              <w:top w:val="single" w:sz="6" w:space="0" w:color="000000"/>
              <w:left w:val="single" w:sz="6" w:space="0" w:color="000000"/>
              <w:bottom w:val="single" w:sz="4" w:space="0" w:color="auto"/>
              <w:right w:val="single" w:sz="6" w:space="0" w:color="000000"/>
            </w:tcBorders>
            <w:shd w:val="clear" w:color="auto" w:fill="FFFFFF"/>
            <w:hideMark/>
          </w:tcPr>
          <w:p>
            <w:pPr>
              <w:rPr>
                <w:rFonts w:eastAsia="Times New Roman"/>
                <w:b/>
                <w:bCs/>
                <w:noProof/>
              </w:rPr>
            </w:pPr>
            <w:r>
              <w:rPr>
                <w:b/>
                <w:noProof/>
                <w:sz w:val="22"/>
              </w:rPr>
              <w:t>Șprot</w:t>
            </w:r>
          </w:p>
          <w:p>
            <w:pPr>
              <w:rPr>
                <w:rFonts w:eastAsia="Times New Roman"/>
                <w:b/>
                <w:bCs/>
                <w:noProof/>
              </w:rPr>
            </w:pPr>
            <w:r>
              <w:rPr>
                <w:b/>
                <w:i/>
                <w:noProof/>
                <w:sz w:val="22"/>
              </w:rPr>
              <w:t>Sprattus sprattus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Zona: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pPr>
              <w:rPr>
                <w:rFonts w:eastAsia="Times New Roman"/>
                <w:b/>
                <w:bCs/>
                <w:noProof/>
              </w:rPr>
            </w:pPr>
            <w:r>
              <w:rPr>
                <w:b/>
                <w:noProof/>
                <w:sz w:val="22"/>
              </w:rPr>
              <w:t>Apele Uniunii din Marea Neagră - subzona geografică 29</w:t>
            </w:r>
          </w:p>
          <w:p>
            <w:pPr>
              <w:rPr>
                <w:rFonts w:eastAsia="Times New Roman"/>
                <w:b/>
                <w:bCs/>
                <w:noProof/>
              </w:rPr>
            </w:pPr>
            <w:r>
              <w:rPr>
                <w:b/>
                <w:noProof/>
                <w:sz w:val="22"/>
              </w:rPr>
              <w:t>(SPR/F3742C)</w:t>
            </w:r>
          </w:p>
        </w:tc>
      </w:tr>
      <w:tr>
        <w:tc>
          <w:tcPr>
            <w:tcW w:w="706" w:type="pct"/>
            <w:tcBorders>
              <w:top w:val="single" w:sz="4" w:space="0" w:color="auto"/>
              <w:left w:val="single" w:sz="4" w:space="0" w:color="auto"/>
              <w:bottom w:val="single" w:sz="6" w:space="0" w:color="000000"/>
              <w:right w:val="single" w:sz="6" w:space="0" w:color="000000"/>
            </w:tcBorders>
            <w:shd w:val="clear" w:color="auto" w:fill="FFFFFF"/>
            <w:hideMark/>
          </w:tcPr>
          <w:p>
            <w:pPr>
              <w:rPr>
                <w:rFonts w:eastAsia="Times New Roman"/>
                <w:noProof/>
              </w:rPr>
            </w:pPr>
            <w:r>
              <w:rPr>
                <w:noProof/>
                <w:sz w:val="22"/>
              </w:rPr>
              <w:t>Bulgaria</w:t>
            </w:r>
          </w:p>
        </w:tc>
        <w:tc>
          <w:tcPr>
            <w:tcW w:w="1060" w:type="pct"/>
            <w:tcBorders>
              <w:top w:val="single" w:sz="4" w:space="0" w:color="auto"/>
              <w:left w:val="single" w:sz="6" w:space="0" w:color="000000"/>
              <w:bottom w:val="single" w:sz="6" w:space="0" w:color="000000"/>
              <w:right w:val="single" w:sz="6" w:space="0" w:color="000000"/>
            </w:tcBorders>
            <w:hideMark/>
          </w:tcPr>
          <w:p>
            <w:pPr>
              <w:rPr>
                <w:rFonts w:eastAsia="Times New Roman"/>
                <w:noProof/>
              </w:rPr>
            </w:pPr>
            <w:r>
              <w:rPr>
                <w:noProof/>
                <w:sz w:val="22"/>
              </w:rPr>
              <w:t>8 032,50</w:t>
            </w:r>
          </w:p>
        </w:tc>
        <w:tc>
          <w:tcPr>
            <w:tcW w:w="58" w:type="pct"/>
            <w:tcBorders>
              <w:top w:val="single" w:sz="4" w:space="0" w:color="auto"/>
              <w:left w:val="single" w:sz="6" w:space="0" w:color="000000"/>
              <w:bottom w:val="single" w:sz="6" w:space="0" w:color="000000"/>
              <w:right w:val="single" w:sz="4" w:space="0" w:color="auto"/>
            </w:tcBorders>
            <w:shd w:val="clear" w:color="auto" w:fill="FFFFFF"/>
            <w:hideMark/>
          </w:tcPr>
          <w:p>
            <w:pPr>
              <w:rPr>
                <w:rFonts w:eastAsia="Times New Roman"/>
                <w:noProof/>
                <w:szCs w:val="24"/>
              </w:rPr>
            </w:pPr>
            <w:r>
              <w:rPr>
                <w:noProof/>
              </w:rPr>
              <w:t xml:space="preserve"> </w:t>
            </w:r>
          </w:p>
        </w:tc>
        <w:tc>
          <w:tcPr>
            <w:tcW w:w="0" w:type="auto"/>
            <w:gridSpan w:val="2"/>
            <w:vMerge w:val="restart"/>
            <w:tcBorders>
              <w:top w:val="single" w:sz="6" w:space="0" w:color="000000"/>
              <w:left w:val="single" w:sz="4" w:space="0" w:color="auto"/>
              <w:bottom w:val="single" w:sz="6" w:space="0" w:color="000000"/>
              <w:right w:val="single" w:sz="6" w:space="0" w:color="000000"/>
            </w:tcBorders>
            <w:shd w:val="clear" w:color="auto" w:fill="FFFFFF"/>
            <w:hideMark/>
          </w:tcPr>
          <w:p>
            <w:pPr>
              <w:rPr>
                <w:rFonts w:eastAsia="Times New Roman"/>
                <w:noProof/>
              </w:rPr>
            </w:pPr>
            <w:r>
              <w:rPr>
                <w:noProof/>
                <w:sz w:val="22"/>
              </w:rPr>
              <w:t>TAC analitică</w:t>
            </w:r>
          </w:p>
          <w:p>
            <w:pPr>
              <w:rPr>
                <w:rFonts w:eastAsia="Times New Roman"/>
                <w:noProof/>
              </w:rPr>
            </w:pPr>
            <w:r>
              <w:rPr>
                <w:noProof/>
                <w:sz w:val="22"/>
              </w:rPr>
              <w:t>Articolul 3 alineatele (2) și (3) din Regulamentul (CE) nr. 847/96 nu se aplică.</w:t>
            </w:r>
          </w:p>
          <w:p>
            <w:pPr>
              <w:rPr>
                <w:rFonts w:eastAsia="Times New Roman"/>
                <w:noProof/>
              </w:rPr>
            </w:pPr>
            <w:r>
              <w:rPr>
                <w:noProof/>
                <w:sz w:val="22"/>
              </w:rPr>
              <w:t>Articolul 4 din Regulamentul (CE) nr. 847/96 nu se aplică.</w:t>
            </w:r>
          </w:p>
        </w:tc>
      </w:tr>
      <w:tr>
        <w:tc>
          <w:tcPr>
            <w:tcW w:w="706" w:type="pct"/>
            <w:tcBorders>
              <w:top w:val="single" w:sz="6" w:space="0" w:color="000000"/>
              <w:left w:val="single" w:sz="4" w:space="0" w:color="auto"/>
              <w:bottom w:val="single" w:sz="6" w:space="0" w:color="000000"/>
              <w:right w:val="single" w:sz="6" w:space="0" w:color="000000"/>
            </w:tcBorders>
            <w:shd w:val="clear" w:color="auto" w:fill="FFFFFF"/>
            <w:hideMark/>
          </w:tcPr>
          <w:p>
            <w:pPr>
              <w:rPr>
                <w:rFonts w:eastAsia="Times New Roman"/>
                <w:noProof/>
              </w:rPr>
            </w:pPr>
            <w:r>
              <w:rPr>
                <w:noProof/>
                <w:sz w:val="22"/>
              </w:rPr>
              <w:t>România</w:t>
            </w:r>
          </w:p>
        </w:tc>
        <w:tc>
          <w:tcPr>
            <w:tcW w:w="1060" w:type="pct"/>
            <w:tcBorders>
              <w:top w:val="single" w:sz="6" w:space="0" w:color="000000"/>
              <w:left w:val="single" w:sz="6" w:space="0" w:color="000000"/>
              <w:bottom w:val="single" w:sz="6" w:space="0" w:color="000000"/>
              <w:right w:val="single" w:sz="6" w:space="0" w:color="000000"/>
            </w:tcBorders>
            <w:hideMark/>
          </w:tcPr>
          <w:p>
            <w:pPr>
              <w:rPr>
                <w:rFonts w:eastAsia="Times New Roman"/>
                <w:noProof/>
              </w:rPr>
            </w:pPr>
            <w:r>
              <w:rPr>
                <w:noProof/>
                <w:sz w:val="22"/>
              </w:rPr>
              <w:t>3 442,50</w:t>
            </w:r>
          </w:p>
        </w:tc>
        <w:tc>
          <w:tcPr>
            <w:tcW w:w="58" w:type="pct"/>
            <w:tcBorders>
              <w:top w:val="single" w:sz="6" w:space="0" w:color="000000"/>
              <w:left w:val="single" w:sz="6" w:space="0" w:color="000000"/>
              <w:bottom w:val="single" w:sz="6" w:space="0" w:color="000000"/>
              <w:right w:val="single" w:sz="4" w:space="0" w:color="auto"/>
            </w:tcBorders>
            <w:shd w:val="clear" w:color="auto" w:fill="FFFFFF"/>
            <w:hideMark/>
          </w:tcPr>
          <w:p>
            <w:pPr>
              <w:rPr>
                <w:rFonts w:eastAsia="Times New Roman"/>
                <w:noProof/>
                <w:szCs w:val="24"/>
              </w:rPr>
            </w:pPr>
            <w:r>
              <w:rPr>
                <w:noProof/>
              </w:rPr>
              <w:t xml:space="preserve"> </w:t>
            </w:r>
          </w:p>
        </w:tc>
        <w:tc>
          <w:tcPr>
            <w:tcW w:w="0" w:type="auto"/>
            <w:gridSpan w:val="2"/>
            <w:vMerge/>
            <w:tcBorders>
              <w:top w:val="single" w:sz="6" w:space="0" w:color="000000"/>
              <w:left w:val="single" w:sz="4" w:space="0" w:color="auto"/>
              <w:bottom w:val="single" w:sz="6" w:space="0" w:color="000000"/>
              <w:right w:val="single" w:sz="6" w:space="0" w:color="000000"/>
            </w:tcBorders>
            <w:shd w:val="clear" w:color="auto" w:fill="FFFFFF"/>
            <w:vAlign w:val="center"/>
            <w:hideMark/>
          </w:tcPr>
          <w:p>
            <w:pPr>
              <w:rPr>
                <w:rFonts w:eastAsia="Times New Roman"/>
                <w:noProof/>
              </w:rPr>
            </w:pPr>
          </w:p>
        </w:tc>
      </w:tr>
      <w:tr>
        <w:tc>
          <w:tcPr>
            <w:tcW w:w="706" w:type="pct"/>
            <w:tcBorders>
              <w:top w:val="single" w:sz="6" w:space="0" w:color="000000"/>
              <w:left w:val="single" w:sz="4" w:space="0" w:color="auto"/>
              <w:bottom w:val="single" w:sz="4" w:space="0" w:color="auto"/>
              <w:right w:val="single" w:sz="6" w:space="0" w:color="000000"/>
            </w:tcBorders>
            <w:shd w:val="clear" w:color="auto" w:fill="FFFFFF"/>
            <w:hideMark/>
          </w:tcPr>
          <w:p>
            <w:pPr>
              <w:rPr>
                <w:rFonts w:eastAsia="Times New Roman"/>
                <w:noProof/>
              </w:rPr>
            </w:pPr>
            <w:r>
              <w:rPr>
                <w:noProof/>
                <w:sz w:val="22"/>
              </w:rPr>
              <w:t>Uniune</w:t>
            </w:r>
          </w:p>
        </w:tc>
        <w:tc>
          <w:tcPr>
            <w:tcW w:w="1060" w:type="pct"/>
            <w:tcBorders>
              <w:top w:val="single" w:sz="6" w:space="0" w:color="000000"/>
              <w:left w:val="single" w:sz="6" w:space="0" w:color="000000"/>
              <w:bottom w:val="single" w:sz="4" w:space="0" w:color="auto"/>
              <w:right w:val="single" w:sz="6" w:space="0" w:color="000000"/>
            </w:tcBorders>
            <w:hideMark/>
          </w:tcPr>
          <w:p>
            <w:pPr>
              <w:rPr>
                <w:rFonts w:eastAsia="Times New Roman"/>
                <w:noProof/>
              </w:rPr>
            </w:pPr>
            <w:r>
              <w:rPr>
                <w:noProof/>
                <w:sz w:val="22"/>
              </w:rPr>
              <w:t>11 475</w:t>
            </w:r>
          </w:p>
        </w:tc>
        <w:tc>
          <w:tcPr>
            <w:tcW w:w="58" w:type="pct"/>
            <w:tcBorders>
              <w:top w:val="single" w:sz="6" w:space="0" w:color="000000"/>
              <w:left w:val="single" w:sz="6" w:space="0" w:color="000000"/>
              <w:bottom w:val="single" w:sz="4" w:space="0" w:color="auto"/>
              <w:right w:val="single" w:sz="4" w:space="0" w:color="auto"/>
            </w:tcBorders>
            <w:shd w:val="clear" w:color="auto" w:fill="FFFFFF"/>
            <w:hideMark/>
          </w:tcPr>
          <w:p>
            <w:pPr>
              <w:rPr>
                <w:rFonts w:eastAsia="Times New Roman"/>
                <w:noProof/>
                <w:szCs w:val="24"/>
              </w:rPr>
            </w:pPr>
            <w:r>
              <w:rPr>
                <w:noProof/>
              </w:rPr>
              <w:t xml:space="preserve"> </w:t>
            </w:r>
          </w:p>
        </w:tc>
        <w:tc>
          <w:tcPr>
            <w:tcW w:w="0" w:type="auto"/>
            <w:gridSpan w:val="2"/>
            <w:vMerge/>
            <w:tcBorders>
              <w:top w:val="single" w:sz="6" w:space="0" w:color="000000"/>
              <w:left w:val="single" w:sz="4" w:space="0" w:color="auto"/>
              <w:bottom w:val="single" w:sz="6" w:space="0" w:color="000000"/>
              <w:right w:val="single" w:sz="6" w:space="0" w:color="000000"/>
            </w:tcBorders>
            <w:shd w:val="clear" w:color="auto" w:fill="FFFFFF"/>
            <w:vAlign w:val="center"/>
            <w:hideMark/>
          </w:tcPr>
          <w:p>
            <w:pPr>
              <w:rPr>
                <w:rFonts w:eastAsia="Times New Roman"/>
                <w:noProof/>
              </w:rPr>
            </w:pPr>
          </w:p>
        </w:tc>
      </w:tr>
      <w:tr>
        <w:tc>
          <w:tcPr>
            <w:tcW w:w="706" w:type="pct"/>
            <w:tcBorders>
              <w:top w:val="single" w:sz="4" w:space="0" w:color="auto"/>
              <w:left w:val="single" w:sz="4" w:space="0" w:color="auto"/>
              <w:bottom w:val="single" w:sz="4" w:space="0" w:color="auto"/>
              <w:right w:val="single" w:sz="6" w:space="0" w:color="000000"/>
            </w:tcBorders>
            <w:shd w:val="clear" w:color="auto" w:fill="FFFFFF"/>
            <w:hideMark/>
          </w:tcPr>
          <w:p>
            <w:pPr>
              <w:rPr>
                <w:rFonts w:eastAsia="Times New Roman"/>
                <w:noProof/>
              </w:rPr>
            </w:pPr>
            <w:r>
              <w:rPr>
                <w:noProof/>
                <w:sz w:val="22"/>
              </w:rPr>
              <w:t>TAC</w:t>
            </w:r>
          </w:p>
        </w:tc>
        <w:tc>
          <w:tcPr>
            <w:tcW w:w="1118" w:type="pct"/>
            <w:gridSpan w:val="2"/>
            <w:tcBorders>
              <w:top w:val="single" w:sz="4" w:space="0" w:color="auto"/>
              <w:left w:val="single" w:sz="6" w:space="0" w:color="000000"/>
              <w:bottom w:val="single" w:sz="4" w:space="0" w:color="auto"/>
              <w:right w:val="single" w:sz="4" w:space="0" w:color="auto"/>
            </w:tcBorders>
            <w:shd w:val="clear" w:color="auto" w:fill="FFFFFF"/>
            <w:hideMark/>
          </w:tcPr>
          <w:p>
            <w:pPr>
              <w:rPr>
                <w:rFonts w:eastAsia="Times New Roman"/>
                <w:noProof/>
              </w:rPr>
            </w:pPr>
            <w:r>
              <w:rPr>
                <w:noProof/>
                <w:sz w:val="22"/>
              </w:rPr>
              <w:t>Nu se aplică</w:t>
            </w:r>
          </w:p>
        </w:tc>
        <w:tc>
          <w:tcPr>
            <w:tcW w:w="0" w:type="auto"/>
            <w:gridSpan w:val="2"/>
            <w:vMerge/>
            <w:tcBorders>
              <w:top w:val="single" w:sz="6" w:space="0" w:color="000000"/>
              <w:left w:val="single" w:sz="4" w:space="0" w:color="auto"/>
              <w:bottom w:val="single" w:sz="6" w:space="0" w:color="000000"/>
              <w:right w:val="single" w:sz="6" w:space="0" w:color="000000"/>
            </w:tcBorders>
            <w:shd w:val="clear" w:color="auto" w:fill="FFFFFF"/>
            <w:vAlign w:val="center"/>
            <w:hideMark/>
          </w:tcPr>
          <w:p>
            <w:pPr>
              <w:rPr>
                <w:rFonts w:eastAsia="Times New Roman"/>
                <w:noProof/>
              </w:rPr>
            </w:pPr>
          </w:p>
        </w:tc>
      </w:tr>
    </w:tbl>
    <w:p>
      <w:pPr>
        <w:rPr>
          <w:rFonts w:eastAsia="Times New Roman"/>
          <w:noProof/>
          <w:szCs w:val="24"/>
        </w:rPr>
      </w:pPr>
    </w:p>
    <w:tbl>
      <w:tblPr>
        <w:tblW w:w="9080" w:type="dxa"/>
        <w:tblBorders>
          <w:top w:val="single" w:sz="6" w:space="0" w:color="000000" w:themeColor="text1"/>
          <w:left w:val="single" w:sz="6" w:space="0" w:color="000000" w:themeColor="text1"/>
          <w:bottom w:val="single" w:sz="6" w:space="0" w:color="000000" w:themeColor="text1"/>
          <w:right w:val="single" w:sz="6" w:space="0" w:color="000000" w:themeColor="text1"/>
        </w:tblBorders>
        <w:shd w:val="clear" w:color="auto" w:fill="FFFFFF"/>
        <w:tblCellMar>
          <w:left w:w="0" w:type="dxa"/>
          <w:right w:w="0" w:type="dxa"/>
        </w:tblCellMar>
        <w:tblLook w:val="04A0" w:firstRow="1" w:lastRow="0" w:firstColumn="1" w:lastColumn="0" w:noHBand="0" w:noVBand="1"/>
      </w:tblPr>
      <w:tblGrid>
        <w:gridCol w:w="1170"/>
        <w:gridCol w:w="1433"/>
        <w:gridCol w:w="751"/>
        <w:gridCol w:w="1005"/>
        <w:gridCol w:w="4721"/>
      </w:tblGrid>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b/>
                <w:noProof/>
              </w:rPr>
              <w:t>Specia:</w:t>
            </w:r>
          </w:p>
        </w:tc>
        <w:tc>
          <w:tcPr>
            <w:tcW w:w="218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b/>
                <w:noProof/>
              </w:rPr>
              <w:t>Calcan</w:t>
            </w:r>
          </w:p>
          <w:p>
            <w:pPr>
              <w:rPr>
                <w:rFonts w:eastAsia="Times New Roman"/>
                <w:b/>
                <w:noProof/>
                <w:szCs w:val="24"/>
              </w:rPr>
            </w:pPr>
            <w:r>
              <w:rPr>
                <w:b/>
                <w:i/>
                <w:noProof/>
              </w:rPr>
              <w:t>Scophthalmus maximus</w:t>
            </w:r>
          </w:p>
        </w:tc>
        <w:tc>
          <w:tcPr>
            <w:tcW w:w="10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b/>
                <w:noProof/>
              </w:rPr>
              <w:t>Zona:</w:t>
            </w:r>
          </w:p>
        </w:tc>
        <w:tc>
          <w:tcPr>
            <w:tcW w:w="47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b/>
                <w:noProof/>
                <w:szCs w:val="24"/>
              </w:rPr>
            </w:pPr>
            <w:r>
              <w:rPr>
                <w:b/>
                <w:noProof/>
              </w:rPr>
              <w:t>Apele Uniunii din Marea Neagră - subzona geografică 29</w:t>
            </w:r>
          </w:p>
          <w:p>
            <w:pPr>
              <w:rPr>
                <w:rFonts w:eastAsia="Times New Roman"/>
                <w:b/>
                <w:noProof/>
                <w:szCs w:val="24"/>
              </w:rPr>
            </w:pPr>
            <w:r>
              <w:rPr>
                <w:b/>
                <w:noProof/>
              </w:rPr>
              <w:t>(TUR/F3742C)</w:t>
            </w: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Bulgaria</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82,50</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 xml:space="preserve"> </w:t>
            </w:r>
          </w:p>
        </w:tc>
        <w:tc>
          <w:tcPr>
            <w:tcW w:w="5726"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TAC analitică</w:t>
            </w:r>
          </w:p>
          <w:p>
            <w:pPr>
              <w:rPr>
                <w:rFonts w:eastAsia="Times New Roman"/>
                <w:noProof/>
                <w:szCs w:val="24"/>
              </w:rPr>
            </w:pPr>
            <w:r>
              <w:rPr>
                <w:noProof/>
              </w:rPr>
              <w:t>Articolul 3 alineatele (2) și (3) din Regulamentul (CE) nr. 847/96 nu se aplică.</w:t>
            </w:r>
          </w:p>
          <w:p>
            <w:pPr>
              <w:rPr>
                <w:rFonts w:eastAsia="Times New Roman"/>
                <w:noProof/>
                <w:szCs w:val="24"/>
              </w:rPr>
            </w:pPr>
            <w:r>
              <w:rPr>
                <w:noProof/>
              </w:rPr>
              <w:t>Articolul 4 din Regulamentul (CE) nr. 847/96 nu se aplică.</w:t>
            </w: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România</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82,50</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 xml:space="preserve"> </w:t>
            </w:r>
          </w:p>
        </w:tc>
        <w:tc>
          <w:tcPr>
            <w:tcW w:w="5726" w:type="dxa"/>
            <w:gridSpan w:val="2"/>
            <w:vMerge/>
            <w:vAlign w:val="center"/>
            <w:hideMark/>
          </w:tcPr>
          <w:p>
            <w:pPr>
              <w:rPr>
                <w:rFonts w:eastAsia="Times New Roman"/>
                <w:noProof/>
                <w:szCs w:val="24"/>
              </w:rPr>
            </w:pP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Uniune</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165</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w:t>
            </w:r>
          </w:p>
        </w:tc>
        <w:tc>
          <w:tcPr>
            <w:tcW w:w="5726" w:type="dxa"/>
            <w:gridSpan w:val="2"/>
            <w:vMerge/>
            <w:vAlign w:val="center"/>
            <w:hideMark/>
          </w:tcPr>
          <w:p>
            <w:pPr>
              <w:rPr>
                <w:rFonts w:eastAsia="Times New Roman"/>
                <w:noProof/>
                <w:szCs w:val="24"/>
              </w:rPr>
            </w:pPr>
          </w:p>
        </w:tc>
      </w:tr>
      <w:tr>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TAC</w:t>
            </w:r>
          </w:p>
        </w:tc>
        <w:tc>
          <w:tcPr>
            <w:tcW w:w="14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 xml:space="preserve">890 </w:t>
            </w:r>
          </w:p>
        </w:tc>
        <w:tc>
          <w:tcPr>
            <w:tcW w:w="7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pPr>
              <w:rPr>
                <w:rFonts w:eastAsia="Times New Roman"/>
                <w:noProof/>
                <w:szCs w:val="24"/>
              </w:rPr>
            </w:pPr>
            <w:r>
              <w:rPr>
                <w:noProof/>
              </w:rPr>
              <w:t xml:space="preserve"> </w:t>
            </w:r>
          </w:p>
        </w:tc>
        <w:tc>
          <w:tcPr>
            <w:tcW w:w="5726" w:type="dxa"/>
            <w:gridSpan w:val="2"/>
            <w:vMerge/>
            <w:vAlign w:val="center"/>
            <w:hideMark/>
          </w:tcPr>
          <w:p>
            <w:pPr>
              <w:rPr>
                <w:rFonts w:eastAsia="Times New Roman"/>
                <w:noProof/>
                <w:szCs w:val="24"/>
              </w:rPr>
            </w:pPr>
          </w:p>
        </w:tc>
      </w:tr>
    </w:tbl>
    <w:p>
      <w:pPr>
        <w:rPr>
          <w:rFonts w:eastAsia="Times New Roman"/>
          <w:noProof/>
        </w:rPr>
      </w:pPr>
      <w:hyperlink r:id="rId24" w:anchor="ntc*1-L_2022021EN.01018601-E0001">
        <w:r>
          <w:rPr>
            <w:noProof/>
            <w:u w:val="single"/>
          </w:rPr>
          <w:t>(</w:t>
        </w:r>
        <w:r>
          <w:rPr>
            <w:noProof/>
          </w:rPr>
          <w:t>*</w:t>
        </w:r>
        <w:r>
          <w:rPr>
            <w:noProof/>
            <w:u w:val="single"/>
          </w:rPr>
          <w:t>)</w:t>
        </w:r>
      </w:hyperlink>
      <w:r>
        <w:rPr>
          <w:noProof/>
        </w:rPr>
        <w:t> Nu este autorizată nicio activitate de pescuit, inclusiv transbordarea, reținerea la bord, debarcarea și prima vânzare, între 15 aprilie și 15 iunie 2027.</w:t>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t>1</w:t>
      </w:r>
      <w:r>
        <w:tab/>
        <w:t>TBB, OTB, PTB, TBN, TBS, TB, OTM, PTM, TMS, TM, OTT, OT, PT, TX, OTP și TSP.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D42E57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6DC70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194C46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348B08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13:01: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9"/>
    <w:docVar w:name="LW_ANNEX_UNIQUE" w:val="0"/>
    <w:docVar w:name="LW_CORRIGENDUM" w:val="&lt;UNUSED&gt;"/>
    <w:docVar w:name="LW_COVERPAGE_EXISTS" w:val="True"/>
    <w:docVar w:name="LW_COVERPAGE_GUID" w:val="14C6DCF5-2A2A-4B91-BD53-16D921CF94F6"/>
    <w:docVar w:name="LW_COVERPAGE_TYPE" w:val="1"/>
    <w:docVar w:name="LW_CreatedUtc" w:val="2025-06-23T10:49:21.5434547Z"/>
    <w:docVar w:name="LW_CROSSREFERENCE" w:val="&lt;UNUSED&gt;"/>
    <w:docVar w:name="LW_DocType" w:val="ANNEX"/>
    <w:docVar w:name="LW_EMISSION" w:val="17.9.2026"/>
    <w:docVar w:name="LW_EMISSION_ISODATE" w:val="2026-09-1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stabilire a posibilit\u259?\u539?ilor de pescuit pentru anul 2027 pentru anumite stocuri de pe\u537?te \u537?i grupuri de stocuri de pe\u537?te aplicabile în Marea Mediteran\u259? \u537?i în Marea Neagr\u259?_x000b__x000b_"/>
    <w:docVar w:name="LW_OBJETACTEPRINCIPAL.CP" w:val="de stabilire a posibilit\u259?\u539?ilor de pescuit pentru anul 2027 pentru anumite stocuri de pe\u537?te \u537?i grupuri de stocuri de pe\u537?te aplicabile în Marea Mediteran\u259? \u537?i în Marea Neagr\u259?_x000b__x000b_"/>
    <w:docVar w:name="LW_PART_NBR" w:val="&lt;UNUSED&gt;"/>
    <w:docVar w:name="LW_PART_NBR_TOTAL" w:val="&lt;UNUSED&gt;"/>
    <w:docVar w:name="LW_REF.INST.NEW" w:val="COM"/>
    <w:docVar w:name="LW_REF.INST.NEW_ADOPTED" w:val="final"/>
    <w:docVar w:name="LW_REF.INST.NEW_TEXT" w:val="(2026) 4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REGULAMENT AL CONSILIULUI"/>
    <w:docVar w:name="LW_TYPEACTEPRINCIPAL.CP" w:val="Propunerea de REGULAMENT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1F063E3-C2D2-4745-B985-43F70280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0">
    <w:name w:val="Table Grid0"/>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59"/>
    <w:pPr>
      <w:spacing w:after="0" w:line="240" w:lineRule="auto"/>
    </w:pPr>
    <w:rPr>
      <w:rFonts w:eastAsiaTheme="minorEastAsia"/>
    </w:rPr>
    <w:tblPr>
      <w:tblCellMar>
        <w:top w:w="0" w:type="dxa"/>
        <w:left w:w="0" w:type="dxa"/>
        <w:bottom w:w="0" w:type="dxa"/>
        <w:right w:w="0" w:type="dxa"/>
      </w:tblCellMar>
    </w:tblPr>
  </w:style>
  <w:style w:type="character" w:customStyle="1" w:styleId="Other1">
    <w:name w:val="Other|1_"/>
    <w:basedOn w:val="DefaultParagraphFont"/>
    <w:link w:val="Other10"/>
    <w:rPr>
      <w:sz w:val="16"/>
      <w:szCs w:val="16"/>
    </w:rPr>
  </w:style>
  <w:style w:type="character" w:customStyle="1" w:styleId="Tablecaption1">
    <w:name w:val="Table caption|1_"/>
    <w:basedOn w:val="DefaultParagraphFont"/>
    <w:link w:val="Tablecaption10"/>
    <w:rPr>
      <w:sz w:val="16"/>
      <w:szCs w:val="16"/>
    </w:rPr>
  </w:style>
  <w:style w:type="paragraph" w:customStyle="1" w:styleId="Other10">
    <w:name w:val="Other|1"/>
    <w:basedOn w:val="Normal"/>
    <w:link w:val="Other1"/>
    <w:pPr>
      <w:widowControl w:val="0"/>
      <w:spacing w:before="0"/>
      <w:jc w:val="left"/>
    </w:pPr>
    <w:rPr>
      <w:rFonts w:asciiTheme="minorHAnsi" w:hAnsiTheme="minorHAnsi" w:cstheme="minorBidi"/>
      <w:sz w:val="16"/>
      <w:szCs w:val="16"/>
    </w:rPr>
  </w:style>
  <w:style w:type="paragraph" w:customStyle="1" w:styleId="Tablecaption10">
    <w:name w:val="Table caption|1"/>
    <w:basedOn w:val="Normal"/>
    <w:link w:val="Tablecaption1"/>
    <w:pPr>
      <w:widowControl w:val="0"/>
      <w:spacing w:before="0" w:after="0"/>
      <w:jc w:val="left"/>
    </w:pPr>
    <w:rPr>
      <w:rFonts w:asciiTheme="minorHAnsi" w:hAnsiTheme="minorHAnsi" w:cstheme="minorBidi"/>
      <w:sz w:val="16"/>
      <w:szCs w:val="16"/>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umber">
    <w:name w:val="Number"/>
    <w:basedOn w:val="Normal"/>
    <w:pPr>
      <w:spacing w:before="0" w:after="0"/>
    </w:pPr>
    <w:rPr>
      <w:rFonts w:eastAsia="Times New Roman"/>
      <w:b/>
      <w:bCs/>
      <w:szCs w:val="24"/>
    </w:rPr>
  </w:style>
  <w:style w:type="paragraph" w:customStyle="1" w:styleId="Point">
    <w:name w:val="Point"/>
    <w:basedOn w:val="Considrant"/>
    <w:pPr>
      <w:numPr>
        <w:numId w:val="0"/>
      </w:numPr>
    </w:pPr>
    <w:rPr>
      <w:b/>
      <w:bCs/>
      <w:szCs w:val="24"/>
    </w:rPr>
  </w:style>
  <w:style w:type="paragraph" w:customStyle="1" w:styleId="Pointl">
    <w:name w:val="Point l"/>
    <w:basedOn w:val="Normal"/>
    <w:rPr>
      <w:noProof/>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r-lex.europa.eu/legal-content/RO/TXT/HTML/?uri=CELEX:32022R0110&amp;from=RO"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r-lex.europa.eu/legal-content/RO/TXT/HTML/?uri=CELEX:32022R0110&amp;from=RO"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02d427686cd96e870a3273dd72c152">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92130a08d5ae8bb7a6f79abd30fb763"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État" ma:default="Non commencé" ma:hidden="true" ma:internalName="_Status" ma:readOnly="false">
      <xsd:simpleType>
        <xsd:union memberTypes="dms:Text">
          <xsd:simpleType>
            <xsd:restriction base="dms:Choice">
              <xsd:enumeration value="Non commencé"/>
              <xsd:enumeration value="Brouillon"/>
              <xsd:enumeration value="Révisé"/>
              <xsd:enumeration value="Planifié"/>
              <xsd:enumeration value="Publié"/>
              <xsd:enumeration value="Final"/>
              <xsd:enumeration value="Date d'expir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Type de contenu"/>
        <xsd:element ref="dc:title" minOccurs="0" maxOccurs="1" ma:index="7" ma:displayName="Titr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État"/>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Props1.xml><?xml version="1.0" encoding="utf-8"?>
<ds:datastoreItem xmlns:ds="http://schemas.openxmlformats.org/officeDocument/2006/customXml" ds:itemID="{9B382405-4DFC-43B7-82A6-27A27811F1DA}">
  <ds:schemaRefs>
    <ds:schemaRef ds:uri="http://schemas.microsoft.com/sharepoint/v3/contenttype/forms"/>
  </ds:schemaRefs>
</ds:datastoreItem>
</file>

<file path=customXml/itemProps2.xml><?xml version="1.0" encoding="utf-8"?>
<ds:datastoreItem xmlns:ds="http://schemas.openxmlformats.org/officeDocument/2006/customXml" ds:itemID="{EF2406BF-B715-49A1-AA9B-F3F813299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C4DAF-EDDA-4D7D-9546-40911EAC75FB}">
  <ds:schemaRefs>
    <ds:schemaRef ds:uri="http://schemas.openxmlformats.org/officeDocument/2006/bibliography"/>
  </ds:schemaRefs>
</ds:datastoreItem>
</file>

<file path=customXml/itemProps4.xml><?xml version="1.0" encoding="utf-8"?>
<ds:datastoreItem xmlns:ds="http://schemas.openxmlformats.org/officeDocument/2006/customXml" ds:itemID="{D4DAA09E-F88A-41D0-B4AB-7ABA92B934DA}">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docProps/app.xml><?xml version="1.0" encoding="utf-8"?>
<Properties xmlns="http://schemas.openxmlformats.org/officeDocument/2006/extended-properties" xmlns:vt="http://schemas.openxmlformats.org/officeDocument/2006/docPropsVTypes">
  <Template>ANNEX.dotm</Template>
  <TotalTime>20</TotalTime>
  <Pages>4</Pages>
  <Words>3102</Words>
  <Characters>17687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20748</CharactersWithSpaces>
  <SharedDoc>false</SharedDoc>
  <HLinks>
    <vt:vector size="12" baseType="variant">
      <vt:variant>
        <vt:i4>3604502</vt:i4>
      </vt:variant>
      <vt:variant>
        <vt:i4>3</vt:i4>
      </vt:variant>
      <vt:variant>
        <vt:i4>0</vt:i4>
      </vt:variant>
      <vt:variant>
        <vt:i4>5</vt:i4>
      </vt:variant>
      <vt:variant>
        <vt:lpwstr>https://eur-lex.europa.eu/legal-content/EN/TXT/HTML/?uri=CELEX:32022R0110&amp;from=EN</vt:lpwstr>
      </vt:variant>
      <vt:variant>
        <vt:lpwstr>ntc*1-L_2022021EN.01018601-E0001</vt:lpwstr>
      </vt:variant>
      <vt:variant>
        <vt:i4>6488143</vt:i4>
      </vt:variant>
      <vt:variant>
        <vt:i4>0</vt:i4>
      </vt:variant>
      <vt:variant>
        <vt:i4>0</vt:i4>
      </vt:variant>
      <vt:variant>
        <vt:i4>5</vt:i4>
      </vt:variant>
      <vt:variant>
        <vt:lpwstr>https://eur-lex.europa.eu/legal-content/EN/TXT/HTML/?uri=CELEX:32022R0110&amp;from=EN</vt:lpwstr>
      </vt:variant>
      <vt:variant>
        <vt:lpwstr>ntr2-L_2022021EN.01018201-E0002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29</cp:revision>
  <dcterms:created xsi:type="dcterms:W3CDTF">2026-07-07T14:31:00Z</dcterms:created>
  <dcterms:modified xsi:type="dcterms:W3CDTF">2026-09-10T11:01:00Z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9</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2025-06-23T10:53:38Z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37eeba57-bab6-410b-8a52-d4647fc50c93</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Green (DQC version 03)</vt:lpwstr>
  </property>
</Properties>
</file>