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A6849D" w14:textId="3C99567C" w:rsidR="00BE36D2" w:rsidRDefault="00B20521" w:rsidP="00B20521">
      <w:pPr>
        <w:pStyle w:val="Pagedecouverture"/>
        <w:rPr>
          <w:noProof/>
        </w:rPr>
      </w:pPr>
      <w:bookmarkStart w:id="0" w:name="_Toc244054015"/>
      <w:bookmarkStart w:id="1" w:name="_Toc413145209"/>
      <w:bookmarkStart w:id="2" w:name="_Toc147135954"/>
      <w:bookmarkStart w:id="3" w:name="LW_BM_COVERPAGE"/>
      <w:r>
        <w:rPr>
          <w:noProof/>
        </w:rPr>
        <w:pict w14:anchorId="75F39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94CE944-9DE0-4215-8EB3-18497764FCFF" style="width:455.25pt;height:327.75pt">
            <v:imagedata r:id="rId10" o:title=""/>
          </v:shape>
        </w:pict>
      </w:r>
    </w:p>
    <w:bookmarkEnd w:id="3"/>
    <w:p w14:paraId="3D3A2FB6" w14:textId="77777777" w:rsidR="00BE36D2" w:rsidRDefault="00BE36D2" w:rsidP="00BE36D2">
      <w:pPr>
        <w:rPr>
          <w:noProof/>
        </w:rPr>
        <w:sectPr w:rsidR="00BE36D2" w:rsidSect="00B20521">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7C452730" w14:textId="77777777" w:rsidR="00BE36D2" w:rsidRDefault="00BE36D2" w:rsidP="00DC7D98">
      <w:pPr>
        <w:pStyle w:val="Heading1"/>
        <w:rPr>
          <w:noProof/>
        </w:rPr>
      </w:pPr>
      <w:bookmarkStart w:id="4" w:name="_Hlk212816953"/>
      <w:bookmarkStart w:id="5" w:name="_GoBack"/>
      <w:bookmarkEnd w:id="5"/>
      <w:r>
        <w:rPr>
          <w:noProof/>
        </w:rPr>
        <w:lastRenderedPageBreak/>
        <w:t xml:space="preserve">Table </w:t>
      </w:r>
      <w:r w:rsidRPr="00C9142D">
        <w:rPr>
          <w:noProof/>
        </w:rPr>
        <w:t>provisional consumption on 31/</w:t>
      </w:r>
      <w:r>
        <w:rPr>
          <w:noProof/>
        </w:rPr>
        <w:t>12</w:t>
      </w:r>
      <w:r w:rsidRPr="00C9142D">
        <w:rPr>
          <w:noProof/>
        </w:rPr>
        <w:t>/202</w:t>
      </w:r>
      <w:r>
        <w:rPr>
          <w:noProof/>
        </w:rPr>
        <w:t>5</w:t>
      </w:r>
    </w:p>
    <w:p w14:paraId="03FD66FC" w14:textId="77777777" w:rsidR="00BE36D2" w:rsidRDefault="00BE36D2" w:rsidP="00DC7D98">
      <w:pPr>
        <w:pStyle w:val="Text1"/>
        <w:rPr>
          <w:noProof/>
        </w:rPr>
      </w:pPr>
      <w:r w:rsidRPr="00EF585E">
        <w:rPr>
          <w:noProof/>
        </w:rPr>
        <w:t>This report presents the provisional implementation of the 202</w:t>
      </w:r>
      <w:r>
        <w:rPr>
          <w:noProof/>
        </w:rPr>
        <w:t xml:space="preserve">5 </w:t>
      </w:r>
      <w:r w:rsidRPr="00EF585E">
        <w:rPr>
          <w:noProof/>
        </w:rPr>
        <w:t xml:space="preserve">budget for the </w:t>
      </w:r>
      <w:r w:rsidRPr="00824E29">
        <w:rPr>
          <w:noProof/>
        </w:rPr>
        <w:t xml:space="preserve">European </w:t>
      </w:r>
      <w:r>
        <w:rPr>
          <w:noProof/>
        </w:rPr>
        <w:t>A</w:t>
      </w:r>
      <w:r w:rsidRPr="00824E29">
        <w:rPr>
          <w:noProof/>
        </w:rPr>
        <w:t xml:space="preserve">gricultural </w:t>
      </w:r>
      <w:r>
        <w:rPr>
          <w:noProof/>
        </w:rPr>
        <w:t>G</w:t>
      </w:r>
      <w:r w:rsidRPr="00824E29">
        <w:rPr>
          <w:noProof/>
        </w:rPr>
        <w:t xml:space="preserve">uarantee </w:t>
      </w:r>
      <w:r>
        <w:rPr>
          <w:noProof/>
        </w:rPr>
        <w:t>F</w:t>
      </w:r>
      <w:r w:rsidRPr="00824E29">
        <w:rPr>
          <w:noProof/>
        </w:rPr>
        <w:t>und</w:t>
      </w:r>
      <w:r>
        <w:rPr>
          <w:noProof/>
        </w:rPr>
        <w:t xml:space="preserve"> (</w:t>
      </w:r>
      <w:r w:rsidRPr="00EF585E">
        <w:rPr>
          <w:noProof/>
        </w:rPr>
        <w:t>EAGF</w:t>
      </w:r>
      <w:r>
        <w:rPr>
          <w:noProof/>
        </w:rPr>
        <w:t xml:space="preserve">) on </w:t>
      </w:r>
      <w:r w:rsidRPr="00C9142D">
        <w:rPr>
          <w:noProof/>
        </w:rPr>
        <w:t>31/12/202</w:t>
      </w:r>
      <w:r>
        <w:rPr>
          <w:noProof/>
        </w:rPr>
        <w:t>5</w:t>
      </w:r>
      <w:r w:rsidRPr="00EF585E">
        <w:rPr>
          <w:noProof/>
        </w:rPr>
        <w:t xml:space="preserve">, with details given in the </w:t>
      </w:r>
      <w:r>
        <w:rPr>
          <w:noProof/>
        </w:rPr>
        <w:t>below table</w:t>
      </w:r>
      <w:r w:rsidRPr="00EF585E">
        <w:rPr>
          <w:noProof/>
        </w:rPr>
        <w:t>.</w:t>
      </w:r>
      <w:r>
        <w:rPr>
          <w:noProof/>
        </w:rPr>
        <w:t xml:space="preserve"> </w:t>
      </w:r>
      <w:r w:rsidRPr="00160E70">
        <w:rPr>
          <w:noProof/>
        </w:rPr>
        <w:t xml:space="preserve">A </w:t>
      </w:r>
      <w:r w:rsidRPr="002514F1">
        <w:rPr>
          <w:noProof/>
        </w:rPr>
        <w:t xml:space="preserve">comparison is made </w:t>
      </w:r>
      <w:r>
        <w:rPr>
          <w:noProof/>
        </w:rPr>
        <w:t>between</w:t>
      </w:r>
      <w:r w:rsidRPr="002514F1">
        <w:rPr>
          <w:noProof/>
        </w:rPr>
        <w:t xml:space="preserve"> the implementation level </w:t>
      </w:r>
      <w:r>
        <w:rPr>
          <w:noProof/>
        </w:rPr>
        <w:t>and</w:t>
      </w:r>
      <w:r w:rsidRPr="002514F1">
        <w:rPr>
          <w:noProof/>
        </w:rPr>
        <w:t xml:space="preserve"> </w:t>
      </w:r>
      <w:r w:rsidRPr="00160E70">
        <w:rPr>
          <w:noProof/>
        </w:rPr>
        <w:t>the corresponding appropriations included in the 202</w:t>
      </w:r>
      <w:r>
        <w:rPr>
          <w:noProof/>
        </w:rPr>
        <w:t xml:space="preserve">5 </w:t>
      </w:r>
      <w:r w:rsidRPr="00160E70">
        <w:rPr>
          <w:noProof/>
        </w:rPr>
        <w:t>budget.</w:t>
      </w:r>
    </w:p>
    <w:p w14:paraId="2B647F7B" w14:textId="77777777" w:rsidR="00BE36D2" w:rsidRDefault="00BE36D2" w:rsidP="00BE36D2">
      <w:pPr>
        <w:pStyle w:val="Text1"/>
        <w:rPr>
          <w:noProof/>
        </w:rPr>
      </w:pPr>
      <w:r w:rsidRPr="00506CE8">
        <w:rPr>
          <w:noProof/>
          <w:lang w:eastAsia="en-GB"/>
        </w:rPr>
        <w:drawing>
          <wp:inline distT="0" distB="0" distL="0" distR="0" wp14:anchorId="31CED1EE" wp14:editId="66587232">
            <wp:extent cx="5328277" cy="5988050"/>
            <wp:effectExtent l="0" t="0" r="0" b="0"/>
            <wp:docPr id="8070163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31064" cy="5991183"/>
                    </a:xfrm>
                    <a:prstGeom prst="rect">
                      <a:avLst/>
                    </a:prstGeom>
                    <a:noFill/>
                    <a:ln>
                      <a:noFill/>
                    </a:ln>
                  </pic:spPr>
                </pic:pic>
              </a:graphicData>
            </a:graphic>
          </wp:inline>
        </w:drawing>
      </w:r>
    </w:p>
    <w:p w14:paraId="497B526C" w14:textId="77777777" w:rsidR="00BE36D2" w:rsidRDefault="00BE36D2" w:rsidP="00BE36D2">
      <w:pPr>
        <w:pStyle w:val="Text1"/>
        <w:rPr>
          <w:b/>
          <w:bCs/>
          <w:smallCaps/>
          <w:noProof/>
          <w:szCs w:val="32"/>
          <w:lang w:val="en-IE"/>
        </w:rPr>
      </w:pPr>
      <w:r w:rsidRPr="00905D78">
        <w:rPr>
          <w:noProof/>
          <w:lang w:eastAsia="en-GB"/>
        </w:rPr>
        <w:lastRenderedPageBreak/>
        <w:drawing>
          <wp:inline distT="0" distB="0" distL="0" distR="0" wp14:anchorId="6A21E717" wp14:editId="31AB5205">
            <wp:extent cx="5749978" cy="3111500"/>
            <wp:effectExtent l="0" t="0" r="0" b="0"/>
            <wp:docPr id="2403278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4476" cy="3113934"/>
                    </a:xfrm>
                    <a:prstGeom prst="rect">
                      <a:avLst/>
                    </a:prstGeom>
                    <a:noFill/>
                    <a:ln>
                      <a:noFill/>
                    </a:ln>
                  </pic:spPr>
                </pic:pic>
              </a:graphicData>
            </a:graphic>
          </wp:inline>
        </w:drawing>
      </w:r>
    </w:p>
    <w:p w14:paraId="1B15D0AE" w14:textId="77777777" w:rsidR="00BE36D2" w:rsidRDefault="00BE36D2" w:rsidP="00DC7D98">
      <w:pPr>
        <w:pStyle w:val="Heading1"/>
        <w:rPr>
          <w:noProof/>
        </w:rPr>
      </w:pPr>
      <w:r w:rsidRPr="002514F1">
        <w:rPr>
          <w:noProof/>
        </w:rPr>
        <w:t>Comments on the</w:t>
      </w:r>
      <w:r>
        <w:rPr>
          <w:noProof/>
        </w:rPr>
        <w:t xml:space="preserve"> implementation of the</w:t>
      </w:r>
      <w:r w:rsidRPr="002514F1">
        <w:rPr>
          <w:noProof/>
        </w:rPr>
        <w:t xml:space="preserve"> </w:t>
      </w:r>
      <w:r>
        <w:rPr>
          <w:noProof/>
        </w:rPr>
        <w:t xml:space="preserve">2025 agricultural reserve </w:t>
      </w:r>
      <w:r w:rsidRPr="002514F1">
        <w:rPr>
          <w:noProof/>
        </w:rPr>
        <w:t xml:space="preserve"> </w:t>
      </w:r>
      <w:bookmarkEnd w:id="0"/>
      <w:bookmarkEnd w:id="1"/>
      <w:bookmarkEnd w:id="2"/>
    </w:p>
    <w:p w14:paraId="4F50DDDF" w14:textId="181FC0D5" w:rsidR="00B318A3" w:rsidRDefault="00BE36D2" w:rsidP="00DC7D98">
      <w:pPr>
        <w:pStyle w:val="Text1"/>
        <w:rPr>
          <w:noProof/>
        </w:rPr>
      </w:pPr>
      <w:bookmarkStart w:id="6" w:name="_Hlk182993940"/>
      <w:r>
        <w:rPr>
          <w:noProof/>
        </w:rPr>
        <w:t>In</w:t>
      </w:r>
      <w:r w:rsidRPr="009762D2" w:rsidDel="00CC7DB0">
        <w:rPr>
          <w:noProof/>
        </w:rPr>
        <w:t xml:space="preserve"> 202</w:t>
      </w:r>
      <w:r>
        <w:rPr>
          <w:noProof/>
        </w:rPr>
        <w:t>5,</w:t>
      </w:r>
      <w:r w:rsidRPr="009762D2" w:rsidDel="00CC7DB0">
        <w:rPr>
          <w:noProof/>
        </w:rPr>
        <w:t xml:space="preserve"> the agricultural reserve amount</w:t>
      </w:r>
      <w:r>
        <w:rPr>
          <w:noProof/>
        </w:rPr>
        <w:t>ed</w:t>
      </w:r>
      <w:r w:rsidRPr="009762D2" w:rsidDel="00CC7DB0">
        <w:rPr>
          <w:noProof/>
        </w:rPr>
        <w:t xml:space="preserve"> </w:t>
      </w:r>
      <w:r>
        <w:rPr>
          <w:noProof/>
        </w:rPr>
        <w:t>to</w:t>
      </w:r>
      <w:r w:rsidRPr="009762D2" w:rsidDel="00CC7DB0">
        <w:rPr>
          <w:noProof/>
        </w:rPr>
        <w:t xml:space="preserve"> EUR</w:t>
      </w:r>
      <w:r w:rsidR="00597F68" w:rsidRPr="00BE36D2">
        <w:rPr>
          <w:noProof/>
          <w:lang w:eastAsia="en-US"/>
        </w:rPr>
        <w:t> </w:t>
      </w:r>
      <w:r w:rsidRPr="000B2A86">
        <w:rPr>
          <w:noProof/>
        </w:rPr>
        <w:t>646.7</w:t>
      </w:r>
      <w:r w:rsidR="00597F68" w:rsidRPr="00BE36D2">
        <w:rPr>
          <w:noProof/>
          <w:lang w:eastAsia="en-US"/>
        </w:rPr>
        <w:t> </w:t>
      </w:r>
      <w:r w:rsidRPr="009762D2" w:rsidDel="00CC7DB0">
        <w:rPr>
          <w:noProof/>
        </w:rPr>
        <w:t>million, including a carry-over of EUR</w:t>
      </w:r>
      <w:r w:rsidR="00B67511" w:rsidRPr="00BE36D2">
        <w:rPr>
          <w:noProof/>
          <w:lang w:eastAsia="en-US"/>
        </w:rPr>
        <w:t> </w:t>
      </w:r>
      <w:r w:rsidRPr="001E1BE2">
        <w:rPr>
          <w:noProof/>
        </w:rPr>
        <w:t>3</w:t>
      </w:r>
      <w:r>
        <w:rPr>
          <w:noProof/>
        </w:rPr>
        <w:t>66</w:t>
      </w:r>
      <w:r w:rsidRPr="001E1BE2">
        <w:rPr>
          <w:noProof/>
        </w:rPr>
        <w:t>.</w:t>
      </w:r>
      <w:r>
        <w:rPr>
          <w:noProof/>
        </w:rPr>
        <w:t>5</w:t>
      </w:r>
      <w:r w:rsidR="00B67511" w:rsidRPr="00BE36D2">
        <w:rPr>
          <w:noProof/>
          <w:lang w:eastAsia="en-US"/>
        </w:rPr>
        <w:t> </w:t>
      </w:r>
      <w:r w:rsidRPr="009762D2" w:rsidDel="00CC7DB0">
        <w:rPr>
          <w:noProof/>
        </w:rPr>
        <w:t>million from Budget 202</w:t>
      </w:r>
      <w:r>
        <w:rPr>
          <w:noProof/>
        </w:rPr>
        <w:t>4</w:t>
      </w:r>
      <w:r w:rsidRPr="009762D2" w:rsidDel="00CC7DB0">
        <w:rPr>
          <w:noProof/>
        </w:rPr>
        <w:t xml:space="preserve">. </w:t>
      </w:r>
      <w:r>
        <w:rPr>
          <w:noProof/>
        </w:rPr>
        <w:t xml:space="preserve">Five </w:t>
      </w:r>
      <w:r w:rsidRPr="009762D2" w:rsidDel="00CC7DB0">
        <w:rPr>
          <w:noProof/>
        </w:rPr>
        <w:t xml:space="preserve">measures, </w:t>
      </w:r>
      <w:r w:rsidRPr="009762D2">
        <w:rPr>
          <w:noProof/>
        </w:rPr>
        <w:t>tota</w:t>
      </w:r>
      <w:r>
        <w:rPr>
          <w:noProof/>
        </w:rPr>
        <w:t>l</w:t>
      </w:r>
      <w:r w:rsidRPr="009762D2">
        <w:rPr>
          <w:noProof/>
        </w:rPr>
        <w:t>ing</w:t>
      </w:r>
      <w:r w:rsidRPr="009762D2" w:rsidDel="00CC7DB0">
        <w:rPr>
          <w:noProof/>
        </w:rPr>
        <w:t xml:space="preserve"> EUR</w:t>
      </w:r>
      <w:r w:rsidR="00B67511" w:rsidRPr="00BE36D2">
        <w:rPr>
          <w:noProof/>
          <w:lang w:eastAsia="en-US"/>
        </w:rPr>
        <w:t> </w:t>
      </w:r>
      <w:r w:rsidRPr="000B2A86">
        <w:rPr>
          <w:noProof/>
        </w:rPr>
        <w:t>177.5</w:t>
      </w:r>
      <w:r w:rsidR="00B67511" w:rsidRPr="00BE36D2">
        <w:rPr>
          <w:noProof/>
          <w:lang w:eastAsia="en-US"/>
        </w:rPr>
        <w:t> </w:t>
      </w:r>
      <w:r w:rsidRPr="009762D2" w:rsidDel="00CC7DB0">
        <w:rPr>
          <w:noProof/>
        </w:rPr>
        <w:t xml:space="preserve">million, </w:t>
      </w:r>
      <w:r>
        <w:rPr>
          <w:noProof/>
        </w:rPr>
        <w:t>were</w:t>
      </w:r>
      <w:r w:rsidRPr="009762D2" w:rsidDel="00CC7DB0">
        <w:rPr>
          <w:noProof/>
        </w:rPr>
        <w:t xml:space="preserve"> adopted</w:t>
      </w:r>
      <w:r w:rsidRPr="009762D2" w:rsidDel="00CC7DB0">
        <w:rPr>
          <w:rStyle w:val="FootnoteReference"/>
          <w:noProof/>
          <w:szCs w:val="24"/>
        </w:rPr>
        <w:footnoteReference w:id="1"/>
      </w:r>
      <w:r w:rsidRPr="009762D2">
        <w:rPr>
          <w:noProof/>
        </w:rPr>
        <w:t>.</w:t>
      </w:r>
      <w:r w:rsidRPr="009762D2" w:rsidDel="00CC7DB0">
        <w:rPr>
          <w:noProof/>
        </w:rPr>
        <w:t xml:space="preserve"> </w:t>
      </w:r>
      <w:r w:rsidRPr="0050177E">
        <w:rPr>
          <w:noProof/>
        </w:rPr>
        <w:t>A total of EUR</w:t>
      </w:r>
      <w:r w:rsidR="00B67511" w:rsidRPr="00BE36D2">
        <w:rPr>
          <w:noProof/>
          <w:lang w:eastAsia="en-US"/>
        </w:rPr>
        <w:t> </w:t>
      </w:r>
      <w:r>
        <w:rPr>
          <w:noProof/>
        </w:rPr>
        <w:t>255.3</w:t>
      </w:r>
      <w:r w:rsidR="00B67511" w:rsidRPr="00BE36D2">
        <w:rPr>
          <w:noProof/>
          <w:lang w:eastAsia="en-US"/>
        </w:rPr>
        <w:t> </w:t>
      </w:r>
      <w:r w:rsidRPr="0050177E">
        <w:rPr>
          <w:noProof/>
        </w:rPr>
        <w:t>million of payments have been declared under Budget 202</w:t>
      </w:r>
      <w:r>
        <w:rPr>
          <w:noProof/>
        </w:rPr>
        <w:t>5. These payments covered remaining expenditure from the exceptional measures adopted in 2024 as well as the declared amounts (</w:t>
      </w:r>
      <w:r w:rsidRPr="000B2A86">
        <w:rPr>
          <w:noProof/>
        </w:rPr>
        <w:t>EUR</w:t>
      </w:r>
      <w:r w:rsidR="00B67511" w:rsidRPr="00BE36D2">
        <w:rPr>
          <w:noProof/>
          <w:lang w:eastAsia="en-US"/>
        </w:rPr>
        <w:t> </w:t>
      </w:r>
      <w:r>
        <w:rPr>
          <w:noProof/>
        </w:rPr>
        <w:t>63.5</w:t>
      </w:r>
      <w:r w:rsidR="00B67511" w:rsidRPr="00BE36D2">
        <w:rPr>
          <w:noProof/>
          <w:lang w:eastAsia="en-US"/>
        </w:rPr>
        <w:t> </w:t>
      </w:r>
      <w:r w:rsidRPr="0050177E">
        <w:rPr>
          <w:noProof/>
        </w:rPr>
        <w:t>million</w:t>
      </w:r>
      <w:r>
        <w:rPr>
          <w:noProof/>
        </w:rPr>
        <w:t>)</w:t>
      </w:r>
      <w:r w:rsidRPr="0050177E">
        <w:rPr>
          <w:noProof/>
        </w:rPr>
        <w:t xml:space="preserve"> </w:t>
      </w:r>
      <w:r>
        <w:rPr>
          <w:noProof/>
        </w:rPr>
        <w:t xml:space="preserve">related to the </w:t>
      </w:r>
      <w:r w:rsidRPr="00601E03">
        <w:rPr>
          <w:noProof/>
        </w:rPr>
        <w:t>emergency financial support for the agricultural sectors affected by adverse climatic events and natural disasters in Spain, Croatia, Cyprus, Latvia and Hungary</w:t>
      </w:r>
      <w:r>
        <w:rPr>
          <w:noProof/>
        </w:rPr>
        <w:t xml:space="preserve">, adopted in </w:t>
      </w:r>
      <w:r w:rsidRPr="00475DFB">
        <w:rPr>
          <w:noProof/>
        </w:rPr>
        <w:t>2</w:t>
      </w:r>
      <w:r>
        <w:rPr>
          <w:noProof/>
        </w:rPr>
        <w:t>025</w:t>
      </w:r>
      <w:r w:rsidRPr="000B2A86">
        <w:rPr>
          <w:noProof/>
        </w:rPr>
        <w:t xml:space="preserve">. </w:t>
      </w:r>
    </w:p>
    <w:p w14:paraId="2EF355B7" w14:textId="7FA3AAF2" w:rsidR="00BE36D2" w:rsidRPr="0050177E" w:rsidRDefault="00BE36D2" w:rsidP="00DC7D98">
      <w:pPr>
        <w:pStyle w:val="Text1"/>
        <w:rPr>
          <w:noProof/>
        </w:rPr>
      </w:pPr>
      <w:r>
        <w:rPr>
          <w:noProof/>
        </w:rPr>
        <w:t>T</w:t>
      </w:r>
      <w:r w:rsidRPr="000B2A86">
        <w:rPr>
          <w:noProof/>
        </w:rPr>
        <w:t xml:space="preserve">he </w:t>
      </w:r>
      <w:r w:rsidRPr="005B0725">
        <w:rPr>
          <w:noProof/>
        </w:rPr>
        <w:t xml:space="preserve">payments </w:t>
      </w:r>
      <w:r>
        <w:rPr>
          <w:noProof/>
        </w:rPr>
        <w:t>for the other</w:t>
      </w:r>
      <w:r w:rsidRPr="000B2A86">
        <w:rPr>
          <w:noProof/>
        </w:rPr>
        <w:t xml:space="preserve"> four measures adopted in 2025, represent</w:t>
      </w:r>
      <w:r>
        <w:rPr>
          <w:noProof/>
        </w:rPr>
        <w:t>ing</w:t>
      </w:r>
      <w:r w:rsidRPr="000B2A86">
        <w:rPr>
          <w:noProof/>
        </w:rPr>
        <w:t xml:space="preserve"> a total amount of EUR</w:t>
      </w:r>
      <w:r w:rsidR="00B94B3F" w:rsidRPr="00BE36D2">
        <w:rPr>
          <w:noProof/>
          <w:lang w:eastAsia="en-US"/>
        </w:rPr>
        <w:t> </w:t>
      </w:r>
      <w:r w:rsidRPr="000B2A86">
        <w:rPr>
          <w:noProof/>
        </w:rPr>
        <w:t>78</w:t>
      </w:r>
      <w:r>
        <w:rPr>
          <w:noProof/>
        </w:rPr>
        <w:t>.</w:t>
      </w:r>
      <w:r w:rsidRPr="000B2A86">
        <w:rPr>
          <w:noProof/>
        </w:rPr>
        <w:t>9</w:t>
      </w:r>
      <w:r w:rsidR="00B94B3F" w:rsidRPr="00BE36D2">
        <w:rPr>
          <w:noProof/>
          <w:lang w:eastAsia="en-US"/>
        </w:rPr>
        <w:t> </w:t>
      </w:r>
      <w:r w:rsidRPr="000B2A86">
        <w:rPr>
          <w:noProof/>
        </w:rPr>
        <w:t xml:space="preserve">million, </w:t>
      </w:r>
      <w:r>
        <w:rPr>
          <w:noProof/>
        </w:rPr>
        <w:t>will be financed</w:t>
      </w:r>
      <w:r w:rsidRPr="000B2A86">
        <w:rPr>
          <w:noProof/>
        </w:rPr>
        <w:t xml:space="preserve"> </w:t>
      </w:r>
      <w:r w:rsidRPr="000B2A86" w:rsidDel="00CC7DB0">
        <w:rPr>
          <w:noProof/>
        </w:rPr>
        <w:t>under the 202</w:t>
      </w:r>
      <w:r w:rsidRPr="000B2A86">
        <w:rPr>
          <w:noProof/>
        </w:rPr>
        <w:t>6</w:t>
      </w:r>
      <w:r w:rsidRPr="000B2A86" w:rsidDel="00CC7DB0">
        <w:rPr>
          <w:noProof/>
        </w:rPr>
        <w:t xml:space="preserve"> agricultural reserve</w:t>
      </w:r>
      <w:bookmarkEnd w:id="6"/>
      <w:r>
        <w:rPr>
          <w:noProof/>
        </w:rPr>
        <w:t>.</w:t>
      </w:r>
      <w:r w:rsidR="00B318A3">
        <w:rPr>
          <w:noProof/>
        </w:rPr>
        <w:t xml:space="preserve"> </w:t>
      </w:r>
      <w:r w:rsidRPr="0050177E">
        <w:rPr>
          <w:noProof/>
        </w:rPr>
        <w:t>The remaining appropriations of EUR</w:t>
      </w:r>
      <w:r w:rsidR="00B94B3F" w:rsidRPr="00BE36D2">
        <w:rPr>
          <w:noProof/>
          <w:lang w:eastAsia="en-US"/>
        </w:rPr>
        <w:t> </w:t>
      </w:r>
      <w:r w:rsidRPr="007B78FB">
        <w:rPr>
          <w:noProof/>
        </w:rPr>
        <w:t>3</w:t>
      </w:r>
      <w:r>
        <w:rPr>
          <w:noProof/>
        </w:rPr>
        <w:t>91.4</w:t>
      </w:r>
      <w:r w:rsidR="00B94B3F" w:rsidRPr="00BE36D2">
        <w:rPr>
          <w:noProof/>
          <w:lang w:eastAsia="en-US"/>
        </w:rPr>
        <w:t> </w:t>
      </w:r>
      <w:r w:rsidRPr="0050177E">
        <w:rPr>
          <w:noProof/>
        </w:rPr>
        <w:t xml:space="preserve">million </w:t>
      </w:r>
      <w:r>
        <w:rPr>
          <w:noProof/>
        </w:rPr>
        <w:t>shall</w:t>
      </w:r>
      <w:r w:rsidRPr="0050177E">
        <w:rPr>
          <w:noProof/>
        </w:rPr>
        <w:t xml:space="preserve"> </w:t>
      </w:r>
      <w:r>
        <w:rPr>
          <w:noProof/>
        </w:rPr>
        <w:t xml:space="preserve">thus </w:t>
      </w:r>
      <w:r w:rsidRPr="0050177E">
        <w:rPr>
          <w:noProof/>
        </w:rPr>
        <w:t>be carried over to Budget 202</w:t>
      </w:r>
      <w:r>
        <w:rPr>
          <w:noProof/>
        </w:rPr>
        <w:t>6</w:t>
      </w:r>
      <w:r w:rsidRPr="0050177E">
        <w:rPr>
          <w:noProof/>
        </w:rPr>
        <w:t>.</w:t>
      </w:r>
    </w:p>
    <w:p w14:paraId="482C114A" w14:textId="77777777" w:rsidR="00BE36D2" w:rsidRPr="009D4375" w:rsidRDefault="00BE36D2" w:rsidP="00400E5B">
      <w:pPr>
        <w:pStyle w:val="Heading1"/>
        <w:rPr>
          <w:noProof/>
        </w:rPr>
      </w:pPr>
      <w:bookmarkStart w:id="8" w:name="_Toc66369575"/>
      <w:bookmarkStart w:id="9" w:name="_Toc147135960"/>
      <w:r w:rsidRPr="009D4375">
        <w:rPr>
          <w:noProof/>
        </w:rPr>
        <w:t>C</w:t>
      </w:r>
      <w:r>
        <w:rPr>
          <w:noProof/>
        </w:rPr>
        <w:t>omments on the provisional implementation of the 2025 EAGF budget</w:t>
      </w:r>
      <w:bookmarkEnd w:id="8"/>
      <w:bookmarkEnd w:id="9"/>
    </w:p>
    <w:p w14:paraId="5DA02C7B" w14:textId="77777777" w:rsidR="00BE36D2" w:rsidRPr="00BE36D2" w:rsidRDefault="00BE36D2" w:rsidP="00400E5B">
      <w:pPr>
        <w:pStyle w:val="Text1"/>
        <w:rPr>
          <w:noProof/>
          <w:lang w:eastAsia="en-US"/>
        </w:rPr>
      </w:pPr>
      <w:bookmarkStart w:id="10" w:name="_Hlk122430466"/>
      <w:r w:rsidRPr="00BE36D2">
        <w:rPr>
          <w:noProof/>
          <w:lang w:eastAsia="en-US"/>
        </w:rPr>
        <w:t xml:space="preserve">The final implementation of the sectoral types of interventions under the CAP Strategic Plans (08 02 02) is lower than budgeted (-3.7 %), but significantly improved compared to the previous financial year (-18.6 % end of 2024). </w:t>
      </w:r>
    </w:p>
    <w:p w14:paraId="64D75A66" w14:textId="77777777" w:rsidR="00BE36D2" w:rsidRPr="00BE36D2" w:rsidRDefault="00BE36D2" w:rsidP="00400E5B">
      <w:pPr>
        <w:pStyle w:val="Text1"/>
        <w:rPr>
          <w:noProof/>
          <w:lang w:eastAsia="en-US"/>
        </w:rPr>
      </w:pPr>
      <w:bookmarkStart w:id="11" w:name="_Hlk185595808"/>
      <w:r w:rsidRPr="00BE36D2">
        <w:rPr>
          <w:noProof/>
          <w:lang w:eastAsia="en-US"/>
        </w:rPr>
        <w:t>On the other hand, the market-related expenditure outside the CAP Strategic Plans (08 02 03) is</w:t>
      </w:r>
      <w:bookmarkEnd w:id="11"/>
      <w:r w:rsidRPr="00BE36D2">
        <w:rPr>
          <w:noProof/>
          <w:lang w:eastAsia="en-US"/>
        </w:rPr>
        <w:t xml:space="preserve"> slightly higher than the budgeted amount (0.7 %), partially compensating the under-implementation under the Plans. </w:t>
      </w:r>
    </w:p>
    <w:p w14:paraId="34B3F497" w14:textId="3D3E9F7D" w:rsidR="00BE36D2" w:rsidRPr="00BE36D2" w:rsidRDefault="00BE36D2" w:rsidP="00400E5B">
      <w:pPr>
        <w:pStyle w:val="Text1"/>
        <w:rPr>
          <w:noProof/>
          <w:lang w:eastAsia="en-US"/>
        </w:rPr>
      </w:pPr>
      <w:r w:rsidRPr="00BE36D2">
        <w:rPr>
          <w:noProof/>
          <w:lang w:eastAsia="en-US"/>
        </w:rPr>
        <w:t>The overall under-execution of EUR</w:t>
      </w:r>
      <w:r w:rsidR="00B91B4F" w:rsidRPr="00BE36D2">
        <w:rPr>
          <w:noProof/>
          <w:lang w:eastAsia="en-US"/>
        </w:rPr>
        <w:t> </w:t>
      </w:r>
      <w:r w:rsidRPr="00BE36D2">
        <w:rPr>
          <w:noProof/>
          <w:lang w:eastAsia="en-US"/>
        </w:rPr>
        <w:t>58.9</w:t>
      </w:r>
      <w:r w:rsidR="00B91B4F" w:rsidRPr="00BE36D2">
        <w:rPr>
          <w:noProof/>
          <w:lang w:eastAsia="en-US"/>
        </w:rPr>
        <w:t> </w:t>
      </w:r>
      <w:r w:rsidRPr="00BE36D2">
        <w:rPr>
          <w:noProof/>
          <w:lang w:eastAsia="en-US"/>
        </w:rPr>
        <w:t>million for sectoral interventions and market-related expenditure reflects, amongst others, Member States’ need for time to adapt to the policy in place since 2023, a cumulation of crises in past years, as well as changing demand patterns (on the interior and exterior markets).</w:t>
      </w:r>
    </w:p>
    <w:p w14:paraId="76BB1028" w14:textId="77777777" w:rsidR="00BE36D2" w:rsidRPr="00BE36D2" w:rsidRDefault="00BE36D2" w:rsidP="00400E5B">
      <w:pPr>
        <w:pStyle w:val="Text1"/>
        <w:rPr>
          <w:noProof/>
          <w:lang w:eastAsia="en-US"/>
        </w:rPr>
      </w:pPr>
      <w:r w:rsidRPr="00BE36D2">
        <w:rPr>
          <w:noProof/>
          <w:lang w:eastAsia="en-US"/>
        </w:rPr>
        <w:t>The direct payments interventions under the CAP plans (08 02 04) show an excellent implementation, slightly exceeding the budget (</w:t>
      </w:r>
      <w:bookmarkStart w:id="12" w:name="_Hlk215046023"/>
      <w:r w:rsidRPr="00BE36D2">
        <w:rPr>
          <w:noProof/>
          <w:lang w:eastAsia="en-US"/>
        </w:rPr>
        <w:t>103 % of the voted appropriations and 100.3 % of the budgeted appropriations and assigned revenue</w:t>
      </w:r>
      <w:bookmarkEnd w:id="12"/>
      <w:r w:rsidRPr="00BE36D2">
        <w:rPr>
          <w:noProof/>
          <w:lang w:eastAsia="en-US"/>
        </w:rPr>
        <w:t>).</w:t>
      </w:r>
    </w:p>
    <w:p w14:paraId="0167BD6E" w14:textId="7CA33FE1" w:rsidR="00BE36D2" w:rsidRPr="00BE36D2" w:rsidRDefault="00BE36D2" w:rsidP="00400E5B">
      <w:pPr>
        <w:pStyle w:val="Text1"/>
        <w:rPr>
          <w:noProof/>
          <w:lang w:eastAsia="en-US"/>
        </w:rPr>
      </w:pPr>
      <w:r w:rsidRPr="00BE36D2">
        <w:rPr>
          <w:noProof/>
          <w:lang w:eastAsia="en-US"/>
        </w:rPr>
        <w:t>The provisional expenditure of the 2025 EAGF budget, including estimated, fully implemented actions under direct management by the Commission until 31 December 2025, results in an over-execution of EUR</w:t>
      </w:r>
      <w:r w:rsidR="00B91B4F" w:rsidRPr="00BE36D2">
        <w:rPr>
          <w:noProof/>
          <w:lang w:eastAsia="en-US"/>
        </w:rPr>
        <w:t> </w:t>
      </w:r>
      <w:r w:rsidRPr="00BE36D2">
        <w:rPr>
          <w:noProof/>
          <w:lang w:eastAsia="en-US"/>
        </w:rPr>
        <w:t>888.5</w:t>
      </w:r>
      <w:r w:rsidR="00B91B4F" w:rsidRPr="00BE36D2">
        <w:rPr>
          <w:noProof/>
          <w:lang w:eastAsia="en-US"/>
        </w:rPr>
        <w:t> </w:t>
      </w:r>
      <w:r w:rsidRPr="00BE36D2">
        <w:rPr>
          <w:noProof/>
          <w:lang w:eastAsia="en-US"/>
        </w:rPr>
        <w:t>million (2.2 %) compared to the budget's voted appropriations. Considering the available assigned revenue of EUR</w:t>
      </w:r>
      <w:r w:rsidR="00B91B4F" w:rsidRPr="00BE36D2">
        <w:rPr>
          <w:noProof/>
          <w:lang w:eastAsia="en-US"/>
        </w:rPr>
        <w:t> </w:t>
      </w:r>
      <w:r w:rsidRPr="00BE36D2">
        <w:rPr>
          <w:noProof/>
          <w:lang w:eastAsia="en-US"/>
        </w:rPr>
        <w:t>983.6</w:t>
      </w:r>
      <w:r w:rsidR="00B91B4F" w:rsidRPr="00BE36D2">
        <w:rPr>
          <w:noProof/>
          <w:lang w:eastAsia="en-US"/>
        </w:rPr>
        <w:t> </w:t>
      </w:r>
      <w:r w:rsidRPr="00BE36D2">
        <w:rPr>
          <w:noProof/>
          <w:lang w:eastAsia="en-US"/>
        </w:rPr>
        <w:t>million as well as the carry-over of EUR</w:t>
      </w:r>
      <w:r w:rsidR="00B91B4F" w:rsidRPr="00BE36D2">
        <w:rPr>
          <w:noProof/>
          <w:lang w:eastAsia="en-US"/>
        </w:rPr>
        <w:t> </w:t>
      </w:r>
      <w:r w:rsidRPr="00BE36D2">
        <w:rPr>
          <w:noProof/>
          <w:lang w:eastAsia="en-US"/>
        </w:rPr>
        <w:t>366.5</w:t>
      </w:r>
      <w:r w:rsidR="00B91B4F" w:rsidRPr="00BE36D2">
        <w:rPr>
          <w:noProof/>
          <w:lang w:eastAsia="en-US"/>
        </w:rPr>
        <w:t> </w:t>
      </w:r>
      <w:r w:rsidRPr="00BE36D2">
        <w:rPr>
          <w:noProof/>
          <w:lang w:eastAsia="en-US"/>
        </w:rPr>
        <w:t>million from the 2024 agricultural reserve, the total EAGF under-implementation amounts to EUR</w:t>
      </w:r>
      <w:r w:rsidR="00B91B4F" w:rsidRPr="00BE36D2">
        <w:rPr>
          <w:noProof/>
          <w:lang w:eastAsia="en-US"/>
        </w:rPr>
        <w:t> </w:t>
      </w:r>
      <w:r w:rsidRPr="00BE36D2">
        <w:rPr>
          <w:noProof/>
          <w:lang w:eastAsia="en-US"/>
        </w:rPr>
        <w:t>461.6</w:t>
      </w:r>
      <w:r w:rsidR="00B91B4F" w:rsidRPr="00BE36D2">
        <w:rPr>
          <w:noProof/>
          <w:lang w:eastAsia="en-US"/>
        </w:rPr>
        <w:t> </w:t>
      </w:r>
      <w:r w:rsidRPr="00BE36D2">
        <w:rPr>
          <w:noProof/>
          <w:lang w:eastAsia="en-US"/>
        </w:rPr>
        <w:t>million.</w:t>
      </w:r>
    </w:p>
    <w:p w14:paraId="03DAD1D9" w14:textId="3AF04867" w:rsidR="00BE36D2" w:rsidRPr="00BE36D2" w:rsidRDefault="00BE36D2" w:rsidP="00400E5B">
      <w:pPr>
        <w:pStyle w:val="Text1"/>
        <w:rPr>
          <w:noProof/>
          <w:lang w:eastAsia="en-US"/>
        </w:rPr>
      </w:pPr>
      <w:r w:rsidRPr="00BE36D2">
        <w:rPr>
          <w:noProof/>
          <w:lang w:eastAsia="en-US"/>
        </w:rPr>
        <w:t>This overall EAGF surplus includes EUR</w:t>
      </w:r>
      <w:r w:rsidR="00B91B4F" w:rsidRPr="00BE36D2">
        <w:rPr>
          <w:noProof/>
          <w:lang w:eastAsia="en-US"/>
        </w:rPr>
        <w:t> </w:t>
      </w:r>
      <w:r w:rsidRPr="00BE36D2">
        <w:rPr>
          <w:noProof/>
          <w:lang w:eastAsia="en-US"/>
        </w:rPr>
        <w:t>391.4</w:t>
      </w:r>
      <w:r w:rsidR="00B91B4F" w:rsidRPr="00BE36D2">
        <w:rPr>
          <w:noProof/>
          <w:lang w:eastAsia="en-US"/>
        </w:rPr>
        <w:t> </w:t>
      </w:r>
      <w:r w:rsidRPr="00BE36D2">
        <w:rPr>
          <w:noProof/>
          <w:lang w:eastAsia="en-US"/>
        </w:rPr>
        <w:t>million from the agricultural reserve, which in accordance with Article 16(2), third subparagraph, of Regulation (EU) 2021/2116 will be carried over to the 2026 agricultural reserve.</w:t>
      </w:r>
    </w:p>
    <w:p w14:paraId="7CB11DBD" w14:textId="41026B24" w:rsidR="00BE36D2" w:rsidRPr="00BE36D2" w:rsidRDefault="00BE36D2" w:rsidP="00400E5B">
      <w:pPr>
        <w:pStyle w:val="Text1"/>
        <w:rPr>
          <w:noProof/>
          <w:lang w:eastAsia="en-US"/>
        </w:rPr>
      </w:pPr>
      <w:r w:rsidRPr="00BE36D2">
        <w:rPr>
          <w:noProof/>
          <w:lang w:eastAsia="en-US"/>
        </w:rPr>
        <w:t>The remaining surplus of EUR</w:t>
      </w:r>
      <w:r w:rsidR="00B91B4F" w:rsidRPr="00BE36D2">
        <w:rPr>
          <w:noProof/>
          <w:lang w:eastAsia="en-US"/>
        </w:rPr>
        <w:t> </w:t>
      </w:r>
      <w:r w:rsidRPr="00BE36D2">
        <w:rPr>
          <w:noProof/>
          <w:lang w:eastAsia="en-US"/>
        </w:rPr>
        <w:t>70.2</w:t>
      </w:r>
      <w:r w:rsidR="00B91B4F" w:rsidRPr="00BE36D2">
        <w:rPr>
          <w:noProof/>
          <w:lang w:eastAsia="en-US"/>
        </w:rPr>
        <w:t> </w:t>
      </w:r>
      <w:r w:rsidRPr="00BE36D2">
        <w:rPr>
          <w:noProof/>
          <w:lang w:eastAsia="en-US"/>
        </w:rPr>
        <w:t>million translates into additional revenue assigned to the EAGF to be automatically carried over from 2025 to 2026 in accordance with Article 12(4)(b) of Regulation (EU, Euratom) 2024/2509, reducing the amount of appropriations needed in the Budget 2026</w:t>
      </w:r>
      <w:bookmarkEnd w:id="10"/>
      <w:r w:rsidRPr="00BE36D2">
        <w:rPr>
          <w:noProof/>
          <w:lang w:eastAsia="en-US"/>
        </w:rPr>
        <w:t>.</w:t>
      </w:r>
      <w:bookmarkEnd w:id="4"/>
    </w:p>
    <w:p w14:paraId="411E4232" w14:textId="36E56DE1" w:rsidR="00932FD2" w:rsidRDefault="00932FD2" w:rsidP="00BE36D2">
      <w:pPr>
        <w:pStyle w:val="Text1"/>
        <w:spacing w:before="120" w:after="120"/>
        <w:ind w:left="850"/>
        <w:rPr>
          <w:noProof/>
        </w:rPr>
      </w:pPr>
    </w:p>
    <w:sectPr w:rsidR="00932FD2">
      <w:headerReference w:type="even" r:id="rId19"/>
      <w:headerReference w:type="default" r:id="rId20"/>
      <w:footerReference w:type="even" r:id="rId21"/>
      <w:footerReference w:type="default" r:id="rId22"/>
      <w:headerReference w:type="first" r:id="rId23"/>
      <w:footerReference w:type="first" r:id="rId24"/>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23F79" w14:textId="77777777" w:rsidR="00BE36D2" w:rsidRDefault="00BE36D2">
      <w:pPr>
        <w:spacing w:after="0"/>
      </w:pPr>
      <w:r>
        <w:separator/>
      </w:r>
    </w:p>
  </w:endnote>
  <w:endnote w:type="continuationSeparator" w:id="0">
    <w:p w14:paraId="2573BE55" w14:textId="77777777" w:rsidR="00BE36D2" w:rsidRDefault="00BE36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9F6A6" w14:textId="55DC9833" w:rsidR="00B20521" w:rsidRPr="00B20521" w:rsidRDefault="00B20521" w:rsidP="00B20521">
    <w:pPr>
      <w:pStyle w:val="FooterCoverPage"/>
      <w:rPr>
        <w:rFonts w:ascii="Arial" w:hAnsi="Arial" w:cs="Arial"/>
        <w:b/>
        <w:sz w:val="48"/>
      </w:rPr>
    </w:pPr>
    <w:r w:rsidRPr="00B20521">
      <w:rPr>
        <w:rFonts w:ascii="Arial" w:hAnsi="Arial" w:cs="Arial"/>
        <w:b/>
        <w:sz w:val="48"/>
      </w:rPr>
      <w:t>EN</w:t>
    </w:r>
    <w:r w:rsidRPr="00B20521">
      <w:rPr>
        <w:rFonts w:ascii="Arial" w:hAnsi="Arial" w:cs="Arial"/>
        <w:b/>
        <w:sz w:val="48"/>
      </w:rPr>
      <w:tab/>
    </w:r>
    <w:r w:rsidRPr="00B20521">
      <w:rPr>
        <w:rFonts w:ascii="Arial" w:hAnsi="Arial" w:cs="Arial"/>
        <w:b/>
        <w:sz w:val="48"/>
      </w:rPr>
      <w:tab/>
    </w:r>
    <w:r w:rsidRPr="00B20521">
      <w:tab/>
    </w:r>
    <w:r w:rsidRPr="00B2052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9513B" w14:textId="78C93149" w:rsidR="00B20521" w:rsidRPr="00B20521" w:rsidRDefault="00B20521" w:rsidP="00B20521">
    <w:pPr>
      <w:pStyle w:val="FooterCoverPage"/>
      <w:rPr>
        <w:rFonts w:ascii="Arial" w:hAnsi="Arial" w:cs="Arial"/>
        <w:b/>
        <w:sz w:val="48"/>
      </w:rPr>
    </w:pPr>
    <w:r w:rsidRPr="00B20521">
      <w:rPr>
        <w:rFonts w:ascii="Arial" w:hAnsi="Arial" w:cs="Arial"/>
        <w:b/>
        <w:sz w:val="48"/>
      </w:rPr>
      <w:t>EN</w:t>
    </w:r>
    <w:r w:rsidRPr="00B20521">
      <w:rPr>
        <w:rFonts w:ascii="Arial" w:hAnsi="Arial" w:cs="Arial"/>
        <w:b/>
        <w:sz w:val="48"/>
      </w:rPr>
      <w:tab/>
    </w:r>
    <w:r w:rsidRPr="00B20521">
      <w:rPr>
        <w:rFonts w:ascii="Arial" w:hAnsi="Arial" w:cs="Arial"/>
        <w:b/>
        <w:sz w:val="48"/>
      </w:rPr>
      <w:tab/>
    </w:r>
    <w:r w:rsidRPr="00B20521">
      <w:tab/>
    </w:r>
    <w:r w:rsidRPr="00B2052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76975" w14:textId="77777777" w:rsidR="00B20521" w:rsidRPr="00B20521" w:rsidRDefault="00B20521" w:rsidP="00B2052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7A364" w14:textId="77777777" w:rsidR="00932FD2" w:rsidRDefault="00BE36D2">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499B9" w14:textId="4D591542" w:rsidR="00932FD2" w:rsidRDefault="00BE36D2">
    <w:pPr>
      <w:pStyle w:val="FooterLine"/>
      <w:jc w:val="center"/>
    </w:pPr>
    <w:r>
      <w:fldChar w:fldCharType="begin"/>
    </w:r>
    <w:r>
      <w:instrText>PAGE   \* MERGEFORMAT</w:instrText>
    </w:r>
    <w:r>
      <w:fldChar w:fldCharType="separate"/>
    </w:r>
    <w:r w:rsidR="00B20521">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58602"/>
      <w:docPartObj>
        <w:docPartGallery w:val="Page Numbers (Bottom of Page)"/>
        <w:docPartUnique/>
      </w:docPartObj>
    </w:sdtPr>
    <w:sdtEndPr>
      <w:rPr>
        <w:noProof/>
      </w:rPr>
    </w:sdtEndPr>
    <w:sdtContent>
      <w:p w14:paraId="5A3758D8" w14:textId="7AC35ED2" w:rsidR="00BE36D2" w:rsidRDefault="00BE36D2">
        <w:pPr>
          <w:pStyle w:val="Footer"/>
          <w:jc w:val="center"/>
        </w:pPr>
        <w:r>
          <w:fldChar w:fldCharType="begin"/>
        </w:r>
        <w:r>
          <w:instrText xml:space="preserve"> PAGE   \* MERGEFORMAT </w:instrText>
        </w:r>
        <w:r>
          <w:fldChar w:fldCharType="separate"/>
        </w:r>
        <w:r w:rsidR="00B20521">
          <w:rPr>
            <w:noProof/>
          </w:rPr>
          <w:t>1</w:t>
        </w:r>
        <w:r>
          <w:rPr>
            <w:noProof/>
          </w:rPr>
          <w:fldChar w:fldCharType="end"/>
        </w:r>
      </w:p>
    </w:sdtContent>
  </w:sdt>
  <w:p w14:paraId="548BB8A2" w14:textId="53FAE087" w:rsidR="00932FD2" w:rsidRPr="00BE36D2" w:rsidRDefault="00932FD2" w:rsidP="00BE36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473EA" w14:textId="77777777" w:rsidR="00BE36D2" w:rsidRDefault="00BE36D2">
      <w:pPr>
        <w:spacing w:after="0"/>
      </w:pPr>
      <w:r>
        <w:separator/>
      </w:r>
    </w:p>
  </w:footnote>
  <w:footnote w:type="continuationSeparator" w:id="0">
    <w:p w14:paraId="6D62634D" w14:textId="77777777" w:rsidR="00BE36D2" w:rsidRDefault="00BE36D2">
      <w:pPr>
        <w:spacing w:after="0"/>
      </w:pPr>
      <w:r>
        <w:continuationSeparator/>
      </w:r>
    </w:p>
  </w:footnote>
  <w:footnote w:id="1">
    <w:p w14:paraId="14EF971D" w14:textId="77777777" w:rsidR="00BE36D2" w:rsidRPr="00BE36D2" w:rsidRDefault="00BE36D2" w:rsidP="00BE36D2">
      <w:pPr>
        <w:spacing w:after="0"/>
        <w:jc w:val="left"/>
        <w:rPr>
          <w:rFonts w:eastAsia="Aptos"/>
          <w:sz w:val="20"/>
          <w:lang w:eastAsia="en-US"/>
        </w:rPr>
      </w:pPr>
      <w:r w:rsidRPr="00BE36D2">
        <w:rPr>
          <w:rFonts w:ascii="Aptos" w:eastAsia="Aptos" w:hAnsi="Aptos"/>
          <w:sz w:val="20"/>
          <w:vertAlign w:val="superscript"/>
          <w:lang w:eastAsia="en-US"/>
        </w:rPr>
        <w:footnoteRef/>
      </w:r>
      <w:r w:rsidRPr="00BE36D2">
        <w:rPr>
          <w:rFonts w:ascii="Aptos" w:eastAsia="Aptos" w:hAnsi="Aptos"/>
          <w:sz w:val="20"/>
          <w:lang w:eastAsia="en-US"/>
        </w:rPr>
        <w:t xml:space="preserve"> </w:t>
      </w:r>
      <w:r w:rsidRPr="00BE36D2">
        <w:rPr>
          <w:rFonts w:eastAsia="Aptos"/>
          <w:sz w:val="22"/>
          <w:szCs w:val="22"/>
          <w:lang w:val="en-US" w:eastAsia="en-US"/>
        </w:rPr>
        <w:t xml:space="preserve"> </w:t>
      </w:r>
      <w:bookmarkStart w:id="7" w:name="https://eur-lex.europa.eu/legal-content/"/>
      <w:r w:rsidRPr="00BE36D2">
        <w:rPr>
          <w:rFonts w:eastAsia="Aptos"/>
          <w:color w:val="333333"/>
          <w:sz w:val="20"/>
          <w:shd w:val="clear" w:color="auto" w:fill="FFFFFF"/>
          <w:lang w:eastAsia="en-US"/>
        </w:rPr>
        <w:t>Commission Implementing Regulation (EU) 2025/441 of 6 March 2025 providing for emergency financial support for the agricultural sectors affected by adverse climatic events and natural disasters in Spain, Croatia, Cyprus, Latvia and Hungary, in accordance with Regulation (EU) No 1308/2013 of the European Parliament and of the Council.</w:t>
      </w:r>
      <w:r w:rsidRPr="00BE36D2">
        <w:rPr>
          <w:rFonts w:ascii="Aptos" w:eastAsia="Aptos" w:hAnsi="Aptos"/>
          <w:sz w:val="20"/>
          <w:lang w:eastAsia="en-US"/>
        </w:rPr>
        <w:t xml:space="preserve"> </w:t>
      </w:r>
      <w:r w:rsidRPr="00BE36D2">
        <w:rPr>
          <w:rFonts w:ascii="Aptos" w:eastAsia="Aptos" w:hAnsi="Aptos"/>
          <w:sz w:val="20"/>
          <w:lang w:val="en-IE" w:eastAsia="en-US"/>
        </w:rPr>
        <w:t>(</w:t>
      </w:r>
      <w:r w:rsidRPr="00BE36D2">
        <w:rPr>
          <w:rFonts w:eastAsia="Aptos"/>
          <w:sz w:val="20"/>
          <w:lang w:val="en-IE" w:eastAsia="en-US"/>
        </w:rPr>
        <w:t>OJ L, 2025/441, 10.3.2025</w:t>
      </w:r>
      <w:r w:rsidRPr="00BE36D2">
        <w:rPr>
          <w:rFonts w:eastAsia="Aptos"/>
          <w:sz w:val="20"/>
          <w:lang w:val="en-IE" w:eastAsia="en-US"/>
        </w:rPr>
        <w:br/>
      </w:r>
      <w:r w:rsidRPr="00BE36D2">
        <w:rPr>
          <w:rFonts w:eastAsia="Aptos"/>
          <w:sz w:val="20"/>
          <w:lang w:eastAsia="en-US"/>
        </w:rPr>
        <w:t>ELI:</w:t>
      </w:r>
      <w:r w:rsidRPr="00BE36D2">
        <w:rPr>
          <w:rFonts w:ascii="Aptos" w:eastAsia="Aptos" w:hAnsi="Aptos"/>
          <w:kern w:val="2"/>
          <w:sz w:val="20"/>
          <w:lang w:val="en-US" w:eastAsia="en-US"/>
          <w14:ligatures w14:val="standardContextual"/>
        </w:rPr>
        <w:t xml:space="preserve"> </w:t>
      </w:r>
      <w:hyperlink r:id="rId1" w:tgtFrame="_blank" w:tooltip="Gives access to this document through its ELI URI." w:history="1">
        <w:r w:rsidRPr="00BE36D2">
          <w:rPr>
            <w:rFonts w:ascii="Aptos" w:eastAsia="Aptos" w:hAnsi="Aptos"/>
            <w:color w:val="0000FF"/>
            <w:kern w:val="2"/>
            <w:sz w:val="20"/>
            <w:u w:val="single"/>
            <w:lang w:val="en-US" w:eastAsia="en-US"/>
            <w14:ligatures w14:val="standardContextual"/>
          </w:rPr>
          <w:t>http://data.europa.eu/eli/reg_impl/2025/441/oj</w:t>
        </w:r>
      </w:hyperlink>
      <w:r w:rsidRPr="00BE36D2">
        <w:rPr>
          <w:rFonts w:ascii="Aptos" w:eastAsia="Aptos" w:hAnsi="Aptos"/>
          <w:kern w:val="2"/>
          <w:sz w:val="22"/>
          <w:szCs w:val="22"/>
          <w:lang w:val="en-US" w:eastAsia="en-US"/>
          <w14:ligatures w14:val="standardContextual"/>
        </w:rPr>
        <w:t>)</w:t>
      </w:r>
      <w:r w:rsidRPr="00BE36D2">
        <w:rPr>
          <w:rFonts w:eastAsia="Aptos"/>
          <w:sz w:val="20"/>
          <w:lang w:val="en-IE" w:eastAsia="en-US"/>
        </w:rPr>
        <w:br/>
      </w:r>
      <w:r w:rsidRPr="00BE36D2">
        <w:rPr>
          <w:rFonts w:eastAsia="Aptos"/>
          <w:color w:val="333333"/>
          <w:sz w:val="20"/>
          <w:shd w:val="clear" w:color="auto" w:fill="FFFFFF"/>
          <w:lang w:eastAsia="en-US"/>
        </w:rPr>
        <w:t>Commission Implementing Regulation (EU) 2025/1137 of 10 June 2025 providing for emergency financial support for the agricultural sectors affected by adverse climatic events and natural disasters in Czechia and Slovenia, in accordance with Regulation (EU) No 1308/2013 of the European Parliament and of the Council.(OJ L, 2025/1137, 11.6.2025</w:t>
      </w:r>
      <w:r w:rsidRPr="00BE36D2">
        <w:rPr>
          <w:rFonts w:eastAsia="Aptos"/>
          <w:color w:val="333333"/>
          <w:sz w:val="20"/>
          <w:shd w:val="clear" w:color="auto" w:fill="FFFFFF"/>
          <w:lang w:eastAsia="en-US"/>
        </w:rPr>
        <w:br/>
      </w:r>
      <w:r w:rsidRPr="00BE36D2">
        <w:rPr>
          <w:rFonts w:eastAsia="Aptos"/>
          <w:sz w:val="20"/>
          <w:lang w:eastAsia="en-US"/>
        </w:rPr>
        <w:t xml:space="preserve">ELI: </w:t>
      </w:r>
      <w:hyperlink r:id="rId2" w:history="1">
        <w:r w:rsidRPr="00BE36D2">
          <w:rPr>
            <w:rFonts w:ascii="Aptos" w:eastAsia="Aptos" w:hAnsi="Aptos"/>
            <w:color w:val="0000FF"/>
            <w:sz w:val="20"/>
            <w:u w:val="single"/>
            <w:lang w:eastAsia="en-US"/>
          </w:rPr>
          <w:t>http://data.europa.eu/eli/reg_impl/2025/1137/oj</w:t>
        </w:r>
      </w:hyperlink>
      <w:r w:rsidRPr="00BE36D2">
        <w:rPr>
          <w:rFonts w:eastAsia="Aptos"/>
          <w:sz w:val="20"/>
          <w:lang w:eastAsia="en-US"/>
        </w:rPr>
        <w:t>)</w:t>
      </w:r>
      <w:r w:rsidRPr="00BE36D2">
        <w:rPr>
          <w:rFonts w:eastAsia="Aptos"/>
          <w:sz w:val="20"/>
          <w:lang w:val="en-US" w:eastAsia="en-US"/>
        </w:rPr>
        <w:t>;</w:t>
      </w:r>
    </w:p>
    <w:p w14:paraId="4684E7E9" w14:textId="77777777" w:rsidR="00BE36D2" w:rsidRPr="00BE36D2" w:rsidRDefault="00BE36D2" w:rsidP="00BE36D2">
      <w:pPr>
        <w:spacing w:after="0"/>
        <w:jc w:val="left"/>
        <w:rPr>
          <w:rFonts w:eastAsia="Aptos"/>
          <w:sz w:val="20"/>
          <w:lang w:eastAsia="en-US"/>
        </w:rPr>
      </w:pPr>
      <w:r w:rsidRPr="00BE36D2">
        <w:rPr>
          <w:rFonts w:eastAsia="Aptos"/>
          <w:color w:val="333333"/>
          <w:sz w:val="20"/>
          <w:shd w:val="clear" w:color="auto" w:fill="FFFFFF"/>
          <w:lang w:eastAsia="en-US"/>
        </w:rPr>
        <w:t>Commission Implementing Regulation (EU) 2025/1145 of 10 June 2025 on exceptional support measures for the milk and pigmeat sectors in Germany (OJ L, 2025/1145, 11.6.2025</w:t>
      </w:r>
      <w:r w:rsidRPr="00BE36D2">
        <w:rPr>
          <w:rFonts w:eastAsia="Aptos"/>
          <w:color w:val="333333"/>
          <w:sz w:val="20"/>
          <w:shd w:val="clear" w:color="auto" w:fill="FFFFFF"/>
          <w:lang w:eastAsia="en-US"/>
        </w:rPr>
        <w:br/>
        <w:t>ELI:</w:t>
      </w:r>
      <w:r w:rsidRPr="00BE36D2">
        <w:rPr>
          <w:rFonts w:ascii="Aptos" w:eastAsia="Aptos" w:hAnsi="Aptos"/>
          <w:sz w:val="20"/>
          <w:lang w:eastAsia="en-US"/>
        </w:rPr>
        <w:t xml:space="preserve"> </w:t>
      </w:r>
      <w:hyperlink r:id="rId3" w:history="1">
        <w:r w:rsidRPr="00BE36D2">
          <w:rPr>
            <w:rFonts w:ascii="Aptos" w:eastAsia="Aptos" w:hAnsi="Aptos"/>
            <w:color w:val="0000FF"/>
            <w:sz w:val="20"/>
            <w:u w:val="single"/>
            <w:lang w:eastAsia="en-US"/>
          </w:rPr>
          <w:t>http://data.europa.eu/eli/reg_impl/2025/1145/oj</w:t>
        </w:r>
      </w:hyperlink>
      <w:r w:rsidRPr="00BE36D2">
        <w:rPr>
          <w:rFonts w:ascii="Aptos" w:eastAsia="Aptos" w:hAnsi="Aptos"/>
          <w:sz w:val="20"/>
          <w:lang w:eastAsia="en-US"/>
        </w:rPr>
        <w:t>)</w:t>
      </w:r>
      <w:r w:rsidRPr="00BE36D2">
        <w:rPr>
          <w:rFonts w:eastAsia="Aptos"/>
          <w:sz w:val="20"/>
          <w:lang w:val="en-US" w:eastAsia="en-US"/>
        </w:rPr>
        <w:t>;</w:t>
      </w:r>
    </w:p>
    <w:p w14:paraId="73C1AE35" w14:textId="77777777" w:rsidR="00BE36D2" w:rsidRPr="00BE36D2" w:rsidRDefault="00BE36D2" w:rsidP="00BE36D2">
      <w:pPr>
        <w:spacing w:after="0"/>
        <w:jc w:val="left"/>
        <w:rPr>
          <w:rFonts w:eastAsia="Aptos"/>
          <w:sz w:val="20"/>
          <w:lang w:val="en-US" w:eastAsia="en-US"/>
        </w:rPr>
      </w:pPr>
      <w:r w:rsidRPr="00BE36D2">
        <w:rPr>
          <w:rFonts w:eastAsia="Aptos"/>
          <w:color w:val="333333"/>
          <w:sz w:val="20"/>
          <w:shd w:val="clear" w:color="auto" w:fill="FFFFFF"/>
          <w:lang w:eastAsia="en-US"/>
        </w:rPr>
        <w:t>Commission Implementing Regulation (EU) 2025/1485 of 24 July 2025 on exceptional market measures for the eggs and poultrymeat sectors in Poland (OJ L, 2025/1485, 25.7.2025,</w:t>
      </w:r>
      <w:r w:rsidRPr="00BE36D2">
        <w:rPr>
          <w:rFonts w:eastAsia="Aptos"/>
          <w:color w:val="333333"/>
          <w:sz w:val="20"/>
          <w:shd w:val="clear" w:color="auto" w:fill="FFFFFF"/>
          <w:lang w:eastAsia="en-US"/>
        </w:rPr>
        <w:br/>
      </w:r>
      <w:r w:rsidRPr="00BE36D2">
        <w:rPr>
          <w:rFonts w:ascii="Aptos" w:eastAsia="Aptos" w:hAnsi="Aptos"/>
          <w:sz w:val="20"/>
          <w:lang w:eastAsia="en-US"/>
        </w:rPr>
        <w:t xml:space="preserve">ELI: </w:t>
      </w:r>
      <w:hyperlink r:id="rId4" w:history="1">
        <w:r w:rsidRPr="00BE36D2">
          <w:rPr>
            <w:rFonts w:ascii="Aptos" w:eastAsia="Aptos" w:hAnsi="Aptos"/>
            <w:color w:val="0000FF"/>
            <w:sz w:val="20"/>
            <w:u w:val="single"/>
            <w:lang w:eastAsia="en-US"/>
          </w:rPr>
          <w:t>http://data.europa.eu/eli/reg_impl/2025/1485/oj</w:t>
        </w:r>
      </w:hyperlink>
      <w:r w:rsidRPr="00BE36D2">
        <w:rPr>
          <w:rFonts w:ascii="Aptos" w:eastAsia="Aptos" w:hAnsi="Aptos"/>
          <w:sz w:val="20"/>
          <w:lang w:eastAsia="en-US"/>
        </w:rPr>
        <w:t>)</w:t>
      </w:r>
      <w:r w:rsidRPr="00BE36D2">
        <w:rPr>
          <w:rFonts w:eastAsia="Aptos"/>
          <w:sz w:val="20"/>
          <w:lang w:val="en-US" w:eastAsia="en-US"/>
        </w:rPr>
        <w:t>;</w:t>
      </w:r>
    </w:p>
    <w:p w14:paraId="68451BEA" w14:textId="77777777" w:rsidR="00BE36D2" w:rsidRPr="00BE36D2" w:rsidRDefault="00BE36D2" w:rsidP="00BE36D2">
      <w:pPr>
        <w:spacing w:after="0"/>
        <w:jc w:val="left"/>
        <w:rPr>
          <w:rFonts w:ascii="Aptos" w:eastAsia="Aptos" w:hAnsi="Aptos"/>
          <w:sz w:val="22"/>
          <w:szCs w:val="22"/>
          <w:lang w:val="en-IE" w:eastAsia="en-US"/>
        </w:rPr>
      </w:pPr>
      <w:r w:rsidRPr="00BE36D2">
        <w:rPr>
          <w:rFonts w:eastAsia="Aptos"/>
          <w:color w:val="333333"/>
          <w:sz w:val="20"/>
          <w:shd w:val="clear" w:color="auto" w:fill="FFFFFF"/>
          <w:lang w:eastAsia="en-US"/>
        </w:rPr>
        <w:t>Commission Implementing Regulation (EU) 2025/2061 of 10 October 2025 providing for emergency financial support for the agricultural sectors affected by adverse climatic events in Bulgaria, Latvia, Lithuania, Hungary, Poland and Romania, in accordance with Regulation (EU) No 1308/2013 of the European Parliament and of the Council</w:t>
      </w:r>
      <w:bookmarkEnd w:id="7"/>
      <w:r w:rsidRPr="00BE36D2">
        <w:rPr>
          <w:rFonts w:eastAsia="Aptos"/>
          <w:color w:val="333333"/>
          <w:sz w:val="20"/>
          <w:shd w:val="clear" w:color="auto" w:fill="FFFFFF"/>
          <w:lang w:eastAsia="en-US"/>
        </w:rPr>
        <w:t xml:space="preserve"> </w:t>
      </w:r>
      <w:r w:rsidRPr="00BE36D2">
        <w:rPr>
          <w:rFonts w:eastAsia="Aptos"/>
          <w:color w:val="333333"/>
          <w:sz w:val="20"/>
          <w:shd w:val="clear" w:color="auto" w:fill="FFFFFF"/>
          <w:lang w:val="en-IE" w:eastAsia="en-US"/>
        </w:rPr>
        <w:t>(OJ L, 2025/2061, 13.10.2025,</w:t>
      </w:r>
      <w:r w:rsidRPr="00BE36D2">
        <w:rPr>
          <w:rFonts w:eastAsia="Aptos"/>
          <w:color w:val="333333"/>
          <w:sz w:val="20"/>
          <w:shd w:val="clear" w:color="auto" w:fill="FFFFFF"/>
          <w:lang w:val="en-IE" w:eastAsia="en-US"/>
        </w:rPr>
        <w:br/>
      </w:r>
      <w:r w:rsidRPr="00BE36D2">
        <w:rPr>
          <w:rFonts w:eastAsia="Aptos"/>
          <w:sz w:val="20"/>
          <w:lang w:val="en-IE" w:eastAsia="en-US"/>
        </w:rPr>
        <w:t xml:space="preserve">ELI: </w:t>
      </w:r>
      <w:hyperlink r:id="rId5" w:tgtFrame="_blank" w:tooltip="Gives access to this document through its ELI URI." w:history="1">
        <w:r w:rsidRPr="00BE36D2">
          <w:rPr>
            <w:rFonts w:eastAsia="Aptos"/>
            <w:color w:val="0000FF"/>
            <w:sz w:val="20"/>
            <w:u w:val="single"/>
            <w:lang w:val="en-IE" w:eastAsia="en-US"/>
          </w:rPr>
          <w:t>http://data.europa.eu/eli/reg_impl/2025/2061/oj</w:t>
        </w:r>
      </w:hyperlink>
      <w:r w:rsidRPr="00BE36D2">
        <w:rPr>
          <w:rFonts w:eastAsia="Aptos"/>
          <w:sz w:val="20"/>
          <w:lang w:val="en-IE" w:eastAsia="en-US"/>
        </w:rPr>
        <w:t>).</w:t>
      </w:r>
    </w:p>
    <w:p w14:paraId="047EAA9F" w14:textId="7487B31F" w:rsidR="00BE36D2" w:rsidRPr="008A4CB6" w:rsidRDefault="00BE36D2" w:rsidP="00BE36D2">
      <w:pPr>
        <w:pStyle w:val="FootnoteText"/>
        <w:rPr>
          <w:sz w:val="22"/>
          <w:szCs w:val="22"/>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B5FA5" w14:textId="77777777" w:rsidR="00B20521" w:rsidRPr="00B20521" w:rsidRDefault="00B20521" w:rsidP="00B2052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EC108" w14:textId="77777777" w:rsidR="00B20521" w:rsidRPr="00B20521" w:rsidRDefault="00B20521" w:rsidP="00B2052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30268" w14:textId="77777777" w:rsidR="00B20521" w:rsidRPr="00B20521" w:rsidRDefault="00B20521" w:rsidP="00B2052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F55E4" w14:textId="77777777" w:rsidR="00932FD2" w:rsidRDefault="00932F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E8098" w14:textId="77777777" w:rsidR="00932FD2" w:rsidRDefault="00932F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34521" w14:textId="77777777" w:rsidR="00932FD2" w:rsidRDefault="00932F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6EDC60E2"/>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5CBAD9E8"/>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E2AEEDE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3FB211D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4D20186A"/>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14CAD61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12546396"/>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F1004B7C"/>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789431F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E82C9CA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2A8EEFE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189C59A4"/>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EBE0A4D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B742E71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29E662A"/>
    <w:multiLevelType w:val="multilevel"/>
    <w:tmpl w:val="0234C0E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E1A63DF"/>
    <w:multiLevelType w:val="multilevel"/>
    <w:tmpl w:val="4898685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982C"/>
    <w:multiLevelType w:val="multilevel"/>
    <w:tmpl w:val="687E13B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5072619B"/>
    <w:multiLevelType w:val="multilevel"/>
    <w:tmpl w:val="8B78EF9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9B52"/>
    <w:multiLevelType w:val="multilevel"/>
    <w:tmpl w:val="514A029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64A12FA4"/>
    <w:multiLevelType w:val="multilevel"/>
    <w:tmpl w:val="428ECF3E"/>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977472E"/>
    <w:multiLevelType w:val="multilevel"/>
    <w:tmpl w:val="E3A823E0"/>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7C65145E"/>
    <w:multiLevelType w:val="multilevel"/>
    <w:tmpl w:val="81A04F3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1"/>
  </w:num>
  <w:num w:numId="3">
    <w:abstractNumId w:val="7"/>
  </w:num>
  <w:num w:numId="4">
    <w:abstractNumId w:val="12"/>
  </w:num>
  <w:num w:numId="5">
    <w:abstractNumId w:val="17"/>
  </w:num>
  <w:num w:numId="6">
    <w:abstractNumId w:val="20"/>
  </w:num>
  <w:num w:numId="7">
    <w:abstractNumId w:val="1"/>
  </w:num>
  <w:num w:numId="8">
    <w:abstractNumId w:val="6"/>
  </w:num>
  <w:num w:numId="9">
    <w:abstractNumId w:val="14"/>
  </w:num>
  <w:num w:numId="10">
    <w:abstractNumId w:val="2"/>
  </w:num>
  <w:num w:numId="11">
    <w:abstractNumId w:val="4"/>
  </w:num>
  <w:num w:numId="12">
    <w:abstractNumId w:val="5"/>
  </w:num>
  <w:num w:numId="13">
    <w:abstractNumId w:val="8"/>
  </w:num>
  <w:num w:numId="14">
    <w:abstractNumId w:val="13"/>
  </w:num>
  <w:num w:numId="15">
    <w:abstractNumId w:val="16"/>
  </w:num>
  <w:num w:numId="16">
    <w:abstractNumId w:val="21"/>
  </w:num>
  <w:num w:numId="17">
    <w:abstractNumId w:val="9"/>
  </w:num>
  <w:num w:numId="18">
    <w:abstractNumId w:val="10"/>
  </w:num>
  <w:num w:numId="19">
    <w:abstractNumId w:val="22"/>
  </w:num>
  <w:num w:numId="20">
    <w:abstractNumId w:val="15"/>
  </w:num>
  <w:num w:numId="21">
    <w:abstractNumId w:val="18"/>
  </w:num>
  <w:num w:numId="22">
    <w:abstractNumId w:val="3"/>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94CE944-9DE0-4215-8EB3-18497764FCFF"/>
    <w:docVar w:name="LW_COVERPAGE_TYPE" w:val="1"/>
    <w:docVar w:name="LW_CROSSREFERENCE" w:val="&lt;UNUSED&gt;"/>
    <w:docVar w:name="LW_DocType" w:val="EUROLOOK"/>
    <w:docVar w:name="LW_EMISSION" w:val="23.1.2026"/>
    <w:docVar w:name="LW_EMISSION_ISODATE" w:val="2026-01-2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b_on EAGF expenditure _x000d__x000b__x000d__x000b_Early Warning System 7-12/2025"/>
    <w:docVar w:name="LW_TYPE.DOC.CP" w:val="REPORT FROM THE COMMISSION TO THE EUROPEAN PARLIAMENT AND THE COUNCIL"/>
    <w:docVar w:name="LwApiVersions" w:val="LW4CoDe 1.24.5.0; LW 9.2, Build 20251112"/>
  </w:docVars>
  <w:rsids>
    <w:rsidRoot w:val="00BE36D2"/>
    <w:rsid w:val="0004648F"/>
    <w:rsid w:val="00070E2A"/>
    <w:rsid w:val="0009768E"/>
    <w:rsid w:val="000C2395"/>
    <w:rsid w:val="001374D6"/>
    <w:rsid w:val="001569ED"/>
    <w:rsid w:val="002A79E7"/>
    <w:rsid w:val="00400E5B"/>
    <w:rsid w:val="004A2D4A"/>
    <w:rsid w:val="00541CFA"/>
    <w:rsid w:val="00597F68"/>
    <w:rsid w:val="005B7E9C"/>
    <w:rsid w:val="00626F91"/>
    <w:rsid w:val="006423E1"/>
    <w:rsid w:val="00643F01"/>
    <w:rsid w:val="006C573E"/>
    <w:rsid w:val="006F0FDD"/>
    <w:rsid w:val="00915AE2"/>
    <w:rsid w:val="00932FD2"/>
    <w:rsid w:val="00967F0C"/>
    <w:rsid w:val="00A57A4F"/>
    <w:rsid w:val="00B20521"/>
    <w:rsid w:val="00B318A3"/>
    <w:rsid w:val="00B67511"/>
    <w:rsid w:val="00B91B4F"/>
    <w:rsid w:val="00B94B3F"/>
    <w:rsid w:val="00B95CB2"/>
    <w:rsid w:val="00BE36D2"/>
    <w:rsid w:val="00C84943"/>
    <w:rsid w:val="00DC7D98"/>
    <w:rsid w:val="00DD1846"/>
    <w:rsid w:val="00E5018A"/>
    <w:rsid w:val="00EC76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155599B"/>
  <w15:docId w15:val="{846B7537-65F5-4591-AD73-C6731E5F7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1531" w:hanging="1531"/>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BE36D2"/>
    <w:pPr>
      <w:ind w:left="5102" w:right="-680"/>
      <w:contextualSpacing/>
      <w:jc w:val="left"/>
    </w:pPr>
    <w:rPr>
      <w:sz w:val="28"/>
      <w:lang w:val="en-IE"/>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link w:val="Text1Char"/>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232" w:hanging="1701"/>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BE36D2"/>
    <w:pPr>
      <w:spacing w:after="200" w:line="276" w:lineRule="auto"/>
      <w:ind w:left="720"/>
      <w:contextualSpacing/>
      <w:jc w:val="left"/>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E36D2"/>
    <w:rPr>
      <w:sz w:val="16"/>
    </w:rPr>
  </w:style>
  <w:style w:type="paragraph" w:customStyle="1" w:styleId="FooterCoverPage">
    <w:name w:val="Footer Cover Page"/>
    <w:basedOn w:val="Normal"/>
    <w:link w:val="FooterCoverPageChar"/>
    <w:rsid w:val="00BE36D2"/>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BE36D2"/>
  </w:style>
  <w:style w:type="character" w:styleId="Hyperlink">
    <w:name w:val="Hyperlink"/>
    <w:uiPriority w:val="99"/>
    <w:unhideWhenUsed/>
    <w:rsid w:val="00BE36D2"/>
    <w:rPr>
      <w:color w:val="0000FF"/>
      <w:u w:val="single"/>
    </w:rPr>
  </w:style>
  <w:style w:type="character" w:customStyle="1" w:styleId="FootnoteTextChar">
    <w:name w:val="Footnote Text Char"/>
    <w:basedOn w:val="DefaultParagraphFont"/>
    <w:link w:val="FootnoteText"/>
    <w:rsid w:val="00BE36D2"/>
    <w:rPr>
      <w:sz w:val="20"/>
    </w:rPr>
  </w:style>
  <w:style w:type="character" w:customStyle="1" w:styleId="Text1Char">
    <w:name w:val="Text 1 Char"/>
    <w:link w:val="Text1"/>
    <w:locked/>
    <w:rsid w:val="00BE36D2"/>
  </w:style>
  <w:style w:type="paragraph" w:customStyle="1" w:styleId="Pagedecouverture">
    <w:name w:val="Page de couverture"/>
    <w:basedOn w:val="Normal"/>
    <w:next w:val="Normal"/>
    <w:link w:val="PagedecouvertureChar"/>
    <w:rsid w:val="00BE36D2"/>
    <w:pPr>
      <w:spacing w:after="0"/>
    </w:pPr>
    <w:rPr>
      <w:rFonts w:eastAsiaTheme="minorHAnsi"/>
      <w:szCs w:val="22"/>
      <w:lang w:val="en-IE" w:eastAsia="en-US"/>
    </w:rPr>
  </w:style>
  <w:style w:type="character" w:customStyle="1" w:styleId="Marker">
    <w:name w:val="Marker"/>
    <w:basedOn w:val="DefaultParagraphFont"/>
    <w:rsid w:val="00626F91"/>
    <w:rPr>
      <w:color w:val="0000FF"/>
      <w:shd w:val="clear" w:color="auto" w:fill="auto"/>
    </w:rPr>
  </w:style>
  <w:style w:type="paragraph" w:customStyle="1" w:styleId="FooterSensitivity">
    <w:name w:val="Footer Sensitivity"/>
    <w:basedOn w:val="Normal"/>
    <w:link w:val="FooterSensitivityChar"/>
    <w:rsid w:val="00626F9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PagedecouvertureChar">
    <w:name w:val="Page de couverture Char"/>
    <w:basedOn w:val="DefaultParagraphFont"/>
    <w:link w:val="Pagedecouverture"/>
    <w:rsid w:val="00626F91"/>
    <w:rPr>
      <w:rFonts w:eastAsiaTheme="minorHAnsi"/>
      <w:szCs w:val="22"/>
      <w:lang w:val="en-IE" w:eastAsia="en-US"/>
    </w:rPr>
  </w:style>
  <w:style w:type="character" w:customStyle="1" w:styleId="FooterSensitivityChar">
    <w:name w:val="Footer Sensitivity Char"/>
    <w:basedOn w:val="PagedecouvertureChar"/>
    <w:link w:val="FooterSensitivity"/>
    <w:rsid w:val="00626F91"/>
    <w:rPr>
      <w:rFonts w:eastAsiaTheme="minorHAnsi"/>
      <w:b/>
      <w:sz w:val="32"/>
      <w:szCs w:val="22"/>
      <w:lang w:val="en-IE" w:eastAsia="en-US"/>
    </w:rPr>
  </w:style>
  <w:style w:type="paragraph" w:customStyle="1" w:styleId="HeaderCoverPage">
    <w:name w:val="Header Cover Page"/>
    <w:basedOn w:val="Normal"/>
    <w:link w:val="HeaderCoverPageChar"/>
    <w:rsid w:val="00626F91"/>
    <w:pPr>
      <w:tabs>
        <w:tab w:val="center" w:pos="4535"/>
        <w:tab w:val="right" w:pos="9071"/>
      </w:tabs>
      <w:spacing w:after="120"/>
    </w:pPr>
  </w:style>
  <w:style w:type="character" w:customStyle="1" w:styleId="HeaderCoverPageChar">
    <w:name w:val="Header Cover Page Char"/>
    <w:basedOn w:val="PagedecouvertureChar"/>
    <w:link w:val="HeaderCoverPage"/>
    <w:rsid w:val="00626F91"/>
    <w:rPr>
      <w:rFonts w:eastAsiaTheme="minorHAnsi"/>
      <w:szCs w:val="22"/>
      <w:lang w:val="en-IE" w:eastAsia="en-US"/>
    </w:rPr>
  </w:style>
  <w:style w:type="paragraph" w:customStyle="1" w:styleId="HeaderSensitivity">
    <w:name w:val="Header Sensitivity"/>
    <w:basedOn w:val="Normal"/>
    <w:link w:val="HeaderSensitivityChar"/>
    <w:rsid w:val="00626F91"/>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626F91"/>
    <w:rPr>
      <w:rFonts w:eastAsiaTheme="minorHAnsi"/>
      <w:b/>
      <w:sz w:val="32"/>
      <w:szCs w:val="22"/>
      <w:lang w:val="en-IE" w:eastAsia="en-US"/>
    </w:rPr>
  </w:style>
  <w:style w:type="paragraph" w:customStyle="1" w:styleId="HeaderSensitivityRight">
    <w:name w:val="Header Sensitivity Right"/>
    <w:basedOn w:val="Normal"/>
    <w:link w:val="HeaderSensitivityRightChar"/>
    <w:rsid w:val="00626F91"/>
    <w:pPr>
      <w:spacing w:after="120"/>
      <w:jc w:val="right"/>
    </w:pPr>
    <w:rPr>
      <w:sz w:val="28"/>
    </w:rPr>
  </w:style>
  <w:style w:type="character" w:customStyle="1" w:styleId="HeaderSensitivityRightChar">
    <w:name w:val="Header Sensitivity Right Char"/>
    <w:basedOn w:val="PagedecouvertureChar"/>
    <w:link w:val="HeaderSensitivityRight"/>
    <w:rsid w:val="00626F91"/>
    <w:rPr>
      <w:rFonts w:eastAsiaTheme="minorHAnsi"/>
      <w:sz w:val="28"/>
      <w:szCs w:val="22"/>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image" Target="media/image1.emf"/><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impl/2025/1145/oj" TargetMode="External"/><Relationship Id="rId2" Type="http://schemas.openxmlformats.org/officeDocument/2006/relationships/hyperlink" Target="http://data.europa.eu/eli/reg_impl/2025/1137/oj" TargetMode="External"/><Relationship Id="rId1" Type="http://schemas.openxmlformats.org/officeDocument/2006/relationships/hyperlink" Target="http://data.europa.eu/eli/reg_impl/2025/441/oj" TargetMode="External"/><Relationship Id="rId5" Type="http://schemas.openxmlformats.org/officeDocument/2006/relationships/hyperlink" Target="http://data.europa.eu/eli/reg_impl/2025/2061/oj" TargetMode="External"/><Relationship Id="rId4" Type="http://schemas.openxmlformats.org/officeDocument/2006/relationships/hyperlink" Target="http://data.europa.eu/eli/reg_impl/2025/14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Author Role="Creator" AuthorRoleName="Writer" AuthorRoleDisplayName="Writer" AuthorRoleId="a4fbaff4-b07c-48b4-a21e-e7b9eedf3796">
  <Id>7735437d-5abb-4797-8817-b82f6e201a44</Id>
  <Names>
    <Latin>
      <FirstName>Mihail</FirstName>
      <LastName>DUMITRU</LastName>
    </Latin>
    <Greek>
      <FirstName/>
      <LastName/>
    </Greek>
    <Cyrillic>
      <FirstName/>
      <LastName/>
    </Cyrillic>
    <DocumentScript>
      <FirstName>Mihail</FirstName>
      <LastName>DUMITRU</LastName>
      <FullName>Mihail DUMITRU</FullName>
    </DocumentScript>
  </Names>
  <Initials>MD</Initials>
  <Gender>m</Gender>
  <Email>Mihail.DUMITRU@ec.europa.eu</Email>
  <Service>AGRI.DDG1</Service>
  <Function ADCode="26" ShowInSignature="false" ShowInHeader="false" HeaderText="The Deputy Director-General">Deputy Director-General</Function>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OrgaEntity3>
    <Id>d99accac-bae5-4a82-b5ca-e87d4c912fdc</Id>
    <LogicalLevel>3</LogicalLevel>
    <Name>AGRI.DDG1</Name>
    <HeadLine1>Deputy Director-General, in charge of Directorates B, C and D</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d99accac-bae5-4a82-b5ca-e87d4c912fdc</Id>
      <LogicalLevel>3</LogicalLevel>
      <Name>AGRI.DDG1</Name>
      <HeadLine1>Deputy Director-General, in charge of Directorates B, C and D</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+32 229-55666</Phone>
    <Office>L130 07/116</Office>
  </MainWorkplace>
  <Workplaces>
    <Workplace IsMain="true">
      <AddressId>f03b5801-04c9-4931-aa17-c6d6c70bc579</AddressId>
      <Fax/>
      <Phone>+32 229-55666</Phone>
      <Office>L130 07/116</Office>
    </Workplace>
  </Workplaces>
</Author>
</file>

<file path=customXml/item2.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File>Note for the File</NoteFile>
  <NoteEnclosures>Enclosures:</NoteEnclosures>
  <NoteEnclosure>Enclosure:</NoteEnclosure>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EurolookProperties>
  <ProductCustomizationId>EC</ProductCustomizationId>
  <Created>
    <Version>10.0.47847.0</Version>
    <Date>2025-12-11T09:08:54</Date>
    <Language>EN</Language>
    <Note/>
  </Created>
  <Edited>
    <Version/>
    <Date/>
  </Edited>
  <DocumentModel>
    <Id>f8c36bec-0f9f-4d0e-ab25-ee5c0421ad8b</Id>
    <Name>Note for the file</Name>
  </DocumentModel>
  <CustomTemplate>
    <Id/>
    <Name/>
  </CustomTemplate>
  <DocumentDate>2025-12-11T09:08:54</DocumentDate>
  <DocumentVersion>0.1</DocumentVersion>
  <CompatibilityMode>Eurolook10</CompatibilityMode>
  <DocumentMetadata>
    <EC_SecurityDistributionWorkingGroup MetadataSerializationType="SimpleValue"/>
    <EC_SecurityDateMarkingDate MetadataSerializationType="SimpleValue"/>
    <EC_SecurityDateMarking MetadataSerializationType="SimpleValue"/>
    <EC_SecurityDistributionSpecialHandling MetadataSerializationType="SimpleValue"/>
    <EC_SecurityDistributionSensitive MetadataSerializationType="SimpleValue"/>
    <EC_SecurityMarking MetadataSerializationType="SimpleValue"/>
    <EC_SecurityDistributionDG MetadataSerializationType="SimpleValue"/>
    <EC_SecurityReleasability MetadataSerializationType="SimpleValue"/>
    <EC_SecurityDateMarkingEvent MetadataSerializationType="SimpleValue"/>
  </DocumentMetadata>
</EurolookProperties>
</file>

<file path=customXml/itemProps1.xml><?xml version="1.0" encoding="utf-8"?>
<ds:datastoreItem xmlns:ds="http://schemas.openxmlformats.org/officeDocument/2006/customXml" ds:itemID="{5E81CFC8-5830-4B13-8ACD-8BC3DF4AE63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496</Words>
  <Characters>2832</Characters>
  <Application>Microsoft Office Word</Application>
  <DocSecurity>0</DocSecurity>
  <PresentationFormat>Microsoft Word 14.0</PresentationFormat>
  <Lines>23</Lines>
  <Paragraphs>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2025-12-18T14:55:00Z</dcterms:created>
  <dcterms:modified xsi:type="dcterms:W3CDTF">2026-01-23T15:27:00Z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2025-12-11T08:16:25Z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69b8866a-507f-4f65-9318-9c09aa67da08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9.2, Build 20250828</vt:lpwstr>
  </property>
</Properties>
</file>