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C3B1A" w14:textId="3DE240F3" w:rsidR="00896269" w:rsidRPr="009F4973" w:rsidRDefault="00270204" w:rsidP="00270204">
      <w:pPr>
        <w:pStyle w:val="Pagedecouverture"/>
      </w:pPr>
      <w:r>
        <w:pict w14:anchorId="62DEC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4142A133-AF4F-4ABE-84F4-B1B07837BC27" style="width:455.25pt;height:342.75pt">
            <v:imagedata r:id="rId11" o:title=""/>
          </v:shape>
        </w:pict>
      </w:r>
    </w:p>
    <w:p w14:paraId="72F40EF6" w14:textId="77777777" w:rsidR="00896269" w:rsidRPr="009F4973" w:rsidRDefault="00896269" w:rsidP="00896269">
      <w:pPr>
        <w:sectPr w:rsidR="00896269" w:rsidRPr="009F4973" w:rsidSect="0027020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7EEEE41" w14:textId="77777777" w:rsidR="00896269" w:rsidRPr="009F4973" w:rsidRDefault="00896269" w:rsidP="005A74F3">
      <w:pPr>
        <w:pStyle w:val="Exposdesmotifstitre"/>
      </w:pPr>
      <w:r w:rsidRPr="009F4973">
        <w:lastRenderedPageBreak/>
        <w:t>EXPUNERE DE MOTIVE</w:t>
      </w:r>
    </w:p>
    <w:p w14:paraId="4436F9F9" w14:textId="77777777" w:rsidR="00896269" w:rsidRPr="009F4973" w:rsidRDefault="00896269" w:rsidP="005A74F3">
      <w:pPr>
        <w:pStyle w:val="ManualHeading1"/>
      </w:pPr>
      <w:r w:rsidRPr="009F4973">
        <w:t>1.</w:t>
      </w:r>
      <w:r w:rsidRPr="009F4973">
        <w:tab/>
        <w:t>CONTEXTUL PROPUNERII</w:t>
      </w:r>
    </w:p>
    <w:p w14:paraId="742DFFDC" w14:textId="77777777" w:rsidR="008C5FF9" w:rsidRPr="009F4973" w:rsidRDefault="008C5FF9" w:rsidP="008C5FF9">
      <w:pPr>
        <w:pStyle w:val="ManualHeading2"/>
        <w:rPr>
          <w:rFonts w:eastAsia="Arial Unicode MS"/>
        </w:rPr>
      </w:pPr>
      <w:r w:rsidRPr="009F4973">
        <w:rPr>
          <w:color w:val="000000"/>
          <w:u w:color="000000"/>
          <w:bdr w:val="nil"/>
        </w:rPr>
        <w:t>•</w:t>
      </w:r>
      <w:r w:rsidRPr="009F4973">
        <w:rPr>
          <w:color w:val="000000"/>
          <w:u w:color="000000"/>
          <w:bdr w:val="nil"/>
        </w:rPr>
        <w:tab/>
      </w:r>
      <w:r w:rsidRPr="009F4973">
        <w:t>Motivele și obiectivele propunerii</w:t>
      </w:r>
    </w:p>
    <w:p w14:paraId="23BD9488" w14:textId="42D17624" w:rsidR="008C5FF9" w:rsidRPr="009F4973" w:rsidRDefault="008C5FF9" w:rsidP="008C5FF9">
      <w:pPr>
        <w:pBdr>
          <w:top w:val="nil"/>
          <w:left w:val="nil"/>
          <w:bottom w:val="nil"/>
          <w:right w:val="nil"/>
          <w:between w:val="nil"/>
          <w:bar w:val="nil"/>
        </w:pBdr>
        <w:spacing w:before="0" w:after="240"/>
      </w:pPr>
      <w:r w:rsidRPr="009F4973">
        <w:t>India este al 9-lea partener comercial al UE ca mărime pentru mărfuri la nivel mondial și al 6-lea pentru comerțul cu servicii. Comerțul bilateral cu mărfuri a ajuns la 118 miliarde EUR în 2025. Printre principalele exporturi ale Indiei către UE se numără mașini și aparate, produse chimice, textile, metale și produse petroliere. Exporturile UE către India sunt dominate în mare măsură de produse industriale, inclusiv mașini și aparate, echipamente de transport și produse chimice. Comerțul bilateral cu servicii s-a ridicat la 67 miliarde EUR în 2025, exporturile UE ridicându-se la 29,2 miliarde EUR, iar importurile UE la 37,8 miliarde EUR. În 2024, stocul de investiții străine directe ale UE în India s-a ridicat la 132,8 miliarde EUR, în timp ce stocul de investiții străine directe ale Indiei în UE a fost de 13,7 miliarde EUR.</w:t>
      </w:r>
    </w:p>
    <w:p w14:paraId="3AF7F7C1" w14:textId="77777777" w:rsidR="008C5FF9" w:rsidRPr="009F4973" w:rsidRDefault="008C5FF9" w:rsidP="008C5FF9">
      <w:pPr>
        <w:pBdr>
          <w:top w:val="nil"/>
          <w:left w:val="nil"/>
          <w:bottom w:val="nil"/>
          <w:right w:val="nil"/>
          <w:between w:val="nil"/>
          <w:bar w:val="nil"/>
        </w:pBdr>
        <w:spacing w:before="0" w:after="240"/>
      </w:pPr>
      <w:r w:rsidRPr="009F4973">
        <w:t>India beneficiază în prezent de preferințe comerciale cu UE în cadrul sistemului generalizat de preferințe („SGP”). Cu toate acestea, competitivitatea exporturilor Indiei a dus la dispariția mai multor sectoare. În prezent, aproximativ 38 % din exporturile Indiei către UE sunt eligibile pentru preferințele SGP.</w:t>
      </w:r>
    </w:p>
    <w:p w14:paraId="55E8727D" w14:textId="77777777" w:rsidR="008C5FF9" w:rsidRPr="009F4973" w:rsidRDefault="008C5FF9" w:rsidP="008C5FF9">
      <w:pPr>
        <w:pBdr>
          <w:top w:val="nil"/>
          <w:left w:val="nil"/>
          <w:bottom w:val="nil"/>
          <w:right w:val="nil"/>
          <w:between w:val="nil"/>
          <w:bar w:val="nil"/>
        </w:pBdr>
        <w:spacing w:before="0" w:after="240"/>
      </w:pPr>
      <w:r w:rsidRPr="009F4973">
        <w:t xml:space="preserve">În 2007, Consiliul a autorizat Comisia să înceapă negocierile pentru un acord de liber schimb („ALS”) cu India. O primă etapă a negocierilor a avut loc până în 2013, când discuțiile au fost suspendate din cauza divergențelor în ceea ce privește nivelul de ambiție pe care acordul ar trebui să îl atingă. O reuniune a liderilor UE-India din 8 mai 2021 a dat un nou impuls, deoarece s-a convenit să se reia „negocierile pentru un acord comercial echilibrat, ambițios, cuprinzător și reciproc avantajos, care ar urma să răspundă provocărilor actuale”. </w:t>
      </w:r>
    </w:p>
    <w:p w14:paraId="517D1B46" w14:textId="4D90D29A" w:rsidR="008C5FF9" w:rsidRPr="009F4973" w:rsidRDefault="008C5FF9" w:rsidP="008C5FF9">
      <w:pPr>
        <w:pBdr>
          <w:top w:val="nil"/>
          <w:left w:val="nil"/>
          <w:bottom w:val="nil"/>
          <w:right w:val="nil"/>
          <w:between w:val="nil"/>
          <w:bar w:val="nil"/>
        </w:pBdr>
        <w:tabs>
          <w:tab w:val="left" w:pos="5387"/>
        </w:tabs>
        <w:spacing w:before="0" w:after="240"/>
      </w:pPr>
      <w:r w:rsidRPr="009F4973">
        <w:t xml:space="preserve">Negocierile tehnice au fost reluate în 2022. Acestea au fost susținute de o evaluare a impactului comerțului asupra dezvoltării durabile, care a confirmat potențialul unui acord de liber schimb de a aduce beneficii economice ambelor părți. La 27 ianuarie 2026, cu ocazia celui de-al 16-lea Summit UE-India, negocierile au fost finalizate la nivel politic. </w:t>
      </w:r>
    </w:p>
    <w:p w14:paraId="478C1B8E" w14:textId="77777777" w:rsidR="008C5FF9" w:rsidRPr="009F4973" w:rsidRDefault="008C5FF9" w:rsidP="008C5FF9">
      <w:pPr>
        <w:spacing w:after="240"/>
      </w:pPr>
      <w:r w:rsidRPr="009F4973">
        <w:t xml:space="preserve">Din contextul geopolitic și geoeconomic mai larg, încheierea acestor negocieri cu India, țara cu cea mai mare populație din lume, cu a cincea cea mai mare economie, transmite un semnal puternic al angajamentului comun al UE și al Indiei de a aprofunda legăturile comerciale și de a sprijini un sistem comercial bazat pe norme. Acest lucru ilustrează, de asemenea, hotărârea UE de a-și urmări agenda de deschidere și diversificare comercială. </w:t>
      </w:r>
    </w:p>
    <w:p w14:paraId="6509E93B" w14:textId="0A8F194C" w:rsidR="008C5FF9" w:rsidRPr="009F4973" w:rsidRDefault="008C5FF9" w:rsidP="008C5FF9">
      <w:pPr>
        <w:spacing w:after="240"/>
      </w:pPr>
      <w:r w:rsidRPr="009F4973">
        <w:t>Acordul va elimina tarifele la importurile de mărfuri din UE în India pentru 86 % din liniile tarifare și 93 % din valoarea comercială actuală. În plus, India va liberaliza parțial importuri suplimentare, aducând astfel acoperirea globală a liberalizării comerțului la 96,6 % din valoarea comercială actuală. Majoritatea schimburilor comerciale vor fi liberalizate deja la intrarea în vigoare, în timp ce, pentru anumite mărfuri, vor exista perioade de tranziție de 3, 5 sau 7 ani sau, în cazul liniilor tarifare parțial liberalizate, modalități specifice. ALS urmărește, de asemenea, să încurajeze cooperarea și să contribuie la eliminarea barierelor tehnice din calea comerțului cu mărfuri. Acordul va crea un mediu mai transparent, mai previzibil și mai eficient din punctul de vedere al costurilor, un acces sporit pe piață și costuri reduse. În plus, acordul va sprijini furnizorii de servicii din UE și India prin asigurarea unui mediu comercial previzibil.</w:t>
      </w:r>
    </w:p>
    <w:p w14:paraId="484563AF" w14:textId="77777777" w:rsidR="008C5FF9" w:rsidRPr="009F4973" w:rsidRDefault="008C5FF9" w:rsidP="008C5FF9">
      <w:pPr>
        <w:spacing w:after="240"/>
        <w:rPr>
          <w:rFonts w:eastAsia="Calibri"/>
        </w:rPr>
      </w:pPr>
      <w:r w:rsidRPr="009F4973">
        <w:lastRenderedPageBreak/>
        <w:t>Deși ALS promovează comerțul între UE și India, acesta protejează în mod explicit dreptul de reglementare al fiecărei părți în vederea atingerii unor obiective de politică legitime. Acesta conține, de asemenea, angajamente solide privind comerțul și dezvoltarea durabilă.</w:t>
      </w:r>
    </w:p>
    <w:p w14:paraId="290E15F4" w14:textId="77777777" w:rsidR="008C5FF9" w:rsidRPr="009F4973" w:rsidRDefault="008C5FF9" w:rsidP="008C5FF9">
      <w:pPr>
        <w:spacing w:after="240"/>
      </w:pPr>
      <w:r w:rsidRPr="009F4973">
        <w:t>Comisia înaintează următoarele propuneri de decizii ale Consiliului:</w:t>
      </w:r>
    </w:p>
    <w:p w14:paraId="1C6D0244" w14:textId="112DA23C" w:rsidR="008C5FF9" w:rsidRPr="009F4973" w:rsidRDefault="008C5FF9" w:rsidP="008C5FF9">
      <w:pPr>
        <w:pStyle w:val="Tiret1"/>
        <w:numPr>
          <w:ilvl w:val="0"/>
          <w:numId w:val="5"/>
        </w:numPr>
      </w:pPr>
      <w:r w:rsidRPr="009F4973">
        <w:t>Propunere de Decizie a Consiliului privind semnarea Acordului de liber schimb dintre Uniunea Europeană și Republica India; și</w:t>
      </w:r>
    </w:p>
    <w:p w14:paraId="1CFCAF44" w14:textId="619C57F5" w:rsidR="008C5FF9" w:rsidRPr="009F4973" w:rsidRDefault="008C5FF9" w:rsidP="00F56540">
      <w:pPr>
        <w:pStyle w:val="Tiret1"/>
        <w:numPr>
          <w:ilvl w:val="0"/>
          <w:numId w:val="18"/>
        </w:numPr>
      </w:pPr>
      <w:r w:rsidRPr="009F4973">
        <w:t xml:space="preserve">Propunere de Decizie a Consiliului privind încheierea Acordului de liber schimb </w:t>
      </w:r>
      <w:r w:rsidR="00FE4894" w:rsidRPr="009F4973">
        <w:t>di</w:t>
      </w:r>
      <w:r w:rsidRPr="009F4973">
        <w:t>ntre Uniunea Europeană și Republica India.</w:t>
      </w:r>
    </w:p>
    <w:p w14:paraId="24DC7EE6" w14:textId="5067C8D7" w:rsidR="008C5FF9" w:rsidRPr="009F4973" w:rsidRDefault="008C5FF9" w:rsidP="008C5FF9">
      <w:pPr>
        <w:pBdr>
          <w:top w:val="nil"/>
          <w:left w:val="nil"/>
          <w:bottom w:val="nil"/>
          <w:right w:val="nil"/>
          <w:between w:val="nil"/>
          <w:bar w:val="nil"/>
        </w:pBdr>
        <w:spacing w:after="240"/>
      </w:pPr>
      <w:r w:rsidRPr="009F4973">
        <w:t>Propunerea de decizie a Consiliului anexată constituie instrumentul juridic de autorizare a încheierii ALS dintre Uniunea Europeană și India.</w:t>
      </w:r>
    </w:p>
    <w:p w14:paraId="39FD0410" w14:textId="77777777" w:rsidR="008C5FF9" w:rsidRPr="009F4973" w:rsidRDefault="008C5FF9" w:rsidP="008C5FF9">
      <w:pPr>
        <w:pStyle w:val="ManualHeading2"/>
        <w:rPr>
          <w:rFonts w:eastAsia="Arial Unicode MS"/>
          <w:color w:val="000000"/>
          <w:u w:color="000000"/>
          <w:bdr w:val="nil"/>
        </w:rPr>
      </w:pPr>
      <w:r w:rsidRPr="009F4973">
        <w:rPr>
          <w:color w:val="000000"/>
          <w:u w:color="000000"/>
          <w:bdr w:val="nil"/>
        </w:rPr>
        <w:t>•</w:t>
      </w:r>
      <w:r w:rsidRPr="009F4973">
        <w:rPr>
          <w:color w:val="000000"/>
          <w:u w:color="000000"/>
          <w:bdr w:val="nil"/>
        </w:rPr>
        <w:tab/>
      </w:r>
      <w:r w:rsidRPr="009F4973">
        <w:t>Coerența cu dispozițiile de politică deja existente în domeniul de politică vizat</w:t>
      </w:r>
    </w:p>
    <w:p w14:paraId="3A91B0BB" w14:textId="77777777" w:rsidR="008C5FF9" w:rsidRPr="009F4973" w:rsidRDefault="008C5FF9" w:rsidP="008C5FF9">
      <w:pPr>
        <w:spacing w:before="100" w:beforeAutospacing="1" w:after="100" w:afterAutospacing="1"/>
        <w:rPr>
          <w:rFonts w:eastAsia="Times New Roman"/>
          <w:szCs w:val="24"/>
        </w:rPr>
      </w:pPr>
      <w:r w:rsidRPr="009F4973">
        <w:t>Acordul de cooperare dintre UE și India din 1994 a stabilit un cadru de parteneriat și cooperare într-un spectru larg de domenii de politică, bazat pe respectarea drepturilor omului și a principiilor democratice ca elemente esențiale ale relației bilaterale.</w:t>
      </w:r>
    </w:p>
    <w:p w14:paraId="0235C463" w14:textId="77777777" w:rsidR="008C5FF9" w:rsidRPr="009F4973" w:rsidRDefault="008C5FF9" w:rsidP="008C5FF9">
      <w:pPr>
        <w:spacing w:after="240"/>
      </w:pPr>
      <w:r w:rsidRPr="009F4973">
        <w:t xml:space="preserve">Odată cu intrarea în vigoare a ALS, acesta va coexista cu acordul de cooperare ca acord specific și ca parte integrantă a relațiilor bilaterale globale dintre UE și India. Cele două acorduri nu conțin dispoziții care intră în conflict. </w:t>
      </w:r>
    </w:p>
    <w:p w14:paraId="63BBC442" w14:textId="77777777" w:rsidR="008C5FF9" w:rsidRPr="009F4973" w:rsidRDefault="008C5FF9" w:rsidP="008C5FF9">
      <w:pPr>
        <w:pStyle w:val="ManualHeading2"/>
        <w:rPr>
          <w:rFonts w:eastAsia="Arial Unicode MS"/>
        </w:rPr>
      </w:pPr>
      <w:r w:rsidRPr="009F4973">
        <w:rPr>
          <w:color w:val="000000"/>
          <w:u w:color="000000"/>
          <w:bdr w:val="nil"/>
        </w:rPr>
        <w:t>•</w:t>
      </w:r>
      <w:r w:rsidRPr="009F4973">
        <w:rPr>
          <w:color w:val="000000"/>
          <w:u w:color="000000"/>
          <w:bdr w:val="nil"/>
        </w:rPr>
        <w:tab/>
      </w:r>
      <w:r w:rsidRPr="009F4973">
        <w:t>Coerența cu alte politici ale Uniunii</w:t>
      </w:r>
    </w:p>
    <w:p w14:paraId="3564FDF5" w14:textId="77777777" w:rsidR="008C5FF9" w:rsidRPr="009F4973" w:rsidRDefault="008C5FF9" w:rsidP="008C5FF9">
      <w:pPr>
        <w:pBdr>
          <w:top w:val="nil"/>
          <w:left w:val="nil"/>
          <w:bottom w:val="nil"/>
          <w:right w:val="nil"/>
          <w:between w:val="nil"/>
          <w:bar w:val="nil"/>
        </w:pBdr>
        <w:spacing w:after="240"/>
      </w:pPr>
      <w:r w:rsidRPr="009F4973">
        <w:t>ALS este pe deplin coerent cu politicile Uniunii și nu va fi necesar ca UE să își modifice normele, reglementările sau standardele în niciun domeniu reglementat, în afară de măsurile necesare pentru a implementa concesiile tarifare convenite. În plus, la fel ca în cazul tuturor celorlalte acorduri comerciale pe care le-a negociat Comisia, ALS protejează pe deplin serviciile publice și se asigură că dreptul guvernelor de a legifera în interes public se menține integral și constituie un principiu de bază al acestora.</w:t>
      </w:r>
    </w:p>
    <w:p w14:paraId="2E99A567" w14:textId="77777777" w:rsidR="00896269" w:rsidRPr="009F4973" w:rsidRDefault="00896269" w:rsidP="005A74F3">
      <w:pPr>
        <w:pStyle w:val="ManualHeading1"/>
      </w:pPr>
      <w:r w:rsidRPr="009F4973">
        <w:t>2.</w:t>
      </w:r>
      <w:r w:rsidRPr="009F4973">
        <w:tab/>
        <w:t>TEMEIUL JURIDIC, SUBSIDIARITATEA ȘI PROPORȚIONALITATEA</w:t>
      </w:r>
    </w:p>
    <w:p w14:paraId="6B04BEA8" w14:textId="77777777" w:rsidR="008C5FF9" w:rsidRPr="009F4973" w:rsidRDefault="008C5FF9" w:rsidP="008C5FF9">
      <w:pPr>
        <w:pStyle w:val="ManualHeading2"/>
        <w:rPr>
          <w:rFonts w:eastAsia="Arial Unicode MS"/>
          <w:color w:val="000000"/>
          <w:u w:color="000000"/>
          <w:bdr w:val="nil"/>
        </w:rPr>
      </w:pPr>
      <w:r w:rsidRPr="009F4973">
        <w:rPr>
          <w:color w:val="000000"/>
          <w:u w:color="000000"/>
          <w:bdr w:val="nil"/>
        </w:rPr>
        <w:t>•</w:t>
      </w:r>
      <w:r w:rsidRPr="009F4973">
        <w:rPr>
          <w:color w:val="000000"/>
          <w:u w:color="000000"/>
          <w:bdr w:val="nil"/>
        </w:rPr>
        <w:tab/>
        <w:t>Temeiul juridic material</w:t>
      </w:r>
    </w:p>
    <w:p w14:paraId="3013278C" w14:textId="77777777" w:rsidR="008C5FF9" w:rsidRPr="009F4973" w:rsidRDefault="008C5FF9" w:rsidP="008C5FF9">
      <w:pPr>
        <w:spacing w:after="240"/>
      </w:pPr>
      <w:r w:rsidRPr="009F4973">
        <w:t>Articolul 207 din Tratatul privind funcționarea Uniunii Europene (TFUE) prevede negocierea și încheierea de acorduri comerciale în cadrul politicii comerciale comune a Uniunii. Articolul 91 și articolul 100 alineatul (2) prevăd baza pentru convenirea dispozițiilor privind transportul internațional.</w:t>
      </w:r>
    </w:p>
    <w:p w14:paraId="69E0EAB7" w14:textId="28CCDA7D" w:rsidR="008C5FF9" w:rsidRPr="009F4973" w:rsidRDefault="008C5FF9" w:rsidP="008C5FF9">
      <w:r w:rsidRPr="009F4973">
        <w:t>Având în vedere că principalele obiective și componente ale acordului sunt politica comercială comună și furnizarea de servicii de transport, temeiurile juridice materiale sunt articolele 207 și 91 și articolul 100 alineatul (2) din TFUE.</w:t>
      </w:r>
    </w:p>
    <w:p w14:paraId="74996BE8" w14:textId="77777777" w:rsidR="008C5FF9" w:rsidRPr="009F4973" w:rsidRDefault="008C5FF9" w:rsidP="008C5FF9">
      <w:r w:rsidRPr="009F4973">
        <w:t>Având în vedere obiectul acordului avut în vedere, este oportună prezentarea de către Comisie a unei propuneri adresate Consiliului.</w:t>
      </w:r>
    </w:p>
    <w:p w14:paraId="1CAB9BA6" w14:textId="6754D814" w:rsidR="002A13C0" w:rsidRPr="009F4973" w:rsidRDefault="008C5FF9" w:rsidP="00FE1B84">
      <w:pPr>
        <w:pStyle w:val="ManualHeading2"/>
        <w:rPr>
          <w:szCs w:val="24"/>
        </w:rPr>
      </w:pPr>
      <w:r w:rsidRPr="009F4973">
        <w:rPr>
          <w:color w:val="000000"/>
          <w:u w:color="000000"/>
          <w:bdr w:val="nil"/>
        </w:rPr>
        <w:t>•</w:t>
      </w:r>
      <w:r w:rsidRPr="009F4973">
        <w:rPr>
          <w:color w:val="000000"/>
          <w:u w:color="000000"/>
          <w:bdr w:val="nil"/>
        </w:rPr>
        <w:tab/>
      </w:r>
      <w:r w:rsidRPr="009F4973">
        <w:rPr>
          <w:bdr w:val="nil"/>
        </w:rPr>
        <w:t>Temeiul juridic procedural</w:t>
      </w:r>
      <w:r w:rsidRPr="009F4973">
        <w:t xml:space="preserve"> </w:t>
      </w:r>
    </w:p>
    <w:p w14:paraId="1E973CBE" w14:textId="77777777" w:rsidR="00FE1B84" w:rsidRPr="009F4973" w:rsidRDefault="00FE1B84" w:rsidP="00FE1B84">
      <w:pPr>
        <w:pBdr>
          <w:top w:val="nil"/>
          <w:left w:val="nil"/>
          <w:bottom w:val="nil"/>
          <w:right w:val="nil"/>
          <w:between w:val="nil"/>
          <w:bar w:val="nil"/>
        </w:pBdr>
        <w:spacing w:after="240"/>
        <w:rPr>
          <w:rFonts w:eastAsia="Arial Unicode MS"/>
          <w:szCs w:val="24"/>
        </w:rPr>
      </w:pPr>
      <w:r w:rsidRPr="009F4973">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14:paraId="2B0211C0" w14:textId="77777777" w:rsidR="00FE1B84" w:rsidRPr="009F4973" w:rsidRDefault="00FE1B84" w:rsidP="00FE1B84">
      <w:pPr>
        <w:pBdr>
          <w:top w:val="nil"/>
          <w:left w:val="nil"/>
          <w:bottom w:val="nil"/>
          <w:right w:val="nil"/>
          <w:between w:val="nil"/>
          <w:bar w:val="nil"/>
        </w:pBdr>
        <w:spacing w:after="240"/>
        <w:rPr>
          <w:rFonts w:eastAsia="Arial Unicode MS"/>
          <w:szCs w:val="24"/>
        </w:rPr>
      </w:pPr>
      <w:r w:rsidRPr="009F4973">
        <w:lastRenderedPageBreak/>
        <w:t>Având în vedere că articolul 207, articolul 91 și articolul 100 alineatul (2) din TFUE reprezintă temeiul juridic material, Consiliul trebuie să adopte decizia privind încheierea acordului după obținerea aprobării Parlamentului European, în conformitate cu articolul 218 alineatul (6) al doilea paragraf litera (a) din TFUE.</w:t>
      </w:r>
    </w:p>
    <w:p w14:paraId="29B9777B" w14:textId="3CF2712D" w:rsidR="002A13C0" w:rsidRPr="009F4973" w:rsidRDefault="00FE1B84" w:rsidP="00FE1B84">
      <w:pPr>
        <w:pBdr>
          <w:top w:val="nil"/>
          <w:left w:val="nil"/>
          <w:bottom w:val="nil"/>
          <w:right w:val="nil"/>
          <w:between w:val="nil"/>
          <w:bar w:val="nil"/>
        </w:pBdr>
        <w:spacing w:after="240"/>
        <w:rPr>
          <w:rFonts w:eastAsia="Arial Unicode MS"/>
          <w:szCs w:val="24"/>
        </w:rPr>
      </w:pPr>
      <w:r w:rsidRPr="009F4973">
        <w:t>Prin urmare, temeiul juridic procedural al deciziei propuse privind încheierea acordului este articolul 218 alineatul (6) al doilea paragraf litera (a) din TFUE.</w:t>
      </w:r>
    </w:p>
    <w:p w14:paraId="332695C2" w14:textId="77777777" w:rsidR="008C5FF9" w:rsidRPr="009F4973" w:rsidRDefault="008C5FF9" w:rsidP="008C5FF9">
      <w:pPr>
        <w:pStyle w:val="ManualHeading2"/>
        <w:rPr>
          <w:rFonts w:eastAsia="Arial Unicode MS"/>
          <w:bdr w:val="nil"/>
        </w:rPr>
      </w:pPr>
      <w:r w:rsidRPr="009F4973">
        <w:rPr>
          <w:color w:val="000000"/>
          <w:u w:color="000000"/>
          <w:bdr w:val="nil"/>
        </w:rPr>
        <w:t>•</w:t>
      </w:r>
      <w:r w:rsidRPr="009F4973">
        <w:rPr>
          <w:color w:val="000000"/>
          <w:u w:color="000000"/>
          <w:bdr w:val="nil"/>
        </w:rPr>
        <w:tab/>
      </w:r>
      <w:r w:rsidRPr="009F4973">
        <w:rPr>
          <w:bdr w:val="nil"/>
        </w:rPr>
        <w:t>Competența Uniunii</w:t>
      </w:r>
    </w:p>
    <w:p w14:paraId="6A4BF8DC" w14:textId="77777777" w:rsidR="008C5FF9" w:rsidRPr="009F4973" w:rsidRDefault="008C5FF9" w:rsidP="008C5FF9">
      <w:pPr>
        <w:pBdr>
          <w:top w:val="nil"/>
          <w:left w:val="nil"/>
          <w:bottom w:val="nil"/>
          <w:right w:val="nil"/>
          <w:between w:val="nil"/>
          <w:bar w:val="nil"/>
        </w:pBdr>
        <w:spacing w:after="240"/>
      </w:pPr>
      <w:r w:rsidRPr="009F4973">
        <w:t xml:space="preserve">În conformitate cu Avizul 2/15 privind ALS UE-Singapore al Curții de Justiție din 16 mai 2017, toate domeniile acoperite de ALS ar intra în sfera de competență exclusivă a UE și, în special, în domeniul de aplicare al articolului 91, al articolului 100 alineatul (2) și al articolului 207 din TFUE. Curtea a stabilit competența exclusivă a UE pe baza domeniului de aplicare al politicii comerciale comune în temeiul articolului 207 alineatul (1) din TFUE și al articolului 3 alineatul (2) din TFUE (pe baza faptului că sunt afectate norme comune existente din legislația secundară). </w:t>
      </w:r>
    </w:p>
    <w:p w14:paraId="7F96F166"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 xml:space="preserve">Subsidiaritatea (în cazul competențelor neexclusive) </w:t>
      </w:r>
    </w:p>
    <w:p w14:paraId="5CB7E252"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ALS, astfel cum a fost prezentat Consiliului, nu vizează niciun fel de chestiuni care nu sunt de competența exclusivă a UE.</w:t>
      </w:r>
    </w:p>
    <w:p w14:paraId="15723ED4"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Proporționalitate</w:t>
      </w:r>
    </w:p>
    <w:p w14:paraId="5AE11917" w14:textId="77777777" w:rsidR="008C5FF9" w:rsidRPr="009F4973" w:rsidRDefault="008C5FF9" w:rsidP="008C5FF9">
      <w:pPr>
        <w:spacing w:after="240"/>
      </w:pPr>
      <w:r w:rsidRPr="009F4973">
        <w:t>Acordurile comerciale sunt mijloacele adecvate pentru a reglementa accesul pe piață și domeniile conexe ale relațiilor economice cuprinzătoare cu o țară terță din afara UE. Nu există nicio alternativă pentru ca astfel de angajamente și eforturi de liberalizare să devină obligatorii din punct de vedere juridic.</w:t>
      </w:r>
    </w:p>
    <w:p w14:paraId="088C6B8A"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 </w:t>
      </w:r>
    </w:p>
    <w:p w14:paraId="0E063AFE"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Alegerea instrumentului</w:t>
      </w:r>
    </w:p>
    <w:p w14:paraId="7BF846CD" w14:textId="4359F681" w:rsidR="00F6118F" w:rsidRPr="009F4973" w:rsidRDefault="008C5FF9" w:rsidP="008C5FF9">
      <w:r w:rsidRPr="009F4973">
        <w:t>Prezenta propunere de decizie a Consiliului este prezentată în conformitate cu articolul 218 alineatul (6) din TFUE, care prevede adoptarea de către Consiliu a unei decizii de autorizare a încheierii acordurilor internaționale. Nu există un alt instrument juridic care ar putea fi folosit în scopul realizării obiectivului exprimat în prezenta propunere.</w:t>
      </w:r>
    </w:p>
    <w:p w14:paraId="7EC10E52" w14:textId="77777777" w:rsidR="00896269" w:rsidRPr="009F4973" w:rsidRDefault="00896269" w:rsidP="005A74F3">
      <w:pPr>
        <w:pStyle w:val="ManualHeading1"/>
      </w:pPr>
      <w:r w:rsidRPr="009F4973">
        <w:t>3.</w:t>
      </w:r>
      <w:r w:rsidRPr="009F4973">
        <w:tab/>
        <w:t>REZULTATELE EVALUĂRILOR EX POST, ALE CONSULTĂRILOR CU PĂRȚILE INTERESATE ȘI ALE EVALUĂRILOR IMPACTULUI</w:t>
      </w:r>
    </w:p>
    <w:p w14:paraId="6EFFEC11"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Consultarea cu părțile interesate</w:t>
      </w:r>
    </w:p>
    <w:p w14:paraId="6B1041B5" w14:textId="415C0DCE" w:rsidR="008C5FF9" w:rsidRPr="009F4973" w:rsidRDefault="008C5FF9" w:rsidP="008C5FF9">
      <w:pPr>
        <w:spacing w:after="240"/>
      </w:pPr>
      <w:r w:rsidRPr="009F4973">
        <w:t xml:space="preserve">Înainte și în timpul negocierilor, statele membre ale UE au fost informate și consultate în mod regulat, pe cale orală și în scris, cu privire la diferitele aspecte ale negocierii, prin intermediul Comitetului pentru politică comercială al Consiliului. De asemenea, Parlamentul European a fost informat și consultat periodic, prin intermediul Comisiei sale pentru comerț internațional („INTA”), și în special al Delegației pentru relațiile cu India. Textele succesive rezultate în urma negocierilor au fost transmise ambelor instituții pe parcursul procesului. </w:t>
      </w:r>
    </w:p>
    <w:p w14:paraId="69B5AE91" w14:textId="24594571" w:rsidR="008C5FF9" w:rsidRPr="009F4973" w:rsidRDefault="008C5FF9" w:rsidP="008C5FF9">
      <w:pPr>
        <w:spacing w:after="240"/>
      </w:pPr>
      <w:r w:rsidRPr="009F4973">
        <w:lastRenderedPageBreak/>
        <w:t xml:space="preserve">În paralel cu negocierile, Comisia a comandat o </w:t>
      </w:r>
      <w:hyperlink r:id="rId18" w:history="1">
        <w:r w:rsidRPr="009F4973">
          <w:rPr>
            <w:rStyle w:val="Hyperlink"/>
          </w:rPr>
          <w:t>evaluare a impactului asupra dezvoltării durabile</w:t>
        </w:r>
      </w:hyperlink>
      <w:r w:rsidRPr="009F4973">
        <w:t xml:space="preserve"> a ALS dintre UE și India. Evaluarea impactului asupra dezvoltării durabile, care a fost finalizată în decembrie 2023, a examinat modul în care dispozițiile privind comerțul și aspectele legate de comerț ale ALS în curs de negociere ar putea afecta aspectele economice, sociale și de mediu, precum și legate de drepturile omului în UE și în India. Aceasta a luat în considerare, de asemenea, impactul potențial al unui ALS asupra regiunilor ultraperiferice ale UE, asupra țărilor cel mai puțin dezvoltate și asupra întreprinderilor mici și mijlocii. </w:t>
      </w:r>
    </w:p>
    <w:p w14:paraId="79F6ED94" w14:textId="77777777" w:rsidR="008C5FF9" w:rsidRPr="009F4973" w:rsidRDefault="008C5FF9" w:rsidP="008C5FF9">
      <w:pPr>
        <w:spacing w:after="240"/>
      </w:pPr>
      <w:r w:rsidRPr="009F4973">
        <w:t xml:space="preserve">În ansamblu, evaluarea impactului asupra dezvoltării durabile a concluzionat că se preconiza că un acord UE-India va avea un impact pozitiv asupra ambelor părți și a societăților acestora, asupra tuturor indicatorilor-cheie economici (PIB, bunăstare, comerț mondial și comerț bilateral), amploarea lor relativă fiind mai mare în India decât în UE din cauza diferențelor în ceea ce privește dimensiunea diferită a celor două economii. Modelarea economică a estimat o creștere a bunăstării în UE de 23,7-41 miliarde EUR și o creștere a PIB-ului UE de 25,5-47,9 miliarde EUR. Aceasta a arătat că, cu cât gradul de liberalizare a comerțului atins în cadrul acordului este mai mare, cu atât sunt mai mari câștigurile economice preconizate pentru ambele părți, ceea ce face posibilă urmărirea unui grad ridicat de liberalizare în cadrul negocierilor. </w:t>
      </w:r>
    </w:p>
    <w:p w14:paraId="11053F1B" w14:textId="77777777" w:rsidR="008C5FF9" w:rsidRPr="009F4973" w:rsidRDefault="008C5FF9" w:rsidP="008C5FF9">
      <w:pPr>
        <w:spacing w:after="240"/>
      </w:pPr>
      <w:r w:rsidRPr="009F4973">
        <w:t>Comisia a emis un document de poziție cu privire la evaluarea impactului asupra dezvoltării durabile la 23 noiembrie 2023, pe baza proiectului de evaluare a impactului asupra dezvoltării durabile. Ea a concluzionat că evaluarea impactului asupra dezvoltării durabile a confirmat argumentele în favoarea negocierii unui acord comercial ambițios și a oferit informații cu privire la sectoare sau actori specifici care s-ar putea confrunta cu efecte negative și cărora ar trebui să li se acorde o atenție deosebită.</w:t>
      </w:r>
    </w:p>
    <w:p w14:paraId="1152977F" w14:textId="77777777" w:rsidR="008C5FF9" w:rsidRPr="009F4973" w:rsidRDefault="008C5FF9" w:rsidP="008C5FF9">
      <w:pPr>
        <w:spacing w:after="240"/>
      </w:pPr>
      <w:r w:rsidRPr="009F4973">
        <w:t>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angajament cu părțile interesate din India și reuniuni bilaterale și interviuri.</w:t>
      </w:r>
    </w:p>
    <w:p w14:paraId="288AAED1" w14:textId="77777777" w:rsidR="008C5FF9" w:rsidRPr="009F4973" w:rsidRDefault="008C5FF9" w:rsidP="008C5FF9">
      <w:pPr>
        <w:spacing w:after="240"/>
      </w:pPr>
      <w:r w:rsidRPr="009F4973">
        <w:t xml:space="preserve">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 </w:t>
      </w:r>
    </w:p>
    <w:p w14:paraId="6B614CEF"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Obținerea și utilizarea cunoștințelor de specialitate</w:t>
      </w:r>
    </w:p>
    <w:p w14:paraId="0ED151D5" w14:textId="69685B2A" w:rsidR="008C5FF9" w:rsidRPr="009F4973" w:rsidRDefault="008C5FF9" w:rsidP="008C5FF9">
      <w:pPr>
        <w:pBdr>
          <w:top w:val="nil"/>
          <w:left w:val="nil"/>
          <w:bottom w:val="nil"/>
          <w:right w:val="nil"/>
          <w:between w:val="nil"/>
          <w:bar w:val="nil"/>
        </w:pBdr>
        <w:spacing w:after="240"/>
      </w:pPr>
      <w:r w:rsidRPr="009F4973">
        <w:t>Evaluarea impactului asupra dezvoltării durabile a ALS a fost efectuată de un consorțiu de societăți independente de consultanță condus de Trade Impact BV și comandat de Direcția Generală Comerț a Comisiei.</w:t>
      </w:r>
    </w:p>
    <w:p w14:paraId="0F3D062A"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Evaluarea impactului</w:t>
      </w:r>
    </w:p>
    <w:p w14:paraId="33222C0F" w14:textId="77777777" w:rsidR="008C5FF9" w:rsidRPr="009F4973" w:rsidRDefault="008C5FF9" w:rsidP="008C5FF9">
      <w:pPr>
        <w:spacing w:after="240"/>
      </w:pPr>
      <w:r w:rsidRPr="009F4973">
        <w:t>Faza inițială a negocierilor pentru un acord de liber schimb între UE și India a făcut obiectul unei evaluări a impactului comerțului asupra dezvoltării durabile din 2009, comandată în 2007. La momentul reluării negocierilor, a fost comandată o nouă evaluare a impactului asupra dezvoltării durabile. Raportul final a fost publicat în decembrie 2023.</w:t>
      </w:r>
    </w:p>
    <w:p w14:paraId="41011B22" w14:textId="77777777" w:rsidR="008C5FF9" w:rsidRPr="009F4973" w:rsidRDefault="008C5FF9" w:rsidP="008C5FF9">
      <w:pPr>
        <w:pStyle w:val="ManualHeading2"/>
      </w:pPr>
      <w:r w:rsidRPr="009F4973">
        <w:lastRenderedPageBreak/>
        <w:t>•</w:t>
      </w:r>
      <w:r w:rsidRPr="009F4973">
        <w:tab/>
        <w:t>Adecvarea reglementărilor și simplificarea</w:t>
      </w:r>
    </w:p>
    <w:p w14:paraId="627ABF77"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APE nu face obiectul procedurilor REFIT. Cu toate acestea, el conține o serie de dispoziții care vor simplifica schimburile comerciale și procedurile aferente, vor reduce costurile legate de export și, prin urmare, vor permite unui număr mai mare de IMM-uri să își desfășoare activitatea pe ambele piețe. Un capitol dedicat IMM-urilor abordează în special intensificarea schimbului de informații și cooperarea cu India cu privire la aspecte legate de IMM-uri. Eliminarea tarifelor, procedurile vamale simplificate și digitalizate și cerințele tehnice mai compatibile vor reduce costurile legate de export și vor permite IMM-urilor cu volume comerciale mai mici să concureze cu întreprinderile mai mari. Acest lucru sporește, de asemenea, capacitatea IMM-urilor de a participa la lanțurile de aprovizionare și de a furniza servicii pe piața Indiei. ALS promovează, de asemenea, transparența și utilizarea standardelor internaționale pentru a facilita accesul pe piață și a reduce costurile de conformitate.</w:t>
      </w:r>
    </w:p>
    <w:p w14:paraId="1A102973"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Drepturi fundamentale</w:t>
      </w:r>
    </w:p>
    <w:p w14:paraId="7F276635" w14:textId="7912E5DC" w:rsidR="00896269" w:rsidRPr="009F4973" w:rsidRDefault="008C5FF9" w:rsidP="008C5FF9">
      <w:pPr>
        <w:pBdr>
          <w:top w:val="nil"/>
          <w:left w:val="nil"/>
          <w:bottom w:val="nil"/>
          <w:right w:val="nil"/>
          <w:between w:val="nil"/>
          <w:bar w:val="nil"/>
        </w:pBdr>
        <w:spacing w:before="0" w:after="240"/>
        <w:rPr>
          <w:rFonts w:eastAsia="Arial Unicode MS"/>
        </w:rPr>
      </w:pPr>
      <w:r w:rsidRPr="009F4973">
        <w:t>Propunerea nu aduce atingere protecției drepturilor fundamentale în Uniune.</w:t>
      </w:r>
    </w:p>
    <w:p w14:paraId="2588EC94" w14:textId="77777777" w:rsidR="00896269" w:rsidRPr="009F4973" w:rsidRDefault="00896269" w:rsidP="005A74F3">
      <w:pPr>
        <w:pStyle w:val="ManualHeading1"/>
      </w:pPr>
      <w:r w:rsidRPr="009F4973">
        <w:t>4.</w:t>
      </w:r>
      <w:r w:rsidRPr="009F4973">
        <w:tab/>
        <w:t>IMPLICAȚII BUGETARE</w:t>
      </w:r>
    </w:p>
    <w:p w14:paraId="10E89DD8" w14:textId="7E64A070" w:rsidR="007D102E" w:rsidRPr="009F4973" w:rsidRDefault="008C5FF9" w:rsidP="006379CD">
      <w:pPr>
        <w:rPr>
          <w:b/>
          <w:smallCaps/>
        </w:rPr>
      </w:pPr>
      <w:bookmarkStart w:id="0" w:name="_Hlk231906396"/>
      <w:bookmarkStart w:id="1" w:name="_Hlk231906518"/>
      <w:r w:rsidRPr="009F4973">
        <w:t>ALS va avea un impact financiar asupra bugetului UE pe partea de venituri. Se estimează că taxele la care se renunță ar putea fi între 3,3 și 3,6 miliarde EUR pe an după punerea în aplicare completă a ALS. Estimarea se bazează pe importurile medii preconizate pentru 2030 în absența unui ALS.</w:t>
      </w:r>
    </w:p>
    <w:bookmarkEnd w:id="0"/>
    <w:bookmarkEnd w:id="1"/>
    <w:p w14:paraId="46FC2429" w14:textId="77777777" w:rsidR="00896269" w:rsidRPr="009F4973" w:rsidRDefault="00896269" w:rsidP="005A74F3">
      <w:pPr>
        <w:pStyle w:val="ManualHeading1"/>
      </w:pPr>
      <w:r w:rsidRPr="009F4973">
        <w:t>5.</w:t>
      </w:r>
      <w:r w:rsidRPr="009F4973">
        <w:tab/>
        <w:t>ALTE ELEMENTE</w:t>
      </w:r>
    </w:p>
    <w:p w14:paraId="29032286"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Planurile de punere în aplicare și măsurile de monitorizare, evaluare și raportare</w:t>
      </w:r>
    </w:p>
    <w:p w14:paraId="785029F2" w14:textId="77777777" w:rsidR="008C5FF9" w:rsidRPr="009F4973" w:rsidRDefault="008C5FF9" w:rsidP="008C5FF9">
      <w:pPr>
        <w:autoSpaceDE w:val="0"/>
        <w:autoSpaceDN w:val="0"/>
        <w:adjustRightInd w:val="0"/>
        <w:spacing w:after="240"/>
      </w:pPr>
      <w:r w:rsidRPr="009F4973">
        <w:t xml:space="preserve">ALS prevede dispoziții instituționale care stabilesc structura pentru organismele de punere în aplicare care să monitorizeze permanent punerea în aplicare, funcționarea și impactul ALS. </w:t>
      </w:r>
    </w:p>
    <w:p w14:paraId="36661CC1" w14:textId="77777777" w:rsidR="008C5FF9" w:rsidRPr="009F4973" w:rsidRDefault="008C5FF9" w:rsidP="008C5FF9">
      <w:pPr>
        <w:autoSpaceDE w:val="0"/>
        <w:autoSpaceDN w:val="0"/>
        <w:adjustRightInd w:val="0"/>
        <w:spacing w:after="240"/>
      </w:pPr>
      <w:r w:rsidRPr="009F4973">
        <w:t>Capitolul din ALS referitor la instituții instituie un Comitet mixt a cărui sarcină principală este să monitorizeze și să faciliteze punerea în aplicare și executarea ALS. Comitetul mixt va fi responsabil de supravegherea activității tuturor comitetelor și grupurilor de lucru specializate înființate în temeiul ALS.</w:t>
      </w:r>
    </w:p>
    <w:p w14:paraId="0669EB10"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ALS prevede, de asemenea, consultarea unui mecanism consultativ intern care să cuprindă o reprezentare echilibrată a părților interesate neguvernamentale. Mecanismul poate discuta punerea în aplicare a ALS și poate oferi consiliere. Fiecare parte organizează reuniuni periodice, cel puțin o dată pe an. </w:t>
      </w:r>
    </w:p>
    <w:p w14:paraId="286B7B36"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Astfel cum s-a subliniat în comunicarea intitulată „Comerț pentru toți”, Comisia alocă mai multe resurse pentru punerea în aplicare efectivă și asigurarea respectării acordurilor comerciale și de investiții. În noiembrie 2025, Comisia a publicat cel de al cincilea raport anual privind punerea în aplicare și asigurarea respectării legislației. Scopul principal al raportului este de a prezenta o imagine obiectivă cu privire la punerea în aplicare a ALS încheiate de UE, evidențiind progresele înregistrate și deficiențele care trebuie soluționate. Obiectivul este ca raportul să servească drept bază pentru o dezbatere deschisă și un dialog cu statele membre, Parlamentul European și societatea civilă în general cu privire la funcționarea ALS și punerea lor în aplicare. Dat fiind că este publicat anual, acest raport va permite o monitorizare periodică a evoluțiilor, precum și înregistrarea modului de abordare a aspectelor </w:t>
      </w:r>
      <w:r w:rsidRPr="009F4973">
        <w:lastRenderedPageBreak/>
        <w:t>prioritare identificate. Raportul se va referi la ALS UE-India începând cu data intrării sale în vigoare.</w:t>
      </w:r>
    </w:p>
    <w:p w14:paraId="3E629B83" w14:textId="77777777" w:rsidR="008C5FF9" w:rsidRPr="009F4973" w:rsidRDefault="008C5FF9" w:rsidP="008C5FF9">
      <w:pPr>
        <w:pStyle w:val="ManualHeading2"/>
        <w:rPr>
          <w:rFonts w:eastAsia="Arial Unicode MS"/>
          <w:u w:color="000000"/>
          <w:bdr w:val="nil"/>
        </w:rPr>
      </w:pPr>
      <w:r w:rsidRPr="009F4973">
        <w:rPr>
          <w:u w:color="000000"/>
          <w:bdr w:val="nil"/>
        </w:rPr>
        <w:t>•</w:t>
      </w:r>
      <w:r w:rsidRPr="009F4973">
        <w:rPr>
          <w:u w:color="000000"/>
          <w:bdr w:val="nil"/>
        </w:rPr>
        <w:tab/>
        <w:t>Documente explicative (pentru directive)</w:t>
      </w:r>
    </w:p>
    <w:p w14:paraId="67F4C2B6"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Nu se aplică.</w:t>
      </w:r>
    </w:p>
    <w:p w14:paraId="7E381880" w14:textId="546A2759" w:rsidR="008C5FF9" w:rsidRPr="009F4973" w:rsidRDefault="008C5FF9" w:rsidP="00E73EB5">
      <w:pPr>
        <w:pStyle w:val="ManualHeading2"/>
        <w:rPr>
          <w:rFonts w:eastAsia="Arial Unicode MS"/>
          <w:u w:color="000000"/>
          <w:bdr w:val="nil"/>
        </w:rPr>
      </w:pPr>
      <w:r w:rsidRPr="009F4973">
        <w:rPr>
          <w:u w:color="000000"/>
          <w:bdr w:val="nil"/>
        </w:rPr>
        <w:t>•</w:t>
      </w:r>
      <w:r w:rsidRPr="009F4973">
        <w:rPr>
          <w:u w:color="000000"/>
          <w:bdr w:val="nil"/>
        </w:rPr>
        <w:tab/>
        <w:t>Explicații detaliate cu privire la dispozițiile specifice ale propunerii</w:t>
      </w:r>
    </w:p>
    <w:p w14:paraId="4910DADD" w14:textId="0BD6B1B8" w:rsidR="008C5FF9" w:rsidRPr="009F4973" w:rsidRDefault="008C5FF9" w:rsidP="008C5FF9">
      <w:pPr>
        <w:pBdr>
          <w:top w:val="nil"/>
          <w:left w:val="nil"/>
          <w:bottom w:val="nil"/>
          <w:right w:val="nil"/>
          <w:between w:val="nil"/>
          <w:bar w:val="nil"/>
        </w:pBdr>
        <w:spacing w:before="0" w:after="240"/>
      </w:pPr>
      <w:r w:rsidRPr="009F4973">
        <w:t>În conformitate cu capitolul 2 din ALS, UE și India vor elimina sau vor reduce tarifele pentru marea majoritate a schimburilor lor comerciale bilaterale. În ceea ce privește valoarea comercială, India va liberaliza complet 93 % din importurile sale actuale din UE și va extinde liberalizarea parțială la 3,6 % din importurile suplimentare, ajungând la o acoperire totală de 96,6 %. UE va liberaliza complet 91,4 % din importurile sale din India și va extinde liberalizarea parțială la 7,7 % din importurile suplimentare, ajungând, ca valoare, la o acoperire totală de 99 %. Majoritatea schimburilor comerciale vor fi liberalizate la intrarea în vigoare, cu perioade de tranziție de 3, 5 sau 7 ani, care se aplică liniilor tarifare care nu sunt liberalizate imediat. Vor exista modalități specifice pentru liniile tarifare parțial liberalizate. În timpul perioadelor de tranziție, se vor aplica reduceri tarifare anuale liniare. India va reduce substanțial taxele ridicate aplicate produselor industriale, cum ar fi autovehiculele (tarifele actuale se ridică până la 110 %), utilajele și echipamentele electrice, produsele farmaceutice și chimice. În mod similar, India va elimina sau va reduce taxele vamale pentru majoritatea produselor alimentare și băuturilor, cum ar fi vinul (taxe vamale reduse de la 150 % la 20-30 %), uleiul de măsline (liberalizare completă) și merele (sistem de contingente). Acordul respectă sensibilitățile comerciale specifice, de exemplu în ceea ce privește zahărul, orezul sau oțelul.</w:t>
      </w:r>
    </w:p>
    <w:p w14:paraId="26A92D93"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Capitolul 3 din ALS conține reguli de origine care asigură faptul că numai produsele care au fost prelucrate în mod semnificativ în UE sau în India pot beneficia de preferințele tarifare prevăzute în acord. </w:t>
      </w:r>
    </w:p>
    <w:p w14:paraId="43461959" w14:textId="57AD7616"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4 din ALS va ajuta întreprinderile care efectuează schimburi comerciale cu mărfuri între UE și India să își treacă produsele mai ușor și mai rapid prin vamă. Aceasta promovează un control vamal eficace, astfel încât mărfurile importate să respecte toate normele țării importatoare, inclusiv cerințele legate de siguranță, securitate și respectarea drepturilor de proprietate intelectuală. Acordul include în special dispoziții privind procedurile vamale care trebuie respectate la frontieră, angajamente de a oferi un acces facil la informații privind tarifele aplicate și principii comune pentru legislația vamală.</w:t>
      </w:r>
    </w:p>
    <w:p w14:paraId="107A778E" w14:textId="14E90386"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Capitolul 5 din ALS privind aspectele sanitare și fitosanitare (SPS) se referă la siguranța alimentară și la sănătatea animalelor și a plantelor. Acesta menține modul în care UE adoptă și pune în aplicare normele sale în materie de siguranță alimentară, fie pentru produsele fabricate pe plan intern, fie pentru cele importate. Acordul reafirmă principiile Acordului SPS al OMC. UE și India vor consolida activitatea comună privind aspectele sanitare și fitosanitare pentru a asigura intervenția rapidă în situații de urgență legate de importurile și exporturile de produse agricole și pescărești. </w:t>
      </w:r>
    </w:p>
    <w:p w14:paraId="454945F2" w14:textId="1CEC402C" w:rsidR="008C5FF9" w:rsidRPr="009F4973" w:rsidRDefault="008C5FF9" w:rsidP="008C5FF9">
      <w:pPr>
        <w:pBdr>
          <w:top w:val="nil"/>
          <w:left w:val="nil"/>
          <w:bottom w:val="nil"/>
          <w:right w:val="nil"/>
          <w:between w:val="nil"/>
          <w:bar w:val="nil"/>
        </w:pBdr>
        <w:spacing w:before="0" w:after="240"/>
        <w:rPr>
          <w:rFonts w:eastAsia="Arial Unicode MS"/>
        </w:rPr>
      </w:pPr>
      <w:r w:rsidRPr="009F4973">
        <w:t xml:space="preserve">Capitolul 6 din ALS urmărește să elimine barierele tehnice din calea comerțului cu mărfuri dintre UE și India. ALS prevede o mai bună transparență și previzibilitate în materie de reglementare, îmbunătățind posibilitățile părților interesate și ale autorităților de a oferi feedback cu privire la proiectele de reglementări tehnice ale celeilalte părți și acordând suficient timp pentru adaptare înainte de intrarea lor în vigoare. Acesta sprijină, de asemenea, </w:t>
      </w:r>
      <w:r w:rsidRPr="009F4973">
        <w:lastRenderedPageBreak/>
        <w:t xml:space="preserve">adoptarea și aplicarea standardelor relevante recunoscute la nivel internațional de către ambele părți ca bază pentru reglementările lor tehnice. Va fi instituit un grup de lucru dedicat reglementărilor tehnice și evaluării conformității, pentru a pune la dispoziție o platformă pentru discutarea, printre altele, a ordinelor de control al calității (QCO) din India. </w:t>
      </w:r>
    </w:p>
    <w:p w14:paraId="7B50B9A5" w14:textId="10B15D2C" w:rsidR="00E73EB5" w:rsidRPr="009F4973" w:rsidRDefault="00E73EB5" w:rsidP="008C5FF9">
      <w:pPr>
        <w:pBdr>
          <w:top w:val="nil"/>
          <w:left w:val="nil"/>
          <w:bottom w:val="nil"/>
          <w:right w:val="nil"/>
          <w:between w:val="nil"/>
          <w:bar w:val="nil"/>
        </w:pBdr>
        <w:spacing w:before="0" w:after="240"/>
        <w:rPr>
          <w:rFonts w:eastAsia="Arial Unicode MS"/>
        </w:rPr>
      </w:pPr>
      <w:r w:rsidRPr="009F4973">
        <w:t>Capitolul 7 din ALS include un mecanism de salvgardare bilateral, care permite UE și Indiei să impună măsuri temporare în cazul în care o creștere semnificativă a importurilor preferențiale cauzează sau amenință să cauzeze un prejudiciu grav industriei lor naționale.</w:t>
      </w:r>
    </w:p>
    <w:p w14:paraId="270D3A12" w14:textId="0F5DDBE3"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8 din ALS va extinde oportunitățile pentru furnizorii de servicii din UE și India și va asigura un mediu comercial mai previzibil. Aceste prevederi vor garanta, în special, că furnizorii de servicii din UE din sectoarele identificate în acord nu vor fi discriminați față de omologii lor indieni. Acest capitol prevede procese clare, echitabile și oportune de acordare a licențelor sau alte proceduri legate de piață. Acesta conține norme specifice în sectoare importante, cum ar fi serviciile financiare sau telecomunicațiile, și include angajamente privind accesul pe piață pentru transportul maritim și serviciile conexe.</w:t>
      </w:r>
    </w:p>
    <w:p w14:paraId="41798042" w14:textId="2ECA2E2F" w:rsidR="008C5FF9" w:rsidRPr="009F4973" w:rsidRDefault="008C5FF9" w:rsidP="008C5FF9">
      <w:pPr>
        <w:pBdr>
          <w:top w:val="nil"/>
          <w:left w:val="nil"/>
          <w:bottom w:val="nil"/>
          <w:right w:val="nil"/>
          <w:between w:val="nil"/>
          <w:bar w:val="nil"/>
        </w:pBdr>
        <w:spacing w:before="0" w:after="240"/>
        <w:rPr>
          <w:rFonts w:eastAsia="Arial Unicode MS"/>
        </w:rPr>
      </w:pPr>
      <w:r w:rsidRPr="009F4973">
        <w:t>Deși ALS promovează fluxurile comerciale între UE și India, acesta protejează în mod explicit dreptul de reglementare al fiecărei părți în vederea atingerii unor obiective de politică legitime.</w:t>
      </w:r>
    </w:p>
    <w:p w14:paraId="6D3A34E6"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ALS asigură faptul că, în practică, mișcările de capital din UE în India și viceversa, necesare pentru efectuarea tranzacțiilor liberalizate în temeiul acordului, sunt autorizate – de exemplu, înființarea unei întreprinderi cu capital străin. În același timp, ambele părți pot aplica în continuare propriile legi și norme atunci când este necesar, de exemplu în caz de faliment sau în cazul tranzacțiilor cu titluri de valoare.</w:t>
      </w:r>
    </w:p>
    <w:p w14:paraId="6D0C3BFC" w14:textId="2E89EA76"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9 din ALS promovează un mediu comercial digital previzibil, sigur și echitabil. Acesta prevede norme obligatorii care consolidează încrederea consumatorilor, asigură securitatea juridică pentru întreprinderi și sprijină inovarea. Acesta recunoaște, de asemenea, viața privată și protecția datelor cu caracter personal ca drepturi fundamentale, menținând în același timp dreptul fiecărei părți de a-și stabili propriul nivel de protecție.</w:t>
      </w:r>
    </w:p>
    <w:p w14:paraId="09662A10" w14:textId="373AFD16" w:rsidR="008C5FF9" w:rsidRPr="009F4973" w:rsidRDefault="008C5FF9" w:rsidP="008C5FF9">
      <w:pPr>
        <w:pBdr>
          <w:top w:val="nil"/>
          <w:left w:val="nil"/>
          <w:bottom w:val="nil"/>
          <w:right w:val="nil"/>
          <w:between w:val="nil"/>
          <w:bar w:val="nil"/>
        </w:pBdr>
        <w:spacing w:before="0" w:after="240"/>
        <w:rPr>
          <w:rFonts w:eastAsia="Arial Unicode MS"/>
        </w:rPr>
      </w:pPr>
      <w:r w:rsidRPr="009F4973">
        <w:t>UE și India au convenit asupra protecției și asigurării respectării efective a drepturilor de proprietate intelectuală în capitolul 10.</w:t>
      </w:r>
      <w:r w:rsidR="009F4973">
        <w:t xml:space="preserve"> </w:t>
      </w:r>
      <w:r w:rsidRPr="009F4973">
        <w:t>Acest capitol se referă la convențiile internaționale existente privind proprietatea intelectuală și include, în special, angajamente consolidate privind asigurarea respectării drepturilor de proprietate intelectuală.</w:t>
      </w:r>
    </w:p>
    <w:p w14:paraId="2F685080" w14:textId="7C7DFB6E"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11 din ALS asigură menținerea unor legi eficace în materie de concurență în ambele jurisdicții, care sunt puse în aplicare de autorități independente din punct de vedere operațional, care trebuie să acționeze în mod transparent și nediscriminatoriu, respectând dreptul la apărare. Acordul prevede, de asemenea, cooperarea dintre autorități. Acesta conține norme privind subvențiile, în special mecanisme de transparență și de consultare.</w:t>
      </w:r>
    </w:p>
    <w:p w14:paraId="4FE50A2D" w14:textId="1D99DE8A" w:rsidR="008C5FF9" w:rsidRPr="009F4973" w:rsidRDefault="008C5FF9" w:rsidP="008C5FF9">
      <w:pPr>
        <w:pBdr>
          <w:top w:val="nil"/>
          <w:left w:val="nil"/>
          <w:bottom w:val="nil"/>
          <w:right w:val="nil"/>
          <w:between w:val="nil"/>
          <w:bar w:val="nil"/>
        </w:pBdr>
        <w:spacing w:before="0" w:after="240"/>
        <w:rPr>
          <w:rFonts w:eastAsia="Arial Unicode MS"/>
        </w:rPr>
      </w:pPr>
      <w:r w:rsidRPr="009F4973">
        <w:t>ALS include un capitol 12 dedicat IMM-urilor și o serie de alte dispoziții care aduc beneficii acestor întreprinderi, de exemplu crearea unei platforme digitale unice accesibile publicului care să ofere informații cu privire la modul de acces și de desfășurare a activităților comerciale pe piețele celeilalte părți, crearea de puncte de contact pentru IMM-uri, digitalizarea operațiunilor comerciale etc.</w:t>
      </w:r>
    </w:p>
    <w:p w14:paraId="20C44BB9" w14:textId="6D0C0DB4" w:rsidR="008C5FF9" w:rsidRPr="009F4973" w:rsidRDefault="008C5FF9" w:rsidP="008C5FF9">
      <w:pPr>
        <w:pBdr>
          <w:top w:val="nil"/>
          <w:left w:val="nil"/>
          <w:bottom w:val="nil"/>
          <w:right w:val="nil"/>
          <w:between w:val="nil"/>
          <w:bar w:val="nil"/>
        </w:pBdr>
        <w:spacing w:before="0" w:after="240"/>
        <w:rPr>
          <w:rFonts w:eastAsia="Arial Unicode MS"/>
        </w:rPr>
      </w:pPr>
      <w:r w:rsidRPr="009F4973">
        <w:lastRenderedPageBreak/>
        <w:t>Capitolul 13 din ALS promovează reglementări transparente, coordonate și bazate pe dovezi, care respectă legislația națională, sprijină obiectivele de politică publică și iau în considerare interesele întreprinderilor și ale părților interesate.</w:t>
      </w:r>
    </w:p>
    <w:p w14:paraId="2599B6D9" w14:textId="44C269E2"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14 din ALS sporește previzibilitatea, responsabilitatea și echitatea în reglementările legate de comerț. Prin garantarea publicării în timp util, a accesului liber la informații, a unor procese administrative echitabile și a unor căi de atac independente, acesta consolidează încrederea în sistemele de reglementare și reduce incertitudinea pentru întreprinderile care își desfășoară activitatea la nivel transfrontalier.</w:t>
      </w:r>
    </w:p>
    <w:p w14:paraId="150876FB" w14:textId="77777777"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15 din ALS creează un cadru pentru cooperarea dintre UE și India în ceea ce privește consolidarea politicilor și definirea programelor care contribuie la dezvoltarea unor sisteme alimentare durabile, favorabile incluziunii, sănătoase și reziliente.</w:t>
      </w:r>
    </w:p>
    <w:p w14:paraId="00C92DFD" w14:textId="1D5196C5" w:rsidR="008C5FF9" w:rsidRPr="009F4973" w:rsidRDefault="008C5FF9" w:rsidP="008C5FF9">
      <w:pPr>
        <w:pBdr>
          <w:top w:val="nil"/>
          <w:left w:val="nil"/>
          <w:bottom w:val="nil"/>
          <w:right w:val="nil"/>
          <w:between w:val="nil"/>
          <w:bar w:val="nil"/>
        </w:pBdr>
        <w:spacing w:before="0" w:after="240"/>
        <w:rPr>
          <w:rFonts w:eastAsia="Arial Unicode MS"/>
        </w:rPr>
      </w:pPr>
      <w:r w:rsidRPr="009F4973">
        <w:t>Capitolul 16 oferă un cadru cuprinzător privind comerțul și creșterea și dezvoltarea durabile, cu angajamente obligatorii din punct de vedere juridic și un mecanism de soluționare a litigiilor. ALS include dispoziții detaliate privind standardele și acordurile în domeniul muncii, precum și privind aspectele legate de gen. Acordul prevede, de asemenea, o platformă de dialog și cooperare privind aspectele de mediu și climatice legate de comerț. Acesta include dispoziții specifice privind protecția mediului, stabilind angajamente în ceea ce privește schimbările climatice, conservarea pădurilor, biodiversitatea, inclusiv speciile protejate, și gestionarea durabilă a resurselor marine, inclusiv în ceea ce privește pescuitul ilegal, nedeclarat și nereglementat („INN”).</w:t>
      </w:r>
    </w:p>
    <w:p w14:paraId="2B7723CB" w14:textId="1EB02103" w:rsidR="00323599" w:rsidRPr="009F4973" w:rsidRDefault="008C5FF9" w:rsidP="00EB2CCC">
      <w:pPr>
        <w:pBdr>
          <w:top w:val="nil"/>
          <w:left w:val="nil"/>
          <w:bottom w:val="nil"/>
          <w:right w:val="nil"/>
          <w:between w:val="nil"/>
          <w:bar w:val="nil"/>
        </w:pBdr>
        <w:spacing w:before="0" w:after="240"/>
        <w:rPr>
          <w:rFonts w:eastAsia="Arial Unicode MS"/>
        </w:rPr>
      </w:pPr>
      <w:r w:rsidRPr="009F4973">
        <w:t>În capitolul 17, acordul stabilește un mecanism elaborat de soluționare a litigiilor, iar capitolul 18 stabilește structura instituțională a acordului.</w:t>
      </w:r>
    </w:p>
    <w:p w14:paraId="14A4F060" w14:textId="77777777" w:rsidR="00F6118F" w:rsidRPr="009F4973" w:rsidRDefault="001C37AE" w:rsidP="001C37AE">
      <w:pPr>
        <w:pStyle w:val="ManualHeading2"/>
      </w:pPr>
      <w:r w:rsidRPr="009F4973">
        <w:t>•</w:t>
      </w:r>
      <w:r w:rsidRPr="009F4973">
        <w:tab/>
        <w:t>Textul acordului și notificările</w:t>
      </w:r>
    </w:p>
    <w:p w14:paraId="16A64D3F" w14:textId="77777777" w:rsidR="00F6118F" w:rsidRPr="009F4973" w:rsidRDefault="00F6118F" w:rsidP="00F6118F">
      <w:pPr>
        <w:rPr>
          <w:szCs w:val="24"/>
        </w:rPr>
      </w:pPr>
      <w:r w:rsidRPr="009F4973">
        <w:t>Textul acordului este transmis Consiliului împreună cu prezenta propunere.</w:t>
      </w:r>
    </w:p>
    <w:p w14:paraId="04EE3079" w14:textId="7256E532" w:rsidR="00F6118F" w:rsidRPr="009F4973" w:rsidRDefault="00F6118F" w:rsidP="00F6118F">
      <w:pPr>
        <w:rPr>
          <w:szCs w:val="24"/>
        </w:rPr>
      </w:pPr>
      <w:r w:rsidRPr="009F4973">
        <w:t xml:space="preserve">În conformitate cu tratatele, este de competența Comisiei să efectueze notificarea prevăzută la articolul 20 alineatul (6) din acord, pentru a exprima consimțământul Uniunii de a-și asuma obligații în temeiul acordului. </w:t>
      </w:r>
    </w:p>
    <w:p w14:paraId="40C6497B" w14:textId="77777777" w:rsidR="0094387B" w:rsidRPr="009F4973" w:rsidRDefault="0094387B" w:rsidP="00EB2CCC">
      <w:pPr>
        <w:pBdr>
          <w:top w:val="nil"/>
          <w:left w:val="nil"/>
          <w:bottom w:val="nil"/>
          <w:right w:val="nil"/>
          <w:between w:val="nil"/>
          <w:bar w:val="nil"/>
        </w:pBdr>
        <w:spacing w:before="0" w:after="240"/>
        <w:rPr>
          <w:rFonts w:eastAsia="Arial Unicode MS"/>
        </w:rPr>
        <w:sectPr w:rsidR="0094387B" w:rsidRPr="009F4973" w:rsidSect="00270204">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2E22D97C" w14:textId="500F7AC9" w:rsidR="00270204" w:rsidRDefault="00270204" w:rsidP="00270204">
      <w:pPr>
        <w:pStyle w:val="Rfrenceinterinstitutionnelle"/>
      </w:pPr>
      <w:r w:rsidRPr="00270204">
        <w:lastRenderedPageBreak/>
        <w:t>2026/0277 (NLE)</w:t>
      </w:r>
    </w:p>
    <w:p w14:paraId="4E6F5A1F" w14:textId="072EEC10" w:rsidR="00896269" w:rsidRPr="009F4973" w:rsidRDefault="00FE4894" w:rsidP="00FE4894">
      <w:pPr>
        <w:pStyle w:val="Statut"/>
      </w:pPr>
      <w:r w:rsidRPr="009F4973">
        <w:t>Propunere de</w:t>
      </w:r>
    </w:p>
    <w:p w14:paraId="20E139B8" w14:textId="5AFA587B" w:rsidR="00896269" w:rsidRPr="009F4973" w:rsidRDefault="00FE4894" w:rsidP="00FE4894">
      <w:pPr>
        <w:pStyle w:val="Typedudocument"/>
      </w:pPr>
      <w:r w:rsidRPr="009F4973">
        <w:t>DECIZIE A CONSILIULUI</w:t>
      </w:r>
    </w:p>
    <w:p w14:paraId="7B70153E" w14:textId="06A92458" w:rsidR="00896269" w:rsidRPr="009F4973" w:rsidRDefault="00FE4894" w:rsidP="00FE4894">
      <w:pPr>
        <w:pStyle w:val="Titreobjet"/>
      </w:pPr>
      <w:r w:rsidRPr="009F4973">
        <w:t>privind încheierea Acordului de liber schimb dintre Uniunea Europeană și Republica India</w:t>
      </w:r>
    </w:p>
    <w:p w14:paraId="15EBDDB8" w14:textId="77777777" w:rsidR="00896269" w:rsidRPr="009F4973" w:rsidRDefault="00896269" w:rsidP="005A74F3">
      <w:pPr>
        <w:pStyle w:val="Institutionquiagit"/>
      </w:pPr>
      <w:r w:rsidRPr="009F4973">
        <w:t>CONSILIUL UNIUNII EUROPENE,</w:t>
      </w:r>
    </w:p>
    <w:p w14:paraId="14A5886E" w14:textId="394692B4" w:rsidR="00896269" w:rsidRPr="009F4973" w:rsidRDefault="49CE867C" w:rsidP="005A74F3">
      <w:pPr>
        <w:rPr>
          <w:color w:val="000000" w:themeColor="text1"/>
        </w:rPr>
      </w:pPr>
      <w:r w:rsidRPr="009F4973">
        <w:t>având în vedere Tratatul privind funcționarea Uniunii Europene, în special articolul 91 alineatul (1), articolul 100 alineatul (2) și articolul 207 alineatul (4) primul paragraf, coroborate cu articolul 218 alineatul (6) al doilea paragraf litera (a) și cu articolul 218 alineatul (7),</w:t>
      </w:r>
    </w:p>
    <w:p w14:paraId="2D6F9A5C" w14:textId="77777777" w:rsidR="00896269" w:rsidRPr="009F4973" w:rsidRDefault="00896269" w:rsidP="005A74F3">
      <w:r w:rsidRPr="009F4973">
        <w:t>având în vedere propunerea Comisiei Europene,</w:t>
      </w:r>
    </w:p>
    <w:p w14:paraId="2D819051" w14:textId="77777777" w:rsidR="000846A2" w:rsidRPr="009F4973" w:rsidRDefault="000846A2" w:rsidP="005A74F3">
      <w:r w:rsidRPr="009F4973">
        <w:t>având în vedere aprobarea Parlamentului European</w:t>
      </w:r>
      <w:r w:rsidRPr="009F4973">
        <w:rPr>
          <w:rStyle w:val="FootnoteReference"/>
        </w:rPr>
        <w:footnoteReference w:id="1"/>
      </w:r>
      <w:r w:rsidRPr="009F4973">
        <w:t>,</w:t>
      </w:r>
    </w:p>
    <w:p w14:paraId="5E8A458C" w14:textId="77777777" w:rsidR="00896269" w:rsidRPr="009F4973" w:rsidRDefault="00896269" w:rsidP="005A74F3">
      <w:r w:rsidRPr="009F4973">
        <w:t>întrucât:</w:t>
      </w:r>
    </w:p>
    <w:p w14:paraId="799AE8B1" w14:textId="638A64A3" w:rsidR="00896269" w:rsidRPr="009F4973" w:rsidRDefault="26478AD7" w:rsidP="00D3785F">
      <w:pPr>
        <w:pStyle w:val="ManualConsidrant"/>
        <w:rPr>
          <w:color w:val="000000" w:themeColor="text1"/>
        </w:rPr>
      </w:pPr>
      <w:r w:rsidRPr="009F4973">
        <w:t>(1)</w:t>
      </w:r>
      <w:r w:rsidRPr="009F4973">
        <w:tab/>
        <w:t>În conformitate cu Decizia nr. [XX] din XX/XX/XXXX a Consiliului</w:t>
      </w:r>
      <w:r w:rsidR="009849DA" w:rsidRPr="009F4973">
        <w:rPr>
          <w:rStyle w:val="FootnoteReference"/>
        </w:rPr>
        <w:footnoteReference w:id="2"/>
      </w:r>
      <w:r w:rsidRPr="009F4973">
        <w:t xml:space="preserve">, Acordul de liber schimb dintre Uniune și Republica India (denumit în continuare „acordul”) a fost semnat la [XX XX 2026], sub rezerva încheierii sale la o dată ulterioară. </w:t>
      </w:r>
    </w:p>
    <w:p w14:paraId="46DDD087" w14:textId="32B3D06C" w:rsidR="0015379E" w:rsidRPr="009F4973" w:rsidRDefault="1CAA97EE" w:rsidP="005A74F3">
      <w:pPr>
        <w:pStyle w:val="ManualConsidrant"/>
      </w:pPr>
      <w:r w:rsidRPr="009F4973">
        <w:t>(2)</w:t>
      </w:r>
      <w:r w:rsidRPr="009F4973">
        <w:tab/>
        <w:t>Acordul trebuie să asigure promovarea politicii comerciale comune a Uniunii prin eliminarea obstacolelor din calea comerțului dintre Uniune și Republica India, aducând astfel beneficii economice într-un mod echilibrat și reciproc.</w:t>
      </w:r>
    </w:p>
    <w:p w14:paraId="46959931" w14:textId="77777777" w:rsidR="00090EA5" w:rsidRPr="009F4973" w:rsidRDefault="55C35710" w:rsidP="00090EA5">
      <w:pPr>
        <w:pStyle w:val="ManualConsidrant"/>
      </w:pPr>
      <w:r w:rsidRPr="009F4973">
        <w:t>(3)</w:t>
      </w:r>
      <w:r w:rsidRPr="009F4973">
        <w:tab/>
        <w:t>Acordul ar trebui să fie aprobat.</w:t>
      </w:r>
    </w:p>
    <w:p w14:paraId="77C3555F" w14:textId="41A2DB16" w:rsidR="004F7CD4" w:rsidRPr="009F4973" w:rsidRDefault="343D1FB9" w:rsidP="004F7CD4">
      <w:pPr>
        <w:pStyle w:val="ManualConsidrant"/>
      </w:pPr>
      <w:r w:rsidRPr="009F4973">
        <w:t>(4)</w:t>
      </w:r>
      <w:r w:rsidRPr="009F4973">
        <w:tab/>
        <w:t>În conformitate cu articolul 20 alineatul (2), acordul nu conferă persoanelor, în cadrul Uniunii, alte drepturi și nici nu impune alte obligații decât cele instituite între părți în temeiul dreptului internațional public,</w:t>
      </w:r>
    </w:p>
    <w:p w14:paraId="1BAF2476" w14:textId="77777777" w:rsidR="00896269" w:rsidRPr="009F4973" w:rsidRDefault="00896269" w:rsidP="005A74F3">
      <w:pPr>
        <w:pStyle w:val="Formuledadoption"/>
        <w:rPr>
          <w:color w:val="000000" w:themeColor="text1"/>
        </w:rPr>
      </w:pPr>
      <w:r w:rsidRPr="009F4973">
        <w:rPr>
          <w:color w:val="000000" w:themeColor="text1"/>
        </w:rPr>
        <w:t xml:space="preserve">ADOPTĂ PREZENTA DECIZIE: </w:t>
      </w:r>
    </w:p>
    <w:p w14:paraId="29167B97" w14:textId="77777777" w:rsidR="00896269" w:rsidRPr="009F4973" w:rsidRDefault="00896269" w:rsidP="005A74F3">
      <w:pPr>
        <w:pStyle w:val="Titrearticle"/>
        <w:rPr>
          <w:color w:val="000000" w:themeColor="text1"/>
        </w:rPr>
      </w:pPr>
      <w:r w:rsidRPr="009F4973">
        <w:rPr>
          <w:color w:val="000000" w:themeColor="text1"/>
        </w:rPr>
        <w:t>Articolul 1</w:t>
      </w:r>
    </w:p>
    <w:p w14:paraId="5E901696" w14:textId="4D5FD6EA" w:rsidR="00896269" w:rsidRPr="009F4973" w:rsidRDefault="735D0924" w:rsidP="005A74F3">
      <w:r w:rsidRPr="009F4973">
        <w:t>Se aprobă Acordul de liber schimb dintre Uniunea Europeană și Republica India (denumit în continuare „acordul”).</w:t>
      </w:r>
    </w:p>
    <w:p w14:paraId="3290A1A7" w14:textId="56EB9447" w:rsidR="00FC0709" w:rsidRPr="009F4973" w:rsidRDefault="5B0A9837" w:rsidP="0010545D">
      <w:pPr>
        <w:pStyle w:val="Titrearticle"/>
      </w:pPr>
      <w:r w:rsidRPr="009F4973">
        <w:t>Articolul 2</w:t>
      </w:r>
    </w:p>
    <w:p w14:paraId="71965350" w14:textId="7CDB57DC" w:rsidR="00FC0709" w:rsidRPr="009F4973" w:rsidRDefault="00FC0709" w:rsidP="00FC0709">
      <w:pPr>
        <w:keepLines/>
      </w:pPr>
      <w:r w:rsidRPr="009F4973">
        <w:t>Prezenta decizie întră în vigoare la data adoptării</w:t>
      </w:r>
      <w:r w:rsidRPr="009F4973">
        <w:rPr>
          <w:rStyle w:val="FootnoteReference"/>
        </w:rPr>
        <w:footnoteReference w:id="3"/>
      </w:r>
      <w:r w:rsidRPr="009F4973">
        <w:t>.</w:t>
      </w:r>
    </w:p>
    <w:p w14:paraId="2F07277D" w14:textId="6E77C2CD" w:rsidR="00FC0709" w:rsidRPr="009F4973" w:rsidRDefault="00270204" w:rsidP="00270204">
      <w:pPr>
        <w:pStyle w:val="Fait"/>
      </w:pPr>
      <w:r w:rsidRPr="00270204">
        <w:lastRenderedPageBreak/>
        <w:t>Adoptată la Bruxelles,</w:t>
      </w:r>
    </w:p>
    <w:p w14:paraId="4082B0F7" w14:textId="7FBC6D18" w:rsidR="00FC0709" w:rsidRPr="009F4973" w:rsidRDefault="00FC0709" w:rsidP="0010545D">
      <w:pPr>
        <w:pStyle w:val="Institutionquisigne"/>
      </w:pPr>
      <w:r w:rsidRPr="009F4973">
        <w:tab/>
        <w:t>Pentru Consiliu</w:t>
      </w:r>
    </w:p>
    <w:p w14:paraId="70CBC34D" w14:textId="77777777" w:rsidR="001E3393" w:rsidRPr="009F4973" w:rsidRDefault="00FC0709" w:rsidP="00FC0709">
      <w:pPr>
        <w:pStyle w:val="Personnequisigne"/>
      </w:pPr>
      <w:r w:rsidRPr="009F4973">
        <w:tab/>
        <w:t>Președintele</w:t>
      </w:r>
    </w:p>
    <w:p w14:paraId="54105D6D" w14:textId="77777777" w:rsidR="001E3393" w:rsidRPr="009F4973" w:rsidRDefault="001E3393" w:rsidP="001E3393">
      <w:pPr>
        <w:sectPr w:rsidR="001E3393" w:rsidRPr="009F4973" w:rsidSect="00270204">
          <w:pgSz w:w="11907" w:h="16839"/>
          <w:pgMar w:top="1134" w:right="1417" w:bottom="1134" w:left="1417" w:header="709" w:footer="709" w:gutter="0"/>
          <w:cols w:space="708"/>
          <w:docGrid w:linePitch="360"/>
        </w:sectPr>
      </w:pPr>
    </w:p>
    <w:p w14:paraId="6E647855" w14:textId="77777777" w:rsidR="008242AF" w:rsidRPr="009F4973" w:rsidRDefault="008242AF" w:rsidP="008242AF">
      <w:pPr>
        <w:pStyle w:val="Fichefinanciretitre"/>
        <w:keepNext/>
      </w:pPr>
      <w:r w:rsidRPr="009F4973">
        <w:lastRenderedPageBreak/>
        <w:t>FIȘĂ FINANCIARĂ LEGISLATIVĂ „VENITURI” – PENTRU PROPUNERI CU IMPACT BUGETAR ASUPRA PĂRȚII DE VENITURI A BUGETULUI</w:t>
      </w:r>
    </w:p>
    <w:p w14:paraId="1F6939F6" w14:textId="77777777" w:rsidR="008242AF" w:rsidRPr="009F4973" w:rsidRDefault="008242AF" w:rsidP="008242AF">
      <w:pPr>
        <w:rPr>
          <w:b/>
          <w:bCs/>
        </w:rPr>
      </w:pPr>
      <w:r w:rsidRPr="009F4973">
        <w:rPr>
          <w:b/>
        </w:rPr>
        <w:t>1.</w:t>
      </w:r>
      <w:r w:rsidRPr="009F4973">
        <w:rPr>
          <w:b/>
        </w:rPr>
        <w:tab/>
        <w:t>TITLUL PROPUNERII:</w:t>
      </w:r>
    </w:p>
    <w:p w14:paraId="22E14732" w14:textId="374F7EB3" w:rsidR="008242AF" w:rsidRPr="009F4973" w:rsidRDefault="008242AF" w:rsidP="008242AF">
      <w:r w:rsidRPr="009F4973">
        <w:t>Propunere de DECIZIE A CONSILIULUI privind încheierea Acordului de liber schimb dintre Uniunea Europeană și Republica India</w:t>
      </w:r>
    </w:p>
    <w:p w14:paraId="3774FED0" w14:textId="77777777" w:rsidR="008242AF" w:rsidRPr="009F4973" w:rsidRDefault="008242AF" w:rsidP="008242AF">
      <w:pPr>
        <w:pStyle w:val="ManualHeading1"/>
        <w:rPr>
          <w:bCs/>
        </w:rPr>
      </w:pPr>
      <w:r w:rsidRPr="009F4973">
        <w:t>2.</w:t>
      </w:r>
      <w:r w:rsidRPr="009F4973">
        <w:tab/>
        <w:t>LINII BUGETARE:</w:t>
      </w:r>
    </w:p>
    <w:p w14:paraId="1E604D80" w14:textId="77777777" w:rsidR="008242AF" w:rsidRPr="009F4973" w:rsidRDefault="008242AF" w:rsidP="008242AF">
      <w:pPr>
        <w:pStyle w:val="Text1"/>
        <w:ind w:left="0"/>
      </w:pPr>
      <w:r w:rsidRPr="009F4973">
        <w:t>Linia bugetară pentru venituri (capitol/articol/post): Capitolul 12, articolul 120</w:t>
      </w:r>
    </w:p>
    <w:p w14:paraId="6F89FC77" w14:textId="5FABDFA2" w:rsidR="008242AF" w:rsidRPr="009F4973" w:rsidRDefault="008242AF" w:rsidP="008242AF">
      <w:pPr>
        <w:pStyle w:val="Text1"/>
        <w:ind w:left="0"/>
      </w:pPr>
      <w:r w:rsidRPr="009F4973">
        <w:t>Suma înscrisă în buget pentru exercițiul financiar în cauză:</w:t>
      </w:r>
      <w:r w:rsidRPr="009F4973">
        <w:rPr>
          <w:i/>
        </w:rPr>
        <w:t xml:space="preserve"> (2026) </w:t>
      </w:r>
      <w:r w:rsidRPr="009F4973">
        <w:rPr>
          <w:b/>
          <w:i/>
        </w:rPr>
        <w:t>24</w:t>
      </w:r>
      <w:r w:rsidR="00440377">
        <w:rPr>
          <w:b/>
          <w:i/>
        </w:rPr>
        <w:t> </w:t>
      </w:r>
      <w:r w:rsidRPr="009F4973">
        <w:rPr>
          <w:b/>
          <w:i/>
        </w:rPr>
        <w:t>350</w:t>
      </w:r>
      <w:r w:rsidR="00440377">
        <w:rPr>
          <w:b/>
          <w:i/>
        </w:rPr>
        <w:t> </w:t>
      </w:r>
      <w:r w:rsidRPr="009F4973">
        <w:rPr>
          <w:b/>
          <w:i/>
        </w:rPr>
        <w:t>200</w:t>
      </w:r>
      <w:r w:rsidR="00440377">
        <w:rPr>
          <w:b/>
          <w:i/>
        </w:rPr>
        <w:t> </w:t>
      </w:r>
      <w:r w:rsidRPr="009F4973">
        <w:rPr>
          <w:b/>
          <w:i/>
        </w:rPr>
        <w:t>000</w:t>
      </w:r>
      <w:r w:rsidR="00440377">
        <w:t> </w:t>
      </w:r>
      <w:r w:rsidRPr="009F4973">
        <w:rPr>
          <w:b/>
          <w:i/>
          <w:iCs/>
        </w:rPr>
        <w:t>EUR</w:t>
      </w:r>
      <w:r w:rsidRPr="009F4973">
        <w:t xml:space="preserve">. Bugetul este disponibil la adresa: </w:t>
      </w:r>
      <w:hyperlink r:id="rId24" w:history="1">
        <w:r w:rsidRPr="009F4973">
          <w:rPr>
            <w:rStyle w:val="Hyperlink"/>
          </w:rPr>
          <w:t>Proiectul de buget rectificativ nr. 2/2026 – SITUAȚIA GENERALĂ A VENITURILOR</w:t>
        </w:r>
      </w:hyperlink>
    </w:p>
    <w:p w14:paraId="1BA760B0" w14:textId="77777777" w:rsidR="008242AF" w:rsidRPr="009F4973" w:rsidRDefault="008242AF" w:rsidP="008242AF">
      <w:pPr>
        <w:pStyle w:val="Text1"/>
        <w:ind w:left="0"/>
        <w:rPr>
          <w:i/>
        </w:rPr>
      </w:pPr>
      <w:r w:rsidRPr="009F4973">
        <w:rPr>
          <w:i/>
        </w:rPr>
        <w:t xml:space="preserve">(numai în cazul veniturilor alocate): </w:t>
      </w:r>
    </w:p>
    <w:p w14:paraId="7F34F25C" w14:textId="77777777" w:rsidR="008242AF" w:rsidRPr="009F4973" w:rsidRDefault="008242AF" w:rsidP="008242AF">
      <w:pPr>
        <w:pStyle w:val="Text1"/>
        <w:ind w:left="0"/>
      </w:pPr>
      <w:r w:rsidRPr="009F4973">
        <w:t xml:space="preserve">Veniturile vor fi alocate următoarei linii de cheltuieli (capitol/articol/post): </w:t>
      </w:r>
    </w:p>
    <w:p w14:paraId="2D42BCFE" w14:textId="77777777" w:rsidR="008242AF" w:rsidRPr="009F4973" w:rsidRDefault="008242AF" w:rsidP="008242AF">
      <w:pPr>
        <w:pStyle w:val="ManualHeading1"/>
        <w:rPr>
          <w:bCs/>
        </w:rPr>
      </w:pPr>
      <w:r w:rsidRPr="009F4973">
        <w:t>3.</w:t>
      </w:r>
      <w:r w:rsidRPr="009F4973">
        <w:tab/>
        <w:t>IMPLICAȚII FINANCIARE</w:t>
      </w:r>
    </w:p>
    <w:p w14:paraId="745922A1" w14:textId="77777777" w:rsidR="008242AF" w:rsidRPr="009F4973" w:rsidRDefault="008242AF" w:rsidP="008242AF">
      <w:pPr>
        <w:pStyle w:val="Text1"/>
      </w:pPr>
      <w:r w:rsidRPr="009F4973">
        <w:sym w:font="Wingdings" w:char="F0A8"/>
      </w:r>
      <w:r w:rsidRPr="009F4973">
        <w:tab/>
        <w:t>Propunerea nu are impact financiar</w:t>
      </w:r>
    </w:p>
    <w:p w14:paraId="1A9269D6" w14:textId="62AB7BFA" w:rsidR="008242AF" w:rsidRPr="009F4973" w:rsidRDefault="008242AF" w:rsidP="008242AF">
      <w:pPr>
        <w:pStyle w:val="Text1"/>
        <w:ind w:left="1435" w:hanging="585"/>
      </w:pPr>
      <w:r w:rsidRPr="009F4973">
        <w:t>x</w:t>
      </w:r>
      <w:r w:rsidRPr="009F4973">
        <w:tab/>
        <w:t>Propunerea nu are impact financiar asupra cheltuielilor, dar are impact financiar asupra veniturilor</w:t>
      </w:r>
    </w:p>
    <w:p w14:paraId="7DF2E738" w14:textId="77777777" w:rsidR="008242AF" w:rsidRPr="009F4973" w:rsidRDefault="008242AF" w:rsidP="008242AF">
      <w:pPr>
        <w:pStyle w:val="Text1"/>
      </w:pPr>
      <w:r w:rsidRPr="009F4973">
        <w:sym w:font="Wingdings" w:char="F0A8"/>
      </w:r>
      <w:r w:rsidRPr="009F4973">
        <w:tab/>
        <w:t>Propunerea are un impact financiar asupra veniturilor alocate</w:t>
      </w:r>
    </w:p>
    <w:p w14:paraId="6A9D3D30" w14:textId="77777777" w:rsidR="008242AF" w:rsidRPr="009F4973" w:rsidRDefault="008242AF" w:rsidP="008242AF">
      <w:pPr>
        <w:pStyle w:val="Text1"/>
        <w:rPr>
          <w:i/>
          <w:sz w:val="20"/>
          <w:szCs w:val="20"/>
        </w:rPr>
      </w:pPr>
      <w:r w:rsidRPr="009F4973">
        <w:t>Efectul este următorul:</w:t>
      </w:r>
      <w:r w:rsidRPr="009F4973">
        <w:rPr>
          <w:i/>
          <w:sz w:val="20"/>
        </w:rPr>
        <w:t xml:space="preserve"> </w:t>
      </w:r>
    </w:p>
    <w:p w14:paraId="2D413F5E" w14:textId="77777777" w:rsidR="008242AF" w:rsidRPr="009F4973" w:rsidRDefault="008242AF" w:rsidP="008242AF">
      <w:pPr>
        <w:ind w:firstLine="720"/>
        <w:jc w:val="right"/>
        <w:rPr>
          <w:i/>
          <w:sz w:val="20"/>
          <w:szCs w:val="20"/>
        </w:rPr>
      </w:pPr>
      <w:r w:rsidRPr="009F4973">
        <w:rPr>
          <w:i/>
          <w:sz w:val="20"/>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8242AF" w:rsidRPr="009F4973" w14:paraId="768FC9FB" w14:textId="77777777" w:rsidTr="00E02A74">
        <w:trPr>
          <w:cantSplit/>
        </w:trPr>
        <w:tc>
          <w:tcPr>
            <w:tcW w:w="2074" w:type="dxa"/>
          </w:tcPr>
          <w:p w14:paraId="3B28C653" w14:textId="77777777" w:rsidR="008242AF" w:rsidRPr="009F4973" w:rsidRDefault="008242AF" w:rsidP="00E02A74">
            <w:r w:rsidRPr="009F4973">
              <w:rPr>
                <w:sz w:val="22"/>
              </w:rPr>
              <w:t>Linia bugetară pentru venituri</w:t>
            </w:r>
          </w:p>
        </w:tc>
        <w:tc>
          <w:tcPr>
            <w:tcW w:w="1984" w:type="dxa"/>
          </w:tcPr>
          <w:p w14:paraId="264D3B71" w14:textId="77777777" w:rsidR="008242AF" w:rsidRPr="009F4973" w:rsidRDefault="008242AF" w:rsidP="00E02A74">
            <w:pPr>
              <w:jc w:val="center"/>
            </w:pPr>
            <w:r w:rsidRPr="009F4973">
              <w:rPr>
                <w:sz w:val="22"/>
              </w:rPr>
              <w:t>Impactul asupra veniturilor</w:t>
            </w:r>
            <w:r w:rsidRPr="009F4973">
              <w:rPr>
                <w:rStyle w:val="FootnoteReference"/>
                <w:sz w:val="22"/>
              </w:rPr>
              <w:footnoteReference w:id="4"/>
            </w:r>
            <w:r w:rsidRPr="00440377">
              <w:rPr>
                <w:sz w:val="22"/>
                <w:vertAlign w:val="superscript"/>
              </w:rPr>
              <w:t>,</w:t>
            </w:r>
            <w:r w:rsidRPr="009F4973">
              <w:rPr>
                <w:rStyle w:val="FootnoteReference"/>
                <w:sz w:val="22"/>
              </w:rPr>
              <w:footnoteReference w:id="5"/>
            </w:r>
          </w:p>
        </w:tc>
        <w:tc>
          <w:tcPr>
            <w:tcW w:w="2694" w:type="dxa"/>
          </w:tcPr>
          <w:p w14:paraId="7BEE16FE" w14:textId="77777777" w:rsidR="008242AF" w:rsidRPr="009F4973" w:rsidRDefault="008242AF" w:rsidP="00E02A74">
            <w:pPr>
              <w:jc w:val="center"/>
              <w:rPr>
                <w:i/>
                <w:snapToGrid w:val="0"/>
                <w:sz w:val="20"/>
                <w:szCs w:val="20"/>
              </w:rPr>
            </w:pPr>
            <w:r w:rsidRPr="009F4973">
              <w:rPr>
                <w:snapToGrid w:val="0"/>
                <w:sz w:val="22"/>
              </w:rPr>
              <w:t>12 luni</w:t>
            </w:r>
          </w:p>
        </w:tc>
        <w:tc>
          <w:tcPr>
            <w:tcW w:w="1590" w:type="dxa"/>
          </w:tcPr>
          <w:p w14:paraId="77F51045" w14:textId="77777777" w:rsidR="008242AF" w:rsidRPr="009F4973" w:rsidRDefault="008242AF" w:rsidP="00E02A74">
            <w:pPr>
              <w:jc w:val="center"/>
              <w:rPr>
                <w:snapToGrid w:val="0"/>
              </w:rPr>
            </w:pPr>
            <w:r w:rsidRPr="009F4973">
              <w:rPr>
                <w:snapToGrid w:val="0"/>
                <w:sz w:val="22"/>
              </w:rPr>
              <w:t>Anul 2027</w:t>
            </w:r>
          </w:p>
          <w:p w14:paraId="0F7E2CF7" w14:textId="77777777" w:rsidR="008242AF" w:rsidRPr="009F4973" w:rsidRDefault="008242AF" w:rsidP="00E02A74">
            <w:pPr>
              <w:jc w:val="center"/>
            </w:pPr>
          </w:p>
        </w:tc>
      </w:tr>
      <w:tr w:rsidR="008242AF" w:rsidRPr="009F4973" w14:paraId="6B0DDD08" w14:textId="77777777" w:rsidTr="00E02A74">
        <w:trPr>
          <w:cantSplit/>
        </w:trPr>
        <w:tc>
          <w:tcPr>
            <w:tcW w:w="2074" w:type="dxa"/>
          </w:tcPr>
          <w:p w14:paraId="0544A29D" w14:textId="77777777" w:rsidR="008242AF" w:rsidRPr="009F4973" w:rsidRDefault="008242AF" w:rsidP="00E02A74">
            <w:pPr>
              <w:rPr>
                <w:sz w:val="20"/>
                <w:szCs w:val="20"/>
              </w:rPr>
            </w:pPr>
            <w:r w:rsidRPr="009F4973">
              <w:rPr>
                <w:sz w:val="20"/>
              </w:rPr>
              <w:t>Capitolul 12/articolul 120</w:t>
            </w:r>
          </w:p>
        </w:tc>
        <w:tc>
          <w:tcPr>
            <w:tcW w:w="1984" w:type="dxa"/>
          </w:tcPr>
          <w:p w14:paraId="351F2166" w14:textId="77777777" w:rsidR="008242AF" w:rsidRPr="009F4973" w:rsidRDefault="008242AF" w:rsidP="00E02A74">
            <w:pPr>
              <w:jc w:val="center"/>
              <w:rPr>
                <w:i/>
                <w:sz w:val="20"/>
                <w:szCs w:val="20"/>
              </w:rPr>
            </w:pPr>
            <w:r w:rsidRPr="009F4973">
              <w:rPr>
                <w:sz w:val="20"/>
              </w:rPr>
              <w:t>3,5 miliarde EUR</w:t>
            </w:r>
          </w:p>
        </w:tc>
        <w:tc>
          <w:tcPr>
            <w:tcW w:w="2694" w:type="dxa"/>
          </w:tcPr>
          <w:p w14:paraId="06512105" w14:textId="77777777" w:rsidR="008242AF" w:rsidRPr="009F4973" w:rsidRDefault="008242AF" w:rsidP="00E02A74">
            <w:pPr>
              <w:spacing w:before="0" w:after="0"/>
              <w:jc w:val="left"/>
              <w:rPr>
                <w:snapToGrid w:val="0"/>
                <w:sz w:val="20"/>
                <w:szCs w:val="18"/>
              </w:rPr>
            </w:pPr>
            <w:r w:rsidRPr="009F4973">
              <w:rPr>
                <w:snapToGrid w:val="0"/>
                <w:sz w:val="20"/>
              </w:rPr>
              <w:t>Intrarea în vigoare este prevăzută pentru prima jumătate a anului 2027</w:t>
            </w:r>
          </w:p>
        </w:tc>
        <w:tc>
          <w:tcPr>
            <w:tcW w:w="1590" w:type="dxa"/>
          </w:tcPr>
          <w:p w14:paraId="716C83EC" w14:textId="77777777" w:rsidR="008242AF" w:rsidRPr="009F4973" w:rsidRDefault="008242AF" w:rsidP="00E02A74">
            <w:pPr>
              <w:spacing w:before="0" w:after="0"/>
              <w:jc w:val="left"/>
              <w:rPr>
                <w:snapToGrid w:val="0"/>
                <w:sz w:val="20"/>
                <w:szCs w:val="18"/>
              </w:rPr>
            </w:pPr>
            <w:r w:rsidRPr="009F4973">
              <w:rPr>
                <w:snapToGrid w:val="0"/>
                <w:sz w:val="20"/>
              </w:rPr>
              <w:t>1,5 miliarde EUR (ipoteza intrării în vigoare în mai 2027).</w:t>
            </w:r>
          </w:p>
        </w:tc>
      </w:tr>
    </w:tbl>
    <w:p w14:paraId="0DE5761E" w14:textId="77777777" w:rsidR="008242AF" w:rsidRPr="009F4973" w:rsidRDefault="008242AF" w:rsidP="008242AF"/>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8242AF" w:rsidRPr="009F4973" w14:paraId="5A897379" w14:textId="77777777" w:rsidTr="00E02A74">
        <w:trPr>
          <w:cantSplit/>
        </w:trPr>
        <w:tc>
          <w:tcPr>
            <w:tcW w:w="8342" w:type="dxa"/>
            <w:gridSpan w:val="6"/>
          </w:tcPr>
          <w:p w14:paraId="36F11A44" w14:textId="77777777" w:rsidR="008242AF" w:rsidRPr="009F4973" w:rsidRDefault="008242AF" w:rsidP="00E02A74">
            <w:pPr>
              <w:jc w:val="center"/>
            </w:pPr>
            <w:r w:rsidRPr="009F4973">
              <w:rPr>
                <w:sz w:val="18"/>
              </w:rPr>
              <w:t>Situația după acțiune</w:t>
            </w:r>
          </w:p>
        </w:tc>
      </w:tr>
      <w:tr w:rsidR="008242AF" w:rsidRPr="009F4973" w14:paraId="4609DE51" w14:textId="77777777" w:rsidTr="00E02A74">
        <w:trPr>
          <w:cantSplit/>
        </w:trPr>
        <w:tc>
          <w:tcPr>
            <w:tcW w:w="2074" w:type="dxa"/>
          </w:tcPr>
          <w:p w14:paraId="661FE1D0" w14:textId="77777777" w:rsidR="008242AF" w:rsidRPr="009F4973" w:rsidRDefault="008242AF" w:rsidP="00E02A74">
            <w:pPr>
              <w:jc w:val="center"/>
              <w:rPr>
                <w:sz w:val="18"/>
              </w:rPr>
            </w:pPr>
            <w:r w:rsidRPr="009F4973">
              <w:rPr>
                <w:sz w:val="22"/>
              </w:rPr>
              <w:t>Linia bugetară pentru venituri</w:t>
            </w:r>
          </w:p>
        </w:tc>
        <w:tc>
          <w:tcPr>
            <w:tcW w:w="1276" w:type="dxa"/>
          </w:tcPr>
          <w:p w14:paraId="7026E83D" w14:textId="77777777" w:rsidR="008242AF" w:rsidRPr="009F4973" w:rsidRDefault="008242AF" w:rsidP="00E02A74">
            <w:pPr>
              <w:jc w:val="center"/>
            </w:pPr>
            <w:r w:rsidRPr="009F4973">
              <w:rPr>
                <w:sz w:val="18"/>
              </w:rPr>
              <w:t>[N+1]</w:t>
            </w:r>
          </w:p>
        </w:tc>
        <w:tc>
          <w:tcPr>
            <w:tcW w:w="1275" w:type="dxa"/>
          </w:tcPr>
          <w:p w14:paraId="1FA859C8" w14:textId="77777777" w:rsidR="008242AF" w:rsidRPr="009F4973" w:rsidRDefault="008242AF" w:rsidP="00E02A74">
            <w:pPr>
              <w:jc w:val="center"/>
            </w:pPr>
            <w:r w:rsidRPr="009F4973">
              <w:rPr>
                <w:sz w:val="18"/>
              </w:rPr>
              <w:t>[N+2]</w:t>
            </w:r>
          </w:p>
        </w:tc>
        <w:tc>
          <w:tcPr>
            <w:tcW w:w="1276" w:type="dxa"/>
          </w:tcPr>
          <w:p w14:paraId="18891D9C" w14:textId="77777777" w:rsidR="008242AF" w:rsidRPr="009F4973" w:rsidRDefault="008242AF" w:rsidP="00E02A74">
            <w:pPr>
              <w:jc w:val="center"/>
            </w:pPr>
            <w:r w:rsidRPr="009F4973">
              <w:rPr>
                <w:sz w:val="18"/>
              </w:rPr>
              <w:t>[N+3]</w:t>
            </w:r>
          </w:p>
        </w:tc>
        <w:tc>
          <w:tcPr>
            <w:tcW w:w="1276" w:type="dxa"/>
          </w:tcPr>
          <w:p w14:paraId="5F4195E1" w14:textId="77777777" w:rsidR="008242AF" w:rsidRPr="009F4973" w:rsidRDefault="008242AF" w:rsidP="00E02A74">
            <w:pPr>
              <w:jc w:val="center"/>
            </w:pPr>
            <w:r w:rsidRPr="009F4973">
              <w:rPr>
                <w:sz w:val="18"/>
              </w:rPr>
              <w:t>[N+4]</w:t>
            </w:r>
          </w:p>
        </w:tc>
        <w:tc>
          <w:tcPr>
            <w:tcW w:w="1165" w:type="dxa"/>
          </w:tcPr>
          <w:p w14:paraId="721FB905" w14:textId="77777777" w:rsidR="008242AF" w:rsidRPr="009F4973" w:rsidRDefault="008242AF" w:rsidP="00E02A74">
            <w:pPr>
              <w:jc w:val="center"/>
            </w:pPr>
            <w:r w:rsidRPr="009F4973">
              <w:rPr>
                <w:sz w:val="18"/>
              </w:rPr>
              <w:t>[N+X]</w:t>
            </w:r>
          </w:p>
        </w:tc>
      </w:tr>
      <w:tr w:rsidR="008242AF" w:rsidRPr="009F4973" w14:paraId="2350261E" w14:textId="77777777" w:rsidTr="00E02A74">
        <w:trPr>
          <w:cantSplit/>
        </w:trPr>
        <w:tc>
          <w:tcPr>
            <w:tcW w:w="2074" w:type="dxa"/>
          </w:tcPr>
          <w:p w14:paraId="03A299AE" w14:textId="77777777" w:rsidR="008242AF" w:rsidRPr="009F4973" w:rsidRDefault="008242AF" w:rsidP="00E02A74">
            <w:pPr>
              <w:rPr>
                <w:sz w:val="20"/>
                <w:szCs w:val="20"/>
              </w:rPr>
            </w:pPr>
            <w:r w:rsidRPr="009F4973">
              <w:rPr>
                <w:sz w:val="20"/>
              </w:rPr>
              <w:t>Capitolul 12/articolul 120</w:t>
            </w:r>
          </w:p>
        </w:tc>
        <w:tc>
          <w:tcPr>
            <w:tcW w:w="1276" w:type="dxa"/>
          </w:tcPr>
          <w:p w14:paraId="0FEE49EF" w14:textId="77777777" w:rsidR="008242AF" w:rsidRPr="009F4973" w:rsidRDefault="008242AF" w:rsidP="00E02A74">
            <w:pPr>
              <w:jc w:val="center"/>
              <w:rPr>
                <w:sz w:val="20"/>
                <w:szCs w:val="20"/>
              </w:rPr>
            </w:pPr>
            <w:r w:rsidRPr="009F4973">
              <w:rPr>
                <w:sz w:val="20"/>
              </w:rPr>
              <w:t>3,5 miliarde EUR</w:t>
            </w:r>
          </w:p>
        </w:tc>
        <w:tc>
          <w:tcPr>
            <w:tcW w:w="1275" w:type="dxa"/>
          </w:tcPr>
          <w:p w14:paraId="4396FF42" w14:textId="77777777" w:rsidR="008242AF" w:rsidRPr="009F4973" w:rsidRDefault="008242AF" w:rsidP="00E02A74">
            <w:pPr>
              <w:jc w:val="center"/>
            </w:pPr>
            <w:r w:rsidRPr="009F4973">
              <w:rPr>
                <w:sz w:val="20"/>
              </w:rPr>
              <w:t>3,5 miliarde EUR</w:t>
            </w:r>
          </w:p>
        </w:tc>
        <w:tc>
          <w:tcPr>
            <w:tcW w:w="1276" w:type="dxa"/>
          </w:tcPr>
          <w:p w14:paraId="12CB71FA" w14:textId="77777777" w:rsidR="008242AF" w:rsidRPr="009F4973" w:rsidRDefault="008242AF" w:rsidP="00E02A74">
            <w:pPr>
              <w:jc w:val="center"/>
            </w:pPr>
            <w:r w:rsidRPr="009F4973">
              <w:rPr>
                <w:sz w:val="20"/>
              </w:rPr>
              <w:t>3,5 miliarde EUR</w:t>
            </w:r>
          </w:p>
        </w:tc>
        <w:tc>
          <w:tcPr>
            <w:tcW w:w="1276" w:type="dxa"/>
          </w:tcPr>
          <w:p w14:paraId="21E045FC" w14:textId="77777777" w:rsidR="008242AF" w:rsidRPr="009F4973" w:rsidRDefault="008242AF" w:rsidP="00E02A74">
            <w:pPr>
              <w:jc w:val="center"/>
            </w:pPr>
            <w:r w:rsidRPr="009F4973">
              <w:rPr>
                <w:sz w:val="20"/>
              </w:rPr>
              <w:t>3,5 miliarde EUR</w:t>
            </w:r>
          </w:p>
        </w:tc>
        <w:tc>
          <w:tcPr>
            <w:tcW w:w="1165" w:type="dxa"/>
          </w:tcPr>
          <w:p w14:paraId="33E996EF" w14:textId="77777777" w:rsidR="008242AF" w:rsidRPr="009F4973" w:rsidRDefault="008242AF" w:rsidP="00E02A74">
            <w:pPr>
              <w:jc w:val="center"/>
            </w:pPr>
            <w:r w:rsidRPr="009F4973">
              <w:rPr>
                <w:sz w:val="20"/>
              </w:rPr>
              <w:t>3,5 miliarde EUR</w:t>
            </w:r>
          </w:p>
        </w:tc>
      </w:tr>
    </w:tbl>
    <w:p w14:paraId="54D317D3" w14:textId="77777777" w:rsidR="008242AF" w:rsidRPr="009F4973" w:rsidRDefault="008242AF" w:rsidP="008242AF">
      <w:pPr>
        <w:rPr>
          <w:i/>
        </w:rPr>
      </w:pPr>
    </w:p>
    <w:p w14:paraId="4145EC11" w14:textId="77777777" w:rsidR="008242AF" w:rsidRPr="009F4973" w:rsidRDefault="008242AF" w:rsidP="008242AF">
      <w:pPr>
        <w:ind w:left="709" w:firstLine="11"/>
      </w:pPr>
      <w:r w:rsidRPr="009F4973">
        <w:rPr>
          <w:i/>
        </w:rPr>
        <w:t>(Numai în cazul veniturilor alocate, cu condiția ca linia bugetară să fie deja cunoscută):</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8242AF" w:rsidRPr="009F4973" w14:paraId="7F419B98" w14:textId="77777777" w:rsidTr="00E02A74">
        <w:trPr>
          <w:cantSplit/>
        </w:trPr>
        <w:tc>
          <w:tcPr>
            <w:tcW w:w="1129" w:type="pct"/>
          </w:tcPr>
          <w:p w14:paraId="327E3007" w14:textId="77777777" w:rsidR="008242AF" w:rsidRPr="009F4973" w:rsidRDefault="008242AF" w:rsidP="00E02A74">
            <w:r w:rsidRPr="009F4973">
              <w:rPr>
                <w:sz w:val="22"/>
              </w:rPr>
              <w:t>Linia bugetară de cheltuieli</w:t>
            </w:r>
            <w:r w:rsidRPr="009F4973">
              <w:rPr>
                <w:rStyle w:val="FootnoteReference"/>
                <w:sz w:val="22"/>
              </w:rPr>
              <w:footnoteReference w:id="6"/>
            </w:r>
          </w:p>
        </w:tc>
        <w:tc>
          <w:tcPr>
            <w:tcW w:w="2009" w:type="pct"/>
          </w:tcPr>
          <w:p w14:paraId="2E054CF1" w14:textId="77777777" w:rsidR="008242AF" w:rsidRPr="009F4973" w:rsidRDefault="008242AF" w:rsidP="00E02A74">
            <w:pPr>
              <w:jc w:val="center"/>
            </w:pPr>
            <w:r w:rsidRPr="009F4973">
              <w:rPr>
                <w:sz w:val="22"/>
              </w:rPr>
              <w:t>Anul N</w:t>
            </w:r>
          </w:p>
        </w:tc>
        <w:tc>
          <w:tcPr>
            <w:tcW w:w="1863" w:type="pct"/>
          </w:tcPr>
          <w:p w14:paraId="1C658F92" w14:textId="77777777" w:rsidR="008242AF" w:rsidRPr="009F4973" w:rsidRDefault="008242AF" w:rsidP="00E02A74">
            <w:pPr>
              <w:jc w:val="center"/>
            </w:pPr>
            <w:r w:rsidRPr="009F4973">
              <w:rPr>
                <w:snapToGrid w:val="0"/>
                <w:sz w:val="22"/>
              </w:rPr>
              <w:t>Anul N+1</w:t>
            </w:r>
          </w:p>
        </w:tc>
      </w:tr>
      <w:tr w:rsidR="008242AF" w:rsidRPr="009F4973" w14:paraId="41C85823" w14:textId="77777777" w:rsidTr="00E02A74">
        <w:trPr>
          <w:cantSplit/>
        </w:trPr>
        <w:tc>
          <w:tcPr>
            <w:tcW w:w="1129" w:type="pct"/>
          </w:tcPr>
          <w:p w14:paraId="12FB01F8" w14:textId="77777777" w:rsidR="008242AF" w:rsidRPr="009F4973" w:rsidRDefault="008242AF" w:rsidP="00E02A74">
            <w:pPr>
              <w:rPr>
                <w:sz w:val="20"/>
                <w:szCs w:val="20"/>
              </w:rPr>
            </w:pPr>
            <w:r w:rsidRPr="009F4973">
              <w:rPr>
                <w:sz w:val="20"/>
              </w:rPr>
              <w:t>Capitol/Articol/Post …</w:t>
            </w:r>
          </w:p>
        </w:tc>
        <w:tc>
          <w:tcPr>
            <w:tcW w:w="2009" w:type="pct"/>
          </w:tcPr>
          <w:p w14:paraId="4287425D" w14:textId="77777777" w:rsidR="008242AF" w:rsidRPr="009F4973" w:rsidRDefault="008242AF" w:rsidP="00E02A74">
            <w:pPr>
              <w:jc w:val="center"/>
            </w:pPr>
          </w:p>
        </w:tc>
        <w:tc>
          <w:tcPr>
            <w:tcW w:w="1863" w:type="pct"/>
          </w:tcPr>
          <w:p w14:paraId="5A09B742" w14:textId="77777777" w:rsidR="008242AF" w:rsidRPr="009F4973" w:rsidRDefault="008242AF" w:rsidP="00E02A74">
            <w:pPr>
              <w:jc w:val="center"/>
            </w:pPr>
          </w:p>
        </w:tc>
      </w:tr>
      <w:tr w:rsidR="008242AF" w:rsidRPr="009F4973" w14:paraId="50E67091" w14:textId="77777777" w:rsidTr="00E02A74">
        <w:trPr>
          <w:cantSplit/>
        </w:trPr>
        <w:tc>
          <w:tcPr>
            <w:tcW w:w="1129" w:type="pct"/>
          </w:tcPr>
          <w:p w14:paraId="3DEA058A" w14:textId="77777777" w:rsidR="008242AF" w:rsidRPr="009F4973" w:rsidRDefault="008242AF" w:rsidP="00E02A74">
            <w:pPr>
              <w:rPr>
                <w:sz w:val="20"/>
                <w:szCs w:val="20"/>
              </w:rPr>
            </w:pPr>
            <w:r w:rsidRPr="009F4973">
              <w:rPr>
                <w:sz w:val="20"/>
              </w:rPr>
              <w:t>Capitol/Articol/Post …</w:t>
            </w:r>
          </w:p>
        </w:tc>
        <w:tc>
          <w:tcPr>
            <w:tcW w:w="2009" w:type="pct"/>
          </w:tcPr>
          <w:p w14:paraId="55E35C45" w14:textId="77777777" w:rsidR="008242AF" w:rsidRPr="009F4973" w:rsidRDefault="008242AF" w:rsidP="00E02A74">
            <w:pPr>
              <w:jc w:val="center"/>
            </w:pPr>
          </w:p>
        </w:tc>
        <w:tc>
          <w:tcPr>
            <w:tcW w:w="1863" w:type="pct"/>
          </w:tcPr>
          <w:p w14:paraId="0E579471" w14:textId="77777777" w:rsidR="008242AF" w:rsidRPr="009F4973" w:rsidRDefault="008242AF" w:rsidP="00E02A74">
            <w:pPr>
              <w:jc w:val="center"/>
            </w:pPr>
          </w:p>
        </w:tc>
      </w:tr>
    </w:tbl>
    <w:p w14:paraId="33794963" w14:textId="77777777" w:rsidR="008242AF" w:rsidRPr="009F4973" w:rsidRDefault="008242AF" w:rsidP="008242AF">
      <w:pPr>
        <w:pStyle w:val="Text1"/>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8242AF" w:rsidRPr="009F4973" w14:paraId="31752D11" w14:textId="77777777" w:rsidTr="00E02A74">
        <w:trPr>
          <w:cantSplit/>
        </w:trPr>
        <w:tc>
          <w:tcPr>
            <w:tcW w:w="1790" w:type="dxa"/>
          </w:tcPr>
          <w:p w14:paraId="4F012538" w14:textId="77777777" w:rsidR="008242AF" w:rsidRPr="009F4973" w:rsidRDefault="008242AF" w:rsidP="00E02A74">
            <w:pPr>
              <w:jc w:val="center"/>
              <w:rPr>
                <w:sz w:val="18"/>
              </w:rPr>
            </w:pPr>
            <w:r w:rsidRPr="009F4973">
              <w:rPr>
                <w:sz w:val="22"/>
              </w:rPr>
              <w:t>Linia bugetară de cheltuieli</w:t>
            </w:r>
          </w:p>
        </w:tc>
        <w:tc>
          <w:tcPr>
            <w:tcW w:w="1440" w:type="dxa"/>
          </w:tcPr>
          <w:p w14:paraId="79FDAF68" w14:textId="77777777" w:rsidR="008242AF" w:rsidRPr="009F4973" w:rsidRDefault="008242AF" w:rsidP="00E02A74">
            <w:pPr>
              <w:jc w:val="center"/>
            </w:pPr>
            <w:r w:rsidRPr="009F4973">
              <w:rPr>
                <w:sz w:val="18"/>
              </w:rPr>
              <w:t>[N+2]</w:t>
            </w:r>
          </w:p>
        </w:tc>
        <w:tc>
          <w:tcPr>
            <w:tcW w:w="1260" w:type="dxa"/>
          </w:tcPr>
          <w:p w14:paraId="143F0F5C" w14:textId="77777777" w:rsidR="008242AF" w:rsidRPr="009F4973" w:rsidRDefault="008242AF" w:rsidP="00E02A74">
            <w:pPr>
              <w:jc w:val="center"/>
            </w:pPr>
            <w:r w:rsidRPr="009F4973">
              <w:rPr>
                <w:sz w:val="18"/>
              </w:rPr>
              <w:t>[N+3]</w:t>
            </w:r>
          </w:p>
        </w:tc>
        <w:tc>
          <w:tcPr>
            <w:tcW w:w="1440" w:type="dxa"/>
          </w:tcPr>
          <w:p w14:paraId="523D0986" w14:textId="77777777" w:rsidR="008242AF" w:rsidRPr="009F4973" w:rsidRDefault="008242AF" w:rsidP="00E02A74">
            <w:pPr>
              <w:jc w:val="center"/>
            </w:pPr>
            <w:r w:rsidRPr="009F4973">
              <w:rPr>
                <w:sz w:val="18"/>
              </w:rPr>
              <w:t>[N+4]</w:t>
            </w:r>
          </w:p>
        </w:tc>
        <w:tc>
          <w:tcPr>
            <w:tcW w:w="1440" w:type="dxa"/>
          </w:tcPr>
          <w:p w14:paraId="0AA33000" w14:textId="77777777" w:rsidR="008242AF" w:rsidRPr="009F4973" w:rsidRDefault="008242AF" w:rsidP="00E02A74">
            <w:pPr>
              <w:jc w:val="center"/>
            </w:pPr>
            <w:r w:rsidRPr="009F4973">
              <w:rPr>
                <w:sz w:val="18"/>
              </w:rPr>
              <w:t>[N+5]</w:t>
            </w:r>
          </w:p>
        </w:tc>
      </w:tr>
      <w:tr w:rsidR="008242AF" w:rsidRPr="009F4973" w14:paraId="61250322" w14:textId="77777777" w:rsidTr="00E02A74">
        <w:trPr>
          <w:cantSplit/>
        </w:trPr>
        <w:tc>
          <w:tcPr>
            <w:tcW w:w="1790" w:type="dxa"/>
          </w:tcPr>
          <w:p w14:paraId="774EC06F" w14:textId="77777777" w:rsidR="008242AF" w:rsidRPr="009F4973" w:rsidRDefault="008242AF" w:rsidP="00E02A74">
            <w:pPr>
              <w:rPr>
                <w:sz w:val="20"/>
                <w:szCs w:val="20"/>
              </w:rPr>
            </w:pPr>
            <w:r w:rsidRPr="009F4973">
              <w:rPr>
                <w:sz w:val="20"/>
              </w:rPr>
              <w:t>Capitol/Articol/Post …</w:t>
            </w:r>
          </w:p>
        </w:tc>
        <w:tc>
          <w:tcPr>
            <w:tcW w:w="1440" w:type="dxa"/>
          </w:tcPr>
          <w:p w14:paraId="23396BAB" w14:textId="77777777" w:rsidR="008242AF" w:rsidRPr="009F4973" w:rsidRDefault="008242AF" w:rsidP="00E02A74">
            <w:pPr>
              <w:jc w:val="center"/>
            </w:pPr>
          </w:p>
        </w:tc>
        <w:tc>
          <w:tcPr>
            <w:tcW w:w="1260" w:type="dxa"/>
          </w:tcPr>
          <w:p w14:paraId="6CE45702" w14:textId="77777777" w:rsidR="008242AF" w:rsidRPr="009F4973" w:rsidRDefault="008242AF" w:rsidP="00E02A74">
            <w:pPr>
              <w:jc w:val="center"/>
            </w:pPr>
          </w:p>
        </w:tc>
        <w:tc>
          <w:tcPr>
            <w:tcW w:w="1440" w:type="dxa"/>
          </w:tcPr>
          <w:p w14:paraId="0EEAEA68" w14:textId="77777777" w:rsidR="008242AF" w:rsidRPr="009F4973" w:rsidRDefault="008242AF" w:rsidP="00E02A74">
            <w:pPr>
              <w:jc w:val="center"/>
            </w:pPr>
          </w:p>
        </w:tc>
        <w:tc>
          <w:tcPr>
            <w:tcW w:w="1440" w:type="dxa"/>
          </w:tcPr>
          <w:p w14:paraId="652F42DD" w14:textId="77777777" w:rsidR="008242AF" w:rsidRPr="009F4973" w:rsidRDefault="008242AF" w:rsidP="00E02A74">
            <w:pPr>
              <w:jc w:val="center"/>
            </w:pPr>
          </w:p>
        </w:tc>
      </w:tr>
      <w:tr w:rsidR="008242AF" w:rsidRPr="009F4973" w14:paraId="09757A54" w14:textId="77777777" w:rsidTr="00E02A74">
        <w:trPr>
          <w:cantSplit/>
        </w:trPr>
        <w:tc>
          <w:tcPr>
            <w:tcW w:w="1790" w:type="dxa"/>
          </w:tcPr>
          <w:p w14:paraId="63F609F0" w14:textId="77777777" w:rsidR="008242AF" w:rsidRPr="009F4973" w:rsidRDefault="008242AF" w:rsidP="00E02A74">
            <w:pPr>
              <w:rPr>
                <w:sz w:val="20"/>
                <w:szCs w:val="20"/>
              </w:rPr>
            </w:pPr>
            <w:r w:rsidRPr="009F4973">
              <w:rPr>
                <w:sz w:val="20"/>
              </w:rPr>
              <w:t>Capitol/Articol/Post …</w:t>
            </w:r>
          </w:p>
        </w:tc>
        <w:tc>
          <w:tcPr>
            <w:tcW w:w="1440" w:type="dxa"/>
          </w:tcPr>
          <w:p w14:paraId="70E82D2D" w14:textId="77777777" w:rsidR="008242AF" w:rsidRPr="009F4973" w:rsidRDefault="008242AF" w:rsidP="00E02A74">
            <w:pPr>
              <w:jc w:val="center"/>
            </w:pPr>
          </w:p>
        </w:tc>
        <w:tc>
          <w:tcPr>
            <w:tcW w:w="1260" w:type="dxa"/>
          </w:tcPr>
          <w:p w14:paraId="161A1442" w14:textId="77777777" w:rsidR="008242AF" w:rsidRPr="009F4973" w:rsidRDefault="008242AF" w:rsidP="00E02A74">
            <w:pPr>
              <w:jc w:val="center"/>
            </w:pPr>
          </w:p>
        </w:tc>
        <w:tc>
          <w:tcPr>
            <w:tcW w:w="1440" w:type="dxa"/>
          </w:tcPr>
          <w:p w14:paraId="0187D3AA" w14:textId="77777777" w:rsidR="008242AF" w:rsidRPr="009F4973" w:rsidRDefault="008242AF" w:rsidP="00E02A74">
            <w:pPr>
              <w:jc w:val="center"/>
            </w:pPr>
          </w:p>
        </w:tc>
        <w:tc>
          <w:tcPr>
            <w:tcW w:w="1440" w:type="dxa"/>
          </w:tcPr>
          <w:p w14:paraId="52CFD043" w14:textId="77777777" w:rsidR="008242AF" w:rsidRPr="009F4973" w:rsidRDefault="008242AF" w:rsidP="00E02A74">
            <w:pPr>
              <w:jc w:val="center"/>
            </w:pPr>
          </w:p>
        </w:tc>
      </w:tr>
    </w:tbl>
    <w:p w14:paraId="626A723D" w14:textId="77777777" w:rsidR="008242AF" w:rsidRPr="009F4973" w:rsidRDefault="008242AF" w:rsidP="008242AF">
      <w:pPr>
        <w:pStyle w:val="ManualHeading1"/>
        <w:rPr>
          <w:bCs/>
        </w:rPr>
      </w:pPr>
      <w:r w:rsidRPr="009F4973">
        <w:t>4.</w:t>
      </w:r>
      <w:r w:rsidRPr="009F4973">
        <w:tab/>
        <w:t>MĂSURI ANTIFRAUDĂ</w:t>
      </w:r>
    </w:p>
    <w:p w14:paraId="28AD6A66" w14:textId="77777777" w:rsidR="008242AF" w:rsidRPr="009F4973" w:rsidRDefault="008242AF" w:rsidP="008242AF">
      <w:pPr>
        <w:pStyle w:val="ManualHeading1"/>
        <w:rPr>
          <w:bCs/>
        </w:rPr>
      </w:pPr>
      <w:r w:rsidRPr="009F4973">
        <w:t>5.</w:t>
      </w:r>
      <w:r w:rsidRPr="009F4973">
        <w:tab/>
        <w:t>ALTE OBSERVAȚII</w:t>
      </w:r>
    </w:p>
    <w:p w14:paraId="1FD79589" w14:textId="77777777" w:rsidR="008242AF" w:rsidRPr="009F4973" w:rsidRDefault="008242AF" w:rsidP="008242AF">
      <w:pPr>
        <w:pStyle w:val="Text1"/>
        <w:ind w:left="0"/>
      </w:pPr>
      <w:r w:rsidRPr="009F4973">
        <w:t xml:space="preserve">Propunerea nu implică costuri (cheltuieli) suplimentare de la bugetul UE. </w:t>
      </w:r>
    </w:p>
    <w:p w14:paraId="2C907160" w14:textId="77777777" w:rsidR="008242AF" w:rsidRPr="009F4973" w:rsidRDefault="008242AF" w:rsidP="008242AF">
      <w:r w:rsidRPr="009F4973">
        <w:t>Acordul de liber schimb va avea un impact financiar asupra bugetului UE pe partea de venituri. Se estimează că taxele la care se renunță ar putea fi între 3,3 și 3,6 miliarde EUR pe an după punerea în aplicare completă a acordului. Estimarea se bazează pe importurile medii preconizate pentru 2030 în absența unui ALS.</w:t>
      </w:r>
    </w:p>
    <w:p w14:paraId="7F96A2BF" w14:textId="7EDDD90C" w:rsidR="000B45DF" w:rsidRPr="009F4973" w:rsidRDefault="008242AF" w:rsidP="00F7426A">
      <w:pPr>
        <w:pStyle w:val="Text1"/>
        <w:ind w:left="0"/>
      </w:pPr>
      <w:r w:rsidRPr="009F4973">
        <w:t>Se preconizează efecte pozitive indirecte ca urmare a sporirii resurselor legate de taxa pe valoarea adăugată și de venitul național brut.</w:t>
      </w:r>
    </w:p>
    <w:sectPr w:rsidR="000B45DF" w:rsidRPr="009F4973" w:rsidSect="00270204">
      <w:headerReference w:type="even" r:id="rId25"/>
      <w:footerReference w:type="even" r:id="rId26"/>
      <w:headerReference w:type="first" r:id="rId27"/>
      <w:footerReference w:type="first" r:id="rId28"/>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3452" w14:textId="77777777" w:rsidR="00374AB5" w:rsidRPr="009F4973" w:rsidRDefault="00374AB5" w:rsidP="00896269">
      <w:pPr>
        <w:spacing w:before="0" w:after="0"/>
      </w:pPr>
      <w:r w:rsidRPr="009F4973">
        <w:separator/>
      </w:r>
    </w:p>
  </w:endnote>
  <w:endnote w:type="continuationSeparator" w:id="0">
    <w:p w14:paraId="59A7E7D6" w14:textId="77777777" w:rsidR="00374AB5" w:rsidRPr="009F4973" w:rsidRDefault="00374AB5" w:rsidP="00896269">
      <w:pPr>
        <w:spacing w:before="0" w:after="0"/>
      </w:pPr>
      <w:r w:rsidRPr="009F4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866C" w14:textId="10E57C20" w:rsidR="00270204" w:rsidRPr="00270204" w:rsidRDefault="00270204" w:rsidP="00270204">
    <w:pPr>
      <w:pStyle w:val="Footer"/>
      <w:rPr>
        <w:rFonts w:ascii="Arial" w:hAnsi="Arial" w:cs="Arial"/>
        <w:b/>
        <w:sz w:val="48"/>
      </w:rPr>
    </w:pPr>
    <w:r w:rsidRPr="00270204">
      <w:rPr>
        <w:rFonts w:ascii="Arial" w:hAnsi="Arial" w:cs="Arial"/>
        <w:b/>
        <w:sz w:val="48"/>
      </w:rPr>
      <w:t>RO</w:t>
    </w:r>
    <w:r w:rsidRPr="00270204">
      <w:rPr>
        <w:rFonts w:ascii="Arial" w:hAnsi="Arial" w:cs="Arial"/>
        <w:b/>
        <w:sz w:val="48"/>
      </w:rPr>
      <w:tab/>
    </w:r>
    <w:r w:rsidRPr="00270204">
      <w:rPr>
        <w:rFonts w:ascii="Arial" w:hAnsi="Arial" w:cs="Arial"/>
        <w:b/>
        <w:sz w:val="48"/>
      </w:rPr>
      <w:tab/>
    </w:r>
    <w:r w:rsidRPr="00270204">
      <w:tab/>
    </w:r>
    <w:r w:rsidRPr="002702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3613" w14:textId="54490953" w:rsidR="00270204" w:rsidRPr="00270204" w:rsidRDefault="00270204" w:rsidP="00270204">
    <w:pPr>
      <w:pStyle w:val="Footer"/>
      <w:rPr>
        <w:rFonts w:ascii="Arial" w:hAnsi="Arial" w:cs="Arial"/>
        <w:b/>
        <w:sz w:val="48"/>
      </w:rPr>
    </w:pPr>
    <w:r w:rsidRPr="00270204">
      <w:rPr>
        <w:rFonts w:ascii="Arial" w:hAnsi="Arial" w:cs="Arial"/>
        <w:b/>
        <w:sz w:val="48"/>
      </w:rPr>
      <w:t>RO</w:t>
    </w:r>
    <w:r w:rsidRPr="00270204">
      <w:rPr>
        <w:rFonts w:ascii="Arial" w:hAnsi="Arial" w:cs="Arial"/>
        <w:b/>
        <w:sz w:val="48"/>
      </w:rPr>
      <w:tab/>
    </w:r>
    <w:r w:rsidRPr="00270204">
      <w:rPr>
        <w:rFonts w:ascii="Arial" w:hAnsi="Arial" w:cs="Arial"/>
        <w:b/>
        <w:sz w:val="48"/>
      </w:rPr>
      <w:tab/>
    </w:r>
    <w:r w:rsidRPr="00270204">
      <w:tab/>
    </w:r>
    <w:r w:rsidRPr="002702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63AF" w14:textId="77777777" w:rsidR="00270204" w:rsidRPr="00270204" w:rsidRDefault="00270204" w:rsidP="002702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E9B0" w14:textId="77777777" w:rsidR="009F3B6E" w:rsidRPr="009F4973" w:rsidRDefault="009F3B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3072" w14:textId="64A98D9D" w:rsidR="00270204" w:rsidRPr="00270204" w:rsidRDefault="00270204" w:rsidP="00270204">
    <w:pPr>
      <w:pStyle w:val="Footer"/>
      <w:rPr>
        <w:rFonts w:ascii="Arial" w:hAnsi="Arial" w:cs="Arial"/>
        <w:b/>
        <w:sz w:val="48"/>
      </w:rPr>
    </w:pPr>
    <w:r w:rsidRPr="00270204">
      <w:rPr>
        <w:rFonts w:ascii="Arial" w:hAnsi="Arial" w:cs="Arial"/>
        <w:b/>
        <w:sz w:val="48"/>
      </w:rPr>
      <w:t>RO</w:t>
    </w:r>
    <w:r w:rsidRPr="0027020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270204">
      <w:tab/>
    </w:r>
    <w:r w:rsidRPr="0027020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C24B" w14:textId="77777777" w:rsidR="009F3B6E" w:rsidRPr="009F4973" w:rsidRDefault="009F3B6E" w:rsidP="002702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958E" w14:textId="77777777" w:rsidR="008242AF" w:rsidRPr="009F4973" w:rsidRDefault="008242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923E" w14:textId="77777777" w:rsidR="008242AF" w:rsidRPr="009F4973" w:rsidRDefault="008242AF" w:rsidP="009F3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D1F0" w14:textId="77777777" w:rsidR="00374AB5" w:rsidRPr="009F4973" w:rsidRDefault="00374AB5" w:rsidP="00896269">
      <w:pPr>
        <w:spacing w:before="0" w:after="0"/>
      </w:pPr>
      <w:r w:rsidRPr="009F4973">
        <w:separator/>
      </w:r>
    </w:p>
  </w:footnote>
  <w:footnote w:type="continuationSeparator" w:id="0">
    <w:p w14:paraId="342C890F" w14:textId="77777777" w:rsidR="00374AB5" w:rsidRPr="009F4973" w:rsidRDefault="00374AB5" w:rsidP="00896269">
      <w:pPr>
        <w:spacing w:before="0" w:after="0"/>
      </w:pPr>
      <w:r w:rsidRPr="009F4973">
        <w:continuationSeparator/>
      </w:r>
    </w:p>
  </w:footnote>
  <w:footnote w:id="1">
    <w:p w14:paraId="048D1371" w14:textId="77777777" w:rsidR="000846A2" w:rsidRPr="009F4973" w:rsidRDefault="000846A2">
      <w:pPr>
        <w:pStyle w:val="FootnoteText"/>
      </w:pPr>
      <w:r w:rsidRPr="009F4973">
        <w:rPr>
          <w:rStyle w:val="FootnoteReference"/>
        </w:rPr>
        <w:footnoteRef/>
      </w:r>
      <w:r w:rsidRPr="009F4973">
        <w:tab/>
        <w:t>JO C, , p. .</w:t>
      </w:r>
    </w:p>
  </w:footnote>
  <w:footnote w:id="2">
    <w:p w14:paraId="332F92D2" w14:textId="77777777" w:rsidR="009849DA" w:rsidRPr="009F4973" w:rsidRDefault="009849DA">
      <w:pPr>
        <w:pStyle w:val="FootnoteText"/>
      </w:pPr>
      <w:r w:rsidRPr="009F4973">
        <w:rPr>
          <w:rStyle w:val="FootnoteReference"/>
        </w:rPr>
        <w:footnoteRef/>
      </w:r>
      <w:r w:rsidRPr="009F4973">
        <w:tab/>
        <w:t>[A se introduce trimiterea].</w:t>
      </w:r>
    </w:p>
  </w:footnote>
  <w:footnote w:id="3">
    <w:p w14:paraId="432041AE" w14:textId="77777777" w:rsidR="00FC0709" w:rsidRPr="009F4973" w:rsidRDefault="00FC0709" w:rsidP="00FC0709">
      <w:pPr>
        <w:pStyle w:val="FootnoteText"/>
      </w:pPr>
      <w:r w:rsidRPr="009F4973">
        <w:rPr>
          <w:rStyle w:val="FootnoteReference"/>
        </w:rPr>
        <w:footnoteRef/>
      </w:r>
      <w:r w:rsidRPr="009F4973">
        <w:tab/>
        <w:t xml:space="preserve">Data intrării în vigoare a acordului va fi publicată în </w:t>
      </w:r>
      <w:r w:rsidRPr="009F4973">
        <w:rPr>
          <w:i/>
          <w:iCs/>
        </w:rPr>
        <w:t>Jurnalul Oficial al Uniunii Europene</w:t>
      </w:r>
      <w:r w:rsidRPr="009F4973">
        <w:t>.</w:t>
      </w:r>
    </w:p>
  </w:footnote>
  <w:footnote w:id="4">
    <w:p w14:paraId="1B0D9A03" w14:textId="77777777" w:rsidR="008242AF" w:rsidRPr="009F4973" w:rsidRDefault="008242AF" w:rsidP="008242AF">
      <w:pPr>
        <w:pStyle w:val="FootnoteText"/>
      </w:pPr>
      <w:r w:rsidRPr="009F4973">
        <w:rPr>
          <w:rStyle w:val="FootnoteReference"/>
        </w:rPr>
        <w:footnoteRef/>
      </w:r>
      <w:r w:rsidRPr="009F4973">
        <w:tab/>
        <w:t>Sumele pe an trebuie să fie estimate pe baza formulei sau a metodei definite la punctul 5. Pentru primul an, suma anuală se plătește de obicei fără o reducere sau o cotă-parte proporțională.</w:t>
      </w:r>
    </w:p>
  </w:footnote>
  <w:footnote w:id="5">
    <w:p w14:paraId="73DA3556" w14:textId="77777777" w:rsidR="008242AF" w:rsidRPr="009F4973" w:rsidRDefault="008242AF" w:rsidP="008242AF">
      <w:pPr>
        <w:pStyle w:val="FootnoteText"/>
      </w:pPr>
      <w:r w:rsidRPr="009F4973">
        <w:rPr>
          <w:rStyle w:val="FootnoteReference"/>
        </w:rPr>
        <w:footnoteRef/>
      </w:r>
      <w:r w:rsidRPr="009F4973">
        <w:tab/>
        <w:t>Sumele indicate sunt taxe vamale (sume brute). În ceea ce privește resursele proprii tradiționale corespunzătoare datorate bugetului UE, costurile de colectare trebuie deduse [25 % reținut de statele membre până în 2027 inclusiv și 10 % ulterior, astfel cum se propune în COM(2025)574].</w:t>
      </w:r>
    </w:p>
  </w:footnote>
  <w:footnote w:id="6">
    <w:p w14:paraId="153D12B0" w14:textId="77777777" w:rsidR="008242AF" w:rsidRDefault="008242AF" w:rsidP="008242AF">
      <w:pPr>
        <w:pStyle w:val="FootnoteText"/>
      </w:pPr>
      <w:r w:rsidRPr="009F4973">
        <w:rPr>
          <w:rStyle w:val="FootnoteReference"/>
        </w:rPr>
        <w:footnoteRef/>
      </w:r>
      <w:r w:rsidRPr="009F4973">
        <w:tab/>
        <w:t>A se utiliza doar dacă este necesar.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0758" w14:textId="77777777" w:rsidR="00270204" w:rsidRPr="00270204" w:rsidRDefault="00270204" w:rsidP="00270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7190" w14:textId="77777777" w:rsidR="00270204" w:rsidRPr="00270204" w:rsidRDefault="00270204" w:rsidP="002702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2AF0" w14:textId="77777777" w:rsidR="00270204" w:rsidRPr="00270204" w:rsidRDefault="00270204" w:rsidP="002702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06C2" w14:textId="77777777" w:rsidR="009F3B6E" w:rsidRPr="009F4973" w:rsidRDefault="009F3B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3458" w14:textId="77777777" w:rsidR="009F3B6E" w:rsidRPr="009F4973" w:rsidRDefault="009F3B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B9E2" w14:textId="77777777" w:rsidR="008242AF" w:rsidRPr="009F4973" w:rsidRDefault="008242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127E" w14:textId="77777777" w:rsidR="008242AF" w:rsidRPr="009F4973" w:rsidRDefault="00824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8D481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04C3C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20C4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AEC9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204440198">
    <w:abstractNumId w:val="3"/>
  </w:num>
  <w:num w:numId="2" w16cid:durableId="2043507327">
    <w:abstractNumId w:val="2"/>
  </w:num>
  <w:num w:numId="3" w16cid:durableId="150683952">
    <w:abstractNumId w:val="1"/>
  </w:num>
  <w:num w:numId="4" w16cid:durableId="1268345614">
    <w:abstractNumId w:val="0"/>
  </w:num>
  <w:num w:numId="5" w16cid:durableId="770778672">
    <w:abstractNumId w:val="16"/>
    <w:lvlOverride w:ilvl="0">
      <w:startOverride w:val="1"/>
    </w:lvlOverride>
  </w:num>
  <w:num w:numId="6" w16cid:durableId="1393458254">
    <w:abstractNumId w:val="4"/>
  </w:num>
  <w:num w:numId="7" w16cid:durableId="1941140053">
    <w:abstractNumId w:val="12"/>
  </w:num>
  <w:num w:numId="8" w16cid:durableId="1861619795">
    <w:abstractNumId w:val="21"/>
  </w:num>
  <w:num w:numId="9" w16cid:durableId="2109426330">
    <w:abstractNumId w:val="20"/>
  </w:num>
  <w:num w:numId="10" w16cid:durableId="1065495280">
    <w:abstractNumId w:val="29"/>
  </w:num>
  <w:num w:numId="11" w16cid:durableId="519125349">
    <w:abstractNumId w:val="5"/>
  </w:num>
  <w:num w:numId="12" w16cid:durableId="1812016627">
    <w:abstractNumId w:val="14"/>
  </w:num>
  <w:num w:numId="13" w16cid:durableId="1404178577">
    <w:abstractNumId w:val="6"/>
  </w:num>
  <w:num w:numId="14" w16cid:durableId="22247609">
    <w:abstractNumId w:val="15"/>
  </w:num>
  <w:num w:numId="15" w16cid:durableId="1389308039">
    <w:abstractNumId w:val="13"/>
  </w:num>
  <w:num w:numId="16" w16cid:durableId="1707172163">
    <w:abstractNumId w:val="22"/>
  </w:num>
  <w:num w:numId="17" w16cid:durableId="897284875">
    <w:abstractNumId w:val="11"/>
  </w:num>
  <w:num w:numId="18" w16cid:durableId="747386487">
    <w:abstractNumId w:val="16"/>
  </w:num>
  <w:num w:numId="19" w16cid:durableId="2089693441">
    <w:abstractNumId w:val="26"/>
  </w:num>
  <w:num w:numId="20" w16cid:durableId="1693998065">
    <w:abstractNumId w:val="16"/>
  </w:num>
  <w:num w:numId="21" w16cid:durableId="788817884">
    <w:abstractNumId w:val="28"/>
  </w:num>
  <w:num w:numId="22" w16cid:durableId="1535464848">
    <w:abstractNumId w:val="10"/>
  </w:num>
  <w:num w:numId="23" w16cid:durableId="639657071">
    <w:abstractNumId w:val="17"/>
  </w:num>
  <w:num w:numId="24" w16cid:durableId="361050661">
    <w:abstractNumId w:val="18"/>
  </w:num>
  <w:num w:numId="25" w16cid:durableId="472790552">
    <w:abstractNumId w:val="8"/>
  </w:num>
  <w:num w:numId="26" w16cid:durableId="384646725">
    <w:abstractNumId w:val="27"/>
  </w:num>
  <w:num w:numId="27" w16cid:durableId="2031682509">
    <w:abstractNumId w:val="7"/>
  </w:num>
  <w:num w:numId="28" w16cid:durableId="150604668">
    <w:abstractNumId w:val="19"/>
  </w:num>
  <w:num w:numId="29" w16cid:durableId="472332852">
    <w:abstractNumId w:val="24"/>
  </w:num>
  <w:num w:numId="30" w16cid:durableId="1298296966">
    <w:abstractNumId w:val="25"/>
  </w:num>
  <w:num w:numId="31" w16cid:durableId="1306230484">
    <w:abstractNumId w:val="9"/>
  </w:num>
  <w:num w:numId="32" w16cid:durableId="24066917">
    <w:abstractNumId w:val="23"/>
  </w:num>
  <w:num w:numId="33" w16cid:durableId="48543658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6:05: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142A133-AF4F-4ABE-84F4-B1B07837BC27"/>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77"/>
    <w:docVar w:name="LW_REF.II.NEW.CP_YEAR" w:val="2026"/>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e liber schimb dintre Uniunea European\u259? \u537?i Republica India"/>
    <w:docVar w:name="LW_TYPE.DOC.CP" w:val="DECIZIE A CONSILIULUI"/>
    <w:docVar w:name="LwApiVersions" w:val="LW4CoDe 1.24.5.0; LW 9.2, Build 20251112"/>
  </w:docVars>
  <w:rsids>
    <w:rsidRoot w:val="00896269"/>
    <w:rsid w:val="00003C9B"/>
    <w:rsid w:val="000073CD"/>
    <w:rsid w:val="00014572"/>
    <w:rsid w:val="00017590"/>
    <w:rsid w:val="00022022"/>
    <w:rsid w:val="00022FAC"/>
    <w:rsid w:val="00023C33"/>
    <w:rsid w:val="00025F0C"/>
    <w:rsid w:val="000308B8"/>
    <w:rsid w:val="0003102C"/>
    <w:rsid w:val="000333EF"/>
    <w:rsid w:val="0003374B"/>
    <w:rsid w:val="00036664"/>
    <w:rsid w:val="000520E3"/>
    <w:rsid w:val="00062327"/>
    <w:rsid w:val="0006629C"/>
    <w:rsid w:val="0007473D"/>
    <w:rsid w:val="00083856"/>
    <w:rsid w:val="000846A2"/>
    <w:rsid w:val="00090EA5"/>
    <w:rsid w:val="000B45DF"/>
    <w:rsid w:val="000B4ECE"/>
    <w:rsid w:val="000B7A89"/>
    <w:rsid w:val="000C20CD"/>
    <w:rsid w:val="000D121A"/>
    <w:rsid w:val="000D6B34"/>
    <w:rsid w:val="000D731D"/>
    <w:rsid w:val="000E1A3A"/>
    <w:rsid w:val="000E36DC"/>
    <w:rsid w:val="000E67D5"/>
    <w:rsid w:val="000F14AD"/>
    <w:rsid w:val="000F37FC"/>
    <w:rsid w:val="0010545D"/>
    <w:rsid w:val="001065F5"/>
    <w:rsid w:val="00106A34"/>
    <w:rsid w:val="00117B80"/>
    <w:rsid w:val="00122ECC"/>
    <w:rsid w:val="001238EF"/>
    <w:rsid w:val="00124906"/>
    <w:rsid w:val="00132392"/>
    <w:rsid w:val="00134283"/>
    <w:rsid w:val="0015379E"/>
    <w:rsid w:val="0015728C"/>
    <w:rsid w:val="00157705"/>
    <w:rsid w:val="00160125"/>
    <w:rsid w:val="00160BF4"/>
    <w:rsid w:val="00165CD8"/>
    <w:rsid w:val="00171FC6"/>
    <w:rsid w:val="00175E1A"/>
    <w:rsid w:val="0018401B"/>
    <w:rsid w:val="001853F8"/>
    <w:rsid w:val="00186F57"/>
    <w:rsid w:val="00193A64"/>
    <w:rsid w:val="00193CAA"/>
    <w:rsid w:val="00197613"/>
    <w:rsid w:val="001A22BB"/>
    <w:rsid w:val="001A34F3"/>
    <w:rsid w:val="001B1ECA"/>
    <w:rsid w:val="001C14ED"/>
    <w:rsid w:val="001C16D8"/>
    <w:rsid w:val="001C2E22"/>
    <w:rsid w:val="001C37AE"/>
    <w:rsid w:val="001C4767"/>
    <w:rsid w:val="001C4A8A"/>
    <w:rsid w:val="001C4C3E"/>
    <w:rsid w:val="001D5C27"/>
    <w:rsid w:val="001D6559"/>
    <w:rsid w:val="001E1B15"/>
    <w:rsid w:val="001E2A33"/>
    <w:rsid w:val="001E3393"/>
    <w:rsid w:val="001E69B2"/>
    <w:rsid w:val="001E7E07"/>
    <w:rsid w:val="001F0201"/>
    <w:rsid w:val="001F41A0"/>
    <w:rsid w:val="00200FCE"/>
    <w:rsid w:val="00203055"/>
    <w:rsid w:val="00207474"/>
    <w:rsid w:val="002146AA"/>
    <w:rsid w:val="00223FF4"/>
    <w:rsid w:val="002257BF"/>
    <w:rsid w:val="00233DC7"/>
    <w:rsid w:val="00233FD7"/>
    <w:rsid w:val="00235616"/>
    <w:rsid w:val="00235BFC"/>
    <w:rsid w:val="002424F8"/>
    <w:rsid w:val="00244842"/>
    <w:rsid w:val="00245757"/>
    <w:rsid w:val="00247779"/>
    <w:rsid w:val="00251484"/>
    <w:rsid w:val="00252EA4"/>
    <w:rsid w:val="002551C8"/>
    <w:rsid w:val="00256D54"/>
    <w:rsid w:val="00261E6E"/>
    <w:rsid w:val="00265F51"/>
    <w:rsid w:val="00267571"/>
    <w:rsid w:val="00267856"/>
    <w:rsid w:val="00270204"/>
    <w:rsid w:val="0027494C"/>
    <w:rsid w:val="00275DA4"/>
    <w:rsid w:val="00284567"/>
    <w:rsid w:val="00285BEE"/>
    <w:rsid w:val="002926D4"/>
    <w:rsid w:val="0029533F"/>
    <w:rsid w:val="002A13C0"/>
    <w:rsid w:val="002A5E09"/>
    <w:rsid w:val="002A721E"/>
    <w:rsid w:val="002B30AF"/>
    <w:rsid w:val="002B463B"/>
    <w:rsid w:val="002C3A60"/>
    <w:rsid w:val="002C516E"/>
    <w:rsid w:val="002D4BAF"/>
    <w:rsid w:val="002D78A4"/>
    <w:rsid w:val="002D7D58"/>
    <w:rsid w:val="002E0BD7"/>
    <w:rsid w:val="002E3F2E"/>
    <w:rsid w:val="002F10C1"/>
    <w:rsid w:val="00301C10"/>
    <w:rsid w:val="003120B0"/>
    <w:rsid w:val="0032068D"/>
    <w:rsid w:val="003232BB"/>
    <w:rsid w:val="00323599"/>
    <w:rsid w:val="0033077E"/>
    <w:rsid w:val="0033344A"/>
    <w:rsid w:val="00343E78"/>
    <w:rsid w:val="003517B3"/>
    <w:rsid w:val="003526B2"/>
    <w:rsid w:val="00357E03"/>
    <w:rsid w:val="003663A4"/>
    <w:rsid w:val="003677AC"/>
    <w:rsid w:val="00371FC3"/>
    <w:rsid w:val="00374AB5"/>
    <w:rsid w:val="0038203C"/>
    <w:rsid w:val="00391C53"/>
    <w:rsid w:val="00393533"/>
    <w:rsid w:val="0039549A"/>
    <w:rsid w:val="00397F66"/>
    <w:rsid w:val="003A41C1"/>
    <w:rsid w:val="003A57E6"/>
    <w:rsid w:val="003B2475"/>
    <w:rsid w:val="003C0073"/>
    <w:rsid w:val="003C1D13"/>
    <w:rsid w:val="003C34EC"/>
    <w:rsid w:val="003D1CF1"/>
    <w:rsid w:val="003D2C45"/>
    <w:rsid w:val="003D470D"/>
    <w:rsid w:val="003D6A76"/>
    <w:rsid w:val="003D7533"/>
    <w:rsid w:val="003E112D"/>
    <w:rsid w:val="003E26F1"/>
    <w:rsid w:val="003E4E7D"/>
    <w:rsid w:val="003F5FAC"/>
    <w:rsid w:val="00401394"/>
    <w:rsid w:val="00401981"/>
    <w:rsid w:val="00421061"/>
    <w:rsid w:val="00421485"/>
    <w:rsid w:val="0042648E"/>
    <w:rsid w:val="00431C56"/>
    <w:rsid w:val="0043764A"/>
    <w:rsid w:val="00440377"/>
    <w:rsid w:val="00464F1B"/>
    <w:rsid w:val="004655EE"/>
    <w:rsid w:val="0047214F"/>
    <w:rsid w:val="0049153C"/>
    <w:rsid w:val="00491A44"/>
    <w:rsid w:val="004926DB"/>
    <w:rsid w:val="004936D2"/>
    <w:rsid w:val="00494650"/>
    <w:rsid w:val="00495973"/>
    <w:rsid w:val="00497A84"/>
    <w:rsid w:val="004C109C"/>
    <w:rsid w:val="004C1E40"/>
    <w:rsid w:val="004D37B7"/>
    <w:rsid w:val="004E642F"/>
    <w:rsid w:val="004F18A5"/>
    <w:rsid w:val="004F7CD4"/>
    <w:rsid w:val="005038D9"/>
    <w:rsid w:val="00505E0C"/>
    <w:rsid w:val="0050677C"/>
    <w:rsid w:val="005116A1"/>
    <w:rsid w:val="00514F9A"/>
    <w:rsid w:val="005157B6"/>
    <w:rsid w:val="00516D7F"/>
    <w:rsid w:val="00521DD1"/>
    <w:rsid w:val="00524372"/>
    <w:rsid w:val="005302DD"/>
    <w:rsid w:val="00537E27"/>
    <w:rsid w:val="00543B7C"/>
    <w:rsid w:val="00560977"/>
    <w:rsid w:val="00560E01"/>
    <w:rsid w:val="0056268F"/>
    <w:rsid w:val="00570BB5"/>
    <w:rsid w:val="005807EF"/>
    <w:rsid w:val="005809A4"/>
    <w:rsid w:val="00584121"/>
    <w:rsid w:val="00586273"/>
    <w:rsid w:val="00587EFC"/>
    <w:rsid w:val="00591EE1"/>
    <w:rsid w:val="0059337B"/>
    <w:rsid w:val="00597271"/>
    <w:rsid w:val="00597C14"/>
    <w:rsid w:val="005A44C5"/>
    <w:rsid w:val="005A74F3"/>
    <w:rsid w:val="005B1EB6"/>
    <w:rsid w:val="005B2AFD"/>
    <w:rsid w:val="005B6EC7"/>
    <w:rsid w:val="005D1F90"/>
    <w:rsid w:val="005D444D"/>
    <w:rsid w:val="005D61CA"/>
    <w:rsid w:val="005D7E02"/>
    <w:rsid w:val="005E099E"/>
    <w:rsid w:val="005E0F6F"/>
    <w:rsid w:val="005F4080"/>
    <w:rsid w:val="006018A0"/>
    <w:rsid w:val="00603BC9"/>
    <w:rsid w:val="00606BB0"/>
    <w:rsid w:val="00620C7A"/>
    <w:rsid w:val="00623A5B"/>
    <w:rsid w:val="006269CD"/>
    <w:rsid w:val="006306A8"/>
    <w:rsid w:val="006379CD"/>
    <w:rsid w:val="00642B68"/>
    <w:rsid w:val="00647F08"/>
    <w:rsid w:val="00651247"/>
    <w:rsid w:val="00660BEB"/>
    <w:rsid w:val="00661AD0"/>
    <w:rsid w:val="006715BB"/>
    <w:rsid w:val="00677B1B"/>
    <w:rsid w:val="00682B9D"/>
    <w:rsid w:val="00693379"/>
    <w:rsid w:val="00693ED4"/>
    <w:rsid w:val="006965D8"/>
    <w:rsid w:val="006A5809"/>
    <w:rsid w:val="006B1A31"/>
    <w:rsid w:val="006B4694"/>
    <w:rsid w:val="006C337E"/>
    <w:rsid w:val="006C66A2"/>
    <w:rsid w:val="006E189B"/>
    <w:rsid w:val="006E43DE"/>
    <w:rsid w:val="006F0EF0"/>
    <w:rsid w:val="006F7BC1"/>
    <w:rsid w:val="0070076F"/>
    <w:rsid w:val="0070213F"/>
    <w:rsid w:val="00711F60"/>
    <w:rsid w:val="00711F8E"/>
    <w:rsid w:val="00716AE1"/>
    <w:rsid w:val="00721A16"/>
    <w:rsid w:val="00736412"/>
    <w:rsid w:val="00746735"/>
    <w:rsid w:val="00750954"/>
    <w:rsid w:val="0076051D"/>
    <w:rsid w:val="00773331"/>
    <w:rsid w:val="00784294"/>
    <w:rsid w:val="007932EF"/>
    <w:rsid w:val="00795DEA"/>
    <w:rsid w:val="007A012E"/>
    <w:rsid w:val="007B01F8"/>
    <w:rsid w:val="007B2A5F"/>
    <w:rsid w:val="007B53EC"/>
    <w:rsid w:val="007C6C17"/>
    <w:rsid w:val="007C7148"/>
    <w:rsid w:val="007D102E"/>
    <w:rsid w:val="007E05B0"/>
    <w:rsid w:val="007E605B"/>
    <w:rsid w:val="00800B34"/>
    <w:rsid w:val="008017B1"/>
    <w:rsid w:val="00806B40"/>
    <w:rsid w:val="00811A44"/>
    <w:rsid w:val="008200B0"/>
    <w:rsid w:val="00821E9D"/>
    <w:rsid w:val="008242AF"/>
    <w:rsid w:val="00830FF1"/>
    <w:rsid w:val="008314E9"/>
    <w:rsid w:val="00836D91"/>
    <w:rsid w:val="00842014"/>
    <w:rsid w:val="00850788"/>
    <w:rsid w:val="00852C2B"/>
    <w:rsid w:val="00857EDD"/>
    <w:rsid w:val="00861D79"/>
    <w:rsid w:val="00861FCE"/>
    <w:rsid w:val="00866646"/>
    <w:rsid w:val="008673F8"/>
    <w:rsid w:val="00870624"/>
    <w:rsid w:val="00872205"/>
    <w:rsid w:val="00873402"/>
    <w:rsid w:val="00874D22"/>
    <w:rsid w:val="00876BDC"/>
    <w:rsid w:val="008777BE"/>
    <w:rsid w:val="00880446"/>
    <w:rsid w:val="00883F66"/>
    <w:rsid w:val="00884F9E"/>
    <w:rsid w:val="0089289A"/>
    <w:rsid w:val="008947C6"/>
    <w:rsid w:val="00896269"/>
    <w:rsid w:val="008A18E4"/>
    <w:rsid w:val="008A2914"/>
    <w:rsid w:val="008A4DAB"/>
    <w:rsid w:val="008A6575"/>
    <w:rsid w:val="008A76BD"/>
    <w:rsid w:val="008B2A9F"/>
    <w:rsid w:val="008B73D1"/>
    <w:rsid w:val="008C0613"/>
    <w:rsid w:val="008C5FF9"/>
    <w:rsid w:val="008E0833"/>
    <w:rsid w:val="008E29BE"/>
    <w:rsid w:val="008E4D8E"/>
    <w:rsid w:val="008E7197"/>
    <w:rsid w:val="008E722A"/>
    <w:rsid w:val="008F5A62"/>
    <w:rsid w:val="0090423E"/>
    <w:rsid w:val="00906B80"/>
    <w:rsid w:val="00912E22"/>
    <w:rsid w:val="00913137"/>
    <w:rsid w:val="00915DE3"/>
    <w:rsid w:val="009269D6"/>
    <w:rsid w:val="00927269"/>
    <w:rsid w:val="00930AFC"/>
    <w:rsid w:val="0093271E"/>
    <w:rsid w:val="0094387B"/>
    <w:rsid w:val="00945DC6"/>
    <w:rsid w:val="009466B0"/>
    <w:rsid w:val="00947E63"/>
    <w:rsid w:val="009560A8"/>
    <w:rsid w:val="009634D8"/>
    <w:rsid w:val="00971EC8"/>
    <w:rsid w:val="009730D6"/>
    <w:rsid w:val="00980AAF"/>
    <w:rsid w:val="009813B2"/>
    <w:rsid w:val="0098225B"/>
    <w:rsid w:val="00982DF8"/>
    <w:rsid w:val="00982E65"/>
    <w:rsid w:val="009841F7"/>
    <w:rsid w:val="009849DA"/>
    <w:rsid w:val="00984F4C"/>
    <w:rsid w:val="00987551"/>
    <w:rsid w:val="00992397"/>
    <w:rsid w:val="009957C8"/>
    <w:rsid w:val="009A44AC"/>
    <w:rsid w:val="009A4740"/>
    <w:rsid w:val="009A4D0C"/>
    <w:rsid w:val="009A5F3F"/>
    <w:rsid w:val="009B1DC5"/>
    <w:rsid w:val="009C2845"/>
    <w:rsid w:val="009C4119"/>
    <w:rsid w:val="009E0A8B"/>
    <w:rsid w:val="009E0AD3"/>
    <w:rsid w:val="009E2127"/>
    <w:rsid w:val="009E2335"/>
    <w:rsid w:val="009E497A"/>
    <w:rsid w:val="009F1C2B"/>
    <w:rsid w:val="009F3B6E"/>
    <w:rsid w:val="009F4973"/>
    <w:rsid w:val="00A051E0"/>
    <w:rsid w:val="00A0581F"/>
    <w:rsid w:val="00A110EB"/>
    <w:rsid w:val="00A11BDC"/>
    <w:rsid w:val="00A1518E"/>
    <w:rsid w:val="00A2032D"/>
    <w:rsid w:val="00A273EA"/>
    <w:rsid w:val="00A302E5"/>
    <w:rsid w:val="00A3032B"/>
    <w:rsid w:val="00A304E1"/>
    <w:rsid w:val="00A3470A"/>
    <w:rsid w:val="00A3699A"/>
    <w:rsid w:val="00A410A6"/>
    <w:rsid w:val="00A4430D"/>
    <w:rsid w:val="00A45DC1"/>
    <w:rsid w:val="00A46B91"/>
    <w:rsid w:val="00A47B54"/>
    <w:rsid w:val="00A507AB"/>
    <w:rsid w:val="00A627D8"/>
    <w:rsid w:val="00A651E0"/>
    <w:rsid w:val="00A82FE9"/>
    <w:rsid w:val="00A90AEE"/>
    <w:rsid w:val="00A92E5D"/>
    <w:rsid w:val="00A966D8"/>
    <w:rsid w:val="00A967E4"/>
    <w:rsid w:val="00AA103D"/>
    <w:rsid w:val="00AA1F01"/>
    <w:rsid w:val="00AA3269"/>
    <w:rsid w:val="00AA4AAD"/>
    <w:rsid w:val="00AA79FE"/>
    <w:rsid w:val="00AB12E1"/>
    <w:rsid w:val="00AB2819"/>
    <w:rsid w:val="00AB5DA9"/>
    <w:rsid w:val="00AB6B9E"/>
    <w:rsid w:val="00AC72EE"/>
    <w:rsid w:val="00AD55B9"/>
    <w:rsid w:val="00B076A0"/>
    <w:rsid w:val="00B21A35"/>
    <w:rsid w:val="00B25325"/>
    <w:rsid w:val="00B51395"/>
    <w:rsid w:val="00B53B06"/>
    <w:rsid w:val="00B56A24"/>
    <w:rsid w:val="00B636E3"/>
    <w:rsid w:val="00B64614"/>
    <w:rsid w:val="00B6523F"/>
    <w:rsid w:val="00B74205"/>
    <w:rsid w:val="00B74FD8"/>
    <w:rsid w:val="00B83CAE"/>
    <w:rsid w:val="00B86E04"/>
    <w:rsid w:val="00B92D9F"/>
    <w:rsid w:val="00B9758C"/>
    <w:rsid w:val="00BA501B"/>
    <w:rsid w:val="00BA6148"/>
    <w:rsid w:val="00BB002B"/>
    <w:rsid w:val="00BB7E37"/>
    <w:rsid w:val="00BC476D"/>
    <w:rsid w:val="00BD1110"/>
    <w:rsid w:val="00BD4D62"/>
    <w:rsid w:val="00BE2885"/>
    <w:rsid w:val="00BF16D0"/>
    <w:rsid w:val="00BF1EA6"/>
    <w:rsid w:val="00BF41C3"/>
    <w:rsid w:val="00C01553"/>
    <w:rsid w:val="00C0544A"/>
    <w:rsid w:val="00C12301"/>
    <w:rsid w:val="00C279F1"/>
    <w:rsid w:val="00C3123E"/>
    <w:rsid w:val="00C44372"/>
    <w:rsid w:val="00C50378"/>
    <w:rsid w:val="00C6626F"/>
    <w:rsid w:val="00C66AD9"/>
    <w:rsid w:val="00C67DE9"/>
    <w:rsid w:val="00C7333F"/>
    <w:rsid w:val="00C818BE"/>
    <w:rsid w:val="00C82410"/>
    <w:rsid w:val="00C82D49"/>
    <w:rsid w:val="00C83AB2"/>
    <w:rsid w:val="00C85CE7"/>
    <w:rsid w:val="00C93EC0"/>
    <w:rsid w:val="00C941C5"/>
    <w:rsid w:val="00C9532A"/>
    <w:rsid w:val="00CA10FD"/>
    <w:rsid w:val="00CA3947"/>
    <w:rsid w:val="00CB3909"/>
    <w:rsid w:val="00CC2A1E"/>
    <w:rsid w:val="00CC75E2"/>
    <w:rsid w:val="00CD4C9D"/>
    <w:rsid w:val="00CD4CC9"/>
    <w:rsid w:val="00CD59E2"/>
    <w:rsid w:val="00CE6A18"/>
    <w:rsid w:val="00D01449"/>
    <w:rsid w:val="00D01829"/>
    <w:rsid w:val="00D07276"/>
    <w:rsid w:val="00D12FCF"/>
    <w:rsid w:val="00D16426"/>
    <w:rsid w:val="00D20381"/>
    <w:rsid w:val="00D2113F"/>
    <w:rsid w:val="00D25A04"/>
    <w:rsid w:val="00D306A0"/>
    <w:rsid w:val="00D31381"/>
    <w:rsid w:val="00D31E9A"/>
    <w:rsid w:val="00D32E77"/>
    <w:rsid w:val="00D3607F"/>
    <w:rsid w:val="00D37718"/>
    <w:rsid w:val="00D3785F"/>
    <w:rsid w:val="00D43D39"/>
    <w:rsid w:val="00D50AAF"/>
    <w:rsid w:val="00D534D9"/>
    <w:rsid w:val="00D567E7"/>
    <w:rsid w:val="00D6229C"/>
    <w:rsid w:val="00D76789"/>
    <w:rsid w:val="00D839AC"/>
    <w:rsid w:val="00D90D73"/>
    <w:rsid w:val="00D937EF"/>
    <w:rsid w:val="00D954CA"/>
    <w:rsid w:val="00DA1E7F"/>
    <w:rsid w:val="00DB0B9A"/>
    <w:rsid w:val="00DB59FF"/>
    <w:rsid w:val="00DC4185"/>
    <w:rsid w:val="00DC5327"/>
    <w:rsid w:val="00DD7CA3"/>
    <w:rsid w:val="00DD7DB4"/>
    <w:rsid w:val="00DE0DAC"/>
    <w:rsid w:val="00DE4FCB"/>
    <w:rsid w:val="00DE53BB"/>
    <w:rsid w:val="00DE6B74"/>
    <w:rsid w:val="00DE7509"/>
    <w:rsid w:val="00DF49D8"/>
    <w:rsid w:val="00E02CD4"/>
    <w:rsid w:val="00E03504"/>
    <w:rsid w:val="00E0361C"/>
    <w:rsid w:val="00E07818"/>
    <w:rsid w:val="00E11781"/>
    <w:rsid w:val="00E15D43"/>
    <w:rsid w:val="00E2311C"/>
    <w:rsid w:val="00E2761D"/>
    <w:rsid w:val="00E33F06"/>
    <w:rsid w:val="00E35CB6"/>
    <w:rsid w:val="00E437CA"/>
    <w:rsid w:val="00E45A84"/>
    <w:rsid w:val="00E477F7"/>
    <w:rsid w:val="00E60EBB"/>
    <w:rsid w:val="00E61227"/>
    <w:rsid w:val="00E637A9"/>
    <w:rsid w:val="00E664ED"/>
    <w:rsid w:val="00E674D8"/>
    <w:rsid w:val="00E73BD1"/>
    <w:rsid w:val="00E73EB5"/>
    <w:rsid w:val="00E73EED"/>
    <w:rsid w:val="00E87A95"/>
    <w:rsid w:val="00E90E44"/>
    <w:rsid w:val="00E934D2"/>
    <w:rsid w:val="00EA1B89"/>
    <w:rsid w:val="00EA2120"/>
    <w:rsid w:val="00EA261F"/>
    <w:rsid w:val="00EA37F1"/>
    <w:rsid w:val="00EB2CCC"/>
    <w:rsid w:val="00EB5C8D"/>
    <w:rsid w:val="00EB6E45"/>
    <w:rsid w:val="00EC2545"/>
    <w:rsid w:val="00EC2B97"/>
    <w:rsid w:val="00ED4E7E"/>
    <w:rsid w:val="00EE039F"/>
    <w:rsid w:val="00EE41F6"/>
    <w:rsid w:val="00EF4E32"/>
    <w:rsid w:val="00F03CB3"/>
    <w:rsid w:val="00F053F2"/>
    <w:rsid w:val="00F06A51"/>
    <w:rsid w:val="00F1140A"/>
    <w:rsid w:val="00F13FCB"/>
    <w:rsid w:val="00F17B03"/>
    <w:rsid w:val="00F20801"/>
    <w:rsid w:val="00F20D01"/>
    <w:rsid w:val="00F3339E"/>
    <w:rsid w:val="00F40F80"/>
    <w:rsid w:val="00F41480"/>
    <w:rsid w:val="00F45BE3"/>
    <w:rsid w:val="00F55391"/>
    <w:rsid w:val="00F56540"/>
    <w:rsid w:val="00F6118F"/>
    <w:rsid w:val="00F62D50"/>
    <w:rsid w:val="00F676BF"/>
    <w:rsid w:val="00F7426A"/>
    <w:rsid w:val="00F75B53"/>
    <w:rsid w:val="00F76A0C"/>
    <w:rsid w:val="00F8349A"/>
    <w:rsid w:val="00F92F00"/>
    <w:rsid w:val="00FB2E80"/>
    <w:rsid w:val="00FB35FF"/>
    <w:rsid w:val="00FB49F7"/>
    <w:rsid w:val="00FB57E2"/>
    <w:rsid w:val="00FC0709"/>
    <w:rsid w:val="00FC202E"/>
    <w:rsid w:val="00FC38F8"/>
    <w:rsid w:val="00FD28A8"/>
    <w:rsid w:val="00FD3F5F"/>
    <w:rsid w:val="00FD46C6"/>
    <w:rsid w:val="00FD5C1E"/>
    <w:rsid w:val="00FD6CB3"/>
    <w:rsid w:val="00FE1A41"/>
    <w:rsid w:val="00FE1B84"/>
    <w:rsid w:val="00FE4894"/>
    <w:rsid w:val="00FE4DAD"/>
    <w:rsid w:val="00FF2459"/>
    <w:rsid w:val="02138F42"/>
    <w:rsid w:val="03A348B7"/>
    <w:rsid w:val="046BCB08"/>
    <w:rsid w:val="06123417"/>
    <w:rsid w:val="07605E1F"/>
    <w:rsid w:val="076620D2"/>
    <w:rsid w:val="084D84FD"/>
    <w:rsid w:val="086CD762"/>
    <w:rsid w:val="095DA911"/>
    <w:rsid w:val="0A70A535"/>
    <w:rsid w:val="0EC81FBD"/>
    <w:rsid w:val="1024DBBA"/>
    <w:rsid w:val="1183FC50"/>
    <w:rsid w:val="11DBBF78"/>
    <w:rsid w:val="126B884C"/>
    <w:rsid w:val="143B093B"/>
    <w:rsid w:val="14405BB1"/>
    <w:rsid w:val="14833CD7"/>
    <w:rsid w:val="1550AA56"/>
    <w:rsid w:val="1602DBD6"/>
    <w:rsid w:val="16CA4A6E"/>
    <w:rsid w:val="1731ADB4"/>
    <w:rsid w:val="1844B8D2"/>
    <w:rsid w:val="19482A99"/>
    <w:rsid w:val="1993A19E"/>
    <w:rsid w:val="19F3B420"/>
    <w:rsid w:val="1A06292A"/>
    <w:rsid w:val="1B19A8ED"/>
    <w:rsid w:val="1B8F509F"/>
    <w:rsid w:val="1BE6831C"/>
    <w:rsid w:val="1CAA97EE"/>
    <w:rsid w:val="1CF62A63"/>
    <w:rsid w:val="1D7CB8F3"/>
    <w:rsid w:val="1ECA7605"/>
    <w:rsid w:val="1F8D9AD5"/>
    <w:rsid w:val="2005A58A"/>
    <w:rsid w:val="208EF8DA"/>
    <w:rsid w:val="22C1D3E8"/>
    <w:rsid w:val="23D6FCF3"/>
    <w:rsid w:val="251522D6"/>
    <w:rsid w:val="258838D1"/>
    <w:rsid w:val="26478AD7"/>
    <w:rsid w:val="26FDF9F6"/>
    <w:rsid w:val="27E1E15D"/>
    <w:rsid w:val="2A2625EB"/>
    <w:rsid w:val="2ADAFF40"/>
    <w:rsid w:val="2E5BC18F"/>
    <w:rsid w:val="2F698F87"/>
    <w:rsid w:val="31FB89A6"/>
    <w:rsid w:val="32E3B466"/>
    <w:rsid w:val="343D1FB9"/>
    <w:rsid w:val="364AA1D0"/>
    <w:rsid w:val="37F94A42"/>
    <w:rsid w:val="3959A6EB"/>
    <w:rsid w:val="3BD9B17A"/>
    <w:rsid w:val="3F1EF374"/>
    <w:rsid w:val="3FB79096"/>
    <w:rsid w:val="40D3C364"/>
    <w:rsid w:val="47B2D4A2"/>
    <w:rsid w:val="47D6ED50"/>
    <w:rsid w:val="49CE867C"/>
    <w:rsid w:val="4EA9C5FF"/>
    <w:rsid w:val="4EAD81FF"/>
    <w:rsid w:val="4EB94B86"/>
    <w:rsid w:val="512EB76C"/>
    <w:rsid w:val="51567CA8"/>
    <w:rsid w:val="51FF65CE"/>
    <w:rsid w:val="55C35710"/>
    <w:rsid w:val="573F85C3"/>
    <w:rsid w:val="5778342B"/>
    <w:rsid w:val="5846A208"/>
    <w:rsid w:val="59431451"/>
    <w:rsid w:val="5B0A9837"/>
    <w:rsid w:val="5C3100EB"/>
    <w:rsid w:val="5F67870C"/>
    <w:rsid w:val="5F8E4A90"/>
    <w:rsid w:val="5FCB0263"/>
    <w:rsid w:val="614383C7"/>
    <w:rsid w:val="63321B0F"/>
    <w:rsid w:val="63330F1B"/>
    <w:rsid w:val="645265BA"/>
    <w:rsid w:val="66691674"/>
    <w:rsid w:val="6717664E"/>
    <w:rsid w:val="67274F79"/>
    <w:rsid w:val="67A69265"/>
    <w:rsid w:val="6A2CFF21"/>
    <w:rsid w:val="6C2BE863"/>
    <w:rsid w:val="6D75614B"/>
    <w:rsid w:val="6E2422C7"/>
    <w:rsid w:val="6E9DC34F"/>
    <w:rsid w:val="6EE584F0"/>
    <w:rsid w:val="7022F13B"/>
    <w:rsid w:val="729D303D"/>
    <w:rsid w:val="733040AB"/>
    <w:rsid w:val="735D0924"/>
    <w:rsid w:val="73639416"/>
    <w:rsid w:val="73FCD72F"/>
    <w:rsid w:val="74092918"/>
    <w:rsid w:val="745A3C9C"/>
    <w:rsid w:val="75D8BF5A"/>
    <w:rsid w:val="786FCC9D"/>
    <w:rsid w:val="78A5BAFB"/>
    <w:rsid w:val="78F79CDE"/>
    <w:rsid w:val="7A7D959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F861"/>
  <w15:docId w15:val="{2033AF3A-083A-4B90-841D-0D27839A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ro-RO"/>
    </w:rPr>
  </w:style>
  <w:style w:type="paragraph" w:customStyle="1" w:styleId="paragraph">
    <w:name w:val="paragraph"/>
    <w:basedOn w:val="Normal"/>
    <w:rsid w:val="00876BDC"/>
    <w:pPr>
      <w:spacing w:before="100" w:beforeAutospacing="1" w:after="100" w:afterAutospacing="1"/>
      <w:jc w:val="left"/>
    </w:pPr>
    <w:rPr>
      <w:rFonts w:eastAsia="Times New Roman"/>
      <w:szCs w:val="24"/>
      <w:lang w:eastAsia="en-IE"/>
    </w:rPr>
  </w:style>
  <w:style w:type="character" w:customStyle="1" w:styleId="eop">
    <w:name w:val="eop"/>
    <w:rsid w:val="00876BDC"/>
  </w:style>
  <w:style w:type="paragraph" w:styleId="Revision">
    <w:name w:val="Revision"/>
    <w:hidden/>
    <w:uiPriority w:val="99"/>
    <w:semiHidden/>
    <w:rsid w:val="00F62D50"/>
    <w:pPr>
      <w:spacing w:after="0" w:line="240" w:lineRule="auto"/>
    </w:pPr>
    <w:rPr>
      <w:rFonts w:ascii="Times New Roman" w:hAnsi="Times New Roman" w:cs="Times New Roman"/>
      <w:sz w:val="24"/>
    </w:rPr>
  </w:style>
  <w:style w:type="paragraph" w:styleId="ListParagraph">
    <w:name w:val="List Paragraph"/>
    <w:basedOn w:val="Normal"/>
    <w:uiPriority w:val="34"/>
    <w:qFormat/>
    <w:rsid w:val="00C7333F"/>
    <w:pPr>
      <w:ind w:left="720"/>
      <w:contextualSpacing/>
    </w:pPr>
  </w:style>
  <w:style w:type="paragraph" w:customStyle="1" w:styleId="oj-normal">
    <w:name w:val="oj-normal"/>
    <w:basedOn w:val="Normal"/>
    <w:rsid w:val="00E637A9"/>
    <w:pPr>
      <w:spacing w:before="100" w:beforeAutospacing="1" w:after="100" w:afterAutospacing="1"/>
      <w:jc w:val="left"/>
    </w:pPr>
    <w:rPr>
      <w:rFonts w:eastAsia="Times New Roman"/>
      <w:szCs w:val="24"/>
      <w:lang w:eastAsia="en-IE"/>
    </w:rPr>
  </w:style>
  <w:style w:type="paragraph" w:customStyle="1" w:styleId="oj-ti-art">
    <w:name w:val="oj-ti-art"/>
    <w:basedOn w:val="Normal"/>
    <w:rsid w:val="00401981"/>
    <w:pPr>
      <w:spacing w:before="100" w:beforeAutospacing="1" w:after="100" w:afterAutospacing="1"/>
      <w:jc w:val="left"/>
    </w:pPr>
    <w:rPr>
      <w:rFonts w:eastAsia="Times New Roman"/>
      <w:szCs w:val="24"/>
      <w:lang w:eastAsia="en-IE"/>
    </w:rPr>
  </w:style>
  <w:style w:type="paragraph" w:styleId="ListBullet">
    <w:name w:val="List Bullet"/>
    <w:basedOn w:val="Normal"/>
    <w:unhideWhenUsed/>
    <w:rsid w:val="00193CAA"/>
    <w:pPr>
      <w:numPr>
        <w:numId w:val="1"/>
      </w:numPr>
      <w:contextualSpacing/>
    </w:pPr>
  </w:style>
  <w:style w:type="paragraph" w:styleId="ListBullet2">
    <w:name w:val="List Bullet 2"/>
    <w:basedOn w:val="Normal"/>
    <w:unhideWhenUsed/>
    <w:rsid w:val="00193CAA"/>
    <w:pPr>
      <w:numPr>
        <w:numId w:val="2"/>
      </w:numPr>
      <w:contextualSpacing/>
    </w:pPr>
  </w:style>
  <w:style w:type="paragraph" w:styleId="ListBullet3">
    <w:name w:val="List Bullet 3"/>
    <w:basedOn w:val="Normal"/>
    <w:unhideWhenUsed/>
    <w:rsid w:val="00193CAA"/>
    <w:pPr>
      <w:numPr>
        <w:numId w:val="3"/>
      </w:numPr>
      <w:contextualSpacing/>
    </w:pPr>
  </w:style>
  <w:style w:type="paragraph" w:styleId="ListBullet4">
    <w:name w:val="List Bullet 4"/>
    <w:basedOn w:val="Normal"/>
    <w:unhideWhenUsed/>
    <w:rsid w:val="00193CAA"/>
    <w:pPr>
      <w:numPr>
        <w:numId w:val="4"/>
      </w:numPr>
      <w:contextualSpacing/>
    </w:pPr>
  </w:style>
  <w:style w:type="character" w:customStyle="1" w:styleId="UnresolvedMention1">
    <w:name w:val="Unresolved Mention1"/>
    <w:basedOn w:val="DefaultParagraphFont"/>
    <w:uiPriority w:val="99"/>
    <w:semiHidden/>
    <w:unhideWhenUsed/>
    <w:rsid w:val="00EF4E32"/>
    <w:rPr>
      <w:color w:val="605E5C"/>
      <w:shd w:val="clear" w:color="auto" w:fill="E1DFDD"/>
    </w:rPr>
  </w:style>
  <w:style w:type="paragraph" w:styleId="ListNumber">
    <w:name w:val="List Number"/>
    <w:basedOn w:val="Normal"/>
    <w:rsid w:val="001E3393"/>
    <w:pPr>
      <w:numPr>
        <w:numId w:val="10"/>
      </w:numPr>
      <w:tabs>
        <w:tab w:val="clear" w:pos="709"/>
      </w:tabs>
      <w:ind w:left="0" w:firstLine="0"/>
    </w:pPr>
    <w:rPr>
      <w:rFonts w:eastAsia="Times New Roman"/>
      <w:lang w:eastAsia="de-DE"/>
    </w:rPr>
  </w:style>
  <w:style w:type="paragraph" w:customStyle="1" w:styleId="ListBullet1">
    <w:name w:val="List Bullet 1"/>
    <w:basedOn w:val="Normal"/>
    <w:rsid w:val="001E3393"/>
    <w:pPr>
      <w:numPr>
        <w:numId w:val="6"/>
      </w:numPr>
      <w:tabs>
        <w:tab w:val="clear" w:pos="1134"/>
      </w:tabs>
      <w:ind w:left="0" w:firstLine="0"/>
    </w:pPr>
    <w:rPr>
      <w:rFonts w:eastAsia="Times New Roman"/>
      <w:lang w:eastAsia="de-DE"/>
    </w:rPr>
  </w:style>
  <w:style w:type="paragraph" w:customStyle="1" w:styleId="ListDash">
    <w:name w:val="List Dash"/>
    <w:basedOn w:val="Normal"/>
    <w:rsid w:val="001E3393"/>
    <w:pPr>
      <w:numPr>
        <w:numId w:val="7"/>
      </w:numPr>
      <w:tabs>
        <w:tab w:val="clear" w:pos="283"/>
      </w:tabs>
      <w:ind w:left="0" w:firstLine="0"/>
    </w:pPr>
    <w:rPr>
      <w:rFonts w:eastAsia="Times New Roman"/>
      <w:lang w:eastAsia="de-DE"/>
    </w:rPr>
  </w:style>
  <w:style w:type="paragraph" w:customStyle="1" w:styleId="ListDash1">
    <w:name w:val="List Dash 1"/>
    <w:basedOn w:val="Normal"/>
    <w:rsid w:val="001E3393"/>
    <w:pPr>
      <w:numPr>
        <w:numId w:val="8"/>
      </w:numPr>
      <w:tabs>
        <w:tab w:val="clear" w:pos="1134"/>
      </w:tabs>
      <w:ind w:left="0" w:firstLine="0"/>
    </w:pPr>
    <w:rPr>
      <w:rFonts w:eastAsia="Times New Roman"/>
      <w:lang w:eastAsia="de-DE"/>
    </w:rPr>
  </w:style>
  <w:style w:type="paragraph" w:customStyle="1" w:styleId="ListDash2">
    <w:name w:val="List Dash 2"/>
    <w:basedOn w:val="Normal"/>
    <w:rsid w:val="001E3393"/>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rsid w:val="001E3393"/>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rsid w:val="001E3393"/>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rsid w:val="001E3393"/>
    <w:pPr>
      <w:numPr>
        <w:ilvl w:val="3"/>
        <w:numId w:val="10"/>
      </w:numPr>
      <w:tabs>
        <w:tab w:val="clear" w:pos="2835"/>
      </w:tabs>
      <w:ind w:left="0" w:firstLine="0"/>
    </w:pPr>
    <w:rPr>
      <w:rFonts w:eastAsia="Times New Roman"/>
      <w:lang w:eastAsia="de-DE"/>
    </w:rPr>
  </w:style>
  <w:style w:type="table" w:styleId="TableGrid">
    <w:name w:val="Table Grid"/>
    <w:basedOn w:val="TableNormal"/>
    <w:rsid w:val="001E339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1E3393"/>
    <w:pPr>
      <w:numPr>
        <w:numId w:val="14"/>
      </w:numPr>
      <w:tabs>
        <w:tab w:val="clear" w:pos="1560"/>
      </w:tabs>
      <w:ind w:left="0" w:firstLine="0"/>
    </w:pPr>
    <w:rPr>
      <w:rFonts w:eastAsia="Times New Roman"/>
      <w:lang w:eastAsia="en-GB"/>
    </w:rPr>
  </w:style>
  <w:style w:type="paragraph" w:styleId="ListNumber3">
    <w:name w:val="List Number 3"/>
    <w:basedOn w:val="Normal"/>
    <w:rsid w:val="001E3393"/>
    <w:pPr>
      <w:numPr>
        <w:numId w:val="15"/>
      </w:numPr>
      <w:tabs>
        <w:tab w:val="clear" w:pos="1560"/>
      </w:tabs>
      <w:ind w:left="0" w:firstLine="0"/>
    </w:pPr>
    <w:rPr>
      <w:rFonts w:eastAsia="Times New Roman"/>
      <w:lang w:eastAsia="en-GB"/>
    </w:rPr>
  </w:style>
  <w:style w:type="paragraph" w:styleId="ListNumber4">
    <w:name w:val="List Number 4"/>
    <w:basedOn w:val="Normal"/>
    <w:rsid w:val="001E3393"/>
    <w:pPr>
      <w:numPr>
        <w:numId w:val="16"/>
      </w:numPr>
      <w:tabs>
        <w:tab w:val="clear" w:pos="1560"/>
      </w:tabs>
      <w:ind w:left="0" w:firstLine="0"/>
    </w:pPr>
    <w:rPr>
      <w:rFonts w:eastAsia="Times New Roman"/>
      <w:lang w:eastAsia="en-GB"/>
    </w:rPr>
  </w:style>
  <w:style w:type="paragraph" w:customStyle="1" w:styleId="ListDash3">
    <w:name w:val="List Dash 3"/>
    <w:basedOn w:val="Normal"/>
    <w:rsid w:val="001E3393"/>
    <w:pPr>
      <w:numPr>
        <w:numId w:val="11"/>
      </w:numPr>
      <w:tabs>
        <w:tab w:val="clear" w:pos="1134"/>
      </w:tabs>
      <w:ind w:left="0" w:firstLine="0"/>
    </w:pPr>
    <w:rPr>
      <w:rFonts w:eastAsia="Times New Roman"/>
      <w:lang w:eastAsia="en-GB"/>
    </w:rPr>
  </w:style>
  <w:style w:type="paragraph" w:customStyle="1" w:styleId="ListDash4">
    <w:name w:val="List Dash 4"/>
    <w:basedOn w:val="Normal"/>
    <w:rsid w:val="001E3393"/>
    <w:pPr>
      <w:numPr>
        <w:numId w:val="12"/>
      </w:numPr>
      <w:tabs>
        <w:tab w:val="clear" w:pos="1134"/>
      </w:tabs>
      <w:ind w:left="0" w:firstLine="0"/>
    </w:pPr>
    <w:rPr>
      <w:rFonts w:eastAsia="Times New Roman"/>
      <w:lang w:eastAsia="en-GB"/>
    </w:rPr>
  </w:style>
  <w:style w:type="paragraph" w:customStyle="1" w:styleId="ListNumber1">
    <w:name w:val="List Number 1"/>
    <w:basedOn w:val="Text1"/>
    <w:rsid w:val="001E3393"/>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rsid w:val="001E3393"/>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rsid w:val="001E3393"/>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rsid w:val="001E339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rsid w:val="001E3393"/>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rsid w:val="001E3393"/>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rsid w:val="001E3393"/>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rsid w:val="001E339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rsid w:val="001E3393"/>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rsid w:val="001E3393"/>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rsid w:val="001E3393"/>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rsid w:val="001E339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rsid w:val="001E3393"/>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E3393"/>
    <w:pPr>
      <w:jc w:val="center"/>
    </w:pPr>
    <w:rPr>
      <w:rFonts w:eastAsia="Times New Roman"/>
      <w:b/>
      <w:u w:val="single"/>
      <w:lang w:eastAsia="en-GB"/>
    </w:rPr>
  </w:style>
  <w:style w:type="paragraph" w:customStyle="1" w:styleId="Annexetitreexposglobal">
    <w:name w:val="Annexe titre (exposé global)"/>
    <w:basedOn w:val="Normal"/>
    <w:next w:val="Normal"/>
    <w:rsid w:val="001E3393"/>
    <w:pPr>
      <w:jc w:val="center"/>
    </w:pPr>
    <w:rPr>
      <w:rFonts w:eastAsia="Times New Roman"/>
      <w:b/>
      <w:u w:val="single"/>
      <w:lang w:eastAsia="en-GB"/>
    </w:rPr>
  </w:style>
  <w:style w:type="paragraph" w:customStyle="1" w:styleId="Annexetitrefichefinacte">
    <w:name w:val="Annexe titre (fiche fin. acte)"/>
    <w:basedOn w:val="Normal"/>
    <w:next w:val="Normal"/>
    <w:rsid w:val="001E3393"/>
    <w:pPr>
      <w:jc w:val="center"/>
    </w:pPr>
    <w:rPr>
      <w:rFonts w:eastAsia="Times New Roman"/>
      <w:b/>
      <w:u w:val="single"/>
      <w:lang w:eastAsia="en-GB"/>
    </w:rPr>
  </w:style>
  <w:style w:type="paragraph" w:customStyle="1" w:styleId="Annexetitrefichefinglobale">
    <w:name w:val="Annexe titre (fiche fin. globale)"/>
    <w:basedOn w:val="Normal"/>
    <w:next w:val="Normal"/>
    <w:rsid w:val="001E3393"/>
    <w:pPr>
      <w:jc w:val="center"/>
    </w:pPr>
    <w:rPr>
      <w:rFonts w:eastAsia="Times New Roman"/>
      <w:b/>
      <w:u w:val="single"/>
      <w:lang w:eastAsia="en-GB"/>
    </w:rPr>
  </w:style>
  <w:style w:type="paragraph" w:customStyle="1" w:styleId="Annexetitreglobale">
    <w:name w:val="Annexe titre (globale)"/>
    <w:basedOn w:val="Normal"/>
    <w:next w:val="Normal"/>
    <w:rsid w:val="001E3393"/>
    <w:pPr>
      <w:jc w:val="center"/>
    </w:pPr>
    <w:rPr>
      <w:rFonts w:eastAsia="Times New Roman"/>
      <w:b/>
      <w:u w:val="single"/>
      <w:lang w:eastAsia="en-GB"/>
    </w:rPr>
  </w:style>
  <w:style w:type="paragraph" w:customStyle="1" w:styleId="Exposdesmotifstitreglobal">
    <w:name w:val="Exposé des motifs titre (global)"/>
    <w:basedOn w:val="Normal"/>
    <w:next w:val="Normal"/>
    <w:rsid w:val="001E3393"/>
    <w:pPr>
      <w:jc w:val="center"/>
    </w:pPr>
    <w:rPr>
      <w:rFonts w:eastAsia="Times New Roman"/>
      <w:b/>
      <w:u w:val="single"/>
      <w:lang w:eastAsia="en-GB"/>
    </w:rPr>
  </w:style>
  <w:style w:type="paragraph" w:customStyle="1" w:styleId="Langueoriginale">
    <w:name w:val="Langue originale"/>
    <w:basedOn w:val="Normal"/>
    <w:rsid w:val="001E3393"/>
    <w:pPr>
      <w:spacing w:before="360"/>
      <w:jc w:val="center"/>
    </w:pPr>
    <w:rPr>
      <w:rFonts w:eastAsia="Times New Roman"/>
      <w:caps/>
      <w:lang w:eastAsia="en-GB"/>
    </w:rPr>
  </w:style>
  <w:style w:type="paragraph" w:customStyle="1" w:styleId="Phrasefinale">
    <w:name w:val="Phrase finale"/>
    <w:basedOn w:val="Normal"/>
    <w:next w:val="Normal"/>
    <w:rsid w:val="001E3393"/>
    <w:pPr>
      <w:spacing w:before="360" w:after="0"/>
      <w:jc w:val="center"/>
    </w:pPr>
    <w:rPr>
      <w:rFonts w:eastAsia="Times New Roman"/>
      <w:lang w:eastAsia="en-GB"/>
    </w:rPr>
  </w:style>
  <w:style w:type="paragraph" w:customStyle="1" w:styleId="Prliminairetitre">
    <w:name w:val="Préliminaire titre"/>
    <w:basedOn w:val="Normal"/>
    <w:next w:val="Normal"/>
    <w:rsid w:val="001E3393"/>
    <w:pPr>
      <w:spacing w:before="360" w:after="360"/>
      <w:jc w:val="center"/>
    </w:pPr>
    <w:rPr>
      <w:rFonts w:eastAsia="Times New Roman"/>
      <w:b/>
      <w:lang w:eastAsia="en-GB"/>
    </w:rPr>
  </w:style>
  <w:style w:type="paragraph" w:customStyle="1" w:styleId="Prliminairetype">
    <w:name w:val="Préliminaire type"/>
    <w:basedOn w:val="Normal"/>
    <w:next w:val="Normal"/>
    <w:rsid w:val="001E339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E339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E339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E3393"/>
    <w:pPr>
      <w:spacing w:before="0" w:after="0"/>
      <w:ind w:left="5103"/>
      <w:jc w:val="left"/>
    </w:pPr>
    <w:rPr>
      <w:rFonts w:eastAsia="Times New Roman"/>
      <w:lang w:eastAsia="en-GB"/>
    </w:rPr>
  </w:style>
  <w:style w:type="paragraph" w:customStyle="1" w:styleId="Sous-titreobjetprliminaire">
    <w:name w:val="Sous-titre objet (préliminaire)"/>
    <w:basedOn w:val="Normal"/>
    <w:rsid w:val="001E3393"/>
    <w:pPr>
      <w:spacing w:before="0" w:after="0"/>
      <w:jc w:val="center"/>
    </w:pPr>
    <w:rPr>
      <w:rFonts w:eastAsia="Times New Roman"/>
      <w:b/>
      <w:lang w:eastAsia="en-GB"/>
    </w:rPr>
  </w:style>
  <w:style w:type="paragraph" w:customStyle="1" w:styleId="Statutprliminaire">
    <w:name w:val="Statut (préliminaire)"/>
    <w:basedOn w:val="Normal"/>
    <w:next w:val="Normal"/>
    <w:rsid w:val="001E3393"/>
    <w:pPr>
      <w:spacing w:before="360" w:after="0"/>
      <w:jc w:val="center"/>
    </w:pPr>
    <w:rPr>
      <w:rFonts w:eastAsia="Times New Roman"/>
      <w:lang w:eastAsia="en-GB"/>
    </w:rPr>
  </w:style>
  <w:style w:type="paragraph" w:customStyle="1" w:styleId="Titreobjetprliminaire">
    <w:name w:val="Titre objet (préliminaire)"/>
    <w:basedOn w:val="Normal"/>
    <w:next w:val="Normal"/>
    <w:rsid w:val="001E339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E339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E339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E3393"/>
    <w:pPr>
      <w:jc w:val="center"/>
    </w:pPr>
    <w:rPr>
      <w:rFonts w:eastAsia="Times New Roman"/>
      <w:b/>
      <w:u w:val="single"/>
      <w:lang w:eastAsia="en-GB"/>
    </w:rPr>
  </w:style>
  <w:style w:type="paragraph" w:customStyle="1" w:styleId="Fichefinanciretravailtitre">
    <w:name w:val="Fiche financière (travail) titre"/>
    <w:basedOn w:val="Normal"/>
    <w:next w:val="Normal"/>
    <w:rsid w:val="001E339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E339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E339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E3393"/>
    <w:pPr>
      <w:jc w:val="center"/>
    </w:pPr>
    <w:rPr>
      <w:rFonts w:eastAsia="Times New Roman"/>
      <w:b/>
      <w:u w:val="single"/>
      <w:lang w:eastAsia="en-GB"/>
    </w:rPr>
  </w:style>
  <w:style w:type="paragraph" w:styleId="BalloonText">
    <w:name w:val="Balloon Text"/>
    <w:basedOn w:val="Normal"/>
    <w:link w:val="BalloonTextChar"/>
    <w:rsid w:val="001E339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E3393"/>
    <w:rPr>
      <w:rFonts w:ascii="Tahoma" w:eastAsia="Times New Roman" w:hAnsi="Tahoma" w:cs="Tahoma"/>
      <w:sz w:val="16"/>
      <w:szCs w:val="16"/>
      <w:lang w:val="ro-RO" w:eastAsia="en-GB"/>
    </w:rPr>
  </w:style>
  <w:style w:type="paragraph" w:styleId="Caption">
    <w:name w:val="caption"/>
    <w:basedOn w:val="Normal"/>
    <w:next w:val="Normal"/>
    <w:qFormat/>
    <w:rsid w:val="001E3393"/>
    <w:rPr>
      <w:rFonts w:eastAsia="Times New Roman"/>
      <w:b/>
      <w:bCs/>
      <w:sz w:val="20"/>
      <w:szCs w:val="20"/>
      <w:lang w:eastAsia="en-GB"/>
    </w:rPr>
  </w:style>
  <w:style w:type="paragraph" w:styleId="TableofFigures">
    <w:name w:val="table of figures"/>
    <w:basedOn w:val="Normal"/>
    <w:next w:val="Normal"/>
    <w:rsid w:val="001E3393"/>
    <w:rPr>
      <w:rFonts w:eastAsia="Times New Roman"/>
      <w:lang w:eastAsia="en-GB"/>
    </w:rPr>
  </w:style>
  <w:style w:type="character" w:styleId="PageNumber">
    <w:name w:val="page number"/>
    <w:rsid w:val="001E3393"/>
  </w:style>
  <w:style w:type="character" w:customStyle="1" w:styleId="tw4winMark">
    <w:name w:val="tw4winMark"/>
    <w:rsid w:val="001E3393"/>
    <w:rPr>
      <w:vanish/>
      <w:color w:val="800080"/>
      <w:vertAlign w:val="subscript"/>
    </w:rPr>
  </w:style>
  <w:style w:type="character" w:styleId="FollowedHyperlink">
    <w:name w:val="FollowedHyperlink"/>
    <w:rsid w:val="001E3393"/>
    <w:rPr>
      <w:color w:val="800080"/>
      <w:u w:val="single"/>
    </w:rPr>
  </w:style>
  <w:style w:type="paragraph" w:customStyle="1" w:styleId="Sous-titreobjet">
    <w:name w:val="Sous-titre objet"/>
    <w:basedOn w:val="Normal"/>
    <w:rsid w:val="001E339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E3393"/>
  </w:style>
  <w:style w:type="paragraph" w:customStyle="1" w:styleId="FooterCoverPage">
    <w:name w:val="Footer Cover Page"/>
    <w:basedOn w:val="Normal"/>
    <w:link w:val="FooterCoverPageChar"/>
    <w:rsid w:val="001E339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E3393"/>
    <w:rPr>
      <w:rFonts w:ascii="Times New Roman" w:hAnsi="Times New Roman" w:cs="Times New Roman"/>
      <w:b/>
      <w:sz w:val="28"/>
      <w:lang w:val="ro-RO"/>
    </w:rPr>
  </w:style>
  <w:style w:type="character" w:customStyle="1" w:styleId="FooterCoverPageChar">
    <w:name w:val="Footer Cover Page Char"/>
    <w:link w:val="FooterCoverPage"/>
    <w:rsid w:val="001E339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E339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E3393"/>
    <w:rPr>
      <w:rFonts w:ascii="Times New Roman" w:eastAsia="Calibri" w:hAnsi="Times New Roman" w:cs="Times New Roman"/>
      <w:sz w:val="24"/>
      <w:lang w:val="ro-RO" w:eastAsia="en-GB"/>
    </w:rPr>
  </w:style>
  <w:style w:type="character" w:customStyle="1" w:styleId="FooterSensitivityChar">
    <w:name w:val="Footer Sensitivity Char"/>
    <w:rsid w:val="001E3393"/>
    <w:rPr>
      <w:rFonts w:ascii="Times New Roman" w:hAnsi="Times New Roman" w:cs="Times New Roman"/>
      <w:b/>
      <w:sz w:val="32"/>
      <w:lang w:val="ro-RO"/>
    </w:rPr>
  </w:style>
  <w:style w:type="character" w:customStyle="1" w:styleId="HeaderSensitivityChar">
    <w:name w:val="Header Sensitivity Char"/>
    <w:rsid w:val="001E3393"/>
    <w:rPr>
      <w:rFonts w:ascii="Times New Roman" w:hAnsi="Times New Roman" w:cs="Times New Roman"/>
      <w:b/>
      <w:sz w:val="32"/>
      <w:lang w:val="ro-RO"/>
    </w:rPr>
  </w:style>
  <w:style w:type="character" w:customStyle="1" w:styleId="HeaderSensitivityRightChar">
    <w:name w:val="Header Sensitivity Right Char"/>
    <w:rsid w:val="001E3393"/>
    <w:rPr>
      <w:rFonts w:ascii="Times New Roman" w:hAnsi="Times New Roman" w:cs="Times New Roman"/>
      <w:sz w:val="28"/>
      <w:lang w:val="ro-RO"/>
    </w:rPr>
  </w:style>
  <w:style w:type="paragraph" w:customStyle="1" w:styleId="LegalNumPar">
    <w:name w:val="LegalNumPar"/>
    <w:basedOn w:val="Normal"/>
    <w:rsid w:val="001E3393"/>
    <w:pPr>
      <w:numPr>
        <w:numId w:val="17"/>
      </w:numPr>
      <w:spacing w:line="360" w:lineRule="auto"/>
      <w:ind w:left="0" w:firstLine="0"/>
    </w:pPr>
    <w:rPr>
      <w:rFonts w:eastAsia="Times New Roman"/>
      <w:lang w:eastAsia="en-GB"/>
    </w:rPr>
  </w:style>
  <w:style w:type="paragraph" w:customStyle="1" w:styleId="LegalNumPar2">
    <w:name w:val="LegalNumPar2"/>
    <w:basedOn w:val="Normal"/>
    <w:rsid w:val="001E3393"/>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1E3393"/>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1E3393"/>
    <w:rPr>
      <w:b/>
      <w:bCs/>
    </w:rPr>
  </w:style>
  <w:style w:type="character" w:styleId="Emphasis">
    <w:name w:val="Emphasis"/>
    <w:basedOn w:val="DefaultParagraphFont"/>
    <w:qFormat/>
    <w:rsid w:val="001E3393"/>
    <w:rPr>
      <w:i/>
      <w:iCs/>
    </w:rPr>
  </w:style>
  <w:style w:type="character" w:customStyle="1" w:styleId="Mention1">
    <w:name w:val="Mention1"/>
    <w:basedOn w:val="DefaultParagraphFont"/>
    <w:uiPriority w:val="99"/>
    <w:unhideWhenUsed/>
    <w:rsid w:val="001E3393"/>
    <w:rPr>
      <w:color w:val="2B579A"/>
      <w:shd w:val="clear" w:color="auto" w:fill="E1DFDD"/>
    </w:rPr>
  </w:style>
  <w:style w:type="character" w:customStyle="1" w:styleId="normaltextrun">
    <w:name w:val="normaltextrun"/>
    <w:basedOn w:val="DefaultParagraphFont"/>
    <w:rsid w:val="001E3393"/>
  </w:style>
  <w:style w:type="paragraph" w:styleId="Header">
    <w:name w:val="header"/>
    <w:basedOn w:val="Normal"/>
    <w:link w:val="HeaderChar"/>
    <w:uiPriority w:val="99"/>
    <w:unhideWhenUsed/>
    <w:rsid w:val="00270204"/>
    <w:pPr>
      <w:tabs>
        <w:tab w:val="center" w:pos="4535"/>
        <w:tab w:val="right" w:pos="9071"/>
      </w:tabs>
      <w:spacing w:before="0"/>
    </w:pPr>
  </w:style>
  <w:style w:type="character" w:customStyle="1" w:styleId="HeaderChar">
    <w:name w:val="Header Char"/>
    <w:basedOn w:val="DefaultParagraphFont"/>
    <w:link w:val="Header"/>
    <w:uiPriority w:val="99"/>
    <w:rsid w:val="00270204"/>
    <w:rPr>
      <w:rFonts w:ascii="Times New Roman" w:hAnsi="Times New Roman" w:cs="Times New Roman"/>
      <w:sz w:val="24"/>
      <w:lang w:val="ro-RO"/>
    </w:rPr>
  </w:style>
  <w:style w:type="paragraph" w:styleId="Footer">
    <w:name w:val="footer"/>
    <w:basedOn w:val="Normal"/>
    <w:link w:val="FooterChar"/>
    <w:uiPriority w:val="99"/>
    <w:unhideWhenUsed/>
    <w:rsid w:val="0027020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27020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270204"/>
    <w:pPr>
      <w:tabs>
        <w:tab w:val="center" w:pos="7285"/>
        <w:tab w:val="right" w:pos="14003"/>
      </w:tabs>
      <w:spacing w:before="0"/>
    </w:pPr>
  </w:style>
  <w:style w:type="paragraph" w:customStyle="1" w:styleId="FooterLandscape">
    <w:name w:val="FooterLandscape"/>
    <w:basedOn w:val="Normal"/>
    <w:rsid w:val="0027020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702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70204"/>
    <w:pPr>
      <w:spacing w:before="0"/>
      <w:jc w:val="right"/>
    </w:pPr>
    <w:rPr>
      <w:sz w:val="28"/>
    </w:rPr>
  </w:style>
  <w:style w:type="paragraph" w:customStyle="1" w:styleId="FooterSensitivity">
    <w:name w:val="Footer Sensitivity"/>
    <w:basedOn w:val="Normal"/>
    <w:rsid w:val="002702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2078">
      <w:bodyDiv w:val="1"/>
      <w:marLeft w:val="0"/>
      <w:marRight w:val="0"/>
      <w:marTop w:val="0"/>
      <w:marBottom w:val="0"/>
      <w:divBdr>
        <w:top w:val="none" w:sz="0" w:space="0" w:color="auto"/>
        <w:left w:val="none" w:sz="0" w:space="0" w:color="auto"/>
        <w:bottom w:val="none" w:sz="0" w:space="0" w:color="auto"/>
        <w:right w:val="none" w:sz="0" w:space="0" w:color="auto"/>
      </w:divBdr>
    </w:div>
    <w:div w:id="271254394">
      <w:bodyDiv w:val="1"/>
      <w:marLeft w:val="0"/>
      <w:marRight w:val="0"/>
      <w:marTop w:val="0"/>
      <w:marBottom w:val="0"/>
      <w:divBdr>
        <w:top w:val="none" w:sz="0" w:space="0" w:color="auto"/>
        <w:left w:val="none" w:sz="0" w:space="0" w:color="auto"/>
        <w:bottom w:val="none" w:sz="0" w:space="0" w:color="auto"/>
        <w:right w:val="none" w:sz="0" w:space="0" w:color="auto"/>
      </w:divBdr>
    </w:div>
    <w:div w:id="423380172">
      <w:bodyDiv w:val="1"/>
      <w:marLeft w:val="0"/>
      <w:marRight w:val="0"/>
      <w:marTop w:val="0"/>
      <w:marBottom w:val="0"/>
      <w:divBdr>
        <w:top w:val="none" w:sz="0" w:space="0" w:color="auto"/>
        <w:left w:val="none" w:sz="0" w:space="0" w:color="auto"/>
        <w:bottom w:val="none" w:sz="0" w:space="0" w:color="auto"/>
        <w:right w:val="none" w:sz="0" w:space="0" w:color="auto"/>
      </w:divBdr>
    </w:div>
    <w:div w:id="722828329">
      <w:bodyDiv w:val="1"/>
      <w:marLeft w:val="0"/>
      <w:marRight w:val="0"/>
      <w:marTop w:val="0"/>
      <w:marBottom w:val="0"/>
      <w:divBdr>
        <w:top w:val="none" w:sz="0" w:space="0" w:color="auto"/>
        <w:left w:val="none" w:sz="0" w:space="0" w:color="auto"/>
        <w:bottom w:val="none" w:sz="0" w:space="0" w:color="auto"/>
        <w:right w:val="none" w:sz="0" w:space="0" w:color="auto"/>
      </w:divBdr>
    </w:div>
    <w:div w:id="895316605">
      <w:bodyDiv w:val="1"/>
      <w:marLeft w:val="0"/>
      <w:marRight w:val="0"/>
      <w:marTop w:val="0"/>
      <w:marBottom w:val="0"/>
      <w:divBdr>
        <w:top w:val="none" w:sz="0" w:space="0" w:color="auto"/>
        <w:left w:val="none" w:sz="0" w:space="0" w:color="auto"/>
        <w:bottom w:val="none" w:sz="0" w:space="0" w:color="auto"/>
        <w:right w:val="none" w:sz="0" w:space="0" w:color="auto"/>
      </w:divBdr>
    </w:div>
    <w:div w:id="1015034652">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56403217">
      <w:bodyDiv w:val="1"/>
      <w:marLeft w:val="0"/>
      <w:marRight w:val="0"/>
      <w:marTop w:val="0"/>
      <w:marBottom w:val="0"/>
      <w:divBdr>
        <w:top w:val="none" w:sz="0" w:space="0" w:color="auto"/>
        <w:left w:val="none" w:sz="0" w:space="0" w:color="auto"/>
        <w:bottom w:val="none" w:sz="0" w:space="0" w:color="auto"/>
        <w:right w:val="none" w:sz="0" w:space="0" w:color="auto"/>
      </w:divBdr>
    </w:div>
    <w:div w:id="1722049455">
      <w:bodyDiv w:val="1"/>
      <w:marLeft w:val="0"/>
      <w:marRight w:val="0"/>
      <w:marTop w:val="0"/>
      <w:marBottom w:val="0"/>
      <w:divBdr>
        <w:top w:val="none" w:sz="0" w:space="0" w:color="auto"/>
        <w:left w:val="none" w:sz="0" w:space="0" w:color="auto"/>
        <w:bottom w:val="none" w:sz="0" w:space="0" w:color="auto"/>
        <w:right w:val="none" w:sz="0" w:space="0" w:color="auto"/>
      </w:divBdr>
      <w:divsChild>
        <w:div w:id="1900749763">
          <w:marLeft w:val="0"/>
          <w:marRight w:val="0"/>
          <w:marTop w:val="0"/>
          <w:marBottom w:val="0"/>
          <w:divBdr>
            <w:top w:val="none" w:sz="0" w:space="0" w:color="auto"/>
            <w:left w:val="none" w:sz="0" w:space="0" w:color="auto"/>
            <w:bottom w:val="none" w:sz="0" w:space="0" w:color="auto"/>
            <w:right w:val="none" w:sz="0" w:space="0" w:color="auto"/>
          </w:divBdr>
        </w:div>
        <w:div w:id="2089107526">
          <w:marLeft w:val="0"/>
          <w:marRight w:val="0"/>
          <w:marTop w:val="0"/>
          <w:marBottom w:val="0"/>
          <w:divBdr>
            <w:top w:val="none" w:sz="0" w:space="0" w:color="auto"/>
            <w:left w:val="none" w:sz="0" w:space="0" w:color="auto"/>
            <w:bottom w:val="none" w:sz="0" w:space="0" w:color="auto"/>
            <w:right w:val="none" w:sz="0" w:space="0" w:color="auto"/>
          </w:divBdr>
        </w:div>
      </w:divsChild>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olicy.trade.ec.europa.eu/analysis-and-assessment/sustainability-impact-assessments_en"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budget/data/DB/2026/ro/GenRev.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B618D3-CCDE-4978-B356-CD8000BED3A4}">
  <ds:schemaRefs>
    <ds:schemaRef ds:uri="http://schemas.openxmlformats.org/officeDocument/2006/bibliography"/>
  </ds:schemaRefs>
</ds:datastoreItem>
</file>

<file path=customXml/itemProps2.xml><?xml version="1.0" encoding="utf-8"?>
<ds:datastoreItem xmlns:ds="http://schemas.openxmlformats.org/officeDocument/2006/customXml" ds:itemID="{A5E5C5D4-EEC8-4503-AD42-7727C84062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DA0FA-42C9-4BFC-B074-419DF767A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6F1BF0-6CA7-4FDB-BE06-BC51C8565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12</Pages>
  <Words>4322</Words>
  <Characters>25415</Characters>
  <Application>Microsoft Office Word</Application>
  <DocSecurity>0</DocSecurity>
  <Lines>462</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19</cp:revision>
  <dcterms:created xsi:type="dcterms:W3CDTF">2026-09-07T09:28:00Z</dcterms:created>
  <dcterms:modified xsi:type="dcterms:W3CDTF">2026-09-21T08:10:00Z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Yellow (DQC version 03)</vt:lpwstr>
  </property>
</Properties>
</file>