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7DD327B-51B0-434D-BA75-0F286D423B18" style="width:455.25pt;height:318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bdr w:val="nil"/>
        </w:rPr>
        <w:t>•</w:t>
      </w:r>
      <w:r>
        <w:rPr>
          <w:noProof/>
          <w:color w:val="000000"/>
          <w:u w:color="000000"/>
          <w:bdr w:val="nil"/>
        </w:rPr>
        <w:tab/>
      </w:r>
      <w:r>
        <w:rPr>
          <w:noProof/>
        </w:rPr>
        <w:t>Motivele și obiectivele propunerii</w:t>
      </w:r>
    </w:p>
    <w:p>
      <w:pPr>
        <w:spacing w:before="0" w:after="240"/>
        <w:rPr>
          <w:rFonts w:eastAsia="Arial Unicode MS"/>
          <w:noProof/>
        </w:rPr>
      </w:pPr>
      <w:r>
        <w:rPr>
          <w:noProof/>
        </w:rPr>
        <w:t xml:space="preserve">Digitalizarea economiei modifică amploarea, domeniul de aplicare și ritmul comerțului internațional. Ea permite întreprinderilor să aibă acces la bunuri și servicii și să le comercializeze către un număr mai mare de clienți din întreaga lume și sporește considerabil posibilitățile de alegere ale consumatorilor. De asemenea, ea permite întreprinderilor să utilizeze instrumente digitale noi și inovatoare pentru a depăși barierele din calea creșterii economice. În special întreprinderile mici și mijlocii (IMM-urile) beneficiază de aceste oportunități și pot deveni mai integrate în lanțurile valorice globale. </w:t>
      </w:r>
    </w:p>
    <w:p>
      <w:pPr>
        <w:spacing w:before="0" w:after="240"/>
        <w:rPr>
          <w:noProof/>
        </w:rPr>
      </w:pPr>
      <w:r>
        <w:rPr>
          <w:noProof/>
        </w:rPr>
        <w:t>Comerțul cu bunuri și servicii facilitat prin mijloace electronice (denumit în continuare „comerțul digital”</w:t>
      </w:r>
      <w:r>
        <w:rPr>
          <w:rStyle w:val="FootnoteReference"/>
          <w:noProof/>
        </w:rPr>
        <w:footnoteReference w:id="1"/>
      </w:r>
      <w:r>
        <w:rPr>
          <w:noProof/>
        </w:rPr>
        <w:t>) devine din ce în ce mai important la nivel mondial. Comerțul digital cuprinde atât livrarea fizică de bunuri și servicii a căror achiziționare este efectuată digital (cum ar fi achiziționarea unei cărți prin intermediul unei platforme de internet), cât și livrarea digitală de bunuri și servicii (cum ar fi programele informatice, cărțile electronice sau fluxurile de date), implicând atât tranzacții între întreprinderi, cât și tranzacții între întreprinderi și consumatori. Potrivit estimărilor, comerțul digital reprezintă aproximativ 25 % din totalul comerțului internațional și a crescut într-un ritm mai rapid decât comerțul tradițional. UE este lider mondial atât în ceea ce privește exporturile, cât și importurile de servicii digitale, care s-au ridicat la 1,7 mii de miliarde EUR în 2024, adică 58 % din comerțul total cu servicii al UE.</w:t>
      </w:r>
    </w:p>
    <w:p>
      <w:pPr>
        <w:spacing w:before="0" w:after="240"/>
        <w:rPr>
          <w:noProof/>
        </w:rPr>
      </w:pPr>
      <w:r>
        <w:rPr>
          <w:noProof/>
        </w:rPr>
        <w:t xml:space="preserve">În decembrie 2024, 71 de membri ai Organizației Mondiale a Comerțului (OMC) au încheiat negocierile pentru Acordul privind comerțul electronic („ACE”). La 28 martie 2026, 67 de membri ai OMC, printre care Uniunea Europeană și Costa Rica, și-au confirmat intenția de a pune în aplicare ACE cât mai curând posibil, sub rezerva finalizării procedurilor lor interne. Participarea UE și a statului Costa Rica semnalizează alinierea în sens larg în ceea ce privește aspecte principale relevante pentru comerțul digital, precum și sprijinul comun către un cadru bazat pe standarde înalte. </w:t>
      </w:r>
    </w:p>
    <w:p>
      <w:pPr>
        <w:spacing w:before="0" w:after="240"/>
        <w:rPr>
          <w:rFonts w:eastAsia="Times New Roman"/>
          <w:noProof/>
        </w:rPr>
      </w:pPr>
      <w:r>
        <w:rPr>
          <w:noProof/>
        </w:rPr>
        <w:t>UE și Costa Rica sunt parteneri apropriați, relația lor economică bazându-se pe pilonul comercial al Acordului de asociere UE-America Centrală, care s-a aplicat provizoriu de la 1 octombrie 2013 și a intrat în vigoare pe deplin la 1 mai 2024. Costa Rica are una dintre cele mai avansate din punct de vedere digital și cele mai inovative economii din America Latină, cu un puternic sector al serviciilor, o economie digitală în creștere și un ecosistem bine stabilit pentru industria prelucrătoare și sectorul serviciilor pentru întreprinderi cu valoare ridicată. De la aplicarea cu titlu provizoriu a pilonului comercial, comerțul cu servicii bilaterale a crescut, de asemenea, în ritm rapid, exporturile de servicii din UE către Costa Rica crescând cu 280 %, iar importurile cu 281 % între 2013 și 2024</w:t>
      </w:r>
      <w:r>
        <w:rPr>
          <w:rStyle w:val="FootnoteReference"/>
          <w:rFonts w:eastAsia="Times New Roman"/>
          <w:noProof/>
        </w:rPr>
        <w:footnoteReference w:id="2"/>
      </w:r>
      <w:r>
        <w:rPr>
          <w:noProof/>
        </w:rPr>
        <w:t>. De asemenea, Costa Rica a devenit o destinație atractivă pentru investițiile europene, în special în tehnologia informației și comunicațiilor. Comerțul bilateral reflectă tot mai mult tranziția statului Costa Rica către o industrie prelucrătoare cu valoare ridicată, produsele neagricole reprezentând aproximativ două treimi din exporturile acestei țări către UE în 2025</w:t>
      </w:r>
      <w:r>
        <w:rPr>
          <w:rStyle w:val="FootnoteReference"/>
          <w:rFonts w:eastAsia="Times New Roman"/>
          <w:noProof/>
        </w:rPr>
        <w:footnoteReference w:id="3"/>
      </w:r>
      <w:r>
        <w:rPr>
          <w:noProof/>
        </w:rPr>
        <w:t>.</w:t>
      </w:r>
    </w:p>
    <w:p>
      <w:pPr>
        <w:spacing w:before="0" w:after="240"/>
        <w:rPr>
          <w:noProof/>
        </w:rPr>
      </w:pPr>
      <w:r>
        <w:rPr>
          <w:noProof/>
        </w:rPr>
        <w:t xml:space="preserve">Negocierea unor norme ambițioase privind comerțul digital cu Costa Rica are un potențial puternic de a facilita și mai mult comerțul digital transfrontalier între UE și Costa Rica, de a reduce barierele de reglementare, de a crea noi oportunități pentru întreprinderile din UE, în special pentru microîntreprinderi, întreprinderile mici și cele mijlocii, și de a spori încrederea consumatorilor în economia digitală. </w:t>
      </w:r>
    </w:p>
    <w:p>
      <w:pPr>
        <w:spacing w:before="0" w:after="240"/>
        <w:rPr>
          <w:rFonts w:eastAsia="Times New Roman"/>
          <w:noProof/>
          <w:szCs w:val="24"/>
        </w:rPr>
      </w:pPr>
      <w:r>
        <w:rPr>
          <w:noProof/>
        </w:rPr>
        <w:t>Această recomandare este înaintată Consiliului, în temeiul articolului 218 din Tratatul privind funcționarea Uniunii Europene (TFUE), astfel încât Comisia să primească autorizarea de a deschide negocieri bilaterale cu Costa Rica pentru încheierea unui tratat privind comerțul digital, de a furniza directive de negociere și de a numi Comisia ca negociator. Scopul recomandării și a directivelor de negociere propuse este de a asigura faptul că UE este în poziția de a se angaja în negocieri cu Costa Rica privind chestiunile în materie de comerț digital propuse de către aceste părți în cadrul negocierilor, respectând pe deplin aquis-ul UE, inclusiv cadrul juridic pentru protecția datelor cu caracter personal, și alegerile politice ale UE în cadrul negocierilor comerciale. Obiectivele urmărite de UE în cadrul negocierilor vizează consolidarea comerțului digital bilateral, facilitarea operațiunilor întreprinderilor, inclusiv ale microîntreprinderilor și ale întreprinderilor mici și mijlocii și consolidarea încrederii consumatorilor în mediul online.</w:t>
      </w:r>
    </w:p>
    <w:p>
      <w:pPr>
        <w:spacing w:before="0" w:after="240"/>
        <w:rPr>
          <w:rFonts w:eastAsia="Arial Unicode MS"/>
          <w:b/>
          <w:noProof/>
        </w:rPr>
      </w:pPr>
      <w:r>
        <w:rPr>
          <w:b/>
          <w:noProof/>
        </w:rPr>
        <w:t>•</w:t>
      </w:r>
      <w:r>
        <w:rPr>
          <w:b/>
          <w:noProof/>
        </w:rPr>
        <w:tab/>
        <w:t>Coerența cu dispozițiile de politică deja existente în domeniul de politică vizat</w:t>
      </w:r>
    </w:p>
    <w:p>
      <w:pPr>
        <w:pBdr>
          <w:top w:val="nil"/>
          <w:left w:val="nil"/>
          <w:bottom w:val="nil"/>
          <w:right w:val="nil"/>
          <w:between w:val="nil"/>
          <w:bar w:val="nil"/>
        </w:pBdr>
        <w:spacing w:before="0" w:after="240"/>
        <w:rPr>
          <w:rFonts w:eastAsia="Arial Unicode MS"/>
          <w:noProof/>
        </w:rPr>
      </w:pPr>
      <w:r>
        <w:rPr>
          <w:noProof/>
        </w:rPr>
        <w:t xml:space="preserve">Inițiativa se bazează pe Tratatul privind Uniunea Europeană (TUE), care prevede că UE ar trebui să „încurajeze integrarea tuturor țărilor în economia mondială, inclusiv prin eliminarea treptată a barierelor din calea comerțului internațional”. </w:t>
      </w:r>
    </w:p>
    <w:p>
      <w:pPr>
        <w:pBdr>
          <w:top w:val="nil"/>
          <w:left w:val="nil"/>
          <w:bottom w:val="nil"/>
          <w:right w:val="nil"/>
          <w:between w:val="nil"/>
          <w:bar w:val="nil"/>
        </w:pBdr>
        <w:spacing w:before="0" w:after="240"/>
        <w:rPr>
          <w:rFonts w:eastAsia="Arial Unicode MS"/>
          <w:noProof/>
        </w:rPr>
      </w:pPr>
      <w:r>
        <w:rPr>
          <w:noProof/>
        </w:rPr>
        <w:t>Aceasta este în concordanță cu Busola UE pentru competitivitate, care prezintă strategii de diversificare și consolidare a lanțurilor de aprovizionare prin dezvoltarea unei noi serii de parteneriate pentru comerț și investiții curate</w:t>
      </w:r>
      <w:r>
        <w:rPr>
          <w:rStyle w:val="FootnoteReference"/>
          <w:noProof/>
        </w:rPr>
        <w:footnoteReference w:id="4"/>
      </w:r>
      <w:r>
        <w:rPr>
          <w:noProof/>
        </w:rPr>
        <w:t>.</w:t>
      </w:r>
    </w:p>
    <w:p>
      <w:pPr>
        <w:pBdr>
          <w:top w:val="nil"/>
          <w:left w:val="nil"/>
          <w:bottom w:val="nil"/>
          <w:right w:val="nil"/>
          <w:between w:val="nil"/>
          <w:bar w:val="nil"/>
        </w:pBdr>
        <w:spacing w:before="0" w:after="240"/>
        <w:rPr>
          <w:rFonts w:eastAsia="Arial Unicode MS"/>
          <w:noProof/>
        </w:rPr>
      </w:pPr>
      <w:r>
        <w:rPr>
          <w:noProof/>
        </w:rPr>
        <w:t>De asemenea, inițiativa este în concordanță cu abordare strategică a UE pentru consolidarea securității economice a Europei, care subliniază necesitatea de a consolida cooperarea cu parteneri care împărtășesc aceeași viziune din întreaga lume, atât la nivel bilateral, cât și multilateral</w:t>
      </w:r>
      <w:r>
        <w:rPr>
          <w:rStyle w:val="FootnoteReference"/>
          <w:rFonts w:eastAsia="Arial Unicode MS"/>
          <w:noProof/>
        </w:rPr>
        <w:footnoteReference w:id="5"/>
      </w:r>
      <w:r>
        <w:rPr>
          <w:noProof/>
        </w:rPr>
        <w:t>.</w:t>
      </w:r>
    </w:p>
    <w:p>
      <w:pPr>
        <w:spacing w:before="0" w:after="240"/>
        <w:rPr>
          <w:rFonts w:eastAsia="Arial Unicode MS"/>
          <w:noProof/>
        </w:rPr>
      </w:pPr>
      <w:r>
        <w:rPr>
          <w:noProof/>
        </w:rPr>
        <w:t>Inițiativa este în concordanță cu Strategia digitală internațională, care prevede că, în contextul actualei concurențe mondiale pentru supremația tehnologică, nicio națiune nu excelează în toate aspectele lanțului valoric tehnologic. Peisajul evoluează constant datorită inovării și concurenței. Prin urmare, colaborarea internațională și comerțul cu parteneri și aliați esențiali, alături de strategiile eficace de diversificare și de gestionare a riscurilor, au o mare importanță pentru promovarea obiectivelor tehnologice și digitale ale UE</w:t>
      </w:r>
      <w:r>
        <w:rPr>
          <w:rStyle w:val="FootnoteReference"/>
          <w:noProof/>
        </w:rPr>
        <w:footnoteReference w:id="6"/>
      </w:r>
      <w:r>
        <w:rPr>
          <w:noProof/>
        </w:rPr>
        <w:t>.</w:t>
      </w:r>
    </w:p>
    <w:p>
      <w:pPr>
        <w:spacing w:after="240"/>
        <w:rPr>
          <w:rFonts w:eastAsia="Arial Unicode MS"/>
          <w:b/>
          <w:bCs/>
          <w:noProof/>
          <w:highlight w:val="yellow"/>
        </w:rPr>
      </w:pPr>
      <w:r>
        <w:rPr>
          <w:noProof/>
        </w:rPr>
        <w:t xml:space="preserve">Inițiativa este în concordanță cu și completează Acordul de asociere UE-America Centrală, care deja a consolidat și a liberalizat relațiile comerciale bilaterale dintre Uniunea Europeană și Costa Rica, dar care nu prevede norme cuprinzătoare privind comerțul digital. </w:t>
      </w:r>
    </w:p>
    <w:p>
      <w:pPr>
        <w:spacing w:before="0" w:after="240"/>
        <w:rPr>
          <w:rFonts w:eastAsia="Arial Unicode MS"/>
          <w:noProof/>
        </w:rPr>
      </w:pPr>
      <w:r>
        <w:rPr>
          <w:noProof/>
        </w:rPr>
        <w:t>În cadrul negocierilor sale privind liberul schimb, UE propune în mod sistematic discipline ambițioase în materie de reglementare privind comerțul digital. Directivele de negociere propuse urmează o abordare coerentă, similară celei adoptate de UE în cadrul recentelor negocieri privind DTA cu Singapore și Coreea de Sud</w:t>
      </w:r>
      <w:r>
        <w:rPr>
          <w:rStyle w:val="FootnoteReference"/>
          <w:noProof/>
        </w:rPr>
        <w:footnoteReference w:id="7"/>
      </w:r>
      <w:r>
        <w:rPr>
          <w:noProof/>
        </w:rPr>
        <w:t xml:space="preserve"> și în cadrul negocierilor în curs cu Canada</w:t>
      </w:r>
      <w:r>
        <w:rPr>
          <w:rStyle w:val="FootnoteReference"/>
          <w:rFonts w:eastAsia="Arial Unicode MS"/>
          <w:noProof/>
        </w:rPr>
        <w:footnoteReference w:id="8"/>
      </w:r>
      <w:r>
        <w:rPr>
          <w:noProof/>
        </w:rPr>
        <w:t xml:space="preserve">. În mod similar, directivele de negociere propuse urmează abordarea adoptată pentru negocierile privind capitolele privind chestiunile din domeniul digital ale acordurilor de liber schimb, inclusiv pentru cele încheiate recent cu India în cadrul ALS UE-India, cu Indonezia în cadrul Acordului de parteneriat economic cuprinzător UE-Indonezia (CEPA), cu Australia în cadrul ALS UE-Australia, precum și cu Regatul Unit în cadrul Acordului comercial și de cooperare UE-Regatul Unit, cu Chile în Acordul-cadru avansat UE-Chile și cu Noua Zeelandă pentru ALS UE-Noua Zeelandă. </w:t>
      </w:r>
    </w:p>
    <w:p>
      <w:pPr>
        <w:pBdr>
          <w:top w:val="nil"/>
          <w:left w:val="nil"/>
          <w:bottom w:val="nil"/>
          <w:right w:val="nil"/>
          <w:between w:val="nil"/>
          <w:bar w:val="nil"/>
        </w:pBdr>
        <w:spacing w:before="0" w:after="240"/>
        <w:rPr>
          <w:noProof/>
        </w:rPr>
      </w:pPr>
      <w:r>
        <w:rPr>
          <w:noProof/>
        </w:rPr>
        <w:t>Prezenta inițiativă este, de asemenea, în concordanță cu negocierile anterioare privind comerțul electronic între membrii OMC și cu Acordul plurilateral privind comerțul electronic rezultat din aceste negocieri</w:t>
      </w:r>
      <w:r>
        <w:rPr>
          <w:rStyle w:val="FootnoteReference"/>
          <w:rFonts w:eastAsia="Arial Unicode MS"/>
          <w:noProof/>
        </w:rPr>
        <w:footnoteReference w:id="9"/>
      </w:r>
      <w:r>
        <w:rPr>
          <w:noProof/>
        </w:rPr>
        <w:t xml:space="preserve">. </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Coerența cu alte politici ale Uniunii</w:t>
      </w:r>
    </w:p>
    <w:p>
      <w:pPr>
        <w:spacing w:before="0" w:after="240"/>
        <w:rPr>
          <w:noProof/>
        </w:rPr>
      </w:pPr>
      <w:bookmarkStart w:id="0" w:name="_Hlk122360025"/>
      <w:r>
        <w:rPr>
          <w:noProof/>
        </w:rPr>
        <w:t>Directivele de negociere se bazează pe legislația UE privind piața internă în domeniul comerțului digital și sunt pe deplin conforme cu aceasta. Directivele de negociere propuse confirmă, de asemenea, că orice normă sau angajament convenit de UE ar trebui să fie în conformitate cu cadrul juridic al UE și ar trebui să asigure spațiul politic necesar pentru punerea în aplicare a legislației UE. Acestea sunt în concordanță cu Declarația europeană privind drepturile și principiile digitale, semnată de Parlamentul European, Consiliu și Comisia Europeană la 15 decembrie 2022, pe care UE urmărește să o promoveze în relațiile sale comerciale internaționale</w:t>
      </w:r>
      <w:r>
        <w:rPr>
          <w:rStyle w:val="FootnoteReference"/>
          <w:noProof/>
        </w:rPr>
        <w:footnoteReference w:id="10"/>
      </w:r>
      <w:r>
        <w:rPr>
          <w:noProof/>
        </w:rPr>
        <w:t xml:space="preserve">. Acest lucru este în conformitate cu obiectivele Strategiei digitale internaționale a UE de a orienta transformarea digitală a Europei la nivel mondial. </w:t>
      </w:r>
    </w:p>
    <w:p>
      <w:pPr>
        <w:spacing w:before="0" w:after="240"/>
        <w:rPr>
          <w:noProof/>
        </w:rPr>
      </w:pPr>
      <w:r>
        <w:rPr>
          <w:noProof/>
        </w:rPr>
        <w:t xml:space="preserve">Disciplinele propuse de UE în cadrul negocierilor bilaterale se bazează pe legislația UE privind piața internă în domeniul comerțului digital și sunt pe deplin conforme cu aceasta. </w:t>
      </w:r>
    </w:p>
    <w:p>
      <w:pPr>
        <w:spacing w:before="0" w:after="240"/>
        <w:rPr>
          <w:noProof/>
        </w:rPr>
      </w:pPr>
      <w:r>
        <w:rPr>
          <w:noProof/>
        </w:rPr>
        <w:t>Directivele de negociere propuse confirmă că orice normă sau angajament convenit de UE ar trebui să fie în conformitate cu cadrul juridic al UE.</w:t>
      </w:r>
      <w:bookmarkEnd w:id="0"/>
    </w:p>
    <w:p>
      <w:pPr>
        <w:pStyle w:val="ManualHeading1"/>
        <w:rPr>
          <w:noProof/>
        </w:rPr>
      </w:pPr>
      <w:r>
        <w:rPr>
          <w:noProof/>
        </w:rPr>
        <w:t>2.</w:t>
      </w:r>
      <w:r>
        <w:rPr>
          <w:noProof/>
        </w:rPr>
        <w:tab/>
        <w:t>TEMEI JURIDIC, SUBSIDIARITATE ȘI PROPORȚIONALITATE</w:t>
      </w:r>
    </w:p>
    <w:p>
      <w:pPr>
        <w:pStyle w:val="ManualHeading2"/>
        <w:rPr>
          <w:noProof/>
        </w:rPr>
      </w:pPr>
      <w:r>
        <w:rPr>
          <w:noProof/>
          <w:u w:color="000000"/>
          <w:bdr w:val="nil"/>
        </w:rPr>
        <w:t>•</w:t>
      </w:r>
      <w:r>
        <w:rPr>
          <w:noProof/>
          <w:u w:color="000000"/>
          <w:bdr w:val="nil"/>
        </w:rPr>
        <w:tab/>
        <w:t>Temeiul juridic</w:t>
      </w:r>
    </w:p>
    <w:p>
      <w:pPr>
        <w:pBdr>
          <w:top w:val="nil"/>
          <w:left w:val="nil"/>
          <w:bottom w:val="nil"/>
          <w:right w:val="nil"/>
          <w:between w:val="nil"/>
          <w:bar w:val="nil"/>
        </w:pBdr>
        <w:spacing w:before="0" w:after="240"/>
        <w:rPr>
          <w:rFonts w:eastAsia="Arial Unicode MS"/>
          <w:noProof/>
        </w:rPr>
      </w:pPr>
      <w:r>
        <w:rPr>
          <w:noProof/>
        </w:rPr>
        <w:t>Temeiul juridic procedural al deciziei propuse de autorizare a deschiderii negocierilor pentru acordul preconizat constă în articolul 218 alineatele (3) și (4) din TFUE.</w:t>
      </w:r>
    </w:p>
    <w:p>
      <w:pPr>
        <w:pBdr>
          <w:top w:val="nil"/>
          <w:left w:val="nil"/>
          <w:bottom w:val="nil"/>
          <w:right w:val="nil"/>
          <w:between w:val="nil"/>
          <w:bar w:val="nil"/>
        </w:pBdr>
        <w:spacing w:before="0" w:after="240"/>
        <w:rPr>
          <w:rFonts w:eastAsia="Arial Unicode MS"/>
          <w:noProof/>
        </w:rPr>
      </w:pPr>
      <w:r>
        <w:rPr>
          <w:noProof/>
        </w:rPr>
        <w:t xml:space="preserve">Articolul 218 alineatul (3) din Tratatul privind funcționarea Uniunii Europene (TFUE) prevede că, în cazul în care acordul preconizat nu privește exclusiv sau în principal politica externă și de securitate comună, Comisia prezintă recomandări Consiliului. Consiliul adoptă o decizie de autorizare a deschiderii negocierilor și de numire a negociatorului Uniunii sau a șefului echipei de negociere a Uniunii. </w:t>
      </w:r>
    </w:p>
    <w:p>
      <w:pPr>
        <w:pBdr>
          <w:top w:val="nil"/>
          <w:left w:val="nil"/>
          <w:bottom w:val="nil"/>
          <w:right w:val="nil"/>
          <w:between w:val="nil"/>
          <w:bar w:val="nil"/>
        </w:pBdr>
        <w:spacing w:before="0" w:after="240"/>
        <w:rPr>
          <w:rFonts w:eastAsia="Arial Unicode MS"/>
          <w:noProof/>
        </w:rPr>
      </w:pPr>
      <w:r>
        <w:rPr>
          <w:noProof/>
        </w:rPr>
        <w:t>Articolul 218 alineatul (4) din TFUE prevede că Consiliul poate adresa directive de negociere negociatorului și poate desemna un comitet special, negocierile trebuind să fie conduse în consultare cu acest comitet.</w:t>
      </w:r>
    </w:p>
    <w:p>
      <w:pPr>
        <w:pBdr>
          <w:top w:val="nil"/>
          <w:left w:val="nil"/>
          <w:bottom w:val="nil"/>
          <w:right w:val="nil"/>
          <w:between w:val="nil"/>
          <w:bar w:val="nil"/>
        </w:pBdr>
        <w:spacing w:before="0" w:after="240"/>
        <w:rPr>
          <w:rFonts w:eastAsia="Arial Unicode MS"/>
          <w:noProof/>
        </w:rPr>
      </w:pPr>
      <w:r>
        <w:rPr>
          <w:noProof/>
        </w:rPr>
        <w:t>Comisia recomandă deschiderea negocierilor între Uniunea Europeană și Costa Rica pentru un acord internațional referitor la comerțul digital. Comisia urmează să fie desemnată negociator.</w:t>
      </w:r>
    </w:p>
    <w:p>
      <w:pPr>
        <w:pBdr>
          <w:top w:val="nil"/>
          <w:left w:val="nil"/>
          <w:bottom w:val="nil"/>
          <w:right w:val="nil"/>
          <w:between w:val="nil"/>
          <w:bar w:val="nil"/>
        </w:pBdr>
        <w:spacing w:before="0" w:after="240"/>
        <w:rPr>
          <w:rFonts w:eastAsia="Arial Unicode MS"/>
          <w:b/>
          <w:noProof/>
        </w:rPr>
      </w:pPr>
      <w:r>
        <w:rPr>
          <w:b/>
          <w:noProof/>
        </w:rPr>
        <w:t>•</w:t>
      </w:r>
      <w:r>
        <w:rPr>
          <w:b/>
          <w:noProof/>
        </w:rPr>
        <w:tab/>
        <w:t>Temeiul juridic material</w:t>
      </w:r>
    </w:p>
    <w:p>
      <w:pPr>
        <w:pBdr>
          <w:top w:val="nil"/>
          <w:left w:val="nil"/>
          <w:bottom w:val="nil"/>
          <w:right w:val="nil"/>
          <w:between w:val="nil"/>
          <w:bar w:val="nil"/>
        </w:pBdr>
        <w:spacing w:before="0" w:after="240"/>
        <w:rPr>
          <w:rFonts w:eastAsia="Arial Unicode MS"/>
          <w:noProof/>
        </w:rPr>
      </w:pPr>
      <w:r>
        <w:rPr>
          <w:noProof/>
        </w:rPr>
        <w:t>Prezentul act intră sub incidența politicii comerciale comune și, prin urmare, temeiul juridic material constă în articolul 207 alineatul (4) primul paragraf din TFUE.</w:t>
      </w:r>
    </w:p>
    <w:p>
      <w:pPr>
        <w:pBdr>
          <w:top w:val="nil"/>
          <w:left w:val="nil"/>
          <w:bottom w:val="nil"/>
          <w:right w:val="nil"/>
          <w:between w:val="nil"/>
          <w:bar w:val="nil"/>
        </w:pBdr>
        <w:spacing w:before="0" w:after="240"/>
        <w:rPr>
          <w:rFonts w:eastAsia="Arial Unicode MS"/>
          <w:b/>
          <w:noProof/>
        </w:rPr>
      </w:pPr>
      <w:r>
        <w:rPr>
          <w:b/>
          <w:noProof/>
        </w:rPr>
        <w:t>•</w:t>
      </w:r>
      <w:r>
        <w:rPr>
          <w:b/>
          <w:noProof/>
        </w:rPr>
        <w:tab/>
        <w:t>Alegerea negociatorului</w:t>
      </w:r>
    </w:p>
    <w:p>
      <w:pPr>
        <w:pBdr>
          <w:top w:val="nil"/>
          <w:left w:val="nil"/>
          <w:bottom w:val="nil"/>
          <w:right w:val="nil"/>
          <w:between w:val="nil"/>
          <w:bar w:val="nil"/>
        </w:pBdr>
        <w:spacing w:before="0" w:after="240"/>
        <w:rPr>
          <w:rFonts w:eastAsia="Arial Unicode MS"/>
          <w:noProof/>
        </w:rPr>
      </w:pPr>
      <w:r>
        <w:rPr>
          <w:noProof/>
        </w:rPr>
        <w:t>Dat fiind faptul că acordul preconizat vizează exclusiv alte aspecte decât politica externă și de securitate comună, Comisia trebuie desemnată drept negociator în temeiul articolului 218 alineatul (3) din TFUE.</w:t>
      </w:r>
    </w:p>
    <w:p>
      <w:pPr>
        <w:pBdr>
          <w:top w:val="nil"/>
          <w:left w:val="nil"/>
          <w:bottom w:val="nil"/>
          <w:right w:val="nil"/>
          <w:between w:val="nil"/>
          <w:bar w:val="nil"/>
        </w:pBdr>
        <w:spacing w:before="0" w:after="240"/>
        <w:rPr>
          <w:rFonts w:eastAsia="Arial Unicode MS"/>
          <w:b/>
          <w:noProof/>
        </w:rPr>
      </w:pPr>
      <w:r>
        <w:rPr>
          <w:b/>
          <w:noProof/>
        </w:rPr>
        <w:t>•</w:t>
      </w:r>
      <w:r>
        <w:rPr>
          <w:b/>
          <w:noProof/>
        </w:rPr>
        <w:tab/>
        <w:t>Competența Uniunii</w:t>
      </w:r>
    </w:p>
    <w:p>
      <w:pPr>
        <w:pBdr>
          <w:top w:val="nil"/>
          <w:left w:val="nil"/>
          <w:bottom w:val="nil"/>
          <w:right w:val="nil"/>
          <w:between w:val="nil"/>
          <w:bar w:val="nil"/>
        </w:pBdr>
        <w:spacing w:before="0" w:after="240"/>
        <w:rPr>
          <w:rFonts w:eastAsia="Arial Unicode MS"/>
          <w:bCs/>
          <w:noProof/>
        </w:rPr>
      </w:pPr>
      <w:r>
        <w:rPr>
          <w:noProof/>
        </w:rPr>
        <w:t>Prezentul act intră sub incidența politicii comerciale comune în temeiul articolului 207 din TFUE. Prin urmare, acesta intră în sfera de competență exclusivă a Uniunii, în conformitate cu articolul 3 alineatul (1) din TFUE.</w:t>
      </w:r>
    </w:p>
    <w:p>
      <w:pPr>
        <w:pStyle w:val="ManualHeading2"/>
        <w:rPr>
          <w:rFonts w:eastAsia="Arial Unicode MS"/>
          <w:noProof/>
          <w:u w:color="000000"/>
          <w:bdr w:val="nil"/>
        </w:rPr>
      </w:pPr>
      <w:r>
        <w:rPr>
          <w:noProof/>
          <w:u w:color="000000"/>
          <w:bdr w:val="nil"/>
        </w:rPr>
        <w:t>•</w:t>
      </w:r>
      <w:r>
        <w:rPr>
          <w:noProof/>
          <w:u w:color="000000"/>
          <w:bdr w:val="nil"/>
        </w:rPr>
        <w:tab/>
        <w:t xml:space="preserve">Subsidiaritatea (în cazul competențelor neexclusive) </w:t>
      </w:r>
    </w:p>
    <w:p>
      <w:pPr>
        <w:spacing w:before="0" w:after="240"/>
        <w:rPr>
          <w:rFonts w:eastAsia="Arial Unicode MS"/>
          <w:noProof/>
        </w:rPr>
      </w:pPr>
      <w:r>
        <w:rPr>
          <w:noProof/>
        </w:rPr>
        <w:t>În conformitate cu articolul 5 alineatul (3) din TUE, principiul subsidiarității nu se aplică în domeniile care sunt de competența exclusivă a UE. Politica comercială comună este un domeniu de competență exclusivă a Uniunii în temeiul articolului 3 alineatul din TFUE.</w:t>
      </w:r>
    </w:p>
    <w:p>
      <w:pPr>
        <w:pStyle w:val="ManualHeading2"/>
        <w:rPr>
          <w:rFonts w:eastAsia="Arial Unicode MS"/>
          <w:noProof/>
          <w:u w:color="000000"/>
          <w:bdr w:val="nil"/>
        </w:rPr>
      </w:pPr>
      <w:r>
        <w:rPr>
          <w:noProof/>
          <w:u w:color="000000"/>
          <w:bdr w:val="nil"/>
        </w:rPr>
        <w:t>•</w:t>
      </w:r>
      <w:r>
        <w:rPr>
          <w:noProof/>
          <w:u w:color="000000"/>
          <w:bdr w:val="nil"/>
        </w:rPr>
        <w:tab/>
        <w:t>Proporționalitatea</w:t>
      </w:r>
    </w:p>
    <w:p>
      <w:pPr>
        <w:spacing w:before="0" w:after="240"/>
        <w:rPr>
          <w:rFonts w:eastAsia="Arial Unicode MS"/>
          <w:noProof/>
        </w:rPr>
      </w:pPr>
      <w:r>
        <w:rPr>
          <w:noProof/>
        </w:rPr>
        <w:t xml:space="preserve">Prezenta inițiativă nu depășește ceea ce este necesar pentru atingerea obiectivelor de politică în cauză. </w:t>
      </w:r>
    </w:p>
    <w:p>
      <w:pPr>
        <w:pStyle w:val="ManualHeading2"/>
        <w:rPr>
          <w:rFonts w:eastAsia="Arial Unicode MS"/>
          <w:noProof/>
          <w:u w:color="000000"/>
          <w:bdr w:val="nil"/>
        </w:rPr>
      </w:pPr>
      <w:r>
        <w:rPr>
          <w:noProof/>
          <w:u w:color="000000"/>
          <w:bdr w:val="nil"/>
        </w:rPr>
        <w:t>•</w:t>
      </w:r>
      <w:r>
        <w:rPr>
          <w:noProof/>
          <w:u w:color="000000"/>
          <w:bdr w:val="nil"/>
        </w:rPr>
        <w:tab/>
        <w:t>Alegerea instrumentului</w:t>
      </w:r>
    </w:p>
    <w:p>
      <w:pPr>
        <w:pBdr>
          <w:top w:val="nil"/>
          <w:left w:val="nil"/>
          <w:bottom w:val="nil"/>
          <w:right w:val="nil"/>
          <w:between w:val="nil"/>
          <w:bar w:val="nil"/>
        </w:pBdr>
        <w:spacing w:before="0" w:after="240"/>
        <w:rPr>
          <w:rFonts w:eastAsia="Arial Unicode MS"/>
          <w:b/>
          <w:noProof/>
        </w:rPr>
      </w:pPr>
      <w:r>
        <w:rPr>
          <w:noProof/>
        </w:rPr>
        <w:t>Prezenta recomandare de decizie a Consiliului este prezentată în conformitate cu articolul 218 alineatele (3) și (4) din TFUE, care prevăd adoptarea de către Consiliu a unei decizii de autorizare a deschiderii negocierilor și de desemnare a Uniunii drept negociator. Consiliul poate adresa, de asemenea, directive de negociere negociatorului. Nu există un alt instrument juridic care ar putea fi folosit în scopul realizării obiectivului exprimat în prezenta recomandare.</w:t>
      </w:r>
    </w:p>
    <w:p>
      <w:pPr>
        <w:pStyle w:val="ManualHeading1"/>
        <w:rPr>
          <w:noProof/>
        </w:rPr>
      </w:pPr>
      <w:r>
        <w:rPr>
          <w:noProof/>
        </w:rPr>
        <w:t>3.</w:t>
      </w:r>
      <w:r>
        <w:rPr>
          <w:noProof/>
        </w:rPr>
        <w:tab/>
        <w:t>REZULTATELE EVALUĂRILOR EX POST,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u w:color="000000"/>
          <w:bdr w:val="nil"/>
        </w:rPr>
        <w:tab/>
        <w:t xml:space="preserve">Evaluările </w:t>
      </w:r>
      <w:r>
        <w:rPr>
          <w:i/>
          <w:iCs/>
          <w:noProof/>
          <w:u w:color="000000"/>
          <w:bdr w:val="nil"/>
        </w:rPr>
        <w:t>ex post</w:t>
      </w:r>
      <w:r>
        <w:rPr>
          <w:noProof/>
          <w:u w:color="000000"/>
          <w:bdr w:val="nil"/>
        </w:rPr>
        <w:t>/verificarea adecvării legislației existente</w:t>
      </w:r>
    </w:p>
    <w:p>
      <w:pP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u w:color="000000"/>
          <w:bdr w:val="nil"/>
        </w:rPr>
        <w:tab/>
        <w:t>Consultarea cu părțile interesate</w:t>
      </w:r>
    </w:p>
    <w:p>
      <w:pPr>
        <w:pBdr>
          <w:top w:val="nil"/>
          <w:left w:val="nil"/>
          <w:bottom w:val="nil"/>
          <w:right w:val="nil"/>
          <w:between w:val="nil"/>
          <w:bar w:val="nil"/>
        </w:pBdr>
        <w:spacing w:before="0" w:after="240"/>
        <w:rPr>
          <w:rFonts w:eastAsia="Arial Unicode MS"/>
          <w:noProof/>
        </w:rPr>
      </w:pPr>
      <w:r>
        <w:rPr>
          <w:noProof/>
        </w:rPr>
        <w:t xml:space="preserve">Nu se aplică. </w:t>
      </w:r>
    </w:p>
    <w:p>
      <w:pPr>
        <w:pStyle w:val="ManualHeading2"/>
        <w:rPr>
          <w:rFonts w:eastAsia="Arial Unicode MS"/>
          <w:noProof/>
          <w:u w:color="000000"/>
          <w:bdr w:val="nil"/>
        </w:rPr>
      </w:pPr>
      <w:r>
        <w:rPr>
          <w:noProof/>
          <w:u w:color="000000"/>
          <w:bdr w:val="nil"/>
        </w:rPr>
        <w:t>•</w:t>
      </w:r>
      <w:r>
        <w:rPr>
          <w:noProof/>
          <w:u w:color="000000"/>
          <w:bdr w:val="nil"/>
        </w:rPr>
        <w:tab/>
        <w:t>Obținerea și utilizarea cunoștințelor de specialitate</w:t>
      </w:r>
    </w:p>
    <w:p>
      <w:pPr>
        <w:pBdr>
          <w:top w:val="nil"/>
          <w:left w:val="nil"/>
          <w:bottom w:val="nil"/>
          <w:right w:val="nil"/>
          <w:between w:val="nil"/>
          <w:bar w:val="nil"/>
        </w:pBdr>
        <w:spacing w:before="0" w:after="240"/>
        <w:rPr>
          <w:rFonts w:eastAsia="Arial Unicode MS"/>
          <w:noProof/>
        </w:rPr>
      </w:pPr>
      <w:r>
        <w:rPr>
          <w:noProof/>
        </w:rPr>
        <w:t xml:space="preserve">Nu se aplică. </w:t>
      </w:r>
    </w:p>
    <w:p>
      <w:pPr>
        <w:pStyle w:val="ManualHeading2"/>
        <w:rPr>
          <w:rFonts w:eastAsia="Arial Unicode MS"/>
          <w:noProof/>
          <w:u w:color="000000"/>
          <w:bdr w:val="nil"/>
        </w:rPr>
      </w:pPr>
      <w:r>
        <w:rPr>
          <w:noProof/>
          <w:bdr w:val="nil"/>
        </w:rPr>
        <w:t>•</w:t>
      </w:r>
      <w:r>
        <w:rPr>
          <w:noProof/>
          <w:u w:color="000000"/>
          <w:bdr w:val="nil"/>
        </w:rPr>
        <w:tab/>
      </w:r>
      <w:r>
        <w:rPr>
          <w:noProof/>
          <w:bdr w:val="nil"/>
        </w:rPr>
        <w:t>Evaluarea impactului</w:t>
      </w:r>
    </w:p>
    <w:p>
      <w:pPr>
        <w:pStyle w:val="Text1"/>
        <w:spacing w:before="0" w:after="240"/>
        <w:ind w:left="0"/>
        <w:rPr>
          <w:noProof/>
        </w:rPr>
      </w:pPr>
      <w:r>
        <w:rPr>
          <w:noProof/>
        </w:rPr>
        <w:t>Nu a fost efectuată o evaluare a impactului, deoarece este deosebit de dificil să se măsoare impactul economic al inițiativei în comparație cu situația existentă, deoarece normele privind comerțul digital avute în vedere vor facilita relațiile comerciale bilaterale care au fost deja liberalizate și consolidate prin pilonul comercial deja existent al Acordului de asociere UE-America Centrală. Pilonul comercial, care se aplică la 1 octombrie 2013 în ceea ce privește Costa Rica, include deja dispoziții cuprinzătoare privind accesul pe piață pentru comerțul cu bunuri și cu servicii, dar nu cuprinde dispoziții privind comerțul digital. Astfel, inițiativa va avea în primul rând un impact în ceea ce privește acordarea unei securități juridice sporite operatorilor implicați în comerțul digital din sectoarele liberalizate. În plus, posibilele abordări alternative sunt limitate, întrucât disciplinele de negociere preconizate sunt foarte asemănătoare cu cele deja incluse în acordurile în domeniul comerțului digital cu Singapore și Coreea și cu cele în curs de negociere cu Canada, precum și cu cele din Acordul OMC privind comerțul electronic.</w:t>
      </w:r>
    </w:p>
    <w:p>
      <w:pPr>
        <w:pStyle w:val="Text1"/>
        <w:spacing w:before="0" w:after="240"/>
        <w:ind w:left="0"/>
        <w:rPr>
          <w:noProof/>
        </w:rPr>
      </w:pPr>
      <w:r>
        <w:rPr>
          <w:noProof/>
        </w:rPr>
        <w:t xml:space="preserve">Eventualele propuneri suplimentare de fond pe care le-ar putea face celelalte părți nu pot fi identificate și evaluate </w:t>
      </w:r>
      <w:r>
        <w:rPr>
          <w:i/>
          <w:iCs/>
          <w:noProof/>
        </w:rPr>
        <w:t>ex ante</w:t>
      </w:r>
      <w:r>
        <w:rPr>
          <w:noProof/>
        </w:rPr>
        <w:t xml:space="preserve">. Inițiativa nu include un plan de punere în aplicare în această etapă, deoarece particularitățile vor fi clare abia după încheierea negocierilor. </w:t>
      </w:r>
    </w:p>
    <w:p>
      <w:pPr>
        <w:pStyle w:val="ManualHeading2"/>
        <w:rPr>
          <w:rFonts w:eastAsia="Arial Unicode MS"/>
          <w:noProof/>
          <w:u w:color="000000"/>
          <w:bdr w:val="nil"/>
        </w:rPr>
      </w:pPr>
      <w:r>
        <w:rPr>
          <w:noProof/>
          <w:bdr w:val="nil"/>
        </w:rPr>
        <w:t>•</w:t>
      </w:r>
      <w:r>
        <w:rPr>
          <w:noProof/>
          <w:u w:color="000000"/>
          <w:bdr w:val="nil"/>
        </w:rPr>
        <w:tab/>
      </w:r>
      <w:r>
        <w:rPr>
          <w:noProof/>
          <w:bdr w:val="nil"/>
        </w:rPr>
        <w:t>Adecvarea reglementărilor și simplificarea</w:t>
      </w:r>
    </w:p>
    <w:p>
      <w:pPr>
        <w:spacing w:before="0" w:after="240"/>
        <w:rPr>
          <w:rFonts w:eastAsia="Arial Unicode MS"/>
          <w:noProof/>
        </w:rPr>
      </w:pPr>
      <w:r>
        <w:rPr>
          <w:noProof/>
        </w:rPr>
        <w:t xml:space="preserve">Nu se aplică. </w:t>
      </w:r>
    </w:p>
    <w:p>
      <w:pPr>
        <w:pStyle w:val="ManualHeading2"/>
        <w:rPr>
          <w:rFonts w:eastAsia="Arial Unicode MS"/>
          <w:noProof/>
          <w:u w:color="000000"/>
          <w:bdr w:val="nil"/>
        </w:rPr>
      </w:pPr>
      <w:r>
        <w:rPr>
          <w:noProof/>
          <w:bdr w:val="nil"/>
        </w:rPr>
        <w:t>•</w:t>
      </w:r>
      <w:r>
        <w:rPr>
          <w:noProof/>
          <w:u w:color="000000"/>
          <w:bdr w:val="nil"/>
        </w:rPr>
        <w:tab/>
      </w:r>
      <w:r>
        <w:rPr>
          <w:noProof/>
          <w:bdr w:val="nil"/>
        </w:rPr>
        <w:t>Drepturile fundamentale</w:t>
      </w:r>
    </w:p>
    <w:p>
      <w:pPr>
        <w:spacing w:before="0" w:after="240"/>
        <w:rPr>
          <w:rFonts w:eastAsia="Arial Unicode MS"/>
          <w:noProof/>
        </w:rPr>
      </w:pPr>
      <w:r>
        <w:rPr>
          <w:noProof/>
        </w:rPr>
        <w:t xml:space="preserve">Inițiativa respectă pe deplin Carta drepturilor fundamentale a Uniunii Europene, în special articolul 8 privind protecția datelor cu caracter personal. </w:t>
      </w:r>
    </w:p>
    <w:p>
      <w:pPr>
        <w:pStyle w:val="ManualHeading1"/>
        <w:rPr>
          <w:noProof/>
        </w:rPr>
      </w:pPr>
      <w:r>
        <w:rPr>
          <w:noProof/>
        </w:rPr>
        <w:t>4.</w:t>
      </w:r>
      <w:r>
        <w:rPr>
          <w:noProof/>
        </w:rPr>
        <w:tab/>
        <w:t>IMPLICAȚII BUGETARE</w:t>
      </w:r>
    </w:p>
    <w:p>
      <w:pPr>
        <w:spacing w:before="0" w:after="240"/>
        <w:rPr>
          <w:rFonts w:eastAsia="Arial Unicode MS"/>
          <w:noProof/>
        </w:rPr>
      </w:pPr>
      <w:r>
        <w:rPr>
          <w:noProof/>
        </w:rPr>
        <w:t>Inițiativa nu are implicații bugetare.</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bdr w:val="nil"/>
        </w:rPr>
        <w:t>•</w:t>
      </w:r>
      <w:r>
        <w:rPr>
          <w:noProof/>
          <w:u w:color="000000"/>
          <w:bdr w:val="nil"/>
        </w:rPr>
        <w:tab/>
      </w:r>
      <w:r>
        <w:rPr>
          <w:noProof/>
          <w:bdr w:val="nil"/>
        </w:rPr>
        <w:t>Planurile de punere în aplicare și măsurile de monitorizare, evaluare și raportare</w:t>
      </w:r>
    </w:p>
    <w:p>
      <w:pPr>
        <w:pBdr>
          <w:top w:val="nil"/>
          <w:left w:val="nil"/>
          <w:bottom w:val="nil"/>
          <w:right w:val="nil"/>
          <w:between w:val="nil"/>
          <w:bar w:val="nil"/>
        </w:pBdr>
        <w:spacing w:before="0" w:after="240"/>
        <w:rPr>
          <w:rFonts w:eastAsia="Arial Unicode MS"/>
          <w:noProof/>
        </w:rPr>
      </w:pPr>
      <w:r>
        <w:rPr>
          <w:noProof/>
        </w:rPr>
        <w:t xml:space="preserve">Se estimează că negocierilor vor dura până în 2028, după care pot avea loc încheierea și semnarea acordurilor privind normele în materie de comerț digital. </w:t>
      </w:r>
    </w:p>
    <w:p>
      <w:pPr>
        <w:pStyle w:val="ManualHeading2"/>
        <w:rPr>
          <w:rFonts w:eastAsia="Arial Unicode MS"/>
          <w:noProof/>
          <w:u w:color="000000"/>
          <w:bdr w:val="nil"/>
        </w:rPr>
      </w:pPr>
      <w:r>
        <w:rPr>
          <w:noProof/>
          <w:bdr w:val="nil"/>
        </w:rPr>
        <w:t>•</w:t>
      </w:r>
      <w:r>
        <w:rPr>
          <w:noProof/>
          <w:u w:color="000000"/>
          <w:bdr w:val="nil"/>
        </w:rPr>
        <w:tab/>
      </w:r>
      <w:r>
        <w:rPr>
          <w:noProof/>
          <w:bdr w:val="nil"/>
        </w:rPr>
        <w:t>Documentele explicative (în cazul directivelor)</w:t>
      </w:r>
    </w:p>
    <w:p>
      <w:pPr>
        <w:pBdr>
          <w:top w:val="nil"/>
          <w:left w:val="nil"/>
          <w:bottom w:val="nil"/>
          <w:right w:val="nil"/>
          <w:between w:val="nil"/>
          <w:bar w:val="nil"/>
        </w:pBdr>
        <w:spacing w:before="0" w:after="240"/>
        <w:rPr>
          <w:rFonts w:eastAsia="Arial Unicode MS"/>
          <w:noProof/>
        </w:rPr>
      </w:pPr>
      <w:r>
        <w:rPr>
          <w:noProof/>
        </w:rPr>
        <w:t xml:space="preserve">Nu se aplică. </w:t>
      </w:r>
    </w:p>
    <w:p>
      <w:pPr>
        <w:pStyle w:val="ManualHeading2"/>
        <w:rPr>
          <w:rFonts w:eastAsia="Arial Unicode MS"/>
          <w:noProof/>
          <w:u w:color="000000"/>
          <w:bdr w:val="nil"/>
        </w:rPr>
      </w:pPr>
      <w:r>
        <w:rPr>
          <w:noProof/>
          <w:bdr w:val="nil"/>
        </w:rPr>
        <w:t>•</w:t>
      </w:r>
      <w:r>
        <w:rPr>
          <w:noProof/>
          <w:u w:color="000000"/>
          <w:bdr w:val="nil"/>
        </w:rPr>
        <w:tab/>
      </w:r>
      <w:r>
        <w:rPr>
          <w:noProof/>
          <w:bdr w:val="nil"/>
        </w:rPr>
        <w:t>Explicarea detaliată a dispozițiilor specifice ale propunerii</w:t>
      </w:r>
    </w:p>
    <w:p>
      <w:pPr>
        <w:spacing w:before="0" w:after="240"/>
        <w:rPr>
          <w:rFonts w:eastAsia="Arial Unicode MS"/>
          <w:noProof/>
        </w:rPr>
      </w:pPr>
      <w:r>
        <w:rPr>
          <w:noProof/>
        </w:rPr>
        <w:t xml:space="preserve">Dispozițiile au scopul de a recomanda adoptarea de către Consiliu a unei decizii de autorizare a deschiderii negocierilor și de numire a negociatorului Uniunii. Consiliul poate adresa directive negociatorului. </w:t>
      </w: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Statut"/>
        <w:rPr>
          <w:noProof/>
        </w:rPr>
      </w:pPr>
      <w:r>
        <w:rPr>
          <w:noProof/>
        </w:rPr>
        <w:t>Recomandare de</w:t>
      </w:r>
    </w:p>
    <w:p>
      <w:pPr>
        <w:pStyle w:val="Typedudocument"/>
        <w:rPr>
          <w:noProof/>
        </w:rPr>
      </w:pPr>
      <w:r>
        <w:rPr>
          <w:noProof/>
        </w:rPr>
        <w:t>DECIZIE A CONSILIULUI</w:t>
      </w:r>
    </w:p>
    <w:p>
      <w:pPr>
        <w:pStyle w:val="Titreobjet"/>
        <w:rPr>
          <w:noProof/>
        </w:rPr>
      </w:pPr>
      <w:r>
        <w:rPr>
          <w:noProof/>
        </w:rPr>
        <w:t>de autorizare a deschiderii negocierilor pentru un acord în domeniul comerțului digital cu Costa Rica</w:t>
      </w:r>
    </w:p>
    <w:p>
      <w:pPr>
        <w:pStyle w:val="Institutionquiagit"/>
        <w:rPr>
          <w:noProof/>
        </w:rPr>
      </w:pPr>
      <w:r>
        <w:rPr>
          <w:noProof/>
        </w:rPr>
        <w:t>CONSILIUL UNIUNII EUROPENE,</w:t>
      </w:r>
    </w:p>
    <w:p>
      <w:pPr>
        <w:rPr>
          <w:noProof/>
        </w:rPr>
      </w:pPr>
      <w:r>
        <w:rPr>
          <w:noProof/>
        </w:rPr>
        <w:t xml:space="preserve">având în vedere Tratatul privind funcționarea Uniunii Europene, în special articolul 207 alineatul (4) primul paragraf, coroborat cu articolul 218 alineatele (3) și (4), </w:t>
      </w:r>
    </w:p>
    <w:p>
      <w:pPr>
        <w:rPr>
          <w:noProof/>
        </w:rPr>
      </w:pPr>
      <w:r>
        <w:rPr>
          <w:noProof/>
        </w:rPr>
        <w:t>având în vedere recomandarea Comisiei Europene,</w:t>
      </w:r>
    </w:p>
    <w:p>
      <w:pPr>
        <w:rPr>
          <w:noProof/>
        </w:rPr>
      </w:pPr>
      <w:r>
        <w:rPr>
          <w:noProof/>
        </w:rPr>
        <w:t xml:space="preserve">întrucât: </w:t>
      </w:r>
    </w:p>
    <w:p>
      <w:pPr>
        <w:pStyle w:val="ManualConsidrant"/>
        <w:rPr>
          <w:noProof/>
        </w:rPr>
      </w:pPr>
      <w:r>
        <w:rPr>
          <w:noProof/>
        </w:rPr>
        <w:t>(1)</w:t>
      </w:r>
      <w:r>
        <w:rPr>
          <w:noProof/>
        </w:rPr>
        <w:tab/>
        <w:t xml:space="preserve">Uniunea Europeană și Costa Rica au o relație economică profundă și dinamică. Costa Rica este un important partener comercial al Uniunii Europene în regiunea Americii Centrale. Pilonul comercial al Acordului de asociere Uniunea Europeană-America Centrală s-a aplicat cu titlu provizoriu în ceea ce privește Costa Rica de la 1 octombrie 2013. Deși acest acord de liber schimb prevede un cadru cuprinzător pentru comerțul cu bunuri și servicii între părți, el nu conține norme cuprinzătoare privind comerțul digital. </w:t>
      </w:r>
    </w:p>
    <w:p>
      <w:pPr>
        <w:pStyle w:val="ManualConsidrant"/>
        <w:rPr>
          <w:noProof/>
        </w:rPr>
      </w:pPr>
      <w:r>
        <w:rPr>
          <w:noProof/>
        </w:rPr>
        <w:t>(2)</w:t>
      </w:r>
      <w:r>
        <w:rPr>
          <w:noProof/>
        </w:rPr>
        <w:tab/>
        <w:t>În martie 2023, Uniunea Europeană și America Latină și zona Caraibilor (ALC) au lansat Alianța digitală UE-ALC pentru a consolida cooperarea privind întreaga gamă de aspecte referitoare la domeniul digital și la spațiu. Pe baza acestui cadru, Uniunea Europeană și Costa Rica și-au aprofundat cooperarea în domenii precum securitatea cibernetică, inovarea digitală și inteligența artificială centrată pe factorul uman.</w:t>
      </w:r>
    </w:p>
    <w:p>
      <w:pPr>
        <w:pStyle w:val="ManualConsidrant"/>
        <w:rPr>
          <w:noProof/>
        </w:rPr>
      </w:pPr>
      <w:r>
        <w:rPr>
          <w:noProof/>
        </w:rPr>
        <w:t>(3)</w:t>
      </w:r>
      <w:r>
        <w:rPr>
          <w:noProof/>
        </w:rPr>
        <w:tab/>
        <w:t xml:space="preserve">Costa Rica a demonstrat un angajament puternic în ceea ce privește transformarea digitală și guvernanța digitală internațională, inclusiv în timpul deținerii președinției Consiliului ministerial al OCDE, în 2025. </w:t>
      </w:r>
    </w:p>
    <w:p>
      <w:pPr>
        <w:pStyle w:val="ManualConsidrant"/>
        <w:rPr>
          <w:noProof/>
        </w:rPr>
      </w:pPr>
      <w:r>
        <w:rPr>
          <w:noProof/>
        </w:rPr>
        <w:t>(4)</w:t>
      </w:r>
      <w:r>
        <w:rPr>
          <w:noProof/>
        </w:rPr>
        <w:tab/>
        <w:t>Uniunea Europeană a încorporat cu succes norme privind comerțul digital în mai multe acorduri bilaterale de liber schimb cu țări terțe, precum și în acordurile în domeniul comerțului digital cu Singapore și Coreea. În plus, negocierile unui Acord plurilateral privind comerțul electronic în cadrul OMC au fost finalizate în iulie 2024, iar părțile la acesta, printre care Uniunea Europeană și Costa Rica, fac în prezent demersurile necesare pentru a asigura aplicarea sa provizorie până la încorporarea acestui acord în cadrul juridic al OMC.</w:t>
      </w:r>
    </w:p>
    <w:p>
      <w:pPr>
        <w:pStyle w:val="ManualConsidrant"/>
        <w:rPr>
          <w:noProof/>
        </w:rPr>
      </w:pPr>
      <w:r>
        <w:rPr>
          <w:noProof/>
        </w:rPr>
        <w:t>(5)</w:t>
      </w:r>
      <w:r>
        <w:rPr>
          <w:noProof/>
        </w:rPr>
        <w:tab/>
        <w:t>Autoritatea Europeană pentru Protecția Datelor a fost consultată în conformitate cu articolul 42 alineatul (1) din Regulamentul (UE) 2018/1725 și a emis un aviz la [data avizului]</w:t>
      </w:r>
      <w:r>
        <w:rPr>
          <w:rStyle w:val="FootnoteReference"/>
          <w:noProof/>
        </w:rPr>
        <w:footnoteReference w:id="11"/>
      </w:r>
      <w:r>
        <w:rPr>
          <w:noProof/>
        </w:rPr>
        <w:t>.</w:t>
      </w:r>
    </w:p>
    <w:p>
      <w:pPr>
        <w:pStyle w:val="ManualConsidrant"/>
        <w:rPr>
          <w:noProof/>
        </w:rPr>
      </w:pPr>
      <w:r>
        <w:rPr>
          <w:noProof/>
        </w:rPr>
        <w:t>(6)</w:t>
      </w:r>
      <w:r>
        <w:rPr>
          <w:noProof/>
        </w:rPr>
        <w:tab/>
        <w:t>Prin urmare, este oportun ca Comisia să fie autorizată să deschidă negocieri cu privire la discipline obligatorii care vizează comerțul digital și care să fie coerente cu aceste acorduri și să urmărească aceleași obiective pe care Uniunea Europeană intenționează să le realizeze în cadrul negocierilor în curs,</w:t>
      </w:r>
    </w:p>
    <w:p>
      <w:pPr>
        <w:pStyle w:val="Formuledadoption"/>
        <w:rPr>
          <w:noProof/>
        </w:rPr>
      </w:pPr>
      <w:r>
        <w:rPr>
          <w:noProof/>
        </w:rPr>
        <w:t xml:space="preserve">ADOPTĂ PREZENTA DECIZIE: </w:t>
      </w:r>
    </w:p>
    <w:p>
      <w:pPr>
        <w:pStyle w:val="Titrearticle"/>
        <w:rPr>
          <w:noProof/>
        </w:rPr>
      </w:pPr>
      <w:r>
        <w:rPr>
          <w:noProof/>
        </w:rPr>
        <w:t xml:space="preserve">Articolul 1 </w:t>
      </w:r>
    </w:p>
    <w:p>
      <w:pPr>
        <w:pStyle w:val="ManualNumPar1"/>
        <w:rPr>
          <w:noProof/>
        </w:rPr>
      </w:pPr>
      <w:r>
        <w:rPr>
          <w:noProof/>
        </w:rPr>
        <w:t>1.</w:t>
      </w:r>
      <w:r>
        <w:rPr>
          <w:noProof/>
        </w:rPr>
        <w:tab/>
      </w:r>
      <w:bookmarkStart w:id="1" w:name="_CopyToNewDocument_"/>
      <w:bookmarkEnd w:id="1"/>
      <w:r>
        <w:rPr>
          <w:noProof/>
        </w:rPr>
        <w:t xml:space="preserve">Comisia este autorizată să negocieze, în numele Uniunii, cu privire la un acord în domeniul comerțului digital cu Costa Rica. </w:t>
      </w:r>
    </w:p>
    <w:p>
      <w:pPr>
        <w:pStyle w:val="ManualNumPar1"/>
        <w:rPr>
          <w:noProof/>
        </w:rPr>
      </w:pPr>
      <w:r>
        <w:rPr>
          <w:noProof/>
        </w:rPr>
        <w:t>2.</w:t>
      </w:r>
      <w:r>
        <w:rPr>
          <w:noProof/>
        </w:rPr>
        <w:tab/>
        <w:t>Negocierile se desfășoară pe baza directivelor de negociere ale Consiliului prevăzute în anexa la prezenta decizie.</w:t>
      </w:r>
    </w:p>
    <w:p>
      <w:pPr>
        <w:jc w:val="center"/>
        <w:rPr>
          <w:i/>
          <w:iCs/>
          <w:noProof/>
        </w:rPr>
      </w:pPr>
      <w:r>
        <w:rPr>
          <w:i/>
          <w:noProof/>
        </w:rPr>
        <w:t>Articolul 2</w:t>
      </w:r>
    </w:p>
    <w:p>
      <w:pPr>
        <w:rPr>
          <w:noProof/>
        </w:rPr>
      </w:pPr>
      <w:r>
        <w:rPr>
          <w:noProof/>
        </w:rPr>
        <w:t>Comisia este desemnată negociator al Uniunii.</w:t>
      </w:r>
    </w:p>
    <w:p>
      <w:pPr>
        <w:pStyle w:val="Titrearticle"/>
        <w:rPr>
          <w:noProof/>
        </w:rPr>
      </w:pPr>
      <w:r>
        <w:rPr>
          <w:noProof/>
        </w:rPr>
        <w:t>Articolul 3</w:t>
      </w:r>
    </w:p>
    <w:p>
      <w:pPr>
        <w:rPr>
          <w:noProof/>
        </w:rPr>
      </w:pPr>
      <w:r>
        <w:rPr>
          <w:noProof/>
        </w:rPr>
        <w:t>Negocierile se desfășoară în consultare cu comitetul special prevăzut la articolul 207 alineatul (3) al treilea paragraf din TFUE.</w:t>
      </w:r>
    </w:p>
    <w:p>
      <w:pPr>
        <w:pStyle w:val="Titrearticle"/>
        <w:rPr>
          <w:noProof/>
        </w:rPr>
      </w:pPr>
      <w:r>
        <w:rPr>
          <w:noProof/>
        </w:rPr>
        <w:t>Articolul 4</w:t>
      </w:r>
    </w:p>
    <w:p>
      <w:pPr>
        <w:rPr>
          <w:noProof/>
        </w:rPr>
      </w:pPr>
      <w:r>
        <w:rPr>
          <w:noProof/>
        </w:rPr>
        <w:t>Prezenta decizie se adresează Comisiei.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La nivel internațional, acest termen este adesea echivalat cu „comerț electronic”.</w:t>
      </w:r>
    </w:p>
  </w:footnote>
  <w:footnote w:id="2">
    <w:p>
      <w:pPr>
        <w:pStyle w:val="FootnoteText"/>
      </w:pPr>
      <w:r>
        <w:rPr>
          <w:rStyle w:val="FootnoteReference"/>
        </w:rPr>
        <w:footnoteRef/>
      </w:r>
      <w:r>
        <w:tab/>
        <w:t xml:space="preserve">Eurostat </w:t>
      </w:r>
      <w:hyperlink r:id="rId1" w:history="1">
        <w:r>
          <w:rPr>
            <w:rStyle w:val="Hyperlink"/>
          </w:rPr>
          <w:t>Comerțul internațional cu servicii (începând din 2010)</w:t>
        </w:r>
      </w:hyperlink>
      <w:r>
        <w:t>.</w:t>
      </w:r>
    </w:p>
  </w:footnote>
  <w:footnote w:id="3">
    <w:p>
      <w:pPr>
        <w:pStyle w:val="FootnoteText"/>
      </w:pPr>
      <w:r>
        <w:rPr>
          <w:rStyle w:val="FootnoteReference"/>
        </w:rPr>
        <w:footnoteRef/>
      </w:r>
      <w:r>
        <w:tab/>
        <w:t xml:space="preserve">Eurostat </w:t>
      </w:r>
      <w:hyperlink r:id="rId2" w:history="1">
        <w:r>
          <w:rPr>
            <w:rStyle w:val="Hyperlink"/>
          </w:rPr>
          <w:t>Comerțul UE începând din 1988</w:t>
        </w:r>
      </w:hyperlink>
      <w:r>
        <w:t>.</w:t>
      </w:r>
    </w:p>
  </w:footnote>
  <w:footnote w:id="4">
    <w:p>
      <w:pPr>
        <w:pStyle w:val="FootnoteText"/>
      </w:pPr>
      <w:r>
        <w:rPr>
          <w:rStyle w:val="FootnoteReference"/>
        </w:rPr>
        <w:footnoteRef/>
      </w:r>
      <w:r>
        <w:tab/>
        <w:t xml:space="preserve">Comisia Europeană. Busola pentru competitivitate. </w:t>
      </w:r>
      <w:hyperlink r:id="rId3" w:history="1">
        <w:r>
          <w:rPr>
            <w:rStyle w:val="Hyperlink"/>
          </w:rPr>
          <w:t>Busola pentru competitivitate – Comisia Europeană</w:t>
        </w:r>
      </w:hyperlink>
      <w:r>
        <w:t>.</w:t>
      </w:r>
    </w:p>
  </w:footnote>
  <w:footnote w:id="5">
    <w:p>
      <w:pPr>
        <w:pStyle w:val="FootnoteText"/>
      </w:pPr>
      <w:r>
        <w:rPr>
          <w:rStyle w:val="FootnoteReference"/>
        </w:rPr>
        <w:footnoteRef/>
      </w:r>
      <w:r>
        <w:tab/>
        <w:t>JOIN(2025) 977 final (3.12.2025).</w:t>
      </w:r>
    </w:p>
  </w:footnote>
  <w:footnote w:id="6">
    <w:p>
      <w:pPr>
        <w:pStyle w:val="FootnoteText"/>
        <w:ind w:left="0" w:firstLine="0"/>
      </w:pPr>
      <w:r>
        <w:rPr>
          <w:rStyle w:val="FootnoteReference"/>
        </w:rPr>
        <w:footnoteRef/>
      </w:r>
      <w:r>
        <w:tab/>
        <w:t>JOIN(2025) 140 final (5.6.2025).</w:t>
      </w:r>
    </w:p>
  </w:footnote>
  <w:footnote w:id="7">
    <w:p>
      <w:pPr>
        <w:pStyle w:val="FootnoteText"/>
      </w:pPr>
      <w:r>
        <w:rPr>
          <w:rStyle w:val="FootnoteReference"/>
        </w:rPr>
        <w:footnoteRef/>
      </w:r>
      <w:r>
        <w:tab/>
        <w:t>COM(2023) 230 final 9 (14.4.2023).</w:t>
      </w:r>
    </w:p>
  </w:footnote>
  <w:footnote w:id="8">
    <w:p>
      <w:pPr>
        <w:pStyle w:val="FootnoteText"/>
      </w:pPr>
      <w:r>
        <w:rPr>
          <w:rStyle w:val="FootnoteReference"/>
        </w:rPr>
        <w:footnoteRef/>
      </w:r>
      <w:r>
        <w:tab/>
        <w:t>COM(2025) 480 final (10.9.2025).</w:t>
      </w:r>
    </w:p>
  </w:footnote>
  <w:footnote w:id="9">
    <w:p>
      <w:pPr>
        <w:pStyle w:val="FootnoteText"/>
      </w:pPr>
      <w:r>
        <w:rPr>
          <w:rStyle w:val="FootnoteReference"/>
        </w:rPr>
        <w:footnoteRef/>
      </w:r>
      <w:r>
        <w:tab/>
      </w:r>
      <w:hyperlink r:id="rId4" w:history="1">
        <w:r>
          <w:rPr>
            <w:rStyle w:val="Hyperlink"/>
          </w:rPr>
          <w:t>https://www.consilium.europa.eu/media/39504/st08993-en19.pdf</w:t>
        </w:r>
      </w:hyperlink>
      <w:r>
        <w:t>.</w:t>
      </w:r>
    </w:p>
  </w:footnote>
  <w:footnote w:id="10">
    <w:p>
      <w:pPr>
        <w:pStyle w:val="FootnoteText"/>
      </w:pPr>
      <w:r>
        <w:rPr>
          <w:rStyle w:val="FootnoteReference"/>
        </w:rPr>
        <w:footnoteRef/>
      </w:r>
      <w:r>
        <w:tab/>
        <w:t>Declarația europeană privind drepturile și principiile digitale pentru deceniul digital, 2023/C 23/01, JO C 23, 23.1.2023, p. 1.</w:t>
      </w:r>
    </w:p>
  </w:footnote>
  <w:footnote w:id="11">
    <w:p>
      <w:pPr>
        <w:pStyle w:val="FootnoteText"/>
      </w:pPr>
      <w:r>
        <w:rPr>
          <w:rStyle w:val="FootnoteReference"/>
        </w:rPr>
        <w:footnoteRef/>
      </w:r>
      <w:r>
        <w:tab/>
      </w:r>
      <w:r>
        <w:rPr>
          <w:color w:val="211D1E"/>
          <w:sz w:val="19"/>
        </w:rPr>
        <w:t>JO C [...], [...], 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DE669C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ABCB17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BF6F62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2C6DDB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8:41: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7DD327B-51B0-434D-BA75-0F286D423B18"/>
    <w:docVar w:name="LW_COVERPAGE_TYPE" w:val="1"/>
    <w:docVar w:name="LW_CreatedUtc" w:val="2026-05-28T09:57:01.7802604Z"/>
    <w:docVar w:name="LW_CROSSREFERENCE" w:val="&lt;UNUSED&gt;"/>
    <w:docVar w:name="LW_DocType" w:val="COM"/>
    <w:docVar w:name="LW_EMISSION" w:val="18.9.2026"/>
    <w:docVar w:name="LW_EMISSION_ISODATE" w:val="2026-09-18"/>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utorizare a deschiderii negocierilor pentru un acord în domeniul comer\u539?ului digital cu Costa Rica"/>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5FC9CEF-A169-43A4-9A43-DC685146F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3798">
      <w:bodyDiv w:val="1"/>
      <w:marLeft w:val="0"/>
      <w:marRight w:val="0"/>
      <w:marTop w:val="0"/>
      <w:marBottom w:val="0"/>
      <w:divBdr>
        <w:top w:val="none" w:sz="0" w:space="0" w:color="auto"/>
        <w:left w:val="none" w:sz="0" w:space="0" w:color="auto"/>
        <w:bottom w:val="none" w:sz="0" w:space="0" w:color="auto"/>
        <w:right w:val="none" w:sz="0" w:space="0" w:color="auto"/>
      </w:divBdr>
    </w:div>
    <w:div w:id="15737412">
      <w:bodyDiv w:val="1"/>
      <w:marLeft w:val="0"/>
      <w:marRight w:val="0"/>
      <w:marTop w:val="0"/>
      <w:marBottom w:val="0"/>
      <w:divBdr>
        <w:top w:val="none" w:sz="0" w:space="0" w:color="auto"/>
        <w:left w:val="none" w:sz="0" w:space="0" w:color="auto"/>
        <w:bottom w:val="none" w:sz="0" w:space="0" w:color="auto"/>
        <w:right w:val="none" w:sz="0" w:space="0" w:color="auto"/>
      </w:divBdr>
    </w:div>
    <w:div w:id="24336193">
      <w:bodyDiv w:val="1"/>
      <w:marLeft w:val="0"/>
      <w:marRight w:val="0"/>
      <w:marTop w:val="0"/>
      <w:marBottom w:val="0"/>
      <w:divBdr>
        <w:top w:val="none" w:sz="0" w:space="0" w:color="auto"/>
        <w:left w:val="none" w:sz="0" w:space="0" w:color="auto"/>
        <w:bottom w:val="none" w:sz="0" w:space="0" w:color="auto"/>
        <w:right w:val="none" w:sz="0" w:space="0" w:color="auto"/>
      </w:divBdr>
    </w:div>
    <w:div w:id="106582416">
      <w:bodyDiv w:val="1"/>
      <w:marLeft w:val="0"/>
      <w:marRight w:val="0"/>
      <w:marTop w:val="0"/>
      <w:marBottom w:val="0"/>
      <w:divBdr>
        <w:top w:val="none" w:sz="0" w:space="0" w:color="auto"/>
        <w:left w:val="none" w:sz="0" w:space="0" w:color="auto"/>
        <w:bottom w:val="none" w:sz="0" w:space="0" w:color="auto"/>
        <w:right w:val="none" w:sz="0" w:space="0" w:color="auto"/>
      </w:divBdr>
    </w:div>
    <w:div w:id="121383553">
      <w:bodyDiv w:val="1"/>
      <w:marLeft w:val="0"/>
      <w:marRight w:val="0"/>
      <w:marTop w:val="0"/>
      <w:marBottom w:val="0"/>
      <w:divBdr>
        <w:top w:val="none" w:sz="0" w:space="0" w:color="auto"/>
        <w:left w:val="none" w:sz="0" w:space="0" w:color="auto"/>
        <w:bottom w:val="none" w:sz="0" w:space="0" w:color="auto"/>
        <w:right w:val="none" w:sz="0" w:space="0" w:color="auto"/>
      </w:divBdr>
    </w:div>
    <w:div w:id="143393747">
      <w:bodyDiv w:val="1"/>
      <w:marLeft w:val="0"/>
      <w:marRight w:val="0"/>
      <w:marTop w:val="0"/>
      <w:marBottom w:val="0"/>
      <w:divBdr>
        <w:top w:val="none" w:sz="0" w:space="0" w:color="auto"/>
        <w:left w:val="none" w:sz="0" w:space="0" w:color="auto"/>
        <w:bottom w:val="none" w:sz="0" w:space="0" w:color="auto"/>
        <w:right w:val="none" w:sz="0" w:space="0" w:color="auto"/>
      </w:divBdr>
    </w:div>
    <w:div w:id="158695296">
      <w:bodyDiv w:val="1"/>
      <w:marLeft w:val="0"/>
      <w:marRight w:val="0"/>
      <w:marTop w:val="0"/>
      <w:marBottom w:val="0"/>
      <w:divBdr>
        <w:top w:val="none" w:sz="0" w:space="0" w:color="auto"/>
        <w:left w:val="none" w:sz="0" w:space="0" w:color="auto"/>
        <w:bottom w:val="none" w:sz="0" w:space="0" w:color="auto"/>
        <w:right w:val="none" w:sz="0" w:space="0" w:color="auto"/>
      </w:divBdr>
    </w:div>
    <w:div w:id="171385492">
      <w:bodyDiv w:val="1"/>
      <w:marLeft w:val="0"/>
      <w:marRight w:val="0"/>
      <w:marTop w:val="0"/>
      <w:marBottom w:val="0"/>
      <w:divBdr>
        <w:top w:val="none" w:sz="0" w:space="0" w:color="auto"/>
        <w:left w:val="none" w:sz="0" w:space="0" w:color="auto"/>
        <w:bottom w:val="none" w:sz="0" w:space="0" w:color="auto"/>
        <w:right w:val="none" w:sz="0" w:space="0" w:color="auto"/>
      </w:divBdr>
    </w:div>
    <w:div w:id="221908940">
      <w:bodyDiv w:val="1"/>
      <w:marLeft w:val="0"/>
      <w:marRight w:val="0"/>
      <w:marTop w:val="0"/>
      <w:marBottom w:val="0"/>
      <w:divBdr>
        <w:top w:val="none" w:sz="0" w:space="0" w:color="auto"/>
        <w:left w:val="none" w:sz="0" w:space="0" w:color="auto"/>
        <w:bottom w:val="none" w:sz="0" w:space="0" w:color="auto"/>
        <w:right w:val="none" w:sz="0" w:space="0" w:color="auto"/>
      </w:divBdr>
    </w:div>
    <w:div w:id="235164293">
      <w:bodyDiv w:val="1"/>
      <w:marLeft w:val="0"/>
      <w:marRight w:val="0"/>
      <w:marTop w:val="0"/>
      <w:marBottom w:val="0"/>
      <w:divBdr>
        <w:top w:val="none" w:sz="0" w:space="0" w:color="auto"/>
        <w:left w:val="none" w:sz="0" w:space="0" w:color="auto"/>
        <w:bottom w:val="none" w:sz="0" w:space="0" w:color="auto"/>
        <w:right w:val="none" w:sz="0" w:space="0" w:color="auto"/>
      </w:divBdr>
    </w:div>
    <w:div w:id="253710241">
      <w:bodyDiv w:val="1"/>
      <w:marLeft w:val="0"/>
      <w:marRight w:val="0"/>
      <w:marTop w:val="0"/>
      <w:marBottom w:val="0"/>
      <w:divBdr>
        <w:top w:val="none" w:sz="0" w:space="0" w:color="auto"/>
        <w:left w:val="none" w:sz="0" w:space="0" w:color="auto"/>
        <w:bottom w:val="none" w:sz="0" w:space="0" w:color="auto"/>
        <w:right w:val="none" w:sz="0" w:space="0" w:color="auto"/>
      </w:divBdr>
    </w:div>
    <w:div w:id="295794757">
      <w:bodyDiv w:val="1"/>
      <w:marLeft w:val="0"/>
      <w:marRight w:val="0"/>
      <w:marTop w:val="0"/>
      <w:marBottom w:val="0"/>
      <w:divBdr>
        <w:top w:val="none" w:sz="0" w:space="0" w:color="auto"/>
        <w:left w:val="none" w:sz="0" w:space="0" w:color="auto"/>
        <w:bottom w:val="none" w:sz="0" w:space="0" w:color="auto"/>
        <w:right w:val="none" w:sz="0" w:space="0" w:color="auto"/>
      </w:divBdr>
    </w:div>
    <w:div w:id="397368388">
      <w:bodyDiv w:val="1"/>
      <w:marLeft w:val="0"/>
      <w:marRight w:val="0"/>
      <w:marTop w:val="0"/>
      <w:marBottom w:val="0"/>
      <w:divBdr>
        <w:top w:val="none" w:sz="0" w:space="0" w:color="auto"/>
        <w:left w:val="none" w:sz="0" w:space="0" w:color="auto"/>
        <w:bottom w:val="none" w:sz="0" w:space="0" w:color="auto"/>
        <w:right w:val="none" w:sz="0" w:space="0" w:color="auto"/>
      </w:divBdr>
    </w:div>
    <w:div w:id="430246465">
      <w:bodyDiv w:val="1"/>
      <w:marLeft w:val="0"/>
      <w:marRight w:val="0"/>
      <w:marTop w:val="0"/>
      <w:marBottom w:val="0"/>
      <w:divBdr>
        <w:top w:val="none" w:sz="0" w:space="0" w:color="auto"/>
        <w:left w:val="none" w:sz="0" w:space="0" w:color="auto"/>
        <w:bottom w:val="none" w:sz="0" w:space="0" w:color="auto"/>
        <w:right w:val="none" w:sz="0" w:space="0" w:color="auto"/>
      </w:divBdr>
    </w:div>
    <w:div w:id="467206929">
      <w:bodyDiv w:val="1"/>
      <w:marLeft w:val="0"/>
      <w:marRight w:val="0"/>
      <w:marTop w:val="0"/>
      <w:marBottom w:val="0"/>
      <w:divBdr>
        <w:top w:val="none" w:sz="0" w:space="0" w:color="auto"/>
        <w:left w:val="none" w:sz="0" w:space="0" w:color="auto"/>
        <w:bottom w:val="none" w:sz="0" w:space="0" w:color="auto"/>
        <w:right w:val="none" w:sz="0" w:space="0" w:color="auto"/>
      </w:divBdr>
    </w:div>
    <w:div w:id="490564038">
      <w:bodyDiv w:val="1"/>
      <w:marLeft w:val="0"/>
      <w:marRight w:val="0"/>
      <w:marTop w:val="0"/>
      <w:marBottom w:val="0"/>
      <w:divBdr>
        <w:top w:val="none" w:sz="0" w:space="0" w:color="auto"/>
        <w:left w:val="none" w:sz="0" w:space="0" w:color="auto"/>
        <w:bottom w:val="none" w:sz="0" w:space="0" w:color="auto"/>
        <w:right w:val="none" w:sz="0" w:space="0" w:color="auto"/>
      </w:divBdr>
    </w:div>
    <w:div w:id="604075808">
      <w:bodyDiv w:val="1"/>
      <w:marLeft w:val="0"/>
      <w:marRight w:val="0"/>
      <w:marTop w:val="0"/>
      <w:marBottom w:val="0"/>
      <w:divBdr>
        <w:top w:val="none" w:sz="0" w:space="0" w:color="auto"/>
        <w:left w:val="none" w:sz="0" w:space="0" w:color="auto"/>
        <w:bottom w:val="none" w:sz="0" w:space="0" w:color="auto"/>
        <w:right w:val="none" w:sz="0" w:space="0" w:color="auto"/>
      </w:divBdr>
    </w:div>
    <w:div w:id="631254593">
      <w:bodyDiv w:val="1"/>
      <w:marLeft w:val="0"/>
      <w:marRight w:val="0"/>
      <w:marTop w:val="0"/>
      <w:marBottom w:val="0"/>
      <w:divBdr>
        <w:top w:val="none" w:sz="0" w:space="0" w:color="auto"/>
        <w:left w:val="none" w:sz="0" w:space="0" w:color="auto"/>
        <w:bottom w:val="none" w:sz="0" w:space="0" w:color="auto"/>
        <w:right w:val="none" w:sz="0" w:space="0" w:color="auto"/>
      </w:divBdr>
    </w:div>
    <w:div w:id="653871589">
      <w:bodyDiv w:val="1"/>
      <w:marLeft w:val="0"/>
      <w:marRight w:val="0"/>
      <w:marTop w:val="0"/>
      <w:marBottom w:val="0"/>
      <w:divBdr>
        <w:top w:val="none" w:sz="0" w:space="0" w:color="auto"/>
        <w:left w:val="none" w:sz="0" w:space="0" w:color="auto"/>
        <w:bottom w:val="none" w:sz="0" w:space="0" w:color="auto"/>
        <w:right w:val="none" w:sz="0" w:space="0" w:color="auto"/>
      </w:divBdr>
    </w:div>
    <w:div w:id="662666399">
      <w:bodyDiv w:val="1"/>
      <w:marLeft w:val="0"/>
      <w:marRight w:val="0"/>
      <w:marTop w:val="0"/>
      <w:marBottom w:val="0"/>
      <w:divBdr>
        <w:top w:val="none" w:sz="0" w:space="0" w:color="auto"/>
        <w:left w:val="none" w:sz="0" w:space="0" w:color="auto"/>
        <w:bottom w:val="none" w:sz="0" w:space="0" w:color="auto"/>
        <w:right w:val="none" w:sz="0" w:space="0" w:color="auto"/>
      </w:divBdr>
    </w:div>
    <w:div w:id="667369090">
      <w:bodyDiv w:val="1"/>
      <w:marLeft w:val="0"/>
      <w:marRight w:val="0"/>
      <w:marTop w:val="0"/>
      <w:marBottom w:val="0"/>
      <w:divBdr>
        <w:top w:val="none" w:sz="0" w:space="0" w:color="auto"/>
        <w:left w:val="none" w:sz="0" w:space="0" w:color="auto"/>
        <w:bottom w:val="none" w:sz="0" w:space="0" w:color="auto"/>
        <w:right w:val="none" w:sz="0" w:space="0" w:color="auto"/>
      </w:divBdr>
    </w:div>
    <w:div w:id="710155744">
      <w:bodyDiv w:val="1"/>
      <w:marLeft w:val="0"/>
      <w:marRight w:val="0"/>
      <w:marTop w:val="0"/>
      <w:marBottom w:val="0"/>
      <w:divBdr>
        <w:top w:val="none" w:sz="0" w:space="0" w:color="auto"/>
        <w:left w:val="none" w:sz="0" w:space="0" w:color="auto"/>
        <w:bottom w:val="none" w:sz="0" w:space="0" w:color="auto"/>
        <w:right w:val="none" w:sz="0" w:space="0" w:color="auto"/>
      </w:divBdr>
    </w:div>
    <w:div w:id="832452790">
      <w:bodyDiv w:val="1"/>
      <w:marLeft w:val="0"/>
      <w:marRight w:val="0"/>
      <w:marTop w:val="0"/>
      <w:marBottom w:val="0"/>
      <w:divBdr>
        <w:top w:val="none" w:sz="0" w:space="0" w:color="auto"/>
        <w:left w:val="none" w:sz="0" w:space="0" w:color="auto"/>
        <w:bottom w:val="none" w:sz="0" w:space="0" w:color="auto"/>
        <w:right w:val="none" w:sz="0" w:space="0" w:color="auto"/>
      </w:divBdr>
    </w:div>
    <w:div w:id="882785427">
      <w:bodyDiv w:val="1"/>
      <w:marLeft w:val="0"/>
      <w:marRight w:val="0"/>
      <w:marTop w:val="0"/>
      <w:marBottom w:val="0"/>
      <w:divBdr>
        <w:top w:val="none" w:sz="0" w:space="0" w:color="auto"/>
        <w:left w:val="none" w:sz="0" w:space="0" w:color="auto"/>
        <w:bottom w:val="none" w:sz="0" w:space="0" w:color="auto"/>
        <w:right w:val="none" w:sz="0" w:space="0" w:color="auto"/>
      </w:divBdr>
    </w:div>
    <w:div w:id="889271198">
      <w:bodyDiv w:val="1"/>
      <w:marLeft w:val="0"/>
      <w:marRight w:val="0"/>
      <w:marTop w:val="0"/>
      <w:marBottom w:val="0"/>
      <w:divBdr>
        <w:top w:val="none" w:sz="0" w:space="0" w:color="auto"/>
        <w:left w:val="none" w:sz="0" w:space="0" w:color="auto"/>
        <w:bottom w:val="none" w:sz="0" w:space="0" w:color="auto"/>
        <w:right w:val="none" w:sz="0" w:space="0" w:color="auto"/>
      </w:divBdr>
    </w:div>
    <w:div w:id="928854707">
      <w:bodyDiv w:val="1"/>
      <w:marLeft w:val="0"/>
      <w:marRight w:val="0"/>
      <w:marTop w:val="0"/>
      <w:marBottom w:val="0"/>
      <w:divBdr>
        <w:top w:val="none" w:sz="0" w:space="0" w:color="auto"/>
        <w:left w:val="none" w:sz="0" w:space="0" w:color="auto"/>
        <w:bottom w:val="none" w:sz="0" w:space="0" w:color="auto"/>
        <w:right w:val="none" w:sz="0" w:space="0" w:color="auto"/>
      </w:divBdr>
    </w:div>
    <w:div w:id="935089298">
      <w:bodyDiv w:val="1"/>
      <w:marLeft w:val="0"/>
      <w:marRight w:val="0"/>
      <w:marTop w:val="0"/>
      <w:marBottom w:val="0"/>
      <w:divBdr>
        <w:top w:val="none" w:sz="0" w:space="0" w:color="auto"/>
        <w:left w:val="none" w:sz="0" w:space="0" w:color="auto"/>
        <w:bottom w:val="none" w:sz="0" w:space="0" w:color="auto"/>
        <w:right w:val="none" w:sz="0" w:space="0" w:color="auto"/>
      </w:divBdr>
    </w:div>
    <w:div w:id="962268141">
      <w:bodyDiv w:val="1"/>
      <w:marLeft w:val="0"/>
      <w:marRight w:val="0"/>
      <w:marTop w:val="0"/>
      <w:marBottom w:val="0"/>
      <w:divBdr>
        <w:top w:val="none" w:sz="0" w:space="0" w:color="auto"/>
        <w:left w:val="none" w:sz="0" w:space="0" w:color="auto"/>
        <w:bottom w:val="none" w:sz="0" w:space="0" w:color="auto"/>
        <w:right w:val="none" w:sz="0" w:space="0" w:color="auto"/>
      </w:divBdr>
    </w:div>
    <w:div w:id="1190532159">
      <w:bodyDiv w:val="1"/>
      <w:marLeft w:val="0"/>
      <w:marRight w:val="0"/>
      <w:marTop w:val="0"/>
      <w:marBottom w:val="0"/>
      <w:divBdr>
        <w:top w:val="none" w:sz="0" w:space="0" w:color="auto"/>
        <w:left w:val="none" w:sz="0" w:space="0" w:color="auto"/>
        <w:bottom w:val="none" w:sz="0" w:space="0" w:color="auto"/>
        <w:right w:val="none" w:sz="0" w:space="0" w:color="auto"/>
      </w:divBdr>
    </w:div>
    <w:div w:id="1237547251">
      <w:bodyDiv w:val="1"/>
      <w:marLeft w:val="0"/>
      <w:marRight w:val="0"/>
      <w:marTop w:val="0"/>
      <w:marBottom w:val="0"/>
      <w:divBdr>
        <w:top w:val="none" w:sz="0" w:space="0" w:color="auto"/>
        <w:left w:val="none" w:sz="0" w:space="0" w:color="auto"/>
        <w:bottom w:val="none" w:sz="0" w:space="0" w:color="auto"/>
        <w:right w:val="none" w:sz="0" w:space="0" w:color="auto"/>
      </w:divBdr>
    </w:div>
    <w:div w:id="1291939734">
      <w:bodyDiv w:val="1"/>
      <w:marLeft w:val="0"/>
      <w:marRight w:val="0"/>
      <w:marTop w:val="0"/>
      <w:marBottom w:val="0"/>
      <w:divBdr>
        <w:top w:val="none" w:sz="0" w:space="0" w:color="auto"/>
        <w:left w:val="none" w:sz="0" w:space="0" w:color="auto"/>
        <w:bottom w:val="none" w:sz="0" w:space="0" w:color="auto"/>
        <w:right w:val="none" w:sz="0" w:space="0" w:color="auto"/>
      </w:divBdr>
    </w:div>
    <w:div w:id="1304234118">
      <w:bodyDiv w:val="1"/>
      <w:marLeft w:val="0"/>
      <w:marRight w:val="0"/>
      <w:marTop w:val="0"/>
      <w:marBottom w:val="0"/>
      <w:divBdr>
        <w:top w:val="none" w:sz="0" w:space="0" w:color="auto"/>
        <w:left w:val="none" w:sz="0" w:space="0" w:color="auto"/>
        <w:bottom w:val="none" w:sz="0" w:space="0" w:color="auto"/>
        <w:right w:val="none" w:sz="0" w:space="0" w:color="auto"/>
      </w:divBdr>
    </w:div>
    <w:div w:id="1368019389">
      <w:bodyDiv w:val="1"/>
      <w:marLeft w:val="0"/>
      <w:marRight w:val="0"/>
      <w:marTop w:val="0"/>
      <w:marBottom w:val="0"/>
      <w:divBdr>
        <w:top w:val="none" w:sz="0" w:space="0" w:color="auto"/>
        <w:left w:val="none" w:sz="0" w:space="0" w:color="auto"/>
        <w:bottom w:val="none" w:sz="0" w:space="0" w:color="auto"/>
        <w:right w:val="none" w:sz="0" w:space="0" w:color="auto"/>
      </w:divBdr>
    </w:div>
    <w:div w:id="1399016479">
      <w:bodyDiv w:val="1"/>
      <w:marLeft w:val="0"/>
      <w:marRight w:val="0"/>
      <w:marTop w:val="0"/>
      <w:marBottom w:val="0"/>
      <w:divBdr>
        <w:top w:val="none" w:sz="0" w:space="0" w:color="auto"/>
        <w:left w:val="none" w:sz="0" w:space="0" w:color="auto"/>
        <w:bottom w:val="none" w:sz="0" w:space="0" w:color="auto"/>
        <w:right w:val="none" w:sz="0" w:space="0" w:color="auto"/>
      </w:divBdr>
    </w:div>
    <w:div w:id="1505895613">
      <w:bodyDiv w:val="1"/>
      <w:marLeft w:val="0"/>
      <w:marRight w:val="0"/>
      <w:marTop w:val="0"/>
      <w:marBottom w:val="0"/>
      <w:divBdr>
        <w:top w:val="none" w:sz="0" w:space="0" w:color="auto"/>
        <w:left w:val="none" w:sz="0" w:space="0" w:color="auto"/>
        <w:bottom w:val="none" w:sz="0" w:space="0" w:color="auto"/>
        <w:right w:val="none" w:sz="0" w:space="0" w:color="auto"/>
      </w:divBdr>
    </w:div>
    <w:div w:id="1602565606">
      <w:bodyDiv w:val="1"/>
      <w:marLeft w:val="0"/>
      <w:marRight w:val="0"/>
      <w:marTop w:val="0"/>
      <w:marBottom w:val="0"/>
      <w:divBdr>
        <w:top w:val="none" w:sz="0" w:space="0" w:color="auto"/>
        <w:left w:val="none" w:sz="0" w:space="0" w:color="auto"/>
        <w:bottom w:val="none" w:sz="0" w:space="0" w:color="auto"/>
        <w:right w:val="none" w:sz="0" w:space="0" w:color="auto"/>
      </w:divBdr>
    </w:div>
    <w:div w:id="1673992703">
      <w:bodyDiv w:val="1"/>
      <w:marLeft w:val="0"/>
      <w:marRight w:val="0"/>
      <w:marTop w:val="0"/>
      <w:marBottom w:val="0"/>
      <w:divBdr>
        <w:top w:val="none" w:sz="0" w:space="0" w:color="auto"/>
        <w:left w:val="none" w:sz="0" w:space="0" w:color="auto"/>
        <w:bottom w:val="none" w:sz="0" w:space="0" w:color="auto"/>
        <w:right w:val="none" w:sz="0" w:space="0" w:color="auto"/>
      </w:divBdr>
    </w:div>
    <w:div w:id="1687319525">
      <w:bodyDiv w:val="1"/>
      <w:marLeft w:val="0"/>
      <w:marRight w:val="0"/>
      <w:marTop w:val="0"/>
      <w:marBottom w:val="0"/>
      <w:divBdr>
        <w:top w:val="none" w:sz="0" w:space="0" w:color="auto"/>
        <w:left w:val="none" w:sz="0" w:space="0" w:color="auto"/>
        <w:bottom w:val="none" w:sz="0" w:space="0" w:color="auto"/>
        <w:right w:val="none" w:sz="0" w:space="0" w:color="auto"/>
      </w:divBdr>
    </w:div>
    <w:div w:id="1692098673">
      <w:bodyDiv w:val="1"/>
      <w:marLeft w:val="0"/>
      <w:marRight w:val="0"/>
      <w:marTop w:val="0"/>
      <w:marBottom w:val="0"/>
      <w:divBdr>
        <w:top w:val="none" w:sz="0" w:space="0" w:color="auto"/>
        <w:left w:val="none" w:sz="0" w:space="0" w:color="auto"/>
        <w:bottom w:val="none" w:sz="0" w:space="0" w:color="auto"/>
        <w:right w:val="none" w:sz="0" w:space="0" w:color="auto"/>
      </w:divBdr>
    </w:div>
    <w:div w:id="1721440895">
      <w:bodyDiv w:val="1"/>
      <w:marLeft w:val="0"/>
      <w:marRight w:val="0"/>
      <w:marTop w:val="0"/>
      <w:marBottom w:val="0"/>
      <w:divBdr>
        <w:top w:val="none" w:sz="0" w:space="0" w:color="auto"/>
        <w:left w:val="none" w:sz="0" w:space="0" w:color="auto"/>
        <w:bottom w:val="none" w:sz="0" w:space="0" w:color="auto"/>
        <w:right w:val="none" w:sz="0" w:space="0" w:color="auto"/>
      </w:divBdr>
    </w:div>
    <w:div w:id="1737242536">
      <w:bodyDiv w:val="1"/>
      <w:marLeft w:val="0"/>
      <w:marRight w:val="0"/>
      <w:marTop w:val="0"/>
      <w:marBottom w:val="0"/>
      <w:divBdr>
        <w:top w:val="none" w:sz="0" w:space="0" w:color="auto"/>
        <w:left w:val="none" w:sz="0" w:space="0" w:color="auto"/>
        <w:bottom w:val="none" w:sz="0" w:space="0" w:color="auto"/>
        <w:right w:val="none" w:sz="0" w:space="0" w:color="auto"/>
      </w:divBdr>
    </w:div>
    <w:div w:id="1750350282">
      <w:bodyDiv w:val="1"/>
      <w:marLeft w:val="0"/>
      <w:marRight w:val="0"/>
      <w:marTop w:val="0"/>
      <w:marBottom w:val="0"/>
      <w:divBdr>
        <w:top w:val="none" w:sz="0" w:space="0" w:color="auto"/>
        <w:left w:val="none" w:sz="0" w:space="0" w:color="auto"/>
        <w:bottom w:val="none" w:sz="0" w:space="0" w:color="auto"/>
        <w:right w:val="none" w:sz="0" w:space="0" w:color="auto"/>
      </w:divBdr>
    </w:div>
    <w:div w:id="1786846291">
      <w:bodyDiv w:val="1"/>
      <w:marLeft w:val="0"/>
      <w:marRight w:val="0"/>
      <w:marTop w:val="0"/>
      <w:marBottom w:val="0"/>
      <w:divBdr>
        <w:top w:val="none" w:sz="0" w:space="0" w:color="auto"/>
        <w:left w:val="none" w:sz="0" w:space="0" w:color="auto"/>
        <w:bottom w:val="none" w:sz="0" w:space="0" w:color="auto"/>
        <w:right w:val="none" w:sz="0" w:space="0" w:color="auto"/>
      </w:divBdr>
    </w:div>
    <w:div w:id="1886747051">
      <w:bodyDiv w:val="1"/>
      <w:marLeft w:val="0"/>
      <w:marRight w:val="0"/>
      <w:marTop w:val="0"/>
      <w:marBottom w:val="0"/>
      <w:divBdr>
        <w:top w:val="none" w:sz="0" w:space="0" w:color="auto"/>
        <w:left w:val="none" w:sz="0" w:space="0" w:color="auto"/>
        <w:bottom w:val="none" w:sz="0" w:space="0" w:color="auto"/>
        <w:right w:val="none" w:sz="0" w:space="0" w:color="auto"/>
      </w:divBdr>
    </w:div>
    <w:div w:id="1934705427">
      <w:bodyDiv w:val="1"/>
      <w:marLeft w:val="0"/>
      <w:marRight w:val="0"/>
      <w:marTop w:val="0"/>
      <w:marBottom w:val="0"/>
      <w:divBdr>
        <w:top w:val="none" w:sz="0" w:space="0" w:color="auto"/>
        <w:left w:val="none" w:sz="0" w:space="0" w:color="auto"/>
        <w:bottom w:val="none" w:sz="0" w:space="0" w:color="auto"/>
        <w:right w:val="none" w:sz="0" w:space="0" w:color="auto"/>
      </w:divBdr>
    </w:div>
    <w:div w:id="2116552334">
      <w:bodyDiv w:val="1"/>
      <w:marLeft w:val="0"/>
      <w:marRight w:val="0"/>
      <w:marTop w:val="0"/>
      <w:marBottom w:val="0"/>
      <w:divBdr>
        <w:top w:val="none" w:sz="0" w:space="0" w:color="auto"/>
        <w:left w:val="none" w:sz="0" w:space="0" w:color="auto"/>
        <w:bottom w:val="none" w:sz="0" w:space="0" w:color="auto"/>
        <w:right w:val="none" w:sz="0" w:space="0" w:color="auto"/>
      </w:divBdr>
    </w:div>
    <w:div w:id="213471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eu-competitiveness/competitiveness-compass_ro" TargetMode="External"/><Relationship Id="rId2" Type="http://schemas.openxmlformats.org/officeDocument/2006/relationships/hyperlink" Target="https://ec.europa.eu/eurostat/databrowser/bookmark/8d848d1f-5d61-4f5a-8a09-b9f03a5c8dd1?lang=en&amp;createdAt=2026-07-06T13:53:41Z" TargetMode="External"/><Relationship Id="rId1" Type="http://schemas.openxmlformats.org/officeDocument/2006/relationships/hyperlink" Target="https://ec.europa.eu/eurostat/databrowser/view/bop_its6_det__custom_22037486/bookmark/table?lang=en&amp;bookmarkId=3048415d-2424-4599-8ce6-c8d64739e5bc&amp;c=1783345249000" TargetMode="External"/><Relationship Id="rId4" Type="http://schemas.openxmlformats.org/officeDocument/2006/relationships/hyperlink" Target="https://www.consilium.europa.eu/media/39504/st08993-en1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df4f5e-1d68-4db7-b5cb-59836e221a01">
      <Terms xmlns="http://schemas.microsoft.com/office/infopath/2007/PartnerControls"/>
    </lcf76f155ced4ddcb4097134ff3c332f>
    <TaxCatchAll xmlns="1543d94b-300e-431d-bc09-f5d1a2e1cc0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A9B7E7362AAAE48B89958A206263FD8" ma:contentTypeVersion="13" ma:contentTypeDescription="Create a new document." ma:contentTypeScope="" ma:versionID="ed588c264ca657728dae2c663d4c05e1">
  <xsd:schema xmlns:xsd="http://www.w3.org/2001/XMLSchema" xmlns:xs="http://www.w3.org/2001/XMLSchema" xmlns:p="http://schemas.microsoft.com/office/2006/metadata/properties" xmlns:ns2="d7df4f5e-1d68-4db7-b5cb-59836e221a01" xmlns:ns3="1543d94b-300e-431d-bc09-f5d1a2e1cc05" targetNamespace="http://schemas.microsoft.com/office/2006/metadata/properties" ma:root="true" ma:fieldsID="488c9626acb0965e859704220362b0b5" ns2:_="" ns3:_="">
    <xsd:import namespace="d7df4f5e-1d68-4db7-b5cb-59836e221a01"/>
    <xsd:import namespace="1543d94b-300e-431d-bc09-f5d1a2e1cc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f4f5e-1d68-4db7-b5cb-59836e221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43d94b-300e-431d-bc09-f5d1a2e1cc0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fe27120-68d1-45bb-a96c-2fcdd24bdd54}" ma:internalName="TaxCatchAll" ma:showField="CatchAllData" ma:web="1543d94b-300e-431d-bc09-f5d1a2e1cc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8BA4C0-FC3F-4160-BD6B-B9A025E18279}">
  <ds:schemaRefs>
    <ds:schemaRef ds:uri="http://schemas.microsoft.com/sharepoint/v3/contenttype/forms"/>
  </ds:schemaRefs>
</ds:datastoreItem>
</file>

<file path=customXml/itemProps2.xml><?xml version="1.0" encoding="utf-8"?>
<ds:datastoreItem xmlns:ds="http://schemas.openxmlformats.org/officeDocument/2006/customXml" ds:itemID="{E252B06A-867F-4578-BD56-5D95D247823D}">
  <ds:schemaRefs>
    <ds:schemaRef ds:uri="http://schemas.openxmlformats.org/officeDocument/2006/bibliography"/>
  </ds:schemaRefs>
</ds:datastoreItem>
</file>

<file path=customXml/itemProps3.xml><?xml version="1.0" encoding="utf-8"?>
<ds:datastoreItem xmlns:ds="http://schemas.openxmlformats.org/officeDocument/2006/customXml" ds:itemID="{FF538B12-7FEC-423B-980E-A5C79E105AE4}">
  <ds:schemaRefs>
    <ds:schemaRef ds:uri="http://schemas.microsoft.com/office/2006/metadata/properties"/>
    <ds:schemaRef ds:uri="http://schemas.microsoft.com/office/infopath/2007/PartnerControls"/>
    <ds:schemaRef ds:uri="d7df4f5e-1d68-4db7-b5cb-59836e221a01"/>
    <ds:schemaRef ds:uri="1543d94b-300e-431d-bc09-f5d1a2e1cc05"/>
  </ds:schemaRefs>
</ds:datastoreItem>
</file>

<file path=customXml/itemProps4.xml><?xml version="1.0" encoding="utf-8"?>
<ds:datastoreItem xmlns:ds="http://schemas.openxmlformats.org/officeDocument/2006/customXml" ds:itemID="{BF317465-BAF9-4CE1-95E9-D253F4F25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f4f5e-1d68-4db7-b5cb-59836e221a01"/>
    <ds:schemaRef ds:uri="1543d94b-300e-431d-bc09-f5d1a2e1c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8</Pages>
  <Words>2601</Words>
  <Characters>14830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23</cp:revision>
  <dcterms:created xsi:type="dcterms:W3CDTF">2026-09-08T12:52:00Z</dcterms:created>
  <dcterms:modified xsi:type="dcterms:W3CDTF">2026-09-11T06:41:00Z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2026-05-28T12:19:43Z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6c95729a-44eb-4cbf-a374-38d38d0dd633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0x0101008A9B7E7362AAAE48B89958A206263FD8</vt:lpwstr>
  </property>
  <property fmtid="{D5CDD505-2E9C-101B-9397-08002B2CF9AE}" pid="19" name="MediaServiceImageTags">
    <vt:lpwstr/>
  </property>
  <property fmtid="{D5CDD505-2E9C-101B-9397-08002B2CF9AE}" pid="20" name="DQCStatus">
    <vt:lpwstr>Green (DQC version 03)</vt:lpwstr>
  </property>
</Properties>
</file>