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6CB7578-0ECA-4D6D-B65E-D4FFCDB761CE" style="width:455.25pt;height:354.75pt">
            <v:imagedata r:id="rId10" o:title=""/>
          </v:shape>
        </w:pict>
      </w:r>
    </w:p>
    <w:p>
      <w:pPr>
        <w:rPr>
          <w:noProof/>
        </w:rPr>
        <w:sectPr>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 xml:space="preserve">ANEXĂ </w:t>
      </w:r>
    </w:p>
    <w:p>
      <w:pPr>
        <w:spacing w:before="100" w:beforeAutospacing="1" w:after="100" w:afterAutospacing="1"/>
        <w:jc w:val="center"/>
        <w:rPr>
          <w:b/>
          <w:bCs/>
          <w:noProof/>
        </w:rPr>
      </w:pPr>
      <w:r>
        <w:rPr>
          <w:b/>
          <w:noProof/>
        </w:rPr>
        <w:t>DIRECTIVE DE NEGOCIERE A DISCIPLINELOR CARE VIZEAZĂ COMERȚUL DIGITAL CU COSTA RICA</w:t>
      </w:r>
    </w:p>
    <w:p>
      <w:pPr>
        <w:pStyle w:val="Heading1"/>
        <w:numPr>
          <w:ilvl w:val="0"/>
          <w:numId w:val="7"/>
        </w:numPr>
        <w:rPr>
          <w:noProof/>
        </w:rPr>
      </w:pPr>
      <w:r>
        <w:rPr>
          <w:noProof/>
        </w:rPr>
        <w:t>NATURA ȘI DOMENIUL DE APLICARE AL DISPOZIȚIILOR</w:t>
      </w:r>
    </w:p>
    <w:p>
      <w:pPr>
        <w:pStyle w:val="Point0number"/>
        <w:numPr>
          <w:ilvl w:val="0"/>
          <w:numId w:val="8"/>
        </w:numPr>
        <w:rPr>
          <w:noProof/>
        </w:rPr>
      </w:pPr>
      <w:r>
        <w:rPr>
          <w:noProof/>
        </w:rPr>
        <w:t>Negocierile au drept obiectiv stabilirea unor discipline care vizează comerțul facilitat prin mijloace electronice (denumit în continuare „comerțul digital”) între UE și Costa Rica. Astfel de discipline ar trebui să faciliteze relațiile comerciale bilaterale dintre UE și Costa Rica, care au fost deja consolidate și liberalizate prin Acordul de asociere UE-America Centrală. Disciplinele ar trebui să fie în concordanță cu normele stabilite în Acordul de asociere și să se bazeze pe nivelul ridicat de convergență în ceea ce privește aspectele legate de comerțul digital reflectat în Alianța digitală UE-America Latină și zona Caraibilor.</w:t>
      </w:r>
    </w:p>
    <w:p>
      <w:pPr>
        <w:pStyle w:val="Point0number"/>
        <w:rPr>
          <w:noProof/>
        </w:rPr>
      </w:pPr>
      <w:r>
        <w:rPr>
          <w:noProof/>
        </w:rPr>
        <w:t xml:space="preserve">Negocierile vizează consolidarea comerțului digital bilateral, facilitarea operațiunilor întreprinderilor, inclusiv ale microîntreprinderilor și ale întreprinderilor mici și mijlocii, în special prin consolidarea încrederii consumatorilor în mediul online și prin crearea de noi oportunități de promovare a creșterii și dezvoltării favorabile incluziunii. </w:t>
      </w:r>
    </w:p>
    <w:p>
      <w:pPr>
        <w:pStyle w:val="Point0number"/>
        <w:rPr>
          <w:noProof/>
        </w:rPr>
      </w:pPr>
      <w:r>
        <w:rPr>
          <w:noProof/>
        </w:rPr>
        <w:t xml:space="preserve">Negocierile urmăresc, de asemenea, să sprijine piețele digitale deschise, competitive, transparente, echitabile și lipsite de bariere nejustificate în calea comerțului și a investițiilor internaționale. </w:t>
      </w:r>
    </w:p>
    <w:p>
      <w:pPr>
        <w:pStyle w:val="Point0number"/>
        <w:rPr>
          <w:noProof/>
        </w:rPr>
      </w:pPr>
      <w:r>
        <w:rPr>
          <w:noProof/>
        </w:rPr>
        <w:t xml:space="preserve">Disciplinele ar trebui să se bazeze pe normele OMC existente. Ele ar trebui să ia în considerare și să se bazeze, acolo unde este posibil și relevant, pe negocierile comerciale și de investiții recente și aflate în desfășurare la nivel bilateral, plurilateral și multilateral, inclusiv Acordul OMC privind comerțul electronic. </w:t>
      </w:r>
    </w:p>
    <w:p>
      <w:pPr>
        <w:pStyle w:val="Point0number"/>
        <w:rPr>
          <w:noProof/>
        </w:rPr>
      </w:pPr>
      <w:r>
        <w:rPr>
          <w:noProof/>
        </w:rPr>
        <w:t xml:space="preserve">În cadrul negocierilor, Uniunea ar trebui să promoveze drepturile și principiile stabilite în Declarația europeană privind drepturile și principiile digitale pentru deceniul digital proclamată de Parlamentul European, Consiliu și Comisia Europeană la 15 decembrie 2022. </w:t>
      </w:r>
    </w:p>
    <w:p>
      <w:pPr>
        <w:pStyle w:val="Heading1"/>
        <w:rPr>
          <w:noProof/>
        </w:rPr>
      </w:pPr>
      <w:r>
        <w:rPr>
          <w:noProof/>
        </w:rPr>
        <w:t>CONȚINUTUL PROPUS AL NORMELOR ȘI ANGAJAMENTELOR</w:t>
      </w:r>
    </w:p>
    <w:p>
      <w:pPr>
        <w:pStyle w:val="Point0number"/>
        <w:rPr>
          <w:noProof/>
        </w:rPr>
      </w:pPr>
      <w:r>
        <w:rPr>
          <w:noProof/>
        </w:rPr>
        <w:t>Negocierile ar trebui să dezvolte discipline privind comerțul digital. Acestea ar trebui să urmărească îmbunătățirea condițiilor pentru comerțul digital în beneficiul întreprinderilor și al consumatorilor din Uniunea Europeană și să sporească participarea la lanțurile valorice globale a microîntreprinderilor și a întreprinderilor mici și mijlocii.</w:t>
      </w:r>
    </w:p>
    <w:p>
      <w:pPr>
        <w:pStyle w:val="Point0number"/>
        <w:rPr>
          <w:noProof/>
        </w:rPr>
      </w:pPr>
      <w:r>
        <w:rPr>
          <w:noProof/>
        </w:rPr>
        <w:t xml:space="preserve">Negocierile ar trebui să se desfășoare într-un mod deschis. </w:t>
      </w:r>
    </w:p>
    <w:p>
      <w:pPr>
        <w:pStyle w:val="Point0number"/>
        <w:rPr>
          <w:noProof/>
        </w:rPr>
      </w:pPr>
      <w:r>
        <w:rPr>
          <w:noProof/>
        </w:rPr>
        <w:t>Recunoscând caracterul transversal al comerțului digital, negocierile pot viza orice aspect al comerțului digital, inclusiv:</w:t>
      </w:r>
    </w:p>
    <w:p>
      <w:pPr>
        <w:pStyle w:val="Point1letter"/>
        <w:numPr>
          <w:ilvl w:val="3"/>
          <w:numId w:val="6"/>
        </w:numPr>
        <w:rPr>
          <w:noProof/>
        </w:rPr>
      </w:pPr>
      <w:r>
        <w:rPr>
          <w:noProof/>
        </w:rPr>
        <w:t>facilitarea tranzacțiilor electronice (de exemplu, semnături electronice, autentificare electronică);</w:t>
      </w:r>
    </w:p>
    <w:p>
      <w:pPr>
        <w:pStyle w:val="Point1letter"/>
        <w:numPr>
          <w:ilvl w:val="3"/>
          <w:numId w:val="6"/>
        </w:numPr>
        <w:rPr>
          <w:noProof/>
        </w:rPr>
      </w:pPr>
      <w:r>
        <w:rPr>
          <w:noProof/>
        </w:rPr>
        <w:t>taxele vamale pentru transmisiile electronice și conținutul transmis;</w:t>
      </w:r>
    </w:p>
    <w:p>
      <w:pPr>
        <w:pStyle w:val="Point1letter"/>
        <w:numPr>
          <w:ilvl w:val="3"/>
          <w:numId w:val="6"/>
        </w:numPr>
        <w:rPr>
          <w:noProof/>
        </w:rPr>
      </w:pPr>
      <w:r>
        <w:rPr>
          <w:noProof/>
        </w:rPr>
        <w:t xml:space="preserve">încrederea consumatorilor (de exemplu, protecția consumatorilor online, comunicațiile electronice nesolicitate); </w:t>
      </w:r>
    </w:p>
    <w:p>
      <w:pPr>
        <w:pStyle w:val="Point1letter"/>
        <w:numPr>
          <w:ilvl w:val="3"/>
          <w:numId w:val="6"/>
        </w:numPr>
        <w:rPr>
          <w:noProof/>
        </w:rPr>
      </w:pPr>
      <w:r>
        <w:rPr>
          <w:noProof/>
        </w:rPr>
        <w:t>fluxurile transfrontaliere de date cu încredere, cerințele de localizare a datelor și protecția datelor cu caracter personal;</w:t>
      </w:r>
    </w:p>
    <w:p>
      <w:pPr>
        <w:pStyle w:val="Point1letter"/>
        <w:numPr>
          <w:ilvl w:val="3"/>
          <w:numId w:val="6"/>
        </w:numPr>
        <w:rPr>
          <w:noProof/>
        </w:rPr>
      </w:pPr>
      <w:r>
        <w:rPr>
          <w:noProof/>
        </w:rPr>
        <w:t>încrederea întreprinderilor (de exemplu, protecția codului sursă al calculatorului, transferul forțat de tehnologie);</w:t>
      </w:r>
    </w:p>
    <w:p>
      <w:pPr>
        <w:pStyle w:val="Point1letter"/>
        <w:numPr>
          <w:ilvl w:val="3"/>
          <w:numId w:val="6"/>
        </w:numPr>
        <w:rPr>
          <w:noProof/>
        </w:rPr>
      </w:pPr>
      <w:r>
        <w:rPr>
          <w:noProof/>
        </w:rPr>
        <w:t>îmbunătățirea accesului la comerțul electronic (de exemplu, accesul la internet, la conținut online și date guvernamentale sau accesul la intermediarii online și răspunderea acestora);</w:t>
      </w:r>
    </w:p>
    <w:p>
      <w:pPr>
        <w:pStyle w:val="Point1letter"/>
        <w:numPr>
          <w:ilvl w:val="3"/>
          <w:numId w:val="6"/>
        </w:numPr>
        <w:rPr>
          <w:noProof/>
        </w:rPr>
      </w:pPr>
      <w:r>
        <w:rPr>
          <w:noProof/>
        </w:rPr>
        <w:t>măsuri de facilitare a comerțului relevante pentru comerțul electronic (de exemplu, tranzacțiile fără suport de hârtie, facturarea electronică), ținând seama în mod corespunzător de Acordul OMC privind facilitarea comerțului;</w:t>
      </w:r>
    </w:p>
    <w:p>
      <w:pPr>
        <w:pStyle w:val="Point1letter"/>
        <w:numPr>
          <w:ilvl w:val="3"/>
          <w:numId w:val="6"/>
        </w:numPr>
        <w:rPr>
          <w:noProof/>
        </w:rPr>
      </w:pPr>
      <w:r>
        <w:rPr>
          <w:noProof/>
        </w:rPr>
        <w:t>aspectele legate de comerțul electronic ale drepturilor de proprietate intelectuală, inclusiv secretele comerciale;</w:t>
      </w:r>
    </w:p>
    <w:p>
      <w:pPr>
        <w:pStyle w:val="Point1letter"/>
        <w:numPr>
          <w:ilvl w:val="3"/>
          <w:numId w:val="6"/>
        </w:numPr>
        <w:rPr>
          <w:noProof/>
        </w:rPr>
      </w:pPr>
      <w:r>
        <w:rPr>
          <w:noProof/>
        </w:rPr>
        <w:t>transparența și</w:t>
      </w:r>
    </w:p>
    <w:p>
      <w:pPr>
        <w:pStyle w:val="Point1letter"/>
        <w:numPr>
          <w:ilvl w:val="3"/>
          <w:numId w:val="6"/>
        </w:numPr>
        <w:rPr>
          <w:noProof/>
        </w:rPr>
      </w:pPr>
      <w:r>
        <w:rPr>
          <w:noProof/>
        </w:rPr>
        <w:t xml:space="preserve">cooperarea (de exemplu, între părțile la negocieri, autoritățile de protecție a consumatorilor). </w:t>
      </w:r>
    </w:p>
    <w:p>
      <w:pPr>
        <w:pStyle w:val="Point0number"/>
        <w:rPr>
          <w:noProof/>
        </w:rPr>
      </w:pPr>
      <w:r>
        <w:rPr>
          <w:noProof/>
        </w:rPr>
        <w:t xml:space="preserve">Orice normă sau angajament convenit de Uniunea Europeană ar trebui să fie în conformitate cu cadrul juridic al UE și ar trebui să asigure autonomia de reglementare necesară pentru punerea în aplicare și dezvoltarea politicilor digitale și în materie de date ale UE. </w:t>
      </w:r>
    </w:p>
    <w:p>
      <w:pPr>
        <w:pStyle w:val="Point0number"/>
        <w:rPr>
          <w:noProof/>
        </w:rPr>
      </w:pPr>
      <w:r>
        <w:rPr>
          <w:noProof/>
        </w:rPr>
        <w:t>În special, Uniunea Europeană nu convine asupra disciplinelor sau a angajamentelor care ar putea afecta cadrul său juridic în materie de securitate cibernetică, mai ales cu privire la un nivel comun ridicat de securitate a rețelelor și a sistemelor informatice în toată Uniunea Europeană.</w:t>
      </w:r>
    </w:p>
    <w:p>
      <w:pPr>
        <w:pStyle w:val="Point0number"/>
        <w:rPr>
          <w:noProof/>
        </w:rPr>
      </w:pPr>
      <w:r>
        <w:rPr>
          <w:noProof/>
        </w:rPr>
        <w:t xml:space="preserve">În contextul gradului din ce în ce mai mare de digitalizare a comerțului și al importanței transferurilor internaționale de fluxuri de date pentru comerțul și investițiile transfrontaliere, abordarea Uniunii Europene în cadrul acestor negocieri ar trebui să fie coerentă cu abordarea urmată în acest sens în acordurile comerciale și de investiții bilaterale și multilaterale încheiate și, după caz, în cadrul negocierilor recente și în curs privind acordurile comerciale și de investiții bilaterale și multilaterale. În special, negocierile ar trebui să conducă la norme referitoare la fluxurile transfrontaliere de date care să abordeze cerințele nejustificate de localizare a datelor, însă fără să negocieze și fără să afecteze normele Uniunii Europene în materie de protecție a datelor cu caracter personal, și ar trebui, în special, să fie în conformitate cu cadrul juridic al Uniunii Europene privind protecția datelor cu și fără caracter personal. </w:t>
      </w:r>
    </w:p>
    <w:p>
      <w:pPr>
        <w:pStyle w:val="Point0number"/>
        <w:rPr>
          <w:noProof/>
        </w:rPr>
      </w:pPr>
      <w:r>
        <w:rPr>
          <w:noProof/>
        </w:rPr>
        <w:t xml:space="preserve">Uniunea Europeană și statele sale membre își mențin posibilitatea de a-și păstra și de a-și dezvolta capacitatea de a defini și de a pune în aplicare politici culturale și audiovizuale în scopul conservării diversității culturale. Uniunea Europeană nu convine asupra normelor sau a angajamentelor pentru serviciile audiovizuale. Uniunea Europeană nu își asumă angajamente cu privire la serviciile furnizate sau la activitățile desfășurate în exercitarea autorității guvernamentale. </w:t>
      </w:r>
    </w:p>
    <w:p>
      <w:pPr>
        <w:pStyle w:val="Point0number"/>
        <w:rPr>
          <w:noProof/>
        </w:rPr>
      </w:pPr>
      <w:r>
        <w:rPr>
          <w:noProof/>
        </w:rPr>
        <w:t>Mai mult, Uniunea Europeană nu ar trebui să convină asupra disciplinelor sau a angajamentelor care ar putea afecta cadrul său juridic în materie de protecție a drepturilor de proprietate intelectuală.</w:t>
      </w:r>
    </w:p>
    <w:p>
      <w:pPr>
        <w:pStyle w:val="Point0number"/>
        <w:rPr>
          <w:noProof/>
        </w:rPr>
      </w:pPr>
      <w:r>
        <w:rPr>
          <w:noProof/>
        </w:rPr>
        <w:t>Acordul nu ar trebui să împiedice capacitatea Uniunii Europene, a statelor sale membre și a autorităților lor naționale, regionale și locale de a reglementa activitatea economică în interes public, cu scopul de a îndeplini obiective legitime de politică publică, precum protecția și promovarea sănătății publice, serviciile sociale, educația publică, siguranța, mediul, moralitatea publică, protecția socială sau a consumatorilor, asigurarea integrității și a stabilității sistemului financiar al Uniunii, confidențialitatea și protecția datelor cu caracter personal și promovarea și protejarea diversității culturale. Înalta calitate a serviciilor publice din Uniunea Europeană ar trebui să fie menținută în conformitate cu Tratatul privind funcționarea Uniunii Europene și, în special, cu Protocolul nr. 26 privind serviciile de interes general, luându-se în considerare rezervele Uniunii Europene în acest domeniu, inclusiv în temeiul GATS.</w:t>
      </w:r>
    </w:p>
    <w:p>
      <w:pPr>
        <w:rPr>
          <w:noProof/>
        </w:rPr>
      </w:pPr>
    </w:p>
    <w:sectPr>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C88E8D0E"/>
    <w:lvl w:ilvl="0">
      <w:start w:val="1"/>
      <w:numFmt w:val="decimal"/>
      <w:pStyle w:val="ListNumber3"/>
      <w:lvlText w:val="%1."/>
      <w:lvlJc w:val="left"/>
      <w:pPr>
        <w:tabs>
          <w:tab w:val="num" w:pos="926"/>
        </w:tabs>
        <w:ind w:left="926" w:hanging="360"/>
      </w:pPr>
    </w:lvl>
  </w:abstractNum>
  <w:abstractNum w:abstractNumId="1" w15:restartNumberingAfterBreak="0">
    <w:nsid w:val="FFFFFF81"/>
    <w:multiLevelType w:val="singleLevel"/>
    <w:tmpl w:val="1B34E44E"/>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95A8E4A"/>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90241662"/>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A6AA3164"/>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num>
  <w:num w:numId="2">
    <w:abstractNumId w:val="3"/>
  </w:num>
  <w:num w:numId="3">
    <w:abstractNumId w:val="2"/>
  </w:num>
  <w:num w:numId="4">
    <w:abstractNumId w:val="1"/>
  </w:num>
  <w:num w:numId="5">
    <w:abstractNumId w:val="0"/>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9"/>
  </w:num>
  <w:num w:numId="11">
    <w:abstractNumId w:val="18"/>
  </w:num>
  <w:num w:numId="12">
    <w:abstractNumId w:val="8"/>
  </w:num>
  <w:num w:numId="13">
    <w:abstractNumId w:val="10"/>
  </w:num>
  <w:num w:numId="14">
    <w:abstractNumId w:val="11"/>
  </w:num>
  <w:num w:numId="15">
    <w:abstractNumId w:val="6"/>
  </w:num>
  <w:num w:numId="16">
    <w:abstractNumId w:val="17"/>
  </w:num>
  <w:num w:numId="17">
    <w:abstractNumId w:val="5"/>
  </w:num>
  <w:num w:numId="18">
    <w:abstractNumId w:val="12"/>
  </w:num>
  <w:num w:numId="19">
    <w:abstractNumId w:val="14"/>
  </w:num>
  <w:num w:numId="20">
    <w:abstractNumId w:val="15"/>
  </w:num>
  <w:num w:numId="21">
    <w:abstractNumId w:val="7"/>
  </w:num>
  <w:num w:numId="22">
    <w:abstractNumId w:val="13"/>
  </w:num>
  <w:num w:numId="23">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1 08:41:3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46CB7578-0ECA-4D6D-B65E-D4FFCDB761CE"/>
    <w:docVar w:name="LW_COVERPAGE_TYPE" w:val="1"/>
    <w:docVar w:name="LW_CreatedUtc" w:val="2026-05-28T13:50:34.5381109Z"/>
    <w:docVar w:name="LW_CROSSREFERENCE" w:val="&lt;UNUSED&gt;"/>
    <w:docVar w:name="LW_DocType" w:val="ANNEX"/>
    <w:docVar w:name="LW_EMISSION" w:val="18.9.2026"/>
    <w:docVar w:name="LW_EMISSION_ISODATE" w:val="2026-09-18"/>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de autorizare a deschiderii negocierilor pentru un acord în domeniul comer\u539?ului digital cu Costa Rica"/>
    <w:docVar w:name="LW_OBJETACTEPRINCIPAL.CP" w:val="de autorizare a deschiderii negocierilor pentru un acord în domeniul comer\u539?ului digital cu Costa Rica"/>
    <w:docVar w:name="LW_PART_NBR" w:val="1"/>
    <w:docVar w:name="LW_PART_NBR_TOTAL" w:val="1"/>
    <w:docVar w:name="LW_REF.INST.NEW" w:val="COM"/>
    <w:docVar w:name="LW_REF.INST.NEW_ADOPTED" w:val="final"/>
    <w:docVar w:name="LW_REF.INST.NEW_TEXT" w:val="(2026) 48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Recomandarea de Decizie a Consiliului"/>
    <w:docVar w:name="LW_TYPEACTEPRINCIPAL.CP" w:val="Recomanda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503ECF62-7401-4FDC-98F9-E4E61F1F9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3">
    <w:name w:val="List Number 3"/>
    <w:basedOn w:val="Normal"/>
    <w:uiPriority w:val="99"/>
    <w:semiHidden/>
    <w:unhideWhenUsed/>
    <w:pPr>
      <w:numPr>
        <w:numId w:val="5"/>
      </w:numPr>
      <w:tabs>
        <w:tab w:val="clear" w:pos="926"/>
      </w:tabs>
      <w:ind w:left="0" w:firstLine="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df4f5e-1d68-4db7-b5cb-59836e221a01">
      <Terms xmlns="http://schemas.microsoft.com/office/infopath/2007/PartnerControls"/>
    </lcf76f155ced4ddcb4097134ff3c332f>
    <TaxCatchAll xmlns="1543d94b-300e-431d-bc09-f5d1a2e1cc0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A9B7E7362AAAE48B89958A206263FD8" ma:contentTypeVersion="13" ma:contentTypeDescription="Create a new document." ma:contentTypeScope="" ma:versionID="ed588c264ca657728dae2c663d4c05e1">
  <xsd:schema xmlns:xsd="http://www.w3.org/2001/XMLSchema" xmlns:xs="http://www.w3.org/2001/XMLSchema" xmlns:p="http://schemas.microsoft.com/office/2006/metadata/properties" xmlns:ns2="d7df4f5e-1d68-4db7-b5cb-59836e221a01" xmlns:ns3="1543d94b-300e-431d-bc09-f5d1a2e1cc05" targetNamespace="http://schemas.microsoft.com/office/2006/metadata/properties" ma:root="true" ma:fieldsID="488c9626acb0965e859704220362b0b5" ns2:_="" ns3:_="">
    <xsd:import namespace="d7df4f5e-1d68-4db7-b5cb-59836e221a01"/>
    <xsd:import namespace="1543d94b-300e-431d-bc09-f5d1a2e1cc0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df4f5e-1d68-4db7-b5cb-59836e221a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43d94b-300e-431d-bc09-f5d1a2e1cc0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fe27120-68d1-45bb-a96c-2fcdd24bdd54}" ma:internalName="TaxCatchAll" ma:showField="CatchAllData" ma:web="1543d94b-300e-431d-bc09-f5d1a2e1cc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E5358C-FCA2-4132-B859-5697F332918A}">
  <ds:schemaRefs>
    <ds:schemaRef ds:uri="http://schemas.microsoft.com/sharepoint/v3/contenttype/forms"/>
  </ds:schemaRefs>
</ds:datastoreItem>
</file>

<file path=customXml/itemProps2.xml><?xml version="1.0" encoding="utf-8"?>
<ds:datastoreItem xmlns:ds="http://schemas.openxmlformats.org/officeDocument/2006/customXml" ds:itemID="{B85331A3-DCBC-4200-A998-510158941985}">
  <ds:schemaRefs>
    <ds:schemaRef ds:uri="http://schemas.microsoft.com/office/2006/metadata/properties"/>
    <ds:schemaRef ds:uri="http://schemas.microsoft.com/office/infopath/2007/PartnerControls"/>
    <ds:schemaRef ds:uri="d7df4f5e-1d68-4db7-b5cb-59836e221a01"/>
    <ds:schemaRef ds:uri="1543d94b-300e-431d-bc09-f5d1a2e1cc05"/>
  </ds:schemaRefs>
</ds:datastoreItem>
</file>

<file path=customXml/itemProps3.xml><?xml version="1.0" encoding="utf-8"?>
<ds:datastoreItem xmlns:ds="http://schemas.openxmlformats.org/officeDocument/2006/customXml" ds:itemID="{9D21C809-0EC5-4251-B473-2DCC807D93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df4f5e-1d68-4db7-b5cb-59836e221a01"/>
    <ds:schemaRef ds:uri="1543d94b-300e-431d-bc09-f5d1a2e1cc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ANNEX.dotm</Template>
  <TotalTime>5</TotalTime>
  <Pages>3</Pages>
  <Words>1020</Words>
  <Characters>5816</Characters>
  <Application>Microsoft Office Word</Application>
  <DocSecurity>0</DocSecurity>
  <Lines>48</Lines>
  <Paragraphs>13</Paragraphs>
  <ScaleCrop>false</ScaleCrop>
  <Manager/>
  <Company/>
  <LinksUpToDate>false</LinksUpToDate>
  <CharactersWithSpaces>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19</cp:revision>
  <dcterms:created xsi:type="dcterms:W3CDTF">2026-09-08T12:53:00Z</dcterms:created>
  <dcterms:modified xsi:type="dcterms:W3CDTF">2026-09-11T06:41:00Z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2026-05-28T14:03:56Z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4776db9e-108e-4a30-aa37-f3048dc933d7</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0x0101008A9B7E7362AAAE48B89958A206263FD8</vt:lpwstr>
  </property>
  <property fmtid="{D5CDD505-2E9C-101B-9397-08002B2CF9AE}" pid="22" name="MediaServiceImageTags">
    <vt:lpwstr/>
  </property>
  <property fmtid="{D5CDD505-2E9C-101B-9397-08002B2CF9AE}" pid="23" name="DQCStatus">
    <vt:lpwstr>Green (DQC version 03)</vt:lpwstr>
  </property>
</Properties>
</file>