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93FC6C-B92C-400C-9D33-BBA69E5AC04E" style="width:455.25pt;height:424.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DRAFT </w:t>
      </w:r>
    </w:p>
    <w:p>
      <w:pPr>
        <w:rPr>
          <w:noProof/>
        </w:rPr>
      </w:pPr>
    </w:p>
    <w:p>
      <w:pPr>
        <w:rPr>
          <w:noProof/>
        </w:rPr>
      </w:pPr>
      <w:r>
        <w:rPr>
          <w:noProof/>
        </w:rPr>
        <w:t>DECISION No …/2026 OF THE JOINT COMMITTEE ESTABLISHED BY THE AGREEMENT ON THE WITHDRAWAL OF THE UNITED KINGDOM OF GREAT BRITAIN AND NORTHERN IRELAND FROM THE EUROPEAN UNION AND THE EUROPEAN ATOMIC ENERGY COMMUNITY</w:t>
      </w:r>
    </w:p>
    <w:p>
      <w:pPr>
        <w:rPr>
          <w:noProof/>
        </w:rPr>
      </w:pPr>
    </w:p>
    <w:p>
      <w:pPr>
        <w:jc w:val="center"/>
        <w:rPr>
          <w:noProof/>
        </w:rPr>
      </w:pPr>
      <w:r>
        <w:rPr>
          <w:noProof/>
        </w:rPr>
        <w:t>of …</w:t>
      </w:r>
    </w:p>
    <w:p>
      <w:pPr>
        <w:jc w:val="center"/>
        <w:rPr>
          <w:noProof/>
        </w:rPr>
      </w:pPr>
    </w:p>
    <w:p>
      <w:pPr>
        <w:jc w:val="center"/>
        <w:rPr>
          <w:noProof/>
        </w:rPr>
      </w:pPr>
      <w:r>
        <w:rPr>
          <w:noProof/>
        </w:rPr>
        <w:t>adding a newly adopted Union act to Annex 2 to the Windsor Framework</w:t>
      </w:r>
    </w:p>
    <w:p>
      <w:pPr>
        <w:rPr>
          <w:noProof/>
        </w:rPr>
      </w:pPr>
    </w:p>
    <w:p>
      <w:pPr>
        <w:rPr>
          <w:noProof/>
        </w:rPr>
      </w:pPr>
    </w:p>
    <w:p>
      <w:pPr>
        <w:rPr>
          <w:noProof/>
        </w:rPr>
      </w:pPr>
      <w:r>
        <w:rPr>
          <w:noProof/>
        </w:rPr>
        <w:t>THE JOINT COMMITTEE,</w:t>
      </w:r>
    </w:p>
    <w:p>
      <w:pPr>
        <w:rPr>
          <w:noProof/>
        </w:rPr>
      </w:pPr>
    </w:p>
    <w:p>
      <w:pPr>
        <w:rPr>
          <w:noProof/>
        </w:rPr>
      </w:pPr>
      <w:r>
        <w:rPr>
          <w:noProof/>
        </w:rPr>
        <w:t>Having regard to the Agreement on the withdrawal of the United Kingdom of Great Britain and Northern Ireland from the European Union and the European Atomic Energy Community</w:t>
      </w:r>
      <w:r>
        <w:rPr>
          <w:rStyle w:val="FootnoteReference"/>
          <w:noProof/>
        </w:rPr>
        <w:footnoteReference w:id="1"/>
      </w:r>
      <w:r>
        <w:rPr>
          <w:noProof/>
        </w:rPr>
        <w:t xml:space="preserve"> (the ‘Withdrawal Agreement’), and in particular Article 13(4) of the Windsor Framework</w:t>
      </w:r>
      <w:r>
        <w:rPr>
          <w:rStyle w:val="FootnoteReference"/>
          <w:noProof/>
        </w:rPr>
        <w:footnoteReference w:id="2"/>
      </w:r>
      <w:r>
        <w:rPr>
          <w:noProof/>
        </w:rPr>
        <w:t>,</w:t>
      </w:r>
    </w:p>
    <w:p>
      <w:pPr>
        <w:rPr>
          <w:noProof/>
        </w:rPr>
      </w:pPr>
    </w:p>
    <w:p>
      <w:pPr>
        <w:rPr>
          <w:noProof/>
        </w:rPr>
      </w:pPr>
      <w:r>
        <w:rPr>
          <w:noProof/>
        </w:rPr>
        <w:t>Whereas:</w:t>
      </w:r>
    </w:p>
    <w:p>
      <w:pPr>
        <w:rPr>
          <w:noProof/>
        </w:rPr>
      </w:pPr>
    </w:p>
    <w:p>
      <w:pPr>
        <w:pStyle w:val="Point0number"/>
        <w:numPr>
          <w:ilvl w:val="0"/>
          <w:numId w:val="5"/>
        </w:numPr>
        <w:rPr>
          <w:noProof/>
        </w:rPr>
      </w:pPr>
      <w:r>
        <w:rPr>
          <w:noProof/>
        </w:rPr>
        <w:t xml:space="preserve">Article 13(4) of the Windsor Framework empowers the Joint Committee established under Article 164(1) of the Withdrawal Agreement (the ‘Joint Committee’) to adopt decisions adding newly adopted Union acts falling within the scope of the Windsor Framework to the relevant Annexes to the Windsor Framework. </w:t>
      </w:r>
    </w:p>
    <w:p>
      <w:pPr>
        <w:rPr>
          <w:noProof/>
        </w:rPr>
      </w:pPr>
    </w:p>
    <w:p>
      <w:pPr>
        <w:pStyle w:val="Point0number"/>
        <w:numPr>
          <w:ilvl w:val="0"/>
          <w:numId w:val="5"/>
        </w:numPr>
        <w:rPr>
          <w:noProof/>
        </w:rPr>
      </w:pPr>
      <w:r>
        <w:rPr>
          <w:noProof/>
        </w:rPr>
        <w:t>Pursuant to Article 166(2) of the Withdrawal Agreement, the decisions adopted by the Joint Committee are binding on the Union and the United Kingdom. The Union and the United Kingdom are to implement such decisions, which have the same legal effect as the Withdrawal Agreement.</w:t>
      </w:r>
    </w:p>
    <w:p>
      <w:pPr>
        <w:rPr>
          <w:noProof/>
        </w:rPr>
      </w:pPr>
    </w:p>
    <w:p>
      <w:pPr>
        <w:pStyle w:val="Point0number"/>
        <w:rPr>
          <w:noProof/>
        </w:rPr>
      </w:pPr>
      <w:r>
        <w:rPr>
          <w:noProof/>
        </w:rPr>
        <w:t>Regulation (EU) 2025/2455 of the European Parliament and of the Council</w:t>
      </w:r>
      <w:r>
        <w:rPr>
          <w:rStyle w:val="FootnoteReference"/>
          <w:noProof/>
        </w:rPr>
        <w:footnoteReference w:id="3"/>
      </w:r>
      <w:r>
        <w:rPr>
          <w:noProof/>
        </w:rPr>
        <w:t xml:space="preserve"> is a newly adopted Union act falling within the scope of the Windsor Framework which should be added to Annex 2 to the Windsor Framework. However, the following provisions of Regulation (EU) 2025/2455 should not be added to Annex 2 of the </w:t>
      </w:r>
      <w:r>
        <w:rPr>
          <w:noProof/>
        </w:rPr>
        <w:lastRenderedPageBreak/>
        <w:t xml:space="preserve">Windsor Framework: Article 25; points 1-2, 5-6, 8, 20, 22-23, 27-31, 38, 43-45, 52-53, 59 and 66-67 of Annex I; points 3, 8, 10, 12, 14, 25, 29 and 32 of Annex III; data fields in Annex IV relating to those previous points listed in respect of Annexes I and III; and point 2 of Annex V of Regulation (EU) 2025/2455.  </w:t>
      </w:r>
    </w:p>
    <w:p>
      <w:pPr>
        <w:rPr>
          <w:noProof/>
        </w:rPr>
      </w:pPr>
    </w:p>
    <w:p>
      <w:pPr>
        <w:rPr>
          <w:noProof/>
        </w:rPr>
      </w:pPr>
      <w:r>
        <w:rPr>
          <w:noProof/>
        </w:rPr>
        <w:t>HAS ADOPTED THIS DECISION:</w:t>
      </w:r>
    </w:p>
    <w:p>
      <w:pPr>
        <w:rPr>
          <w:noProof/>
        </w:rPr>
      </w:pPr>
    </w:p>
    <w:p>
      <w:pPr>
        <w:pStyle w:val="Text6"/>
        <w:rPr>
          <w:i/>
          <w:iCs/>
          <w:noProof/>
        </w:rPr>
      </w:pPr>
      <w:r>
        <w:rPr>
          <w:i/>
          <w:iCs/>
          <w:noProof/>
        </w:rPr>
        <w:t>Article 1</w:t>
      </w:r>
    </w:p>
    <w:p>
      <w:pPr>
        <w:rPr>
          <w:noProof/>
        </w:rPr>
      </w:pPr>
      <w:r>
        <w:rPr>
          <w:noProof/>
        </w:rPr>
        <w:t xml:space="preserve">Regulation (EU) 2025/2455 of the European Parliament and of the Council of 26 November 2025 establishing a common data platform on chemicals, laying down rules to ensure that the data contained in it are findable, accessible, interoperable and reusable and establishing a monitoring and outlook framework for chemicals, with the exception of </w:t>
      </w:r>
      <w:r>
        <w:rPr>
          <w:noProof/>
          <w:lang w:val="en-IE"/>
        </w:rPr>
        <w:t>Article 25 and points 1-2, 5-6, 8, 20, 22-23, 27-31, 38, 43-45, 52-53, 59 and 66-67 of Annex I, points 3, 8, 10, 12, 14, 25, 29 and 32 of Annex III, data fields in Annex IV relating to those previous points listed in respect of Annexes I and III, and point 2 of Annex V</w:t>
      </w:r>
      <w:r>
        <w:rPr>
          <w:noProof/>
        </w:rPr>
        <w:t xml:space="preserve"> thereof, shall be added to Annex 2 to the Windsor Framework under </w:t>
      </w:r>
      <w:r>
        <w:rPr>
          <w:noProof/>
          <w:lang w:val="en-IE"/>
        </w:rPr>
        <w:t>point 23 ‘Chemicals and related’</w:t>
      </w:r>
      <w:r>
        <w:rPr>
          <w:noProof/>
        </w:rPr>
        <w:t>.</w:t>
      </w:r>
    </w:p>
    <w:p>
      <w:pPr>
        <w:rPr>
          <w:noProof/>
        </w:rPr>
      </w:pPr>
    </w:p>
    <w:p>
      <w:pPr>
        <w:pStyle w:val="Text6"/>
        <w:rPr>
          <w:i/>
          <w:iCs/>
          <w:noProof/>
        </w:rPr>
      </w:pPr>
      <w:r>
        <w:rPr>
          <w:i/>
          <w:iCs/>
          <w:noProof/>
        </w:rPr>
        <w:t>Article 2</w:t>
      </w:r>
    </w:p>
    <w:p>
      <w:pPr>
        <w:rPr>
          <w:noProof/>
        </w:rPr>
      </w:pPr>
      <w:r>
        <w:rPr>
          <w:noProof/>
        </w:rPr>
        <w:t>This Decision shall enter into force on the day following the date of its adoption.</w:t>
      </w:r>
    </w:p>
    <w:p>
      <w:pPr>
        <w:rPr>
          <w:noProof/>
        </w:rPr>
      </w:pPr>
    </w:p>
    <w:p>
      <w:pPr>
        <w:rPr>
          <w:noProof/>
        </w:rPr>
      </w:pPr>
      <w:r>
        <w:rPr>
          <w:noProof/>
        </w:rPr>
        <w:t>Done at …,</w:t>
      </w:r>
    </w:p>
    <w:p>
      <w:pPr>
        <w:rPr>
          <w:noProof/>
        </w:rPr>
      </w:pPr>
    </w:p>
    <w:p>
      <w:pPr>
        <w:rPr>
          <w:noProof/>
        </w:rPr>
      </w:pPr>
    </w:p>
    <w:p>
      <w:pPr>
        <w:rPr>
          <w:noProof/>
        </w:rPr>
      </w:pPr>
      <w:r>
        <w:rPr>
          <w:noProof/>
        </w:rPr>
        <w:t xml:space="preserve">For the Joint Committee </w:t>
      </w:r>
    </w:p>
    <w:p>
      <w:pPr>
        <w:rPr>
          <w:noProof/>
        </w:rPr>
      </w:pPr>
      <w:r>
        <w:rPr>
          <w:noProof/>
        </w:rPr>
        <w:t>The Co-chairs</w:t>
      </w:r>
    </w:p>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da-DK"/>
        </w:rPr>
      </w:pPr>
      <w:r>
        <w:rPr>
          <w:rStyle w:val="FootnoteReference"/>
        </w:rPr>
        <w:footnoteRef/>
      </w:r>
      <w:r>
        <w:rPr>
          <w:lang w:val="da-DK"/>
        </w:rPr>
        <w:tab/>
      </w:r>
      <w:r>
        <w:rPr>
          <w:lang w:val="nl-NL"/>
        </w:rPr>
        <w:t>OJ L 29, 31.1.2020, p.7,</w:t>
      </w:r>
      <w:r>
        <w:rPr>
          <w:rFonts w:ascii="Roboto" w:hAnsi="Roboto"/>
          <w:color w:val="333333"/>
          <w:sz w:val="21"/>
          <w:szCs w:val="21"/>
          <w:shd w:val="clear" w:color="auto" w:fill="FFFFFF"/>
          <w:lang w:val="nl-NL"/>
        </w:rPr>
        <w:t xml:space="preserve"> </w:t>
      </w:r>
      <w:r>
        <w:rPr>
          <w:lang w:val="nl-NL"/>
        </w:rPr>
        <w:t>ELI: </w:t>
      </w:r>
      <w:hyperlink r:id="rId1" w:tooltip="Gives access to this document through its ELI URI." w:history="1">
        <w:r>
          <w:rPr>
            <w:rStyle w:val="Hyperlink"/>
            <w:lang w:val="nl-NL"/>
          </w:rPr>
          <w:t>http://data.europa.eu/eli/treaty/withd_2020/sign</w:t>
        </w:r>
      </w:hyperlink>
      <w:r>
        <w:rPr>
          <w:lang w:val="da-DK"/>
        </w:rPr>
        <w:t>.</w:t>
      </w:r>
    </w:p>
  </w:footnote>
  <w:footnote w:id="2">
    <w:p>
      <w:pPr>
        <w:pStyle w:val="FootnoteText"/>
        <w:rPr>
          <w:lang w:val="da-DK"/>
        </w:rPr>
      </w:pPr>
      <w:r>
        <w:rPr>
          <w:rStyle w:val="FootnoteReference"/>
        </w:rPr>
        <w:footnoteRef/>
      </w:r>
      <w:r>
        <w:rPr>
          <w:lang w:val="da-DK"/>
        </w:rPr>
        <w:tab/>
        <w:t>Joint Declaration No 1/2023 of the Union and the United Kingdom in the Joint Committee established by the Agreement on the withdrawal of the United Kingdom of Great Britain and Northern Ireland from the European Union and the European Atomic Energy Community of 24 March 2023 (</w:t>
      </w:r>
      <w:hyperlink r:id="rId2" w:history="1">
        <w:r>
          <w:rPr>
            <w:rStyle w:val="Hyperlink"/>
            <w:lang w:val="da-DK"/>
          </w:rPr>
          <w:t>OJ L 102, 17.4.2023, p. 87</w:t>
        </w:r>
      </w:hyperlink>
      <w:r>
        <w:t>)</w:t>
      </w:r>
      <w:r>
        <w:rPr>
          <w:lang w:val="da-DK"/>
        </w:rPr>
        <w:t>.</w:t>
      </w:r>
    </w:p>
  </w:footnote>
  <w:footnote w:id="3">
    <w:p>
      <w:pPr>
        <w:pStyle w:val="FootnoteText"/>
        <w:rPr>
          <w:lang w:val="en-US"/>
        </w:rPr>
      </w:pPr>
      <w:r>
        <w:rPr>
          <w:rStyle w:val="FootnoteReference"/>
        </w:rPr>
        <w:footnoteRef/>
      </w:r>
      <w:r>
        <w:rPr>
          <w:lang w:val="en-US"/>
        </w:rPr>
        <w:tab/>
      </w:r>
      <w:r>
        <w:rPr>
          <w:lang w:val="da-DK"/>
        </w:rPr>
        <w:t>Regulation (EU) 2025/2455 of the European Parliament and of the Council of 26 November 2025 establishing a common data platform on chemicals, laying down rules to ensure that the data contained in it are findable, accessible, interoperable and reusable and establishing a monitoring and outlook framework for chemicals (OJ L, 2025/2455, 12.12.2025, ELI:</w:t>
      </w:r>
      <w:hyperlink r:id="rId3" w:history="1">
        <w:r>
          <w:rPr>
            <w:rStyle w:val="Hyperlink"/>
            <w:lang w:val="da-DK"/>
          </w:rPr>
          <w:t>http://data.europa.eu/eli/reg/2025/2455/oj</w:t>
        </w:r>
      </w:hyperlink>
      <w:r>
        <w:rPr>
          <w:lang w:val="da-DK"/>
        </w:rPr>
        <w:t>)</w:t>
      </w:r>
      <w:r>
        <w:rPr>
          <w:lang w:val="en-US"/>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136D55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74405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61EA9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326912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D8CC5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4709C3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77A9AD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8CC9B7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8:42: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6893FC6C-B92C-400C-9D33-BBA69E5AC04E"/>
    <w:docVar w:name="LW_COVERPAGE_TYPE" w:val="1"/>
    <w:docVar w:name="LW_CROSSREFERENCE" w:val="&lt;UNUSED&gt;"/>
    <w:docVar w:name="LW_DocType" w:val="ANNEX"/>
    <w:docVar w:name="LW_EMISSION" w:val="18.9.2026"/>
    <w:docVar w:name="LW_EMISSION_ISODATE" w:val="2026-09-18"/>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lt;FMT:Bold&gt;establishing the position to be taken on behalf of the European Union in the Joint Committee established by the Agreement on the withdrawal of the United Kingdom of Great Britain and Northern Ireland from the European Union and the European Atomic Energy Community as regards the adoption of a decision adding a newly adopted Union act to Annex 2 to the Windsor Framework&lt;/FMT&gt;_x000d__x000d__x000d__x000d__x000d__x000d__x000d__x000d__x000d__x000d__x000b_"/>
    <w:docVar w:name="LW_OBJETACTEPRINCIPAL.CP" w:val="&lt;FMT:Bold&gt;establishing the position to be taken on behalf of the European Union in the Joint Committee established by the Agreement on the withdrawal of the United Kingdom of Great Britain and Northern Ireland from the European Union and the European Atomic Energy Community as regards the adoption of a decision adding a newly adopted Union act to Annex 2 to the Windsor Framework&lt;/FMT&gt;_x000d__x000d__x000d__x000d__x000d__x000d__x000d__x000d__x000d__x000d__x000b_"/>
    <w:docVar w:name="LW_PART_NBR" w:val="1"/>
    <w:docVar w:name="LW_PART_NBR_TOTAL" w:val="1"/>
    <w:docVar w:name="LW_REF.INST.NEW" w:val="COM"/>
    <w:docVar w:name="LW_REF.INST.NEW_ADOPTED" w:val="final"/>
    <w:docVar w:name="LW_REF.INST.NEW_TEXT" w:val="(2026) 4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_x000b_"/>
    <w:docVar w:name="LW_TYPEACTEPRINCIPAL.CP" w:val="Proposal for a COUNCIL DECISION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820D5A1-23B8-4F48-879B-E97FAD43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Emphasis">
    <w:name w:val="Emphasis"/>
    <w:uiPriority w:val="20"/>
    <w:qFormat/>
    <w:rPr>
      <w:i/>
      <w:iCs/>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389873">
      <w:bodyDiv w:val="1"/>
      <w:marLeft w:val="0"/>
      <w:marRight w:val="0"/>
      <w:marTop w:val="0"/>
      <w:marBottom w:val="0"/>
      <w:divBdr>
        <w:top w:val="none" w:sz="0" w:space="0" w:color="auto"/>
        <w:left w:val="none" w:sz="0" w:space="0" w:color="auto"/>
        <w:bottom w:val="none" w:sz="0" w:space="0" w:color="auto"/>
        <w:right w:val="none" w:sz="0" w:space="0" w:color="auto"/>
      </w:divBdr>
    </w:div>
    <w:div w:id="834614723">
      <w:bodyDiv w:val="1"/>
      <w:marLeft w:val="0"/>
      <w:marRight w:val="0"/>
      <w:marTop w:val="0"/>
      <w:marBottom w:val="0"/>
      <w:divBdr>
        <w:top w:val="none" w:sz="0" w:space="0" w:color="auto"/>
        <w:left w:val="none" w:sz="0" w:space="0" w:color="auto"/>
        <w:bottom w:val="none" w:sz="0" w:space="0" w:color="auto"/>
        <w:right w:val="none" w:sz="0" w:space="0" w:color="auto"/>
      </w:divBdr>
    </w:div>
    <w:div w:id="1810170953">
      <w:bodyDiv w:val="1"/>
      <w:marLeft w:val="0"/>
      <w:marRight w:val="0"/>
      <w:marTop w:val="0"/>
      <w:marBottom w:val="0"/>
      <w:divBdr>
        <w:top w:val="none" w:sz="0" w:space="0" w:color="auto"/>
        <w:left w:val="none" w:sz="0" w:space="0" w:color="auto"/>
        <w:bottom w:val="none" w:sz="0" w:space="0" w:color="auto"/>
        <w:right w:val="none" w:sz="0" w:space="0" w:color="auto"/>
      </w:divBdr>
      <w:divsChild>
        <w:div w:id="133723552">
          <w:marLeft w:val="0"/>
          <w:marRight w:val="0"/>
          <w:marTop w:val="0"/>
          <w:marBottom w:val="0"/>
          <w:divBdr>
            <w:top w:val="none" w:sz="0" w:space="0" w:color="auto"/>
            <w:left w:val="none" w:sz="0" w:space="0" w:color="auto"/>
            <w:bottom w:val="none" w:sz="0" w:space="0" w:color="auto"/>
            <w:right w:val="none" w:sz="0" w:space="0" w:color="auto"/>
          </w:divBdr>
        </w:div>
        <w:div w:id="348946313">
          <w:marLeft w:val="0"/>
          <w:marRight w:val="0"/>
          <w:marTop w:val="0"/>
          <w:marBottom w:val="0"/>
          <w:divBdr>
            <w:top w:val="none" w:sz="0" w:space="0" w:color="auto"/>
            <w:left w:val="none" w:sz="0" w:space="0" w:color="auto"/>
            <w:bottom w:val="none" w:sz="0" w:space="0" w:color="auto"/>
            <w:right w:val="none" w:sz="0" w:space="0" w:color="auto"/>
          </w:divBdr>
        </w:div>
      </w:divsChild>
    </w:div>
    <w:div w:id="196399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455/oj" TargetMode="External"/><Relationship Id="rId2" Type="http://schemas.openxmlformats.org/officeDocument/2006/relationships/hyperlink" Target="https://eur-lex.europa.eu/legal-content/EN/TXT/?uri=celex%3A22023X0417%2801%29" TargetMode="External"/><Relationship Id="rId1"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16012-62AB-4B24-B335-6BBC8D532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41</TotalTime>
  <Pages>2</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24</cp:revision>
  <dcterms:created xsi:type="dcterms:W3CDTF">2026-04-02T16:03:00Z</dcterms:created>
  <dcterms:modified xsi:type="dcterms:W3CDTF">2026-09-11T06:42:00Z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2023-02-09T10:20:23Z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5f093d14-ac39-4d12-aec0-3a79a50eedd5</vt:lpwstr>
  </property>
  <property fmtid="{D5CDD505-2E9C-101B-9397-08002B2CF9AE}" pid="11" name="MSIP_Label_6bd9ddd1-4d20-43f6-abfa-fc3c07406f94_ContentBits">
    <vt:lpwstr>0</vt:lpwstr>
  </property>
  <property fmtid="{D5CDD505-2E9C-101B-9397-08002B2CF9AE}" pid="12" name="Created using">
    <vt:lpwstr>LW 8.1, Build 20230124</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evel of sensitivity">
    <vt:lpwstr>Standard treatment</vt:lpwstr>
  </property>
  <property fmtid="{D5CDD505-2E9C-101B-9397-08002B2CF9AE}" pid="19" name="LWTemplateID">
    <vt:lpwstr>SG-017</vt:lpwstr>
  </property>
  <property fmtid="{D5CDD505-2E9C-101B-9397-08002B2CF9AE}" pid="20" name="DQCStatus">
    <vt:lpwstr>Green (DQC version 03)</vt:lpwstr>
  </property>
</Properties>
</file>