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AB52F27-C400-40E9-9CD5-971E24B8E895" style="width:455.25pt;height:409.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PROJET DE </w:t>
      </w:r>
    </w:p>
    <w:p>
      <w:pPr>
        <w:rPr>
          <w:noProof/>
        </w:rPr>
      </w:pPr>
    </w:p>
    <w:p>
      <w:pPr>
        <w:rPr>
          <w:noProof/>
        </w:rPr>
      </w:pPr>
      <w:r>
        <w:rPr>
          <w:noProof/>
        </w:rPr>
        <w:t>DÉCISION Nº …/2026 DU COMITÉ MIXTE INSTITUÉ PAR L’ACCORD SUR LE RETRAIT DU ROYAUME-UNI DE GRANDE-BRETAGNE ET D’IRLANDE DU NORD DE L’UNION EUROPÉENNE ET DE LA COMMUNAUTÉ EUROPÉENNE DE L’ÉNERGIE ATOMIQUE</w:t>
      </w:r>
    </w:p>
    <w:p>
      <w:pPr>
        <w:rPr>
          <w:noProof/>
        </w:rPr>
      </w:pPr>
    </w:p>
    <w:p>
      <w:pPr>
        <w:jc w:val="center"/>
        <w:rPr>
          <w:noProof/>
        </w:rPr>
      </w:pPr>
      <w:r>
        <w:rPr>
          <w:noProof/>
        </w:rPr>
        <w:t>du...</w:t>
      </w:r>
    </w:p>
    <w:p>
      <w:pPr>
        <w:jc w:val="center"/>
        <w:rPr>
          <w:noProof/>
        </w:rPr>
      </w:pPr>
    </w:p>
    <w:p>
      <w:pPr>
        <w:jc w:val="center"/>
        <w:rPr>
          <w:noProof/>
        </w:rPr>
      </w:pPr>
      <w:r>
        <w:rPr>
          <w:noProof/>
        </w:rPr>
        <w:t>ajoutant un acte de l’Union nouvellement adopté à l’annexe 2 du cadre de Windsor</w:t>
      </w:r>
    </w:p>
    <w:p>
      <w:pPr>
        <w:rPr>
          <w:noProof/>
        </w:rPr>
      </w:pPr>
    </w:p>
    <w:p>
      <w:pPr>
        <w:rPr>
          <w:noProof/>
        </w:rPr>
      </w:pPr>
    </w:p>
    <w:p>
      <w:pPr>
        <w:rPr>
          <w:noProof/>
        </w:rPr>
      </w:pPr>
      <w:r>
        <w:rPr>
          <w:noProof/>
        </w:rPr>
        <w:t>LE COMITÉ MIXTE,</w:t>
      </w:r>
    </w:p>
    <w:p>
      <w:pPr>
        <w:rPr>
          <w:noProof/>
        </w:rPr>
      </w:pPr>
    </w:p>
    <w:p>
      <w:pPr>
        <w:rPr>
          <w:noProof/>
        </w:rPr>
      </w:pPr>
      <w:r>
        <w:rPr>
          <w:noProof/>
        </w:rPr>
        <w:t>vu l’accord sur le retrait du Royaume-Uni de Grande-Bretagne et d’Irlande du Nord de l’Union européenne et de la Communauté européenne de l’énergie atomique</w:t>
      </w:r>
      <w:r>
        <w:rPr>
          <w:rStyle w:val="FootnoteReference"/>
          <w:noProof/>
        </w:rPr>
        <w:footnoteReference w:id="1"/>
      </w:r>
      <w:r>
        <w:rPr>
          <w:noProof/>
        </w:rPr>
        <w:t xml:space="preserve"> (ci-après l’«accord de retrait»), et notamment l’article 13, paragraphe 4, du cadre de Windsor</w:t>
      </w:r>
      <w:r>
        <w:rPr>
          <w:rStyle w:val="FootnoteReference"/>
          <w:noProof/>
        </w:rPr>
        <w:footnoteReference w:id="2"/>
      </w:r>
      <w:r>
        <w:rPr>
          <w:noProof/>
        </w:rPr>
        <w:t>,</w:t>
      </w:r>
    </w:p>
    <w:p>
      <w:pPr>
        <w:rPr>
          <w:noProof/>
        </w:rPr>
      </w:pPr>
    </w:p>
    <w:p>
      <w:pPr>
        <w:rPr>
          <w:noProof/>
        </w:rPr>
      </w:pPr>
      <w:r>
        <w:rPr>
          <w:noProof/>
        </w:rPr>
        <w:t>considérant ce qui suit:</w:t>
      </w:r>
    </w:p>
    <w:p>
      <w:pPr>
        <w:rPr>
          <w:noProof/>
        </w:rPr>
      </w:pPr>
    </w:p>
    <w:p>
      <w:pPr>
        <w:pStyle w:val="Point0number"/>
        <w:numPr>
          <w:ilvl w:val="0"/>
          <w:numId w:val="5"/>
        </w:numPr>
        <w:rPr>
          <w:noProof/>
        </w:rPr>
      </w:pPr>
      <w:r>
        <w:rPr>
          <w:noProof/>
        </w:rPr>
        <w:t xml:space="preserve">L’article 13, paragraphe 4, du cadre de Windsor habilite le comité mixte institué en vertu de l’article 164, paragraphe 1, de l’accord de retrait (ci-après le «comité mixte») à adopter des décisions ajoutant les actes de l’Union nouvellement adoptés qui relèvent du champ d’application du cadre de Windsor aux annexes pertinentes de celui-ci. </w:t>
      </w:r>
    </w:p>
    <w:p>
      <w:pPr>
        <w:rPr>
          <w:noProof/>
        </w:rPr>
      </w:pPr>
    </w:p>
    <w:p>
      <w:pPr>
        <w:pStyle w:val="Point0number"/>
        <w:numPr>
          <w:ilvl w:val="0"/>
          <w:numId w:val="5"/>
        </w:numPr>
        <w:rPr>
          <w:noProof/>
        </w:rPr>
      </w:pPr>
      <w:r>
        <w:rPr>
          <w:noProof/>
        </w:rPr>
        <w:t>En vertu de l’article 166, paragraphe 2, de l’accord de retrait, les décisions adoptées par le comité mixte lient l’Union et le Royaume-Uni. L’Union et le Royaume-Uni doivent mettre en œuvre ces décisions, qui ont le même effet juridique que l’accord de retrait.</w:t>
      </w:r>
    </w:p>
    <w:p>
      <w:pPr>
        <w:rPr>
          <w:noProof/>
        </w:rPr>
      </w:pPr>
    </w:p>
    <w:p>
      <w:pPr>
        <w:pStyle w:val="Point0number"/>
        <w:rPr>
          <w:noProof/>
        </w:rPr>
      </w:pPr>
      <w:r>
        <w:rPr>
          <w:noProof/>
        </w:rPr>
        <w:t>Le règlement (UE) 2025/2455 du Parlement européen et du Conseil</w:t>
      </w:r>
      <w:r>
        <w:rPr>
          <w:rStyle w:val="FootnoteReference"/>
          <w:noProof/>
        </w:rPr>
        <w:footnoteReference w:id="3"/>
      </w:r>
      <w:r>
        <w:rPr>
          <w:noProof/>
        </w:rPr>
        <w:t xml:space="preserve"> est un acte de l’Union nouvellement adopté relevant du champ d’application du cadre de Windsor qu’il conviendrait d’ajouter à l’annexe 2 dudit cadre. Il convient toutefois de ne pas ajouter les dispositions suivantes du règlement (UE) 2025/2455 à l’annexe 2 du cadre </w:t>
      </w:r>
      <w:r>
        <w:rPr>
          <w:noProof/>
        </w:rPr>
        <w:lastRenderedPageBreak/>
        <w:t xml:space="preserve">de Windsor: l’article 25; les points 1 et 2, 5 et 6, 8, 20, 22 et 23, 27 à 31, 38, 43 à 45, 52 et 53, 59 et 66 et 67 de l’annexe I; les points 3, 8, 10, 12, 14, 25, 29 et 32 de l’annexe III; les champs de données de l’annexe IV relatifs aux points énumérés ci-avant pour les annexes I et III; et le point 2 de l’annexe V.  </w:t>
      </w:r>
    </w:p>
    <w:p>
      <w:pPr>
        <w:rPr>
          <w:noProof/>
        </w:rPr>
      </w:pPr>
    </w:p>
    <w:p>
      <w:pPr>
        <w:rPr>
          <w:noProof/>
        </w:rPr>
      </w:pPr>
      <w:r>
        <w:rPr>
          <w:noProof/>
        </w:rPr>
        <w:t>A ADOPTÉ LA PRÉSENTE DÉCISION:</w:t>
      </w:r>
    </w:p>
    <w:p>
      <w:pPr>
        <w:rPr>
          <w:noProof/>
        </w:rPr>
      </w:pPr>
    </w:p>
    <w:p>
      <w:pPr>
        <w:pStyle w:val="Text6"/>
        <w:rPr>
          <w:i/>
          <w:iCs/>
          <w:noProof/>
        </w:rPr>
      </w:pPr>
      <w:r>
        <w:rPr>
          <w:i/>
          <w:noProof/>
        </w:rPr>
        <w:t>Article premier</w:t>
      </w:r>
    </w:p>
    <w:p>
      <w:pPr>
        <w:rPr>
          <w:noProof/>
        </w:rPr>
      </w:pPr>
      <w:r>
        <w:rPr>
          <w:noProof/>
        </w:rPr>
        <w:t>Le règlement (UE) 2025/2455 du Parlement européen et du Conseil du 26 novembre 2025 établissant une plateforme de données commune sur les produits chimiques, fixant des règles visant à garantir que les données qu’elle contient sont faciles à trouver, accessibles, interopérables et réutilisables et définissant un cadre de surveillance et de prospective pour les produits chimiques, à l’exception de son article 25, des points 1 et 2, 5 et 6, 8, 20, 22 et 23, 27 à 31, 38, 43 à 45, 52 et 53, 59 et 66 et 67 de son annexe I, des points 3, 8, 10, 12, 14, 25, 29 et 32 de son annexe III, des champs de données de son annexe IV relatifs aux points énumérés ci-avant pour ses annexes I et III, et du point 2 de son annexe V, est ajouté à l’annexe 2, point 23 «Produits chimiques et produits connexes», du cadre de Windsor.</w:t>
      </w:r>
    </w:p>
    <w:p>
      <w:pPr>
        <w:rPr>
          <w:noProof/>
        </w:rPr>
      </w:pPr>
    </w:p>
    <w:p>
      <w:pPr>
        <w:pStyle w:val="Text6"/>
        <w:rPr>
          <w:i/>
          <w:iCs/>
          <w:noProof/>
        </w:rPr>
      </w:pPr>
      <w:r>
        <w:rPr>
          <w:i/>
          <w:noProof/>
        </w:rPr>
        <w:t>Article 2</w:t>
      </w:r>
    </w:p>
    <w:p>
      <w:pPr>
        <w:rPr>
          <w:noProof/>
        </w:rPr>
      </w:pPr>
      <w:r>
        <w:rPr>
          <w:noProof/>
        </w:rPr>
        <w:t>La présente décision entre en vigueur le jour suivant celui de son adoption.</w:t>
      </w:r>
    </w:p>
    <w:p>
      <w:pPr>
        <w:rPr>
          <w:noProof/>
        </w:rPr>
      </w:pPr>
    </w:p>
    <w:p>
      <w:pPr>
        <w:rPr>
          <w:noProof/>
        </w:rPr>
      </w:pPr>
      <w:r>
        <w:rPr>
          <w:noProof/>
        </w:rPr>
        <w:t>Fait à …, le</w:t>
      </w:r>
    </w:p>
    <w:p>
      <w:pPr>
        <w:rPr>
          <w:noProof/>
        </w:rPr>
      </w:pPr>
    </w:p>
    <w:p>
      <w:pPr>
        <w:rPr>
          <w:noProof/>
        </w:rPr>
      </w:pPr>
    </w:p>
    <w:p>
      <w:pPr>
        <w:rPr>
          <w:noProof/>
        </w:rPr>
      </w:pPr>
      <w:r>
        <w:rPr>
          <w:noProof/>
        </w:rPr>
        <w:t xml:space="preserve">Par le comité mixte </w:t>
      </w:r>
    </w:p>
    <w:p>
      <w:pPr>
        <w:rPr>
          <w:noProof/>
        </w:rPr>
      </w:pPr>
      <w:r>
        <w:rPr>
          <w:noProof/>
        </w:rPr>
        <w:t>Les coprésidents</w:t>
      </w:r>
    </w:p>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JO L 29 du 31.1.2020, p. 7, ELI: </w:t>
      </w:r>
      <w:hyperlink r:id="rId1" w:tooltip="Permet d’accéder à ce document par l’intermédiaire de son URI ELI." w:history="1">
        <w:r>
          <w:rPr>
            <w:rStyle w:val="Hyperlink"/>
            <w:lang w:val="fr-BE"/>
          </w:rPr>
          <w:t>http://data.europa.eu/eli/treaty/withd_2020/sign</w:t>
        </w:r>
      </w:hyperlink>
      <w:r>
        <w:rPr>
          <w:lang w:val="fr-BE"/>
        </w:rPr>
        <w:t>.</w:t>
      </w:r>
    </w:p>
  </w:footnote>
  <w:footnote w:id="2">
    <w:p>
      <w:pPr>
        <w:pStyle w:val="FootnoteText"/>
        <w:rPr>
          <w:lang w:val="fr-BE"/>
        </w:rPr>
      </w:pPr>
      <w:r>
        <w:rPr>
          <w:rStyle w:val="FootnoteReference"/>
        </w:rPr>
        <w:footnoteRef/>
      </w:r>
      <w:r>
        <w:rPr>
          <w:lang w:val="fr-BE"/>
        </w:rPr>
        <w:tab/>
        <w:t>Déclaration commune nº 1/2023 de l’Union et du Royaume-Uni au sein du comité mixte institué par l’accord sur le retrait du Royaume-Uni de Grande-Bretagne et d’Irlande du Nord de l’Union européenne et de la Communauté européenne de l’énergie atomique du 24 mars 2023 (</w:t>
      </w:r>
      <w:hyperlink r:id="rId2" w:history="1">
        <w:r>
          <w:rPr>
            <w:rStyle w:val="Hyperlink"/>
            <w:lang w:val="fr-BE"/>
          </w:rPr>
          <w:t>JO L 102 du 17.4.2023, p. 87</w:t>
        </w:r>
      </w:hyperlink>
      <w:r>
        <w:rPr>
          <w:lang w:val="fr-BE"/>
        </w:rPr>
        <w:t>).</w:t>
      </w:r>
    </w:p>
  </w:footnote>
  <w:footnote w:id="3">
    <w:p>
      <w:pPr>
        <w:pStyle w:val="FootnoteText"/>
        <w:rPr>
          <w:lang w:val="fr-BE"/>
        </w:rPr>
      </w:pPr>
      <w:r>
        <w:rPr>
          <w:rStyle w:val="FootnoteReference"/>
        </w:rPr>
        <w:footnoteRef/>
      </w:r>
      <w:r>
        <w:rPr>
          <w:lang w:val="fr-BE"/>
        </w:rPr>
        <w:tab/>
        <w:t xml:space="preserve">Règlement (UE) 2025/2455 du Parlement européen et du Conseil du 26 novembre 2025 établissant une plateforme de données commune sur les produits chimiques, fixant des règles visant à garantir que les données qu’elle contient sont faciles à trouver, accessibles, interopérables et réutilisables et définissant un cadre de surveillance et de prospective pour les produits chimiques (JO L, 2025/2455, 12.12.2025, ELI: </w:t>
      </w:r>
      <w:hyperlink r:id="rId3" w:history="1">
        <w:r>
          <w:rPr>
            <w:rStyle w:val="Hyperlink"/>
            <w:lang w:val="fr-BE"/>
          </w:rPr>
          <w:t>http://data.europa.eu/eli/reg/2025/2455/oj</w:t>
        </w:r>
      </w:hyperlink>
      <w:r>
        <w:rPr>
          <w:lang w:val="fr-BE"/>
        </w:rPr>
        <w:t>).</w:t>
      </w:r>
      <w:r>
        <w:rPr>
          <w:lang w:val="fr-BE"/>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136D55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74405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61EA91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326912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D8CC5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4709C3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77A9A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8CC9B7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8:43: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AAB52F27-C400-40E9-9CD5-971E24B8E895"/>
    <w:docVar w:name="LW_COVERPAGE_TYPE" w:val="1"/>
    <w:docVar w:name="LW_CROSSREFERENCE" w:val="&lt;UNUSED&gt;"/>
    <w:docVar w:name="LW_DocType" w:val="ANNEX"/>
    <w:docVar w:name="LW_EMISSION" w:val="18.9.2026"/>
    <w:docVar w:name="LW_EMISSION_ISODATE" w:val="2026-09-18"/>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établissant la position à prendre, au nom de l\u8217?Union européenne, au sein du comité mixte institué par l\u8217?accord sur le retrait du Royaume-Uni de Grande-Bretagne et d\u8217?Irlande du Nord de l\u8217?Union européenne et de la Communauté européenne de l\u8217?énergie atomique en ce qui concerne l\u8217?adoption d\u8217?une décision ajoutant un acte de l\u8217?Union nouvellement adopté à l\u8217?annexe 2 du cadre de Windsor&lt;/FMT&gt;"/>
    <w:docVar w:name="LW_OBJETACTEPRINCIPAL.CP" w:val="&lt;FMT:Bold&gt;établissant la position à prendre, au nom de l\u8217?Union européenne, au sein du comité mixte institué par l\u8217?accord sur le retrait du Royaume-Uni de Grande-Bretagne et d\u8217?Irlande du Nord de l\u8217?Union européenne et de la Communauté européenne de l\u8217?énergie atomique en ce qui concerne l\u8217?adoption d\u8217?une décision ajoutant un acte de l\u8217?Union nouvellement adopté à l\u8217?annexe 2 du cadre de Windsor&lt;/FMT&gt;"/>
    <w:docVar w:name="LW_PART_NBR" w:val="1"/>
    <w:docVar w:name="LW_PART_NBR_TOTAL" w:val="1"/>
    <w:docVar w:name="LW_REF.INST.NEW" w:val="COM"/>
    <w:docVar w:name="LW_REF.INST.NEW_ADOPTED" w:val="final"/>
    <w:docVar w:name="LW_REF.INST.NEW_TEXT" w:val="(2026) 4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u DÉCISION DU CONSEIL_x000b_"/>
    <w:docVar w:name="LW_TYPEACTEPRINCIPAL.CP" w:val="Proposition du DÉCISION DU CONSEIL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820D5A1-23B8-4F48-879B-E97FAD43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Emphasis">
    <w:name w:val="Emphasis"/>
    <w:uiPriority w:val="20"/>
    <w:qFormat/>
    <w:rPr>
      <w:i/>
      <w:iCs/>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389873">
      <w:bodyDiv w:val="1"/>
      <w:marLeft w:val="0"/>
      <w:marRight w:val="0"/>
      <w:marTop w:val="0"/>
      <w:marBottom w:val="0"/>
      <w:divBdr>
        <w:top w:val="none" w:sz="0" w:space="0" w:color="auto"/>
        <w:left w:val="none" w:sz="0" w:space="0" w:color="auto"/>
        <w:bottom w:val="none" w:sz="0" w:space="0" w:color="auto"/>
        <w:right w:val="none" w:sz="0" w:space="0" w:color="auto"/>
      </w:divBdr>
    </w:div>
    <w:div w:id="834614723">
      <w:bodyDiv w:val="1"/>
      <w:marLeft w:val="0"/>
      <w:marRight w:val="0"/>
      <w:marTop w:val="0"/>
      <w:marBottom w:val="0"/>
      <w:divBdr>
        <w:top w:val="none" w:sz="0" w:space="0" w:color="auto"/>
        <w:left w:val="none" w:sz="0" w:space="0" w:color="auto"/>
        <w:bottom w:val="none" w:sz="0" w:space="0" w:color="auto"/>
        <w:right w:val="none" w:sz="0" w:space="0" w:color="auto"/>
      </w:divBdr>
    </w:div>
    <w:div w:id="1810170953">
      <w:bodyDiv w:val="1"/>
      <w:marLeft w:val="0"/>
      <w:marRight w:val="0"/>
      <w:marTop w:val="0"/>
      <w:marBottom w:val="0"/>
      <w:divBdr>
        <w:top w:val="none" w:sz="0" w:space="0" w:color="auto"/>
        <w:left w:val="none" w:sz="0" w:space="0" w:color="auto"/>
        <w:bottom w:val="none" w:sz="0" w:space="0" w:color="auto"/>
        <w:right w:val="none" w:sz="0" w:space="0" w:color="auto"/>
      </w:divBdr>
      <w:divsChild>
        <w:div w:id="133723552">
          <w:marLeft w:val="0"/>
          <w:marRight w:val="0"/>
          <w:marTop w:val="0"/>
          <w:marBottom w:val="0"/>
          <w:divBdr>
            <w:top w:val="none" w:sz="0" w:space="0" w:color="auto"/>
            <w:left w:val="none" w:sz="0" w:space="0" w:color="auto"/>
            <w:bottom w:val="none" w:sz="0" w:space="0" w:color="auto"/>
            <w:right w:val="none" w:sz="0" w:space="0" w:color="auto"/>
          </w:divBdr>
        </w:div>
        <w:div w:id="348946313">
          <w:marLeft w:val="0"/>
          <w:marRight w:val="0"/>
          <w:marTop w:val="0"/>
          <w:marBottom w:val="0"/>
          <w:divBdr>
            <w:top w:val="none" w:sz="0" w:space="0" w:color="auto"/>
            <w:left w:val="none" w:sz="0" w:space="0" w:color="auto"/>
            <w:bottom w:val="none" w:sz="0" w:space="0" w:color="auto"/>
            <w:right w:val="none" w:sz="0" w:space="0" w:color="auto"/>
          </w:divBdr>
        </w:div>
      </w:divsChild>
    </w:div>
    <w:div w:id="196399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455/oj" TargetMode="External"/><Relationship Id="rId2" Type="http://schemas.openxmlformats.org/officeDocument/2006/relationships/hyperlink" Target="https://eur-lex.europa.eu/legal-content/FR/TXT/?uri=celex%3A22023X0417%2801%29" TargetMode="External"/><Relationship Id="rId1" Type="http://schemas.openxmlformats.org/officeDocument/2006/relationships/hyperlink" Target="http://data.europa.eu/eli/treaty/withd_2020/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16012-62AB-4B24-B335-6BBC8D53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47</TotalTime>
  <Pages>3</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28</cp:revision>
  <dcterms:created xsi:type="dcterms:W3CDTF">2026-04-02T16:03:00Z</dcterms:created>
  <dcterms:modified xsi:type="dcterms:W3CDTF">2026-09-11T06:43:00Z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2023-02-09T10:20:23Z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5f093d14-ac39-4d12-aec0-3a79a50eedd5</vt:lpwstr>
  </property>
  <property fmtid="{D5CDD505-2E9C-101B-9397-08002B2CF9AE}" pid="11" name="MSIP_Label_6bd9ddd1-4d20-43f6-abfa-fc3c07406f94_ContentBits">
    <vt:lpwstr>0</vt:lpwstr>
  </property>
  <property fmtid="{D5CDD505-2E9C-101B-9397-08002B2CF9AE}" pid="12" name="Created using">
    <vt:lpwstr>LW 8.1, Build 20230124</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