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B290218-98A3-4D94-AF8E-19DEF2E6B1F5" style="width:455.25pt;height:385.5pt">
            <v:imagedata r:id="rId8" o:title=""/>
          </v:shape>
        </w:pict>
      </w:r>
    </w:p>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EXPUNERE DE MOTIVE</w:t>
      </w:r>
    </w:p>
    <w:p>
      <w:pPr>
        <w:pStyle w:val="ManualHeading1"/>
        <w:rPr>
          <w:rFonts w:eastAsia="Arial Unicode MS"/>
          <w:noProof/>
        </w:rPr>
      </w:pPr>
      <w:r>
        <w:rPr>
          <w:noProof/>
        </w:rPr>
        <w:t>1.</w:t>
      </w:r>
      <w:r>
        <w:rPr>
          <w:noProof/>
        </w:rPr>
        <w:tab/>
        <w:t>Obiectul propunerii</w:t>
      </w:r>
    </w:p>
    <w:p>
      <w:pPr>
        <w:rPr>
          <w:rFonts w:eastAsia="Arial Unicode MS"/>
          <w:noProof/>
        </w:rPr>
      </w:pPr>
      <w:r>
        <w:rPr>
          <w:noProof/>
        </w:rPr>
        <w:t>Prezenta propunere se referă la decizia de stabilire a poziției care urmează să fie luată în numele Uniunii în cadrul Comitetului mixt înființat prin Acordul privind retragerea Regatului Unit al Marii Britanii și Irlandei de Nord din Uniunea Europeană și din Comunitatea Europeană a Energiei Atomice</w:t>
      </w:r>
      <w:r>
        <w:rPr>
          <w:rStyle w:val="FootnoteReference"/>
          <w:rFonts w:eastAsia="Arial Unicode MS"/>
          <w:noProof/>
        </w:rPr>
        <w:footnoteReference w:id="1"/>
      </w:r>
      <w:r>
        <w:rPr>
          <w:noProof/>
        </w:rPr>
        <w:t xml:space="preserve"> („Acordul de retragere”) în legătură cu adoptarea preconizată a unei decizii a Comitetului mixt de modificare a anexei 2 la Cadrul Windsor</w:t>
      </w:r>
      <w:r>
        <w:rPr>
          <w:rStyle w:val="FootnoteReference"/>
          <w:rFonts w:eastAsia="Arial Unicode MS"/>
          <w:noProof/>
        </w:rPr>
        <w:footnoteReference w:id="2"/>
      </w:r>
      <w:r>
        <w:rPr>
          <w:noProof/>
        </w:rPr>
        <w:t>, care face parte integrantă din Acordul de retragere.</w:t>
      </w:r>
    </w:p>
    <w:p>
      <w:pPr>
        <w:pStyle w:val="ManualHeading1"/>
        <w:rPr>
          <w:noProof/>
        </w:rPr>
      </w:pPr>
      <w:r>
        <w:rPr>
          <w:noProof/>
        </w:rPr>
        <w:t>2.</w:t>
      </w:r>
      <w:r>
        <w:rPr>
          <w:noProof/>
        </w:rPr>
        <w:tab/>
        <w:t>Contextul propunerii</w:t>
      </w:r>
    </w:p>
    <w:p>
      <w:pPr>
        <w:pStyle w:val="ManualHeading2"/>
        <w:rPr>
          <w:noProof/>
        </w:rPr>
      </w:pPr>
      <w:r>
        <w:rPr>
          <w:noProof/>
        </w:rPr>
        <w:t>2.1.</w:t>
      </w:r>
      <w:r>
        <w:rPr>
          <w:noProof/>
        </w:rPr>
        <w:tab/>
        <w:t>Acordul privind retragerea Regatului Unit al Marii Britanii și Irlandei de Nord din Uniunea Europeană și din Comunitatea Europeană a Energiei Atomice și Cadrul Windsor</w:t>
      </w:r>
    </w:p>
    <w:p>
      <w:pPr>
        <w:rPr>
          <w:noProof/>
        </w:rPr>
      </w:pPr>
      <w:r>
        <w:rPr>
          <w:noProof/>
        </w:rPr>
        <w:t xml:space="preserve">Acordul de retragere prevede condițiile pentru retragerea ordonată a Regatului Unit din Uniune și din Euratom. Acordul de retragere a intrat în vigoare la 1 februarie 2020. La 27 februarie 2023, Comisia Europeană și Guvernul Regatului Unit au ajuns la un acord politic de principiu cu privire la Cadrul Windsor. </w:t>
      </w:r>
      <w:bookmarkStart w:id="0" w:name="_Hlk134460027"/>
      <w:r>
        <w:rPr>
          <w:noProof/>
        </w:rPr>
        <w:t>La 24 martie 2023, Comitetul mixt instituit prin Acordul de retragere a adoptat noile dispoziții referitoare la Cadrul Windsor. Cele două părți au convenit să pună în aplicare pe deplin, în timp util și cu fidelitate Cadrul Windsor</w:t>
      </w:r>
      <w:bookmarkEnd w:id="0"/>
      <w:r>
        <w:rPr>
          <w:noProof/>
        </w:rPr>
        <w:t xml:space="preserve">. </w:t>
      </w:r>
    </w:p>
    <w:p>
      <w:pPr>
        <w:pStyle w:val="ManualHeading2"/>
        <w:rPr>
          <w:noProof/>
        </w:rPr>
      </w:pPr>
      <w:r>
        <w:rPr>
          <w:noProof/>
        </w:rPr>
        <w:t>2.2.</w:t>
      </w:r>
      <w:r>
        <w:rPr>
          <w:noProof/>
        </w:rPr>
        <w:tab/>
        <w:t>Comitetul mixt</w:t>
      </w:r>
    </w:p>
    <w:p>
      <w:pPr>
        <w:rPr>
          <w:rFonts w:eastAsia="Arial Unicode MS"/>
          <w:noProof/>
        </w:rPr>
      </w:pPr>
      <w:r>
        <w:rPr>
          <w:noProof/>
        </w:rPr>
        <w:t>Comitetul mixt instituit în temeiul articolului 164 alineatul (1) din Acordul de retragere este alcătuit din reprezentanți ai Uniunii și ai Regatului Unit. Acesta este coprezidat de Uniune și de Regatul Unit. Anexa VIII la Acordul de retragere stabilește regulamentul de procedură al Comitetului mixt. Comitetul mixt se reunește cel puțin o dată pe an sau la cererea Uniunii ori a Regatului Unit și își stabilește calendarul și ordinea de zi a reuniunilor prin consens. În conformitate cu articolul 166 alineatul (3) din Acordul de retragere, Comitetul mixt își adoptă deciziile de comun acord.</w:t>
      </w:r>
    </w:p>
    <w:p>
      <w:pPr>
        <w:rPr>
          <w:rFonts w:eastAsia="Arial Unicode MS"/>
          <w:noProof/>
        </w:rPr>
      </w:pPr>
      <w:r>
        <w:rPr>
          <w:noProof/>
        </w:rPr>
        <w:t>Sarcinile Comitetului mixt sunt prevăzute la articolul 164 din Acordul de retragere și constau în principal în:</w:t>
      </w:r>
    </w:p>
    <w:p>
      <w:pPr>
        <w:pStyle w:val="Bullet0"/>
        <w:numPr>
          <w:ilvl w:val="0"/>
          <w:numId w:val="6"/>
        </w:numPr>
        <w:rPr>
          <w:noProof/>
        </w:rPr>
      </w:pPr>
      <w:r>
        <w:rPr>
          <w:noProof/>
        </w:rPr>
        <w:t>supravegherea punerii în aplicare și a executării acordului în mod direct sau prin intermediul lucrărilor comitetelor specializate care transmit rapoarte Comitetului mixt;</w:t>
      </w:r>
    </w:p>
    <w:p>
      <w:pPr>
        <w:pStyle w:val="Bullet0"/>
        <w:rPr>
          <w:noProof/>
        </w:rPr>
      </w:pPr>
      <w:r>
        <w:rPr>
          <w:noProof/>
        </w:rPr>
        <w:t>adoptarea de decizii și recomandări, inclusiv de modificări care să fie aduse acordului, în cazurile prevăzute în acesta;</w:t>
      </w:r>
    </w:p>
    <w:p>
      <w:pPr>
        <w:pStyle w:val="Bullet0"/>
        <w:rPr>
          <w:noProof/>
        </w:rPr>
      </w:pPr>
      <w:r>
        <w:rPr>
          <w:noProof/>
        </w:rPr>
        <w:t>prevenirea problemelor și soluționarea litigiilor care pot apărea cu privire la interpretarea și executarea acordului.</w:t>
      </w:r>
    </w:p>
    <w:p>
      <w:pPr>
        <w:pStyle w:val="ManualHeading2"/>
        <w:rPr>
          <w:noProof/>
        </w:rPr>
      </w:pPr>
      <w:r>
        <w:rPr>
          <w:noProof/>
        </w:rPr>
        <w:lastRenderedPageBreak/>
        <w:t>2.3.</w:t>
      </w:r>
      <w:r>
        <w:rPr>
          <w:noProof/>
        </w:rPr>
        <w:tab/>
        <w:t xml:space="preserve">Actul avut în vedere de Comitetul mixt </w:t>
      </w:r>
    </w:p>
    <w:p>
      <w:pPr>
        <w:rPr>
          <w:noProof/>
        </w:rPr>
      </w:pPr>
      <w:r>
        <w:rPr>
          <w:noProof/>
        </w:rPr>
        <w:t>În cadrul următoarei sale reuniuni, Comitetul mixt urmează să adopte o decizie de adăugare a unui act al Uniunii recent adoptat care intră în domeniul de aplicare al Cadrului Windsor în anexa 2 la acest cadru („actul avut în vedere”).</w:t>
      </w:r>
    </w:p>
    <w:p>
      <w:pPr>
        <w:rPr>
          <w:noProof/>
        </w:rPr>
      </w:pPr>
      <w:r>
        <w:rPr>
          <w:noProof/>
        </w:rPr>
        <w:t>Astfel, scopul actului avut în vedere este de a adăuga un act al Uniunii recent adoptat care intră în domeniul de aplicare al Cadrului Windsor în anexa 2 la acest cadru, în temeiul articolului 13 alineatul (4) din acesta.</w:t>
      </w:r>
    </w:p>
    <w:p>
      <w:pPr>
        <w:rPr>
          <w:rFonts w:eastAsia="Arial Unicode MS"/>
          <w:noProof/>
        </w:rPr>
      </w:pPr>
      <w:r>
        <w:rPr>
          <w:noProof/>
        </w:rPr>
        <w:t xml:space="preserve">Actul avut în vedere va deveni obligatoriu pentru părți în conformitate cu articolul 166 alineatul (2) din Acordul de retragere, conform căruia: </w:t>
      </w:r>
      <w:r>
        <w:rPr>
          <w:i/>
          <w:noProof/>
        </w:rPr>
        <w:t>„Deciziile adoptate de Comitetul mixt sunt obligatorii pentru Uniune și pentru Regatul Unit, iar Uniunea și Regatul Unit pun în aplicare deciziile respective. Deciziile au același efect juridic ca și prezentul acord.”</w:t>
      </w:r>
      <w:r>
        <w:rPr>
          <w:noProof/>
        </w:rPr>
        <w:t xml:space="preserve"> În conformitate cu articolul 9 din Regulamentul de procedură al Comitetului mixt și al comitetelor specializate, deciziile adoptate de Comitetul mixt vor specifica data de la care produc efecte.</w:t>
      </w:r>
    </w:p>
    <w:p>
      <w:pPr>
        <w:pStyle w:val="ManualHeading1"/>
        <w:rPr>
          <w:rFonts w:eastAsia="Arial Unicode MS"/>
          <w:noProof/>
        </w:rPr>
      </w:pPr>
      <w:r>
        <w:rPr>
          <w:noProof/>
        </w:rPr>
        <w:t>3.</w:t>
      </w:r>
      <w:r>
        <w:rPr>
          <w:noProof/>
        </w:rPr>
        <w:tab/>
        <w:t>Poziția care urmează să fie luată în numele Uniunii</w:t>
      </w:r>
    </w:p>
    <w:p>
      <w:pPr>
        <w:tabs>
          <w:tab w:val="left" w:pos="851"/>
        </w:tabs>
        <w:ind w:left="851" w:hanging="851"/>
        <w:rPr>
          <w:b/>
          <w:bCs/>
          <w:noProof/>
        </w:rPr>
      </w:pPr>
      <w:r>
        <w:rPr>
          <w:b/>
          <w:noProof/>
        </w:rPr>
        <w:t xml:space="preserve">3.1. </w:t>
      </w:r>
      <w:r>
        <w:rPr>
          <w:noProof/>
        </w:rPr>
        <w:tab/>
      </w:r>
      <w:r>
        <w:rPr>
          <w:b/>
          <w:noProof/>
        </w:rPr>
        <w:t xml:space="preserve">Anexa 2 [„Dispozițiile din dreptul Uniunii menționate la articolul 5 alineatul (4)”] la Cadrul Windsor </w:t>
      </w:r>
    </w:p>
    <w:p>
      <w:pPr>
        <w:rPr>
          <w:noProof/>
        </w:rPr>
      </w:pPr>
      <w:r>
        <w:rPr>
          <w:noProof/>
        </w:rPr>
        <w:t>Anexa 2 la Cadrul Windsor conține dispozițiile din dreptul Uniunii menționate la articolul 5 alineatul (4) din respectivul cadru, și anume dispozițiile din dreptul Uniunii care se aplică, de asemenea, în condițiile stabilite în anexa respectivă, Regatului Unit și în Regatul Unit în ceea ce privește Irlanda de Nord.</w:t>
      </w:r>
    </w:p>
    <w:p>
      <w:pPr>
        <w:rPr>
          <w:noProof/>
        </w:rPr>
      </w:pPr>
      <w:r>
        <w:rPr>
          <w:noProof/>
        </w:rPr>
        <w:t>La 26 noiembrie 2025, Uniunea a adoptat Regulamentul (UE) 2025/2455 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w:t>
      </w:r>
      <w:r>
        <w:rPr>
          <w:rStyle w:val="FootnoteReference"/>
          <w:noProof/>
        </w:rPr>
        <w:footnoteReference w:id="3"/>
      </w:r>
      <w:r>
        <w:rPr>
          <w:noProof/>
        </w:rPr>
        <w:t xml:space="preserve">. </w:t>
      </w:r>
    </w:p>
    <w:p>
      <w:pPr>
        <w:rPr>
          <w:noProof/>
        </w:rPr>
      </w:pPr>
      <w:r>
        <w:rPr>
          <w:noProof/>
        </w:rPr>
        <w:t>Regulamentul (UE) 2025/2455 reunește date privind substanțele chimice din aproximativ 70 de acte ale Uniunii referitoare la substanțele chimice și instituie o platformă comună de date în acest scop. Regulamentul conține, de asemenea, un cadru de monitorizare și de perspectivă pentru substanțele chimice și urmărește să asigure păstrarea evidenței studiilor comandate de operatorii economici în contextul obligațiilor care le revin în temeiul altor acte relevante ale Uniunii.</w:t>
      </w:r>
    </w:p>
    <w:p>
      <w:pPr>
        <w:rPr>
          <w:noProof/>
        </w:rPr>
      </w:pPr>
      <w:r>
        <w:rPr>
          <w:noProof/>
        </w:rPr>
        <w:t xml:space="preserve">Acest act al Uniunii recent adoptat, cu excepția articolului 25 și a punctelor 1-2, 5-6, 8, 20, 22-23, 27-31, 38, 43-45, 52-53, 59 și 66-67 din anexa I, a punctelor 3, 8, 10, 12, 14, 25, 29 și 32 din anexa III, a câmpurilor de date din anexa IV referitoare la punctele anterioare enumerate în ceea ce privește anexele I și III și a punctului 2 din anexa V, se referă la piața internă a mărfurilor și, prin urmare, intră în domeniul de aplicare al Cadrului Windsor. Prin urmare, cu excepția articolului menționat și a respectivelor puncte și câmpuri de date din anexe, actul ar trebui adăugat în anexa 2 la Cadrul Windsor, la punctul 23 – „Substanțe chimice și produse conexe”. </w:t>
      </w:r>
    </w:p>
    <w:p>
      <w:pPr>
        <w:rPr>
          <w:noProof/>
        </w:rPr>
      </w:pPr>
      <w:r>
        <w:rPr>
          <w:noProof/>
        </w:rPr>
        <w:lastRenderedPageBreak/>
        <w:t>Astfel, este necesar să se stabilească poziția care urmează să fie luată de către Uniune în cadrul Comitetului mixt în ceea ce privește adăugarea în anexa 2 la Cadrul Windsor a actului Uniunii recent adoptat menționat mai sus.</w:t>
      </w:r>
    </w:p>
    <w:p>
      <w:pPr>
        <w:pStyle w:val="ManualHeading1"/>
        <w:rPr>
          <w:noProof/>
        </w:rPr>
      </w:pPr>
      <w:r>
        <w:rPr>
          <w:noProof/>
        </w:rPr>
        <w:t>4.</w:t>
      </w:r>
      <w:r>
        <w:rPr>
          <w:noProof/>
        </w:rPr>
        <w:tab/>
        <w:t>Temei juridic</w:t>
      </w:r>
    </w:p>
    <w:p>
      <w:pPr>
        <w:pStyle w:val="ManualHeading2"/>
        <w:rPr>
          <w:noProof/>
        </w:rPr>
      </w:pPr>
      <w:r>
        <w:rPr>
          <w:noProof/>
        </w:rPr>
        <w:t>4.1.</w:t>
      </w:r>
      <w:r>
        <w:rPr>
          <w:noProof/>
        </w:rPr>
        <w:tab/>
        <w:t>Temeiul juridic procedural</w:t>
      </w:r>
    </w:p>
    <w:p>
      <w:pPr>
        <w:rPr>
          <w:noProof/>
        </w:rPr>
      </w:pPr>
      <w:r>
        <w:rPr>
          <w:noProof/>
        </w:rPr>
        <w:t>Comitetul mixt este un organism instituit printr-un acord, și anume Acordul de retragere.</w:t>
      </w:r>
    </w:p>
    <w:p>
      <w:pPr>
        <w:rPr>
          <w:noProof/>
        </w:rPr>
      </w:pPr>
      <w:r>
        <w:rPr>
          <w:noProof/>
        </w:rPr>
        <w:t xml:space="preserve">Actul pe care Comitetul mixt este invitat să îl adopte are efecte juridice, întrucât va produce efecte juridice pentru Uniune în temeiul Acordului de retragere. Actul avut în vedere va fi obligatoriu pentru părți în conformitate cu articolul 166 alineatul (2) din Acordul de retragere. </w:t>
      </w:r>
    </w:p>
    <w:p>
      <w:pPr>
        <w:rPr>
          <w:noProof/>
        </w:rPr>
      </w:pPr>
      <w:r>
        <w:rPr>
          <w:noProof/>
        </w:rPr>
        <w:t>Actul avut în vedere nu aduce completări sau modificări cadrului instituțional al Acordului de retragere.</w:t>
      </w:r>
    </w:p>
    <w:p>
      <w:pPr>
        <w:rPr>
          <w:noProof/>
        </w:rPr>
      </w:pPr>
      <w:r>
        <w:rPr>
          <w:noProof/>
        </w:rPr>
        <w:t>Prin urmare, temeiul juridic procedural al deciziei propuse este articolul 218 alineatul (9) din TFUE.</w:t>
      </w:r>
    </w:p>
    <w:p>
      <w:pPr>
        <w:pStyle w:val="ManualHeading2"/>
        <w:rPr>
          <w:noProof/>
        </w:rPr>
      </w:pPr>
      <w:r>
        <w:rPr>
          <w:noProof/>
        </w:rPr>
        <w:t>4.2.</w:t>
      </w:r>
      <w:r>
        <w:rPr>
          <w:noProof/>
        </w:rPr>
        <w:tab/>
        <w:t>Temeiul juridic material</w:t>
      </w:r>
    </w:p>
    <w:p>
      <w:pPr>
        <w:rPr>
          <w:iCs/>
          <w:noProof/>
        </w:rPr>
      </w:pPr>
      <w:r>
        <w:rPr>
          <w:noProof/>
        </w:rPr>
        <w:t>Principalul obiectiv și conținut al actului avut în vedere se referă la adăugarea unui act al Uniunii recent adoptat în anexa 2 la Cadrul Windsor.</w:t>
      </w:r>
    </w:p>
    <w:p>
      <w:pPr>
        <w:rPr>
          <w:iCs/>
          <w:noProof/>
        </w:rPr>
      </w:pPr>
      <w:r>
        <w:rPr>
          <w:noProof/>
        </w:rPr>
        <w:t>Încheierea Acordului de retragere s-a întemeiat pe articolul 50 alineatul (2) din TUE.</w:t>
      </w:r>
    </w:p>
    <w:p>
      <w:pPr>
        <w:rPr>
          <w:iCs/>
          <w:noProof/>
        </w:rPr>
      </w:pPr>
      <w:r>
        <w:rPr>
          <w:noProof/>
        </w:rPr>
        <w:t>Prin urmare, temeiul juridic material al deciziei propuse este articolul 50 alineatul (2) din TUE.</w:t>
      </w:r>
    </w:p>
    <w:p>
      <w:pPr>
        <w:pStyle w:val="ManualHeading2"/>
        <w:rPr>
          <w:noProof/>
        </w:rPr>
      </w:pPr>
      <w:r>
        <w:rPr>
          <w:noProof/>
        </w:rPr>
        <w:t>4.3.</w:t>
      </w:r>
      <w:r>
        <w:rPr>
          <w:noProof/>
        </w:rPr>
        <w:tab/>
        <w:t>Concluzie</w:t>
      </w:r>
    </w:p>
    <w:p>
      <w:pPr>
        <w:rPr>
          <w:noProof/>
        </w:rPr>
      </w:pPr>
      <w:r>
        <w:rPr>
          <w:noProof/>
        </w:rPr>
        <w:t>Temeiul juridic al deciziei propuse ar trebui să fie articolul 50 alineatul (2) din TUE coroborat cu articolul 218 alineatul (9) din TFUE.</w:t>
      </w:r>
    </w:p>
    <w:p>
      <w:pPr>
        <w:pStyle w:val="ManualHeading1"/>
        <w:rPr>
          <w:noProof/>
        </w:rPr>
      </w:pPr>
      <w:r>
        <w:rPr>
          <w:noProof/>
        </w:rPr>
        <w:t>5.</w:t>
      </w:r>
      <w:r>
        <w:rPr>
          <w:noProof/>
        </w:rPr>
        <w:tab/>
        <w:t>Publicarea actului avut în vedere</w:t>
      </w:r>
    </w:p>
    <w:p>
      <w:pPr>
        <w:rPr>
          <w:noProof/>
        </w:rPr>
      </w:pPr>
      <w:r>
        <w:rPr>
          <w:noProof/>
        </w:rPr>
        <w:t xml:space="preserve">Întrucât actul Comitetului mixt va modifica anexa 2 la Cadrul Windsor, este necesar ca acesta să fie publicat, după adoptare, în </w:t>
      </w:r>
      <w:r>
        <w:rPr>
          <w:i/>
          <w:iCs/>
          <w:noProof/>
        </w:rPr>
        <w:t>Jurnalul Oficial al Uniunii Europene</w:t>
      </w:r>
      <w:r>
        <w:rPr>
          <w:noProof/>
        </w:rPr>
        <w:t>.</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2026/0283 (NLE)</w:t>
      </w:r>
    </w:p>
    <w:p>
      <w:pPr>
        <w:pStyle w:val="Statut"/>
        <w:rPr>
          <w:noProof/>
        </w:rPr>
      </w:pPr>
      <w:r>
        <w:rPr>
          <w:noProof/>
        </w:rPr>
        <w:t>Propunere de</w:t>
      </w:r>
    </w:p>
    <w:p>
      <w:pPr>
        <w:pStyle w:val="Typedudocument"/>
        <w:rPr>
          <w:noProof/>
        </w:rPr>
      </w:pPr>
      <w:r>
        <w:rPr>
          <w:noProof/>
        </w:rPr>
        <w:t>DECIZIE A CONSILIULUI</w:t>
      </w:r>
    </w:p>
    <w:p>
      <w:pPr>
        <w:pStyle w:val="Titreobjet"/>
        <w:rPr>
          <w:noProof/>
        </w:rPr>
      </w:pPr>
      <w:r>
        <w:rPr>
          <w:noProof/>
        </w:rPr>
        <w:t>de stabilire a poziției care urmează să fie luată în numele Uniunii Europene în cadrul Comitetului mixt înființat prin Acordul privind retragerea Regatului Unit al Marii Britanii și Irlandei de Nord din Uniunea Europeană și din Comunitatea Europeană a Energiei Atomice în ceea ce privește adoptarea unei decizii de adăugare a unui act al Uniunii recent adoptat în anexa 2 la Cadrul Windsor</w:t>
      </w:r>
    </w:p>
    <w:p>
      <w:pPr>
        <w:pStyle w:val="Institutionquiagit"/>
        <w:rPr>
          <w:noProof/>
        </w:rPr>
      </w:pPr>
      <w:r>
        <w:rPr>
          <w:noProof/>
        </w:rPr>
        <w:t>CONSILIUL UNIUNII EUROPENE,</w:t>
      </w:r>
    </w:p>
    <w:p>
      <w:pPr>
        <w:rPr>
          <w:noProof/>
        </w:rPr>
      </w:pPr>
      <w:r>
        <w:rPr>
          <w:noProof/>
        </w:rPr>
        <w:t>având în vedere Tratatul privind Uniunea Europeană, în special articolul 50 alineatul (2) coroborat cu articolul 218 alineatul (9) din Tratatul privind funcționarea Uniunii Europene,</w:t>
      </w:r>
    </w:p>
    <w:p>
      <w:pPr>
        <w:rPr>
          <w:noProof/>
        </w:rPr>
      </w:pPr>
      <w:r>
        <w:rPr>
          <w:noProof/>
        </w:rPr>
        <w:t>având în vedere propunerea Comisiei Europene,</w:t>
      </w:r>
    </w:p>
    <w:p>
      <w:pPr>
        <w:rPr>
          <w:noProof/>
        </w:rPr>
      </w:pPr>
      <w:r>
        <w:rPr>
          <w:noProof/>
        </w:rPr>
        <w:t>întrucât:</w:t>
      </w:r>
    </w:p>
    <w:p>
      <w:pPr>
        <w:pStyle w:val="ManualConsidrant"/>
        <w:rPr>
          <w:noProof/>
        </w:rPr>
      </w:pPr>
      <w:r>
        <w:rPr>
          <w:noProof/>
        </w:rPr>
        <w:t>(1)</w:t>
      </w:r>
      <w:r>
        <w:rPr>
          <w:noProof/>
        </w:rPr>
        <w:tab/>
        <w:t>Acordul privind retragerea Regatului Unit al Marii Britanii și Irlandei de Nord din Uniunea Europeană și din Comunitatea Europeană a Energiei Atomice</w:t>
      </w:r>
      <w:r>
        <w:rPr>
          <w:rStyle w:val="FootnoteReference"/>
          <w:noProof/>
        </w:rPr>
        <w:footnoteReference w:id="4"/>
      </w:r>
      <w:r>
        <w:rPr>
          <w:noProof/>
        </w:rPr>
        <w:t xml:space="preserve"> (denumit în continuare „Acordul de retragere”) a fost încheiat de către Uniune prin Decizia (UE) 2020/135 a Consiliului</w:t>
      </w:r>
      <w:r>
        <w:rPr>
          <w:rStyle w:val="FootnoteReference"/>
          <w:noProof/>
        </w:rPr>
        <w:footnoteReference w:id="5"/>
      </w:r>
      <w:r>
        <w:rPr>
          <w:noProof/>
        </w:rPr>
        <w:t>.</w:t>
      </w:r>
    </w:p>
    <w:p>
      <w:pPr>
        <w:pStyle w:val="ManualConsidrant"/>
        <w:rPr>
          <w:noProof/>
        </w:rPr>
      </w:pPr>
      <w:r>
        <w:rPr>
          <w:noProof/>
        </w:rPr>
        <w:t>(2)</w:t>
      </w:r>
      <w:r>
        <w:rPr>
          <w:noProof/>
        </w:rPr>
        <w:tab/>
        <w:t>În temeiul articolului 13 alineatul (4) din Cadrul Windsor</w:t>
      </w:r>
      <w:r>
        <w:rPr>
          <w:rStyle w:val="FootnoteReference"/>
          <w:noProof/>
        </w:rPr>
        <w:footnoteReference w:id="6"/>
      </w:r>
      <w:r>
        <w:rPr>
          <w:noProof/>
        </w:rPr>
        <w:t xml:space="preserve">, care face parte integrantă din Acordul de retragere, Comitetul mixt înființat prin Acordul de retragere poate adopta decizii de modificare a anexelor relevante la Cadrul Windsor prin adăugarea unor acte ale Uniunii recent adoptate care intră în domeniul de aplicare al Cadrului Windsor, dar care nu modifică și nici nu înlocuiesc actele Uniunii enumerate în anexele la Cadrul Windsor. </w:t>
      </w:r>
    </w:p>
    <w:p>
      <w:pPr>
        <w:pStyle w:val="ManualConsidrant"/>
        <w:rPr>
          <w:noProof/>
        </w:rPr>
      </w:pPr>
      <w:r>
        <w:rPr>
          <w:noProof/>
        </w:rPr>
        <w:t>(3)</w:t>
      </w:r>
      <w:r>
        <w:rPr>
          <w:noProof/>
        </w:rPr>
        <w:tab/>
        <w:t xml:space="preserve">În cadrul următoarei sale reuniuni, Comitetul mixt urmează să adopte o decizie de adăugare a unui act al Uniunii recent adoptat în anexa 2 la Cadrul Windsor. </w:t>
      </w:r>
    </w:p>
    <w:p>
      <w:pPr>
        <w:pStyle w:val="ManualConsidrant"/>
        <w:rPr>
          <w:noProof/>
        </w:rPr>
      </w:pPr>
      <w:r>
        <w:rPr>
          <w:noProof/>
        </w:rPr>
        <w:t>(4)</w:t>
      </w:r>
      <w:r>
        <w:rPr>
          <w:noProof/>
        </w:rPr>
        <w:tab/>
        <w:t>Regulamentul (UE) 2025/2455 al Parlamentului European și al Consiliului</w:t>
      </w:r>
      <w:r>
        <w:rPr>
          <w:rStyle w:val="FootnoteReference"/>
          <w:noProof/>
        </w:rPr>
        <w:footnoteReference w:id="7"/>
      </w:r>
      <w:r>
        <w:rPr>
          <w:noProof/>
        </w:rPr>
        <w:t xml:space="preserve"> este un act al Uniunii recent adoptat care intră în domeniul de aplicare al Cadrului Windsor și care ar trebui adăugat în anexa 2 la Cadrul Windsor. Cu toate acestea, următoarele dispoziții din Regulamentul (UE) 2025/2455 nu ar trebui adăugate în anexa 2 la </w:t>
      </w:r>
      <w:r>
        <w:rPr>
          <w:noProof/>
        </w:rPr>
        <w:lastRenderedPageBreak/>
        <w:t xml:space="preserve">Cadrul Windsor: articolul 25, punctele 1-2, 5-6, 8, 20, 22-23, 27-31, 38, 43-45, 52-53, 59 și 66-67 din anexa I, punctele 3, 8, 10, 12, 14, 25, 29 și 32 din anexa III, câmpurile de date din anexa IV referitoare la punctele anterioare enumerate în ceea ce privește anexele I și III și punctul 2 din anexa V la Regulamentul (UE) 2025/2455. </w:t>
      </w:r>
    </w:p>
    <w:p>
      <w:pPr>
        <w:pStyle w:val="ManualConsidrant"/>
        <w:rPr>
          <w:noProof/>
        </w:rPr>
      </w:pPr>
      <w:r>
        <w:rPr>
          <w:noProof/>
        </w:rPr>
        <w:t>(5)</w:t>
      </w:r>
      <w:r>
        <w:rPr>
          <w:noProof/>
        </w:rPr>
        <w:tab/>
        <w:t xml:space="preserve">Dacă va fi adoptată, decizia preconizată a Comitetului mixt va produce efecte juridice pentru Uniune. Pentru ca dispozițiile relevante din Regulamentul (UE) 2025/2455 să se aplice Regatului Unit și în Regatul Unit în ceea ce privește Irlanda de Nord, Regulamentul (UE) 2025/2455 ar trebui adăugat în anexa 2 la Cadrul Windsor, în conformitate cu articolul 13 alineatul (4) din acesta. </w:t>
      </w:r>
    </w:p>
    <w:p>
      <w:pPr>
        <w:pStyle w:val="ManualConsidrant"/>
        <w:rPr>
          <w:noProof/>
        </w:rPr>
      </w:pPr>
      <w:r>
        <w:rPr>
          <w:noProof/>
        </w:rPr>
        <w:t>(6)</w:t>
      </w:r>
      <w:r>
        <w:rPr>
          <w:noProof/>
        </w:rPr>
        <w:tab/>
        <w:t>Prin urmare, este necesar să se stabilească poziția care urmează să fie luată de către Comitetul mixt în ceea ce privește adăugarea Regulamentului (UE) 2025/2455 în anexa 2 la Cadrul Windsor,</w:t>
      </w:r>
    </w:p>
    <w:p>
      <w:pPr>
        <w:rPr>
          <w:noProof/>
        </w:rPr>
      </w:pPr>
    </w:p>
    <w:p>
      <w:pPr>
        <w:pStyle w:val="Formuledadoption"/>
        <w:rPr>
          <w:noProof/>
        </w:rPr>
      </w:pPr>
      <w:r>
        <w:rPr>
          <w:noProof/>
        </w:rPr>
        <w:t>ADOPTĂ PREZENTA DECIZIE:</w:t>
      </w:r>
    </w:p>
    <w:p>
      <w:pPr>
        <w:pStyle w:val="Titrearticle"/>
        <w:rPr>
          <w:noProof/>
        </w:rPr>
      </w:pPr>
      <w:r>
        <w:rPr>
          <w:noProof/>
        </w:rPr>
        <w:t>Articolul 1</w:t>
      </w:r>
    </w:p>
    <w:p>
      <w:pPr>
        <w:rPr>
          <w:iCs/>
          <w:noProof/>
        </w:rPr>
      </w:pPr>
      <w:r>
        <w:rPr>
          <w:noProof/>
        </w:rPr>
        <w:t xml:space="preserve">Poziția care urmează să fie luată în numele Uniunii în cadrul Comitetului mixt înființat în temeiul articolului 164 alineatul (1) din Acordul privind retragerea Regatului Unit al Marii Britanii și Irlandei de Nord din Uniunea Europeană și din Comunitatea Europeană a Energiei Atomice („Comitetul mixt”) se bazează pe proiectul de decizie a Comitetului mixt atașat la prezenta decizie. </w:t>
      </w:r>
    </w:p>
    <w:p>
      <w:pPr>
        <w:rPr>
          <w:iCs/>
          <w:noProof/>
        </w:rPr>
      </w:pPr>
    </w:p>
    <w:p>
      <w:pPr>
        <w:jc w:val="center"/>
        <w:rPr>
          <w:i/>
          <w:noProof/>
        </w:rPr>
      </w:pPr>
      <w:r>
        <w:rPr>
          <w:i/>
          <w:noProof/>
        </w:rPr>
        <w:t>Articolul 2</w:t>
      </w:r>
    </w:p>
    <w:p>
      <w:pPr>
        <w:rPr>
          <w:iCs/>
          <w:noProof/>
        </w:rPr>
      </w:pPr>
      <w:r>
        <w:rPr>
          <w:noProof/>
        </w:rPr>
        <w:t>Se poate conveni asupra unor modificări tehnice minore ale poziției stabilite în proiectul de decizie a Comitetului mixt atașat la prezenta decizie, fără a mai fi necesară o nouă decizie a Consiliului.</w:t>
      </w:r>
    </w:p>
    <w:p>
      <w:pPr>
        <w:pStyle w:val="Titrearticle"/>
        <w:rPr>
          <w:noProof/>
        </w:rPr>
      </w:pPr>
      <w:r>
        <w:rPr>
          <w:noProof/>
        </w:rPr>
        <w:t>Articolul 3</w:t>
      </w:r>
    </w:p>
    <w:p>
      <w:pPr>
        <w:rPr>
          <w:noProof/>
        </w:rPr>
      </w:pPr>
      <w:r>
        <w:rPr>
          <w:noProof/>
        </w:rPr>
        <w:t>Prezenta decizie întră în vigoare la data adoptării.</w:t>
      </w:r>
    </w:p>
    <w:p>
      <w:pPr>
        <w:pStyle w:val="Fait"/>
        <w:rPr>
          <w:noProof/>
        </w:rPr>
      </w:pPr>
      <w:r>
        <w:rPr>
          <w:noProof/>
        </w:rPr>
        <w:t>Adoptată la Bruxelles,</w:t>
      </w:r>
    </w:p>
    <w:p>
      <w:pPr>
        <w:pStyle w:val="Institutionquisigne"/>
        <w:rPr>
          <w:noProof/>
        </w:rPr>
      </w:pPr>
      <w:r>
        <w:rPr>
          <w:noProof/>
        </w:rPr>
        <w:tab/>
        <w:t>Pentru Consiliu,</w:t>
      </w:r>
    </w:p>
    <w:p>
      <w:pPr>
        <w:pStyle w:val="Personnequisigne"/>
        <w:rPr>
          <w:noProof/>
        </w:rPr>
      </w:pPr>
      <w:r>
        <w:rPr>
          <w:noProof/>
        </w:rPr>
        <w:tab/>
        <w:t>Președintele</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29, 31.1.2020, p. 7, ELI: </w:t>
      </w:r>
      <w:hyperlink r:id="rId1" w:tooltip="Oferă acces la acest document prin identificatorul său uniform de resurse ELI." w:history="1">
        <w:r>
          <w:rPr>
            <w:rStyle w:val="Hyperlink"/>
          </w:rPr>
          <w:t>http://data.europa.eu/eli/treaty/withd_2020/sign</w:t>
        </w:r>
      </w:hyperlink>
      <w:r>
        <w:t>.</w:t>
      </w:r>
      <w:r>
        <w:tab/>
      </w:r>
    </w:p>
  </w:footnote>
  <w:footnote w:id="2">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2" w:history="1">
        <w:r>
          <w:rPr>
            <w:rStyle w:val="Hyperlink"/>
          </w:rPr>
          <w:t>JO L 102, 17.4.2023, p. 87</w:t>
        </w:r>
      </w:hyperlink>
      <w:r>
        <w:t>).</w:t>
      </w:r>
    </w:p>
  </w:footnote>
  <w:footnote w:id="3">
    <w:p>
      <w:pPr>
        <w:pStyle w:val="FootnoteText"/>
      </w:pPr>
      <w:r>
        <w:rPr>
          <w:rStyle w:val="FootnoteReference"/>
        </w:rPr>
        <w:footnoteRef/>
      </w:r>
      <w:r>
        <w:tab/>
        <w:t xml:space="preserve">Regulamentul (UE) 2025/2455 al Parlamentului European și al Consiliului din 26 noiembrie 2025 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 (JO L, 2025/2455, 12.12.2025, ELI: </w:t>
      </w:r>
      <w:hyperlink r:id="rId3" w:history="1">
        <w:r>
          <w:rPr>
            <w:rStyle w:val="Hyperlink"/>
          </w:rPr>
          <w:t>http://data.europa.eu/eli/reg/2025/2455/oj</w:t>
        </w:r>
      </w:hyperlink>
      <w:r>
        <w:t>).</w:t>
      </w:r>
    </w:p>
  </w:footnote>
  <w:footnote w:id="4">
    <w:p>
      <w:pPr>
        <w:pStyle w:val="FootnoteText"/>
      </w:pPr>
      <w:r>
        <w:rPr>
          <w:rStyle w:val="FootnoteReference"/>
        </w:rPr>
        <w:footnoteRef/>
      </w:r>
      <w:r>
        <w:tab/>
        <w:t>JO L 29, 31.1.2020, p. 7, ELI: </w:t>
      </w:r>
      <w:hyperlink r:id="rId4" w:history="1">
        <w:r>
          <w:rPr>
            <w:rStyle w:val="Hyperlink"/>
          </w:rPr>
          <w:t>http://data.europa.eu/eli/treaty/withd_2020/sign</w:t>
        </w:r>
      </w:hyperlink>
      <w:r>
        <w:t>.</w:t>
      </w:r>
      <w:r>
        <w:tab/>
      </w:r>
    </w:p>
  </w:footnote>
  <w:footnote w:id="5">
    <w:p>
      <w:pPr>
        <w:pStyle w:val="FootnoteText"/>
      </w:pPr>
      <w:r>
        <w:rPr>
          <w:rStyle w:val="FootnoteReference"/>
        </w:rPr>
        <w:footnoteRef/>
      </w:r>
      <w:r>
        <w:tab/>
        <w:t>Decizia (UE) 2020/135 a Consiliului din 30 ianuarie 2020 referitoare la încheierea Acordului privind retragerea Regatului Unit al Marii Britanii și Irlandei de Nord din Uniunea Europeană și din Comunitatea Europeană a Energiei Atomice (JO L 29, 31.1.2020, p. 1, ELI: </w:t>
      </w:r>
      <w:hyperlink r:id="rId5" w:tooltip="Oferă acces la acest document prin identificatorul său uniform de resurse ELI." w:history="1">
        <w:r>
          <w:rPr>
            <w:rStyle w:val="Hyperlink"/>
          </w:rPr>
          <w:t>http://data.europa.eu/eli/dec/2020/135/oj</w:t>
        </w:r>
      </w:hyperlink>
      <w:r>
        <w:t xml:space="preserve">). </w:t>
      </w:r>
    </w:p>
  </w:footnote>
  <w:footnote w:id="6">
    <w:p>
      <w:pPr>
        <w:pStyle w:val="FootnoteText"/>
      </w:pPr>
      <w:r>
        <w:rPr>
          <w:rStyle w:val="FootnoteReference"/>
        </w:rPr>
        <w:footnoteRef/>
      </w:r>
      <w:r>
        <w:tab/>
        <w:t>Declarația comună nr. 1/2023 a Uniunii Europene și a Regatului Unit în cadrul Comitetului mixt înființat prin Acordul privind retragerea Regatului Unit al Marii Britanii și Irlandei de Nord din Uniunea Europeană și din Comunitatea Europeană a Energiei Atomice din 24 martie 2023 (</w:t>
      </w:r>
      <w:hyperlink r:id="rId6" w:history="1">
        <w:r>
          <w:rPr>
            <w:rStyle w:val="Hyperlink"/>
          </w:rPr>
          <w:t>JO L 102, 17.4.2023, p. 87</w:t>
        </w:r>
      </w:hyperlink>
      <w:r>
        <w:t>).</w:t>
      </w:r>
    </w:p>
  </w:footnote>
  <w:footnote w:id="7">
    <w:p>
      <w:pPr>
        <w:pStyle w:val="FootnoteText"/>
      </w:pPr>
      <w:r>
        <w:rPr>
          <w:rStyle w:val="FootnoteReference"/>
        </w:rPr>
        <w:footnoteRef/>
      </w:r>
      <w:r>
        <w:tab/>
        <w:t xml:space="preserve">Regulamentul (UE) 2025/2455 al Parlamentului European și al Consiliului din 26 noiembrie 2025 de înființare a unei platforme comune de date privind substanțele chimice, de stabilire a unor norme pentru a se asigura că datele conținute în aceasta sunt ușor de găsit, accesibile, interoperabile și reutilizabile și de stabilire a unui cadru de monitorizare și de perspectivă pentru substanțele chimice (JO L, 2025/2455, 12.12.2025, ELI: </w:t>
      </w:r>
      <w:hyperlink r:id="rId7" w:history="1">
        <w:r>
          <w:rPr>
            <w:rStyle w:val="Hyperlink"/>
          </w:rPr>
          <w:t>http://data.europa.eu/eli/reg/2025/2455/oj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574A08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25275F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A94B4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3BCEF6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1 08:41:4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B290218-98A3-4D94-AF8E-19DEF2E6B1F5"/>
    <w:docVar w:name="LW_COVERPAGE_TYPE" w:val="1"/>
    <w:docVar w:name="LW_CROSSREFERENCE" w:val="&lt;UNUSED&gt;"/>
    <w:docVar w:name="LW_DocType" w:val="COM"/>
    <w:docVar w:name="LW_EMISSION" w:val="18.9.2026"/>
    <w:docVar w:name="LW_EMISSION_ISODATE" w:val="2026-09-18"/>
    <w:docVar w:name="LW_EMISSION_LOCATION" w:val="BRX"/>
    <w:docVar w:name="LW_EMISSION_PREFIX" w:val="Bruxelle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83"/>
    <w:docVar w:name="LW_REF.II.NEW.CP_YEAR" w:val="2026"/>
    <w:docVar w:name="LW_REF.INST.NEW" w:val="COM"/>
    <w:docVar w:name="LW_REF.INST.NEW_ADOPTED" w:val="final"/>
    <w:docVar w:name="LW_REF.INST.NEW_TEXT" w:val="(2026) 48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stabilire a pozi\u539?iei care urmeaz\u259? s\u259? fie lu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ad\u259?ugare a unui act al Uniunii recent adoptat în anexa 2 la Cadrul Windsor"/>
    <w:docVar w:name="LW_TYPE.DOC.CP" w:val="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89BB3C2-0F5E-4AEA-9195-BE57CF334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customStyle="1" w:styleId="Text1Char">
    <w:name w:val="Text 1 Char"/>
    <w:rPr>
      <w:rFonts w:ascii="Times New Roman" w:hAnsi="Times New Roman" w:cs="Times New Roman"/>
      <w:sz w:val="24"/>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03803">
      <w:bodyDiv w:val="1"/>
      <w:marLeft w:val="0"/>
      <w:marRight w:val="0"/>
      <w:marTop w:val="0"/>
      <w:marBottom w:val="0"/>
      <w:divBdr>
        <w:top w:val="none" w:sz="0" w:space="0" w:color="auto"/>
        <w:left w:val="none" w:sz="0" w:space="0" w:color="auto"/>
        <w:bottom w:val="none" w:sz="0" w:space="0" w:color="auto"/>
        <w:right w:val="none" w:sz="0" w:space="0" w:color="auto"/>
      </w:divBdr>
    </w:div>
    <w:div w:id="336154353">
      <w:bodyDiv w:val="1"/>
      <w:marLeft w:val="0"/>
      <w:marRight w:val="0"/>
      <w:marTop w:val="0"/>
      <w:marBottom w:val="0"/>
      <w:divBdr>
        <w:top w:val="none" w:sz="0" w:space="0" w:color="auto"/>
        <w:left w:val="none" w:sz="0" w:space="0" w:color="auto"/>
        <w:bottom w:val="none" w:sz="0" w:space="0" w:color="auto"/>
        <w:right w:val="none" w:sz="0" w:space="0" w:color="auto"/>
      </w:divBdr>
    </w:div>
    <w:div w:id="1115294582">
      <w:bodyDiv w:val="1"/>
      <w:marLeft w:val="0"/>
      <w:marRight w:val="0"/>
      <w:marTop w:val="0"/>
      <w:marBottom w:val="0"/>
      <w:divBdr>
        <w:top w:val="none" w:sz="0" w:space="0" w:color="auto"/>
        <w:left w:val="none" w:sz="0" w:space="0" w:color="auto"/>
        <w:bottom w:val="none" w:sz="0" w:space="0" w:color="auto"/>
        <w:right w:val="none" w:sz="0" w:space="0" w:color="auto"/>
      </w:divBdr>
    </w:div>
    <w:div w:id="1126123491">
      <w:bodyDiv w:val="1"/>
      <w:marLeft w:val="0"/>
      <w:marRight w:val="0"/>
      <w:marTop w:val="0"/>
      <w:marBottom w:val="0"/>
      <w:divBdr>
        <w:top w:val="none" w:sz="0" w:space="0" w:color="auto"/>
        <w:left w:val="none" w:sz="0" w:space="0" w:color="auto"/>
        <w:bottom w:val="none" w:sz="0" w:space="0" w:color="auto"/>
        <w:right w:val="none" w:sz="0" w:space="0" w:color="auto"/>
      </w:divBdr>
    </w:div>
    <w:div w:id="1410955657">
      <w:bodyDiv w:val="1"/>
      <w:marLeft w:val="0"/>
      <w:marRight w:val="0"/>
      <w:marTop w:val="0"/>
      <w:marBottom w:val="0"/>
      <w:divBdr>
        <w:top w:val="none" w:sz="0" w:space="0" w:color="auto"/>
        <w:left w:val="none" w:sz="0" w:space="0" w:color="auto"/>
        <w:bottom w:val="none" w:sz="0" w:space="0" w:color="auto"/>
        <w:right w:val="none" w:sz="0" w:space="0" w:color="auto"/>
      </w:divBdr>
    </w:div>
    <w:div w:id="1491366109">
      <w:bodyDiv w:val="1"/>
      <w:marLeft w:val="0"/>
      <w:marRight w:val="0"/>
      <w:marTop w:val="0"/>
      <w:marBottom w:val="0"/>
      <w:divBdr>
        <w:top w:val="none" w:sz="0" w:space="0" w:color="auto"/>
        <w:left w:val="none" w:sz="0" w:space="0" w:color="auto"/>
        <w:bottom w:val="none" w:sz="0" w:space="0" w:color="auto"/>
        <w:right w:val="none" w:sz="0" w:space="0" w:color="auto"/>
      </w:divBdr>
    </w:div>
    <w:div w:id="1739133894">
      <w:bodyDiv w:val="1"/>
      <w:marLeft w:val="0"/>
      <w:marRight w:val="0"/>
      <w:marTop w:val="0"/>
      <w:marBottom w:val="0"/>
      <w:divBdr>
        <w:top w:val="none" w:sz="0" w:space="0" w:color="auto"/>
        <w:left w:val="none" w:sz="0" w:space="0" w:color="auto"/>
        <w:bottom w:val="none" w:sz="0" w:space="0" w:color="auto"/>
        <w:right w:val="none" w:sz="0" w:space="0" w:color="auto"/>
      </w:divBdr>
    </w:div>
    <w:div w:id="1807818186">
      <w:bodyDiv w:val="1"/>
      <w:marLeft w:val="0"/>
      <w:marRight w:val="0"/>
      <w:marTop w:val="0"/>
      <w:marBottom w:val="0"/>
      <w:divBdr>
        <w:top w:val="none" w:sz="0" w:space="0" w:color="auto"/>
        <w:left w:val="none" w:sz="0" w:space="0" w:color="auto"/>
        <w:bottom w:val="none" w:sz="0" w:space="0" w:color="auto"/>
        <w:right w:val="none" w:sz="0" w:space="0" w:color="auto"/>
      </w:divBdr>
    </w:div>
    <w:div w:id="1911232353">
      <w:bodyDiv w:val="1"/>
      <w:marLeft w:val="0"/>
      <w:marRight w:val="0"/>
      <w:marTop w:val="0"/>
      <w:marBottom w:val="0"/>
      <w:divBdr>
        <w:top w:val="none" w:sz="0" w:space="0" w:color="auto"/>
        <w:left w:val="none" w:sz="0" w:space="0" w:color="auto"/>
        <w:bottom w:val="none" w:sz="0" w:space="0" w:color="auto"/>
        <w:right w:val="none" w:sz="0" w:space="0" w:color="auto"/>
      </w:divBdr>
    </w:div>
    <w:div w:id="191439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2455/oj" TargetMode="External"/><Relationship Id="rId7" Type="http://schemas.openxmlformats.org/officeDocument/2006/relationships/hyperlink" Target="http://data.europa.eu/eli/reg/2025/2455/oj" TargetMode="External"/><Relationship Id="rId2" Type="http://schemas.openxmlformats.org/officeDocument/2006/relationships/hyperlink" Target="https://eur-lex.europa.eu/legal-content/RO/TXT/?uri=celex%3A22023X0417%2801%29"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ro/TXT/?uri=uriserv%3AOJ.L_.2023.102.01.0087.01.RON&amp;toc=OJ%3AL%3A2023%3A102%3ATOC" TargetMode="External"/><Relationship Id="rId5" Type="http://schemas.openxmlformats.org/officeDocument/2006/relationships/hyperlink" Target="http://data.europa.eu/eli/dec/2020/135/oj" TargetMode="External"/><Relationship Id="rId4" Type="http://schemas.openxmlformats.org/officeDocument/2006/relationships/hyperlink" Target="http://data.europa.eu/eli/treaty/withd_2020/s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4FAF9D-5CF5-49BB-987F-AB578AF00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5</Pages>
  <Words>1596</Words>
  <Characters>9103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38</cp:revision>
  <cp:lastPrinted>2023-05-17T15:33:00Z</cp:lastPrinted>
  <dcterms:created xsi:type="dcterms:W3CDTF">2026-07-28T06:28:00Z</dcterms:created>
  <dcterms:modified xsi:type="dcterms:W3CDTF">2026-09-11T06:41:00Z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2023-02-06T16:33:19Z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898fa8bf-6743-48f4-be45-57f55d0fe120</vt:lpwstr>
  </property>
  <property fmtid="{D5CDD505-2E9C-101B-9397-08002B2CF9AE}" pid="11" name="MSIP_Label_6bd9ddd1-4d20-43f6-abfa-fc3c07406f94_ContentBits">
    <vt:lpwstr>0</vt:lpwstr>
  </property>
  <property fmtid="{D5CDD505-2E9C-101B-9397-08002B2CF9AE}" pid="12" name="Created using">
    <vt:lpwstr>LW 8.1, Build 20220902</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SJ-043</vt:lpwstr>
  </property>
  <property fmtid="{D5CDD505-2E9C-101B-9397-08002B2CF9AE}" pid="17" name="DQCStatus">
    <vt:lpwstr>Green (DQC version 03)</vt:lpwstr>
  </property>
</Properties>
</file>