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A8E3903-19D7-4907-9F48-27C1865A8935" style="width:455.25pt;height:424.5pt">
            <v:imagedata r:id="rId8" o:title=""/>
          </v:shape>
        </w:pict>
      </w:r>
    </w:p>
    <w:p>
      <w:pPr>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 xml:space="preserve">PROIECT DE </w:t>
      </w:r>
    </w:p>
    <w:p>
      <w:pPr>
        <w:rPr>
          <w:noProof/>
        </w:rPr>
      </w:pPr>
    </w:p>
    <w:p>
      <w:pPr>
        <w:rPr>
          <w:noProof/>
        </w:rPr>
      </w:pPr>
      <w:r>
        <w:rPr>
          <w:noProof/>
        </w:rPr>
        <w:t>DECIZIE NR. …/2026 A COMITETULUI MIXT ÎNFIINȚAT PRIN ACORDUL PRIVIND RETRAGEREA REGATULUI UNIT AL MARII BRITANII ȘI IRLANDEI DE NORD DIN UNIUNEA EUROPEANĂ ȘI DIN COMUNITATEA EUROPEANĂ A ENERGIEI ATOMICE</w:t>
      </w:r>
    </w:p>
    <w:p>
      <w:pPr>
        <w:rPr>
          <w:noProof/>
        </w:rPr>
      </w:pPr>
    </w:p>
    <w:p>
      <w:pPr>
        <w:jc w:val="center"/>
        <w:rPr>
          <w:noProof/>
        </w:rPr>
      </w:pPr>
      <w:r>
        <w:rPr>
          <w:noProof/>
        </w:rPr>
        <w:t>din …</w:t>
      </w:r>
    </w:p>
    <w:p>
      <w:pPr>
        <w:jc w:val="center"/>
        <w:rPr>
          <w:noProof/>
        </w:rPr>
      </w:pPr>
    </w:p>
    <w:p>
      <w:pPr>
        <w:jc w:val="center"/>
        <w:rPr>
          <w:noProof/>
        </w:rPr>
      </w:pPr>
      <w:r>
        <w:rPr>
          <w:noProof/>
        </w:rPr>
        <w:t>de adăugare a unui act al Uniunii recent adoptat în anexa 2 la Cadrul Windsor</w:t>
      </w:r>
    </w:p>
    <w:p>
      <w:pPr>
        <w:rPr>
          <w:noProof/>
        </w:rPr>
      </w:pPr>
    </w:p>
    <w:p>
      <w:pPr>
        <w:rPr>
          <w:noProof/>
        </w:rPr>
      </w:pPr>
    </w:p>
    <w:p>
      <w:pPr>
        <w:rPr>
          <w:noProof/>
        </w:rPr>
      </w:pPr>
      <w:r>
        <w:rPr>
          <w:noProof/>
        </w:rPr>
        <w:t>COMITETUL MIXT,</w:t>
      </w:r>
    </w:p>
    <w:p>
      <w:pPr>
        <w:rPr>
          <w:noProof/>
        </w:rPr>
      </w:pPr>
    </w:p>
    <w:p>
      <w:pPr>
        <w:rPr>
          <w:noProof/>
        </w:rPr>
      </w:pPr>
      <w:r>
        <w:rPr>
          <w:noProof/>
        </w:rPr>
        <w:t>având în vedere Acordul privind retragerea Regatului Unit al Marii Britanii și Irlandei de Nord din Uniunea Europeană și din Comunitatea Europeană a Energiei Atomice</w:t>
      </w:r>
      <w:r>
        <w:rPr>
          <w:rStyle w:val="FootnoteReference"/>
          <w:noProof/>
        </w:rPr>
        <w:footnoteReference w:id="1"/>
      </w:r>
      <w:r>
        <w:rPr>
          <w:noProof/>
        </w:rPr>
        <w:t xml:space="preserve"> („Acordul de retragere”), în special articolul 13 alineatul (4) din Cadrul Windsor</w:t>
      </w:r>
      <w:r>
        <w:rPr>
          <w:rStyle w:val="FootnoteReference"/>
          <w:noProof/>
        </w:rPr>
        <w:footnoteReference w:id="2"/>
      </w:r>
      <w:r>
        <w:rPr>
          <w:noProof/>
        </w:rPr>
        <w:t>,</w:t>
      </w:r>
    </w:p>
    <w:p>
      <w:pPr>
        <w:rPr>
          <w:noProof/>
        </w:rPr>
      </w:pPr>
    </w:p>
    <w:p>
      <w:pPr>
        <w:rPr>
          <w:noProof/>
        </w:rPr>
      </w:pPr>
      <w:r>
        <w:rPr>
          <w:noProof/>
        </w:rPr>
        <w:t>întrucât:</w:t>
      </w:r>
    </w:p>
    <w:p>
      <w:pPr>
        <w:rPr>
          <w:noProof/>
        </w:rPr>
      </w:pPr>
    </w:p>
    <w:p>
      <w:pPr>
        <w:pStyle w:val="Point0number"/>
        <w:numPr>
          <w:ilvl w:val="0"/>
          <w:numId w:val="5"/>
        </w:numPr>
        <w:rPr>
          <w:noProof/>
        </w:rPr>
      </w:pPr>
      <w:r>
        <w:rPr>
          <w:noProof/>
        </w:rPr>
        <w:t xml:space="preserve">Articolul 13 alineatul (4) din Cadrul Windsor conferă Comitetului mixt înființat în temeiul articolului 164 alineatul (1) din Acordul de retragere („Comitetul mixt”) competența de a adopta decizii de adăugare a actelor Uniunii care au fost recent adoptate și care intră în domeniul de aplicare al Cadrului Windsor în anexele relevante la Cadrul Windsor. </w:t>
      </w:r>
    </w:p>
    <w:p>
      <w:pPr>
        <w:rPr>
          <w:noProof/>
        </w:rPr>
      </w:pPr>
    </w:p>
    <w:p>
      <w:pPr>
        <w:pStyle w:val="Point0number"/>
        <w:numPr>
          <w:ilvl w:val="0"/>
          <w:numId w:val="5"/>
        </w:numPr>
        <w:rPr>
          <w:noProof/>
        </w:rPr>
      </w:pPr>
      <w:r>
        <w:rPr>
          <w:noProof/>
        </w:rPr>
        <w:t>În temeiul articolului 166 alineatul (2) din Acordul de retragere, deciziile adoptate de Comitetul mixt sunt obligatorii pentru Uniune și pentru Regatul Unit. Uniunea și Regatul Unit trebuie să pună în aplicare aceste decizii, care au același efect juridic ca și Acordul de retragere.</w:t>
      </w:r>
    </w:p>
    <w:p>
      <w:pPr>
        <w:rPr>
          <w:noProof/>
        </w:rPr>
      </w:pPr>
    </w:p>
    <w:p>
      <w:pPr>
        <w:pStyle w:val="Point0number"/>
        <w:rPr>
          <w:noProof/>
        </w:rPr>
      </w:pPr>
      <w:r>
        <w:rPr>
          <w:noProof/>
        </w:rPr>
        <w:t>Regulamentul (UE) 2025/2455 al Parlamentului European și al Consiliului</w:t>
      </w:r>
      <w:r>
        <w:rPr>
          <w:rStyle w:val="FootnoteReference"/>
          <w:noProof/>
        </w:rPr>
        <w:footnoteReference w:id="3"/>
      </w:r>
      <w:r>
        <w:rPr>
          <w:noProof/>
        </w:rPr>
        <w:t xml:space="preserve"> este un act al Uniunii recent adoptat care intră în domeniul de aplicare al Cadrului Windsor și care ar trebui adăugat în anexa 2 la Cadrul Windsor. Cu toate acestea, următoarele dispoziții din Regulamentul (UE) 2025/2455 nu ar trebui adăugate în anexa 2 la </w:t>
      </w:r>
      <w:r>
        <w:rPr>
          <w:noProof/>
        </w:rPr>
        <w:lastRenderedPageBreak/>
        <w:t xml:space="preserve">Cadrul Windsor: articolul 25, punctele 1-2, 5-6, 8, 20, 22-23, 27-31, 38, 43-45, 52­53, 59 și 66-67 din anexa I, punctele 3, 8, 10, 12, 14, 25, 29 și 32 din anexa III, câmpurile de date din anexa IV referitoare la punctele anterioare enumerate în ceea ce privește anexele I și III și punctul 2 din anexa V la Regulamentul (UE) 2025/2455. </w:t>
      </w:r>
    </w:p>
    <w:p>
      <w:pPr>
        <w:rPr>
          <w:noProof/>
        </w:rPr>
      </w:pPr>
    </w:p>
    <w:p>
      <w:pPr>
        <w:rPr>
          <w:noProof/>
        </w:rPr>
      </w:pPr>
      <w:r>
        <w:rPr>
          <w:noProof/>
        </w:rPr>
        <w:t>ADOPTĂ PREZENTA DECIZIE:</w:t>
      </w:r>
    </w:p>
    <w:p>
      <w:pPr>
        <w:rPr>
          <w:noProof/>
        </w:rPr>
      </w:pPr>
    </w:p>
    <w:p>
      <w:pPr>
        <w:pStyle w:val="Text6"/>
        <w:rPr>
          <w:i/>
          <w:iCs/>
          <w:noProof/>
        </w:rPr>
      </w:pPr>
      <w:r>
        <w:rPr>
          <w:i/>
          <w:noProof/>
        </w:rPr>
        <w:t>Articolul 1</w:t>
      </w:r>
    </w:p>
    <w:p>
      <w:pPr>
        <w:rPr>
          <w:noProof/>
        </w:rPr>
      </w:pPr>
      <w:r>
        <w:rPr>
          <w:noProof/>
        </w:rPr>
        <w:t>Regulamentul (UE) 2025/2455 al Parlamentului European și al Consiliului din 26 noiembrie 2025 de înființare a unei platforme comune de date privind substanțele chimice, de stabilire a unor norme pentru a se asigura că datele conținute în aceasta sunt ușor de găsit, accesibile, interoperabile și reutilizabile și de stabilire a unui cadru de monitorizare și de perspectivă pentru substanțele chimice, cu excepția articolului 25 și a punctelor 1-2, 5-6, 8, 20, 22-23, 27­31, 38, 43-45, 52-53, 59 și 66-67 din anexa I, a punctelor 3, 8, 10, 12, 14, 25, 29 și 32 din anexa III, a câmpurilor de date din anexa IV referitoare la punctele anterioare enumerate în ceea ce privește anexele I și III și a punctului 2 din anexa V, se adaugă în anexa 2 la Cadrul Windsor, la punctul 23 – „Substanțe chimice și produse conexe”.</w:t>
      </w:r>
    </w:p>
    <w:p>
      <w:pPr>
        <w:rPr>
          <w:noProof/>
        </w:rPr>
      </w:pPr>
    </w:p>
    <w:p>
      <w:pPr>
        <w:pStyle w:val="Text6"/>
        <w:rPr>
          <w:i/>
          <w:iCs/>
          <w:noProof/>
        </w:rPr>
      </w:pPr>
      <w:r>
        <w:rPr>
          <w:i/>
          <w:noProof/>
        </w:rPr>
        <w:t>Articolul 2</w:t>
      </w:r>
    </w:p>
    <w:p>
      <w:pPr>
        <w:rPr>
          <w:noProof/>
        </w:rPr>
      </w:pPr>
      <w:r>
        <w:rPr>
          <w:noProof/>
        </w:rPr>
        <w:t>Prezenta decizie intră în vigoare în ziua următoare datei adoptării.</w:t>
      </w:r>
    </w:p>
    <w:p>
      <w:pPr>
        <w:rPr>
          <w:noProof/>
        </w:rPr>
      </w:pPr>
    </w:p>
    <w:p>
      <w:pPr>
        <w:rPr>
          <w:noProof/>
        </w:rPr>
      </w:pPr>
      <w:r>
        <w:rPr>
          <w:noProof/>
        </w:rPr>
        <w:t>Adoptată la …,</w:t>
      </w:r>
    </w:p>
    <w:p>
      <w:pPr>
        <w:rPr>
          <w:noProof/>
        </w:rPr>
      </w:pPr>
    </w:p>
    <w:p>
      <w:pPr>
        <w:rPr>
          <w:noProof/>
        </w:rPr>
      </w:pPr>
    </w:p>
    <w:p>
      <w:pPr>
        <w:rPr>
          <w:noProof/>
        </w:rPr>
      </w:pPr>
      <w:r>
        <w:rPr>
          <w:noProof/>
        </w:rPr>
        <w:t xml:space="preserve">Pentru Comitetul mixt </w:t>
      </w:r>
    </w:p>
    <w:p>
      <w:pPr>
        <w:rPr>
          <w:noProof/>
        </w:rPr>
      </w:pPr>
      <w:r>
        <w:rPr>
          <w:noProof/>
        </w:rPr>
        <w:t>Copreședinții</w:t>
      </w:r>
    </w:p>
    <w:sectPr>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JO L 29, 31.1.2020, p.7,</w:t>
      </w:r>
      <w:r>
        <w:rPr>
          <w:rFonts w:ascii="Roboto" w:hAnsi="Roboto"/>
          <w:color w:val="333333"/>
          <w:sz w:val="21"/>
          <w:shd w:val="clear" w:color="auto" w:fill="FFFFFF"/>
        </w:rPr>
        <w:t xml:space="preserve"> </w:t>
      </w:r>
      <w:r>
        <w:t>ELI: </w:t>
      </w:r>
      <w:hyperlink r:id="rId1" w:tooltip="Oferă acces la acest document prin identificatorul său uniform de resurse ELI." w:history="1">
        <w:r>
          <w:rPr>
            <w:rStyle w:val="Hyperlink"/>
          </w:rPr>
          <w:t>http://data.europa.eu/eli/treaty/withd_2020/sign</w:t>
        </w:r>
      </w:hyperlink>
      <w:r>
        <w:t>.</w:t>
      </w:r>
    </w:p>
  </w:footnote>
  <w:footnote w:id="2">
    <w:p>
      <w:pPr>
        <w:pStyle w:val="FootnoteText"/>
      </w:pPr>
      <w:r>
        <w:rPr>
          <w:rStyle w:val="FootnoteReference"/>
        </w:rPr>
        <w:footnoteRef/>
      </w:r>
      <w:r>
        <w:tab/>
        <w:t>Declarația comună nr. 1/2023 a Uniunii Europene și a Regatului Unit în cadrul Comitetului mixt înființat prin Acordul privind retragerea Regatului Unit al Marii Britanii și Irlandei de Nord din Uniunea Europeană și din Comunitatea Europeană a Energiei Atomice din 24 martie 2023 (</w:t>
      </w:r>
      <w:hyperlink r:id="rId2" w:history="1">
        <w:r>
          <w:rPr>
            <w:rStyle w:val="Hyperlink"/>
          </w:rPr>
          <w:t>JO L 102, 17.4.2023, p. 87</w:t>
        </w:r>
      </w:hyperlink>
      <w:r>
        <w:t>).</w:t>
      </w:r>
    </w:p>
  </w:footnote>
  <w:footnote w:id="3">
    <w:p>
      <w:pPr>
        <w:pStyle w:val="FootnoteText"/>
      </w:pPr>
      <w:r>
        <w:rPr>
          <w:rStyle w:val="FootnoteReference"/>
        </w:rPr>
        <w:footnoteRef/>
      </w:r>
      <w:r>
        <w:tab/>
        <w:t xml:space="preserve">Regulamentul (UE) 2025/2455 al Parlamentului European și al Consiliului din 26 noiembrie 2025 de înființare a unei platforme comune de date privind substanțele chimice, de stabilire a unor norme pentru a se asigura că datele conținute în aceasta sunt ușor de găsit, accesibile, interoperabile și reutilizabile și de stabilire a unui cadru de monitorizare și de perspectivă pentru substanțele chimice (JO L, 2025/2455, 12.12.2025, ELI: </w:t>
      </w:r>
      <w:hyperlink r:id="rId3" w:history="1">
        <w:r>
          <w:rPr>
            <w:rStyle w:val="Hyperlink"/>
          </w:rPr>
          <w:t>http://data.europa.eu/eli/reg/2025/2455/oj</w:t>
        </w:r>
      </w:hyperlink>
      <w:r>
        <w:t>).</w:t>
      </w:r>
      <w: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6136D55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8274405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F61EA91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A326912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D8CC54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4709C3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F77A9AD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8CC9B7A"/>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2"/>
  </w:num>
  <w:num w:numId="8">
    <w:abstractNumId w:val="1"/>
  </w:num>
  <w:num w:numId="9">
    <w:abstractNumId w:val="0"/>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1 08:42:3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1A8E3903-19D7-4907-9F48-27C1865A8935"/>
    <w:docVar w:name="LW_COVERPAGE_TYPE" w:val="1"/>
    <w:docVar w:name="LW_CROSSREFERENCE" w:val="&lt;UNUSED&gt;"/>
    <w:docVar w:name="LW_DocType" w:val="ANNEX"/>
    <w:docVar w:name="LW_EMISSION" w:val="18.9.2026"/>
    <w:docVar w:name="LW_EMISSION_ISODATE" w:val="2026-09-18"/>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lt;FMT:Bold&gt;de stabilire a pozi\u539?iei care urmeaz\u259? s\u259? fie luat\u259? în numele Uniunii Europene în cadrul Comitetului mixt înfiin\u539?at prin Acordul privind retragerea Regatului Unit al Marii Britanii \u537?i Irlandei de Nord din Uniunea European\u259? \u537?i din Comunitatea European\u259? a Energiei Atomice în ceea ce prive\u537?te adoptarea unei decizii de ad\u259?ugare a unui act al Uniunii recent adoptat în anexa 2 la Cadrul Windsor&lt;/FMT&gt;_x000d__x000d__x000d__x000d__x000d__x000d__x000d__x000d__x000d__x000d__x000d__x000b_"/>
    <w:docVar w:name="LW_OBJETACTEPRINCIPAL.CP" w:val="&lt;FMT:Bold&gt;de stabilire a pozi\u539?iei care urmeaz\u259? s\u259? fie luat\u259? în numele Uniunii Europene în cadrul Comitetului mixt înfiin\u539?at prin Acordul privind retragerea Regatului Unit al Marii Britanii \u537?i Irlandei de Nord din Uniunea European\u259? \u537?i din Comunitatea European\u259? a Energiei Atomice în ceea ce prive\u537?te adoptarea unei decizii de ad\u259?ugare a unui act al Uniunii recent adoptat în anexa 2 la Cadrul Windsor&lt;/FMT&gt;_x000d__x000d__x000d__x000d__x000d__x000d__x000d__x000d__x000d__x000d__x000d__x000b_"/>
    <w:docVar w:name="LW_PART_NBR" w:val="1"/>
    <w:docVar w:name="LW_PART_NBR_TOTAL" w:val="1"/>
    <w:docVar w:name="LW_REF.INST.NEW" w:val="COM"/>
    <w:docVar w:name="LW_REF.INST.NEW_ADOPTED" w:val="final"/>
    <w:docVar w:name="LW_REF.INST.NEW_TEXT" w:val="(2026) 48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 DECIZIE A CONSILIULUI_x000b_"/>
    <w:docVar w:name="LW_TYPEACTEPRINCIPAL.CP" w:val="Propunerea de DECIZIE A CONSILIULUI_x000b_"/>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0820D5A1-23B8-4F48-879B-E97FAD431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Emphasis">
    <w:name w:val="Emphasis"/>
    <w:uiPriority w:val="20"/>
    <w:qFormat/>
    <w:rPr>
      <w:i/>
      <w:iCs/>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0389873">
      <w:bodyDiv w:val="1"/>
      <w:marLeft w:val="0"/>
      <w:marRight w:val="0"/>
      <w:marTop w:val="0"/>
      <w:marBottom w:val="0"/>
      <w:divBdr>
        <w:top w:val="none" w:sz="0" w:space="0" w:color="auto"/>
        <w:left w:val="none" w:sz="0" w:space="0" w:color="auto"/>
        <w:bottom w:val="none" w:sz="0" w:space="0" w:color="auto"/>
        <w:right w:val="none" w:sz="0" w:space="0" w:color="auto"/>
      </w:divBdr>
    </w:div>
    <w:div w:id="834614723">
      <w:bodyDiv w:val="1"/>
      <w:marLeft w:val="0"/>
      <w:marRight w:val="0"/>
      <w:marTop w:val="0"/>
      <w:marBottom w:val="0"/>
      <w:divBdr>
        <w:top w:val="none" w:sz="0" w:space="0" w:color="auto"/>
        <w:left w:val="none" w:sz="0" w:space="0" w:color="auto"/>
        <w:bottom w:val="none" w:sz="0" w:space="0" w:color="auto"/>
        <w:right w:val="none" w:sz="0" w:space="0" w:color="auto"/>
      </w:divBdr>
    </w:div>
    <w:div w:id="1810170953">
      <w:bodyDiv w:val="1"/>
      <w:marLeft w:val="0"/>
      <w:marRight w:val="0"/>
      <w:marTop w:val="0"/>
      <w:marBottom w:val="0"/>
      <w:divBdr>
        <w:top w:val="none" w:sz="0" w:space="0" w:color="auto"/>
        <w:left w:val="none" w:sz="0" w:space="0" w:color="auto"/>
        <w:bottom w:val="none" w:sz="0" w:space="0" w:color="auto"/>
        <w:right w:val="none" w:sz="0" w:space="0" w:color="auto"/>
      </w:divBdr>
      <w:divsChild>
        <w:div w:id="133723552">
          <w:marLeft w:val="0"/>
          <w:marRight w:val="0"/>
          <w:marTop w:val="0"/>
          <w:marBottom w:val="0"/>
          <w:divBdr>
            <w:top w:val="none" w:sz="0" w:space="0" w:color="auto"/>
            <w:left w:val="none" w:sz="0" w:space="0" w:color="auto"/>
            <w:bottom w:val="none" w:sz="0" w:space="0" w:color="auto"/>
            <w:right w:val="none" w:sz="0" w:space="0" w:color="auto"/>
          </w:divBdr>
        </w:div>
        <w:div w:id="348946313">
          <w:marLeft w:val="0"/>
          <w:marRight w:val="0"/>
          <w:marTop w:val="0"/>
          <w:marBottom w:val="0"/>
          <w:divBdr>
            <w:top w:val="none" w:sz="0" w:space="0" w:color="auto"/>
            <w:left w:val="none" w:sz="0" w:space="0" w:color="auto"/>
            <w:bottom w:val="none" w:sz="0" w:space="0" w:color="auto"/>
            <w:right w:val="none" w:sz="0" w:space="0" w:color="auto"/>
          </w:divBdr>
        </w:div>
      </w:divsChild>
    </w:div>
    <w:div w:id="1963995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2455/oj" TargetMode="External"/><Relationship Id="rId2" Type="http://schemas.openxmlformats.org/officeDocument/2006/relationships/hyperlink" Target="https://eur-lex.europa.eu/legal-content/RO/TXT/?uri=celex%3A22023X0417%2801%29" TargetMode="External"/><Relationship Id="rId1" Type="http://schemas.openxmlformats.org/officeDocument/2006/relationships/hyperlink" Target="http://data.europa.eu/eli/treaty/withd_2020/sig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316012-62AB-4B24-B335-6BBC8D532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58</TotalTime>
  <Pages>2</Pages>
  <Words>431</Words>
  <Characters>2461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32</cp:revision>
  <dcterms:created xsi:type="dcterms:W3CDTF">2026-04-02T16:03:00Z</dcterms:created>
  <dcterms:modified xsi:type="dcterms:W3CDTF">2026-09-11T06:42:00Z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2023-02-09T10:20:23Z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5f093d14-ac39-4d12-aec0-3a79a50eedd5</vt:lpwstr>
  </property>
  <property fmtid="{D5CDD505-2E9C-101B-9397-08002B2CF9AE}" pid="11" name="MSIP_Label_6bd9ddd1-4d20-43f6-abfa-fc3c07406f94_ContentBits">
    <vt:lpwstr>0</vt:lpwstr>
  </property>
  <property fmtid="{D5CDD505-2E9C-101B-9397-08002B2CF9AE}" pid="12" name="Created using">
    <vt:lpwstr>LW 8.1, Build 20230124</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Level of sensitivity">
    <vt:lpwstr>Standard treatment</vt:lpwstr>
  </property>
  <property fmtid="{D5CDD505-2E9C-101B-9397-08002B2CF9AE}" pid="19" name="LWTemplateID">
    <vt:lpwstr>SG-017</vt:lpwstr>
  </property>
  <property fmtid="{D5CDD505-2E9C-101B-9397-08002B2CF9AE}" pid="20" name="DQCStatus">
    <vt:lpwstr>Green (DQC version 03)</vt:lpwstr>
  </property>
</Properties>
</file>