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39935D5-38AC-40D4-BE6E-9ECABDAD6B1A" style="width:455.25pt;height:436.5pt">
            <v:imagedata r:id="rId8" o:title=""/>
          </v:shape>
        </w:pict>
      </w:r>
    </w:p>
    <w:p>
      <w:pPr>
        <w:rPr>
          <w:noProof/>
        </w:rPr>
        <w:sectPr>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pPr>
        <w:pStyle w:val="Annexetitre"/>
        <w:rPr>
          <w:noProof/>
        </w:rPr>
      </w:pPr>
      <w:r>
        <w:rPr>
          <w:noProof/>
        </w:rPr>
        <w:lastRenderedPageBreak/>
        <w:t xml:space="preserve">PROJET DE </w:t>
      </w:r>
    </w:p>
    <w:p>
      <w:pPr>
        <w:rPr>
          <w:noProof/>
        </w:rPr>
      </w:pPr>
    </w:p>
    <w:p>
      <w:pPr>
        <w:rPr>
          <w:noProof/>
        </w:rPr>
      </w:pPr>
      <w:r>
        <w:rPr>
          <w:noProof/>
        </w:rPr>
        <w:t>DÉCISION Nº …/2026 DU COMITÉ MIXTE INSTITUÉ PAR L’ACCORD SUR LE RETRAIT DU ROYAUME-UNI DE GRANDE-BRETAGNE ET D’IRLANDE DU NORD DE L’UNION EUROPÉENNE ET DE LA COMMUNAUTÉ EUROPÉENNE DE L’ÉNERGIE ATOMIQUE</w:t>
      </w:r>
    </w:p>
    <w:p>
      <w:pPr>
        <w:rPr>
          <w:noProof/>
        </w:rPr>
      </w:pPr>
    </w:p>
    <w:p>
      <w:pPr>
        <w:jc w:val="center"/>
        <w:rPr>
          <w:noProof/>
        </w:rPr>
      </w:pPr>
      <w:r>
        <w:rPr>
          <w:noProof/>
        </w:rPr>
        <w:t>du...</w:t>
      </w:r>
    </w:p>
    <w:p>
      <w:pPr>
        <w:jc w:val="center"/>
        <w:rPr>
          <w:noProof/>
        </w:rPr>
      </w:pPr>
    </w:p>
    <w:p>
      <w:pPr>
        <w:jc w:val="center"/>
        <w:rPr>
          <w:noProof/>
        </w:rPr>
      </w:pPr>
      <w:r>
        <w:rPr>
          <w:noProof/>
        </w:rPr>
        <w:t>ajoutant un acte de l’Union nouvellement adopté à l’annexe 2 du cadre de Windsor</w:t>
      </w:r>
    </w:p>
    <w:p>
      <w:pPr>
        <w:rPr>
          <w:noProof/>
        </w:rPr>
      </w:pPr>
    </w:p>
    <w:p>
      <w:pPr>
        <w:rPr>
          <w:noProof/>
        </w:rPr>
      </w:pPr>
    </w:p>
    <w:p>
      <w:pPr>
        <w:rPr>
          <w:noProof/>
        </w:rPr>
      </w:pPr>
      <w:r>
        <w:rPr>
          <w:noProof/>
        </w:rPr>
        <w:t>LE COMITÉ MIXTE,</w:t>
      </w:r>
    </w:p>
    <w:p>
      <w:pPr>
        <w:rPr>
          <w:noProof/>
        </w:rPr>
      </w:pPr>
    </w:p>
    <w:p>
      <w:pPr>
        <w:rPr>
          <w:noProof/>
        </w:rPr>
      </w:pPr>
      <w:r>
        <w:rPr>
          <w:noProof/>
        </w:rPr>
        <w:t>vu l’accord sur le retrait du Royaume-Uni de Grande-Bretagne et d’Irlande du Nord de l’Union européenne et de la Communauté européenne de l’énergie atomique</w:t>
      </w:r>
      <w:r>
        <w:rPr>
          <w:rStyle w:val="FootnoteReference"/>
          <w:noProof/>
        </w:rPr>
        <w:footnoteReference w:id="1"/>
      </w:r>
      <w:r>
        <w:rPr>
          <w:noProof/>
        </w:rPr>
        <w:t xml:space="preserve"> (ci-après l’«accord de retrait»), et notamment l’article 13, paragraphe 4, du cadre de Windsor</w:t>
      </w:r>
      <w:r>
        <w:rPr>
          <w:rStyle w:val="FootnoteReference"/>
          <w:noProof/>
        </w:rPr>
        <w:footnoteReference w:id="2"/>
      </w:r>
      <w:r>
        <w:rPr>
          <w:noProof/>
        </w:rPr>
        <w:t>,</w:t>
      </w:r>
    </w:p>
    <w:p>
      <w:pPr>
        <w:rPr>
          <w:noProof/>
        </w:rPr>
      </w:pPr>
    </w:p>
    <w:p>
      <w:pPr>
        <w:rPr>
          <w:noProof/>
        </w:rPr>
      </w:pPr>
      <w:r>
        <w:rPr>
          <w:noProof/>
        </w:rPr>
        <w:t>considérant ce qui suit:</w:t>
      </w:r>
    </w:p>
    <w:p>
      <w:pPr>
        <w:rPr>
          <w:noProof/>
        </w:rPr>
      </w:pPr>
    </w:p>
    <w:p>
      <w:pPr>
        <w:pStyle w:val="Point0number"/>
        <w:numPr>
          <w:ilvl w:val="0"/>
          <w:numId w:val="5"/>
        </w:numPr>
        <w:rPr>
          <w:noProof/>
        </w:rPr>
      </w:pPr>
      <w:r>
        <w:rPr>
          <w:noProof/>
        </w:rPr>
        <w:t xml:space="preserve">L’article 13, paragraphe 4, du cadre de Windsor habilite le comité mixte institué en vertu de l’article 164, paragraphe 1, de l’accord de retrait (ci-après le «comité mixte») à adopter des décisions ajoutant les actes de l’Union nouvellement adoptés qui relèvent du champ d’application du cadre de Windsor aux annexes pertinentes de celui-ci. </w:t>
      </w:r>
    </w:p>
    <w:p>
      <w:pPr>
        <w:rPr>
          <w:noProof/>
        </w:rPr>
      </w:pPr>
    </w:p>
    <w:p>
      <w:pPr>
        <w:pStyle w:val="Point0number"/>
        <w:numPr>
          <w:ilvl w:val="0"/>
          <w:numId w:val="5"/>
        </w:numPr>
        <w:rPr>
          <w:noProof/>
        </w:rPr>
      </w:pPr>
      <w:r>
        <w:rPr>
          <w:noProof/>
        </w:rPr>
        <w:t>En vertu de l’article 166, paragraphe 2, de l’accord de retrait, les décisions adoptées par le comité mixte lient l’Union et le Royaume-Uni. L’Union et le Royaume-Uni doivent mettre en œuvre ces décisions, qui ont le même effet juridique que l’accord de retrait.</w:t>
      </w:r>
    </w:p>
    <w:p>
      <w:pPr>
        <w:pStyle w:val="ListParagraph"/>
        <w:rPr>
          <w:noProof/>
        </w:rPr>
      </w:pPr>
    </w:p>
    <w:p>
      <w:pPr>
        <w:pStyle w:val="Point0number"/>
        <w:numPr>
          <w:ilvl w:val="0"/>
          <w:numId w:val="5"/>
        </w:numPr>
        <w:rPr>
          <w:noProof/>
        </w:rPr>
      </w:pPr>
      <w:r>
        <w:rPr>
          <w:noProof/>
        </w:rPr>
        <w:t>Le chapitre III du règlement (UE) 2025/327 du Parlement européen et du Conseil</w:t>
      </w:r>
      <w:r>
        <w:rPr>
          <w:rStyle w:val="FootnoteReference"/>
          <w:noProof/>
        </w:rPr>
        <w:footnoteReference w:id="3"/>
      </w:r>
      <w:r>
        <w:rPr>
          <w:noProof/>
        </w:rPr>
        <w:t xml:space="preserve">, dans la mesure où il contient des conditions et des spécifications techniques applicables à la mise sur le marché de produits ou concerne la prestation de services susceptibles d’avoir une incidence sur la libre circulation des produits, comporte des dispositions d’un acte de l’Union nouvellement adopté relevant du champ </w:t>
      </w:r>
      <w:r>
        <w:rPr>
          <w:noProof/>
        </w:rPr>
        <w:lastRenderedPageBreak/>
        <w:t>d’application du cadre de Windsor qu’il conviendrait d’ajouter à l’annexe 2 de celui-ci. Cela ne s’applique pas à l’article 29 dudit règlement, qui figure dans son chapitre III,</w:t>
      </w:r>
    </w:p>
    <w:p>
      <w:pPr>
        <w:rPr>
          <w:noProof/>
        </w:rPr>
      </w:pPr>
    </w:p>
    <w:p>
      <w:pPr>
        <w:rPr>
          <w:noProof/>
        </w:rPr>
      </w:pPr>
      <w:r>
        <w:rPr>
          <w:noProof/>
        </w:rPr>
        <w:t>A ADOPTÉ LA PRÉSENTE DÉCISION:</w:t>
      </w:r>
    </w:p>
    <w:p>
      <w:pPr>
        <w:rPr>
          <w:noProof/>
        </w:rPr>
      </w:pPr>
    </w:p>
    <w:p>
      <w:pPr>
        <w:pStyle w:val="Text6"/>
        <w:rPr>
          <w:i/>
          <w:iCs/>
          <w:noProof/>
        </w:rPr>
      </w:pPr>
      <w:r>
        <w:rPr>
          <w:i/>
          <w:noProof/>
        </w:rPr>
        <w:t>Article premier</w:t>
      </w:r>
    </w:p>
    <w:p>
      <w:pPr>
        <w:rPr>
          <w:noProof/>
        </w:rPr>
      </w:pPr>
      <w:r>
        <w:rPr>
          <w:noProof/>
        </w:rPr>
        <w:t>Le chapitre III du règlement (UE) 2025/327 du Parlement européen et du Conseil du 11 février 2025 relatif à l’espace européen des données de santé et modifiant la directive 2011/24/UE et le règlement (UE) 2024/2847</w:t>
      </w:r>
      <w:r>
        <w:rPr>
          <w:rStyle w:val="FootnoteReference"/>
          <w:noProof/>
        </w:rPr>
        <w:footnoteReference w:id="4"/>
      </w:r>
      <w:r>
        <w:rPr>
          <w:noProof/>
        </w:rPr>
        <w:t>, en ce qui concerne les conditions et les spécifications techniques applicables à la mise sur le marché de produits et à leur mise en service, dans la mesure où la libre circulation des produits est concernée, est ajouté, à l’exception de l’article 29 dudit règlement, à l’annexe 2, point 47 «Autres», du cadre de Windsor.</w:t>
      </w:r>
    </w:p>
    <w:p>
      <w:pPr>
        <w:rPr>
          <w:noProof/>
        </w:rPr>
      </w:pPr>
    </w:p>
    <w:p>
      <w:pPr>
        <w:pStyle w:val="Text6"/>
        <w:rPr>
          <w:i/>
          <w:iCs/>
          <w:noProof/>
        </w:rPr>
      </w:pPr>
      <w:r>
        <w:rPr>
          <w:i/>
          <w:noProof/>
        </w:rPr>
        <w:t>Article 2</w:t>
      </w:r>
    </w:p>
    <w:p>
      <w:pPr>
        <w:rPr>
          <w:noProof/>
        </w:rPr>
      </w:pPr>
      <w:r>
        <w:rPr>
          <w:noProof/>
        </w:rPr>
        <w:t>La présente décision entre en vigueur le jour suivant celui de son adoption.</w:t>
      </w:r>
    </w:p>
    <w:p>
      <w:pPr>
        <w:rPr>
          <w:noProof/>
        </w:rPr>
      </w:pPr>
    </w:p>
    <w:p>
      <w:pPr>
        <w:rPr>
          <w:noProof/>
        </w:rPr>
      </w:pPr>
      <w:r>
        <w:rPr>
          <w:noProof/>
        </w:rPr>
        <w:t>Fait à …, le</w:t>
      </w:r>
    </w:p>
    <w:p>
      <w:pPr>
        <w:rPr>
          <w:noProof/>
        </w:rPr>
      </w:pPr>
    </w:p>
    <w:p>
      <w:pPr>
        <w:rPr>
          <w:noProof/>
        </w:rPr>
      </w:pPr>
    </w:p>
    <w:p>
      <w:pPr>
        <w:rPr>
          <w:noProof/>
        </w:rPr>
      </w:pPr>
      <w:r>
        <w:rPr>
          <w:noProof/>
        </w:rPr>
        <w:t xml:space="preserve">Par le comité mixte </w:t>
      </w:r>
    </w:p>
    <w:p>
      <w:pPr>
        <w:rPr>
          <w:noProof/>
        </w:rPr>
      </w:pPr>
      <w:r>
        <w:rPr>
          <w:noProof/>
        </w:rPr>
        <w:t>Les coprésidents</w:t>
      </w:r>
    </w:p>
    <w:sectPr>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JO L 29 du 31.1.2020, p. 7, ELI: </w:t>
      </w:r>
      <w:hyperlink r:id="rId1" w:tooltip="Permet d’accéder à ce document par l’intermédiaire de son URI ELI." w:history="1">
        <w:r>
          <w:rPr>
            <w:rStyle w:val="Hyperlink"/>
          </w:rPr>
          <w:t>http://data.europa.eu/eli/treaty/withd_2020/sign</w:t>
        </w:r>
      </w:hyperlink>
      <w:r>
        <w:t>.</w:t>
      </w:r>
    </w:p>
  </w:footnote>
  <w:footnote w:id="2">
    <w:p>
      <w:pPr>
        <w:pStyle w:val="FootnoteText"/>
      </w:pPr>
      <w:r>
        <w:rPr>
          <w:rStyle w:val="FootnoteReference"/>
        </w:rPr>
        <w:footnoteRef/>
      </w:r>
      <w:r>
        <w:tab/>
        <w:t>Déclaration commune nº 1/2023 de l’Union et du Royaume-Uni au sein du comité mixte institué par l’accord sur le retrait du Royaume-Uni de Grande-Bretagne et d’Irlande du Nord de l’Union européenne et de la Communauté européenne de l’énergie atomique du 24 mars 2023 (</w:t>
      </w:r>
      <w:hyperlink r:id="rId2" w:history="1">
        <w:r>
          <w:rPr>
            <w:rStyle w:val="Hyperlink"/>
          </w:rPr>
          <w:t>JO L 102 du 17.4.2023, p. 87</w:t>
        </w:r>
      </w:hyperlink>
      <w:r>
        <w:t>).</w:t>
      </w:r>
    </w:p>
  </w:footnote>
  <w:footnote w:id="3">
    <w:p>
      <w:pPr>
        <w:pStyle w:val="FootnoteText"/>
      </w:pPr>
      <w:r>
        <w:rPr>
          <w:rStyle w:val="FootnoteReference"/>
        </w:rPr>
        <w:footnoteRef/>
      </w:r>
      <w:r>
        <w:tab/>
        <w:t>Règlement (UE) 2025/327 du Parlement européen et du Conseil du 11 février 2025 relatif à l’espace européen des données de santé et modifiant la directive 2011/24/UE et le règlement (UE) 2024/2847 (JO L, 2025/327, 5.3.2025, ELI: </w:t>
      </w:r>
      <w:hyperlink r:id="rId3" w:tgtFrame="_blank" w:tooltip="Permet d’accéder à ce document par l’intermédiaire de son URI ELI." w:history="1">
        <w:r>
          <w:rPr>
            <w:rStyle w:val="Hyperlink"/>
          </w:rPr>
          <w:t>http://data.europa.eu/eli/reg/2025/327/oj</w:t>
        </w:r>
      </w:hyperlink>
      <w:r>
        <w:t>).</w:t>
      </w:r>
    </w:p>
  </w:footnote>
  <w:footnote w:id="4">
    <w:p>
      <w:pPr>
        <w:pStyle w:val="FootnoteText"/>
        <w:rPr>
          <w:lang w:val="en-IE"/>
        </w:rPr>
      </w:pPr>
      <w:r>
        <w:rPr>
          <w:rStyle w:val="FootnoteReference"/>
        </w:rPr>
        <w:footnoteRef/>
      </w:r>
      <w:r>
        <w:rPr>
          <w:lang w:val="en-IE"/>
        </w:rPr>
        <w:tab/>
        <w:t>JO L, 2025/327, 5.3.2025, ELI: </w:t>
      </w:r>
      <w:hyperlink r:id="rId4" w:tgtFrame="_blank" w:tooltip="Permet d’accéder à ce document par l’intermédiaire de son URI ELI." w:history="1">
        <w:r>
          <w:rPr>
            <w:rStyle w:val="Hyperlink"/>
            <w:lang w:val="en-IE"/>
          </w:rPr>
          <w:t>http://data.europa.eu/eli/reg/2025/327/oj</w:t>
        </w:r>
      </w:hyperlink>
      <w:r>
        <w:rPr>
          <w:lang w:val="en-IE"/>
        </w:rPr>
        <w:t>).</w:t>
      </w:r>
      <w:r>
        <w:rPr>
          <w:lang w:val="en-IE"/>
        </w:rPr>
        <w:tab/>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6136D55E"/>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8274405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F61EA918"/>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A326912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D8CC542"/>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04709C36"/>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F77A9AD0"/>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88CC9B7A"/>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2"/>
  </w:num>
  <w:num w:numId="8">
    <w:abstractNumId w:val="1"/>
  </w:num>
  <w:num w:numId="9">
    <w:abstractNumId w:val="0"/>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17 15:33:4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e la"/>
    <w:docVar w:name="LW_ACCOMPAGNANT.CP" w:val="de la"/>
    <w:docVar w:name="LW_ANNEX_NBR_FIRST" w:val="1"/>
    <w:docVar w:name="LW_ANNEX_NBR_LAST" w:val="1"/>
    <w:docVar w:name="LW_ANNEX_UNIQUE" w:val="1"/>
    <w:docVar w:name="LW_CORRIGENDUM" w:val="&lt;UNUSED&gt;"/>
    <w:docVar w:name="LW_COVERPAGE_EXISTS" w:val="True"/>
    <w:docVar w:name="LW_COVERPAGE_GUID" w:val="539935D5-38AC-40D4-BE6E-9ECABDAD6B1A"/>
    <w:docVar w:name="LW_COVERPAGE_TYPE" w:val="1"/>
    <w:docVar w:name="LW_CROSSREFERENCE" w:val="&lt;UNUSED&gt;"/>
    <w:docVar w:name="LW_DocType" w:val="ANNEX"/>
    <w:docVar w:name="LW_EMISSION" w:val="18.9.2026"/>
    <w:docVar w:name="LW_EMISSION_ISODATE" w:val="2026-09-18"/>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lt;FMT:Bold&gt;établissant la position à prendre, au nom de l\u8217?Union européenne, au sein du comité mixte institué par l\u8217?accord sur le retrait du Royaume-Uni de Grande-Bretagne et d\u8217?Irlande du Nord de l\u8217?Union européenne et de la Communauté européenne de l\u8217?énergie atomique en ce qui concerne l\u8217?adoption d\u8217?une décision ajoutant un acte de l\u8217?Union nouvellement adopté à l\u8217?annexe 2 du cadre de Windsor&lt;/FMT&gt;_x000d__x000b_&lt;FMT:Bold&gt;_x000d__x000d__x000d__x000d__x000d__x000d__x000d__x000d__x000d__x000d__x000d__x000d_&lt;/FMT&gt;_x000d__x000d__x000b_"/>
    <w:docVar w:name="LW_OBJETACTEPRINCIPAL.CP" w:val="&lt;FMT:Bold&gt;établissant la position à prendre, au nom de l\u8217?Union européenne, au sein du comité mixte institué par l\u8217?accord sur le retrait du Royaume-Uni de Grande-Bretagne et d\u8217?Irlande du Nord de l\u8217?Union européenne et de la Communauté européenne de l\u8217?énergie atomique en ce qui concerne l\u8217?adoption d\u8217?une décision ajoutant un acte de l\u8217?Union nouvellement adopté à l\u8217?annexe 2 du cadre de Windsor&lt;/FMT&gt;_x000d__x000b_&lt;FMT:Bold&gt;_x000d__x000d__x000d__x000d__x000d__x000d__x000d__x000d__x000d__x000d__x000d__x000d_&lt;/FMT&gt;_x000d__x000d__x000b_"/>
    <w:docVar w:name="LW_PART_NBR" w:val="1"/>
    <w:docVar w:name="LW_PART_NBR_TOTAL" w:val="1"/>
    <w:docVar w:name="LW_REF.INST.NEW" w:val="COM"/>
    <w:docVar w:name="LW_REF.INST.NEW_ADOPTED" w:val="final"/>
    <w:docVar w:name="LW_REF.INST.NEW_TEXT" w:val="(2026) 48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
    <w:docVar w:name="LW_TYPE.DOC.CP" w:val="ANNEXE"/>
    <w:docVar w:name="LW_TYPEACTEPRINCIPAL" w:val="proposition de DÉCISION DU CONSEIL_x000b_"/>
    <w:docVar w:name="LW_TYPEACTEPRINCIPAL.CP" w:val="proposition de DÉCISION DU CONSEIL_x000b_"/>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0820D5A1-23B8-4F48-879B-E97FAD431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800080" w:themeColor="followed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Emphasis">
    <w:name w:val="Emphasis"/>
    <w:uiPriority w:val="20"/>
    <w:qFormat/>
    <w:rPr>
      <w:i/>
      <w:iCs/>
    </w:r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0389873">
      <w:bodyDiv w:val="1"/>
      <w:marLeft w:val="0"/>
      <w:marRight w:val="0"/>
      <w:marTop w:val="0"/>
      <w:marBottom w:val="0"/>
      <w:divBdr>
        <w:top w:val="none" w:sz="0" w:space="0" w:color="auto"/>
        <w:left w:val="none" w:sz="0" w:space="0" w:color="auto"/>
        <w:bottom w:val="none" w:sz="0" w:space="0" w:color="auto"/>
        <w:right w:val="none" w:sz="0" w:space="0" w:color="auto"/>
      </w:divBdr>
    </w:div>
    <w:div w:id="834614723">
      <w:bodyDiv w:val="1"/>
      <w:marLeft w:val="0"/>
      <w:marRight w:val="0"/>
      <w:marTop w:val="0"/>
      <w:marBottom w:val="0"/>
      <w:divBdr>
        <w:top w:val="none" w:sz="0" w:space="0" w:color="auto"/>
        <w:left w:val="none" w:sz="0" w:space="0" w:color="auto"/>
        <w:bottom w:val="none" w:sz="0" w:space="0" w:color="auto"/>
        <w:right w:val="none" w:sz="0" w:space="0" w:color="auto"/>
      </w:divBdr>
    </w:div>
    <w:div w:id="1810170953">
      <w:bodyDiv w:val="1"/>
      <w:marLeft w:val="0"/>
      <w:marRight w:val="0"/>
      <w:marTop w:val="0"/>
      <w:marBottom w:val="0"/>
      <w:divBdr>
        <w:top w:val="none" w:sz="0" w:space="0" w:color="auto"/>
        <w:left w:val="none" w:sz="0" w:space="0" w:color="auto"/>
        <w:bottom w:val="none" w:sz="0" w:space="0" w:color="auto"/>
        <w:right w:val="none" w:sz="0" w:space="0" w:color="auto"/>
      </w:divBdr>
      <w:divsChild>
        <w:div w:id="133723552">
          <w:marLeft w:val="0"/>
          <w:marRight w:val="0"/>
          <w:marTop w:val="0"/>
          <w:marBottom w:val="0"/>
          <w:divBdr>
            <w:top w:val="none" w:sz="0" w:space="0" w:color="auto"/>
            <w:left w:val="none" w:sz="0" w:space="0" w:color="auto"/>
            <w:bottom w:val="none" w:sz="0" w:space="0" w:color="auto"/>
            <w:right w:val="none" w:sz="0" w:space="0" w:color="auto"/>
          </w:divBdr>
        </w:div>
        <w:div w:id="348946313">
          <w:marLeft w:val="0"/>
          <w:marRight w:val="0"/>
          <w:marTop w:val="0"/>
          <w:marBottom w:val="0"/>
          <w:divBdr>
            <w:top w:val="none" w:sz="0" w:space="0" w:color="auto"/>
            <w:left w:val="none" w:sz="0" w:space="0" w:color="auto"/>
            <w:bottom w:val="none" w:sz="0" w:space="0" w:color="auto"/>
            <w:right w:val="none" w:sz="0" w:space="0" w:color="auto"/>
          </w:divBdr>
        </w:div>
      </w:divsChild>
    </w:div>
    <w:div w:id="1963995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5/327/oj" TargetMode="External"/><Relationship Id="rId2" Type="http://schemas.openxmlformats.org/officeDocument/2006/relationships/hyperlink" Target="https://eur-lex.europa.eu/legal-content/FR/TXT/?uri=celex%3A22023X0417%2801%29" TargetMode="External"/><Relationship Id="rId1" Type="http://schemas.openxmlformats.org/officeDocument/2006/relationships/hyperlink" Target="http://data.europa.eu/eli/treaty/withd_2020/sign" TargetMode="External"/><Relationship Id="rId4" Type="http://schemas.openxmlformats.org/officeDocument/2006/relationships/hyperlink" Target="http://data.europa.eu/eli/reg/2025/327/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316012-62AB-4B24-B335-6BBC8D5320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8</TotalTime>
  <Pages>3</Pages>
  <Words>377</Words>
  <Characters>2152</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13</cp:revision>
  <dcterms:created xsi:type="dcterms:W3CDTF">2026-07-28T08:11:00Z</dcterms:created>
  <dcterms:modified xsi:type="dcterms:W3CDTF">2026-09-17T13:33:00Z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MSIP_Label_6bd9ddd1-4d20-43f6-abfa-fc3c07406f94_Enabled">
    <vt:lpwstr>true</vt:lpwstr>
  </property>
  <property fmtid="{D5CDD505-2E9C-101B-9397-08002B2CF9AE}" pid="6" name="MSIP_Label_6bd9ddd1-4d20-43f6-abfa-fc3c07406f94_SetDate">
    <vt:lpwstr>2023-02-09T10:20:23Z</vt:lpwstr>
  </property>
  <property fmtid="{D5CDD505-2E9C-101B-9397-08002B2CF9AE}" pid="7" name="MSIP_Label_6bd9ddd1-4d20-43f6-abfa-fc3c07406f94_Method">
    <vt:lpwstr>Standard</vt:lpwstr>
  </property>
  <property fmtid="{D5CDD505-2E9C-101B-9397-08002B2CF9AE}" pid="8" name="MSIP_Label_6bd9ddd1-4d20-43f6-abfa-fc3c07406f94_Name">
    <vt:lpwstr>Commission Use</vt:lpwstr>
  </property>
  <property fmtid="{D5CDD505-2E9C-101B-9397-08002B2CF9AE}" pid="9" name="MSIP_Label_6bd9ddd1-4d20-43f6-abfa-fc3c07406f94_SiteId">
    <vt:lpwstr>b24c8b06-522c-46fe-9080-70926f8dddb1</vt:lpwstr>
  </property>
  <property fmtid="{D5CDD505-2E9C-101B-9397-08002B2CF9AE}" pid="10" name="MSIP_Label_6bd9ddd1-4d20-43f6-abfa-fc3c07406f94_ActionId">
    <vt:lpwstr>5f093d14-ac39-4d12-aec0-3a79a50eedd5</vt:lpwstr>
  </property>
  <property fmtid="{D5CDD505-2E9C-101B-9397-08002B2CF9AE}" pid="11" name="MSIP_Label_6bd9ddd1-4d20-43f6-abfa-fc3c07406f94_ContentBits">
    <vt:lpwstr>0</vt:lpwstr>
  </property>
  <property fmtid="{D5CDD505-2E9C-101B-9397-08002B2CF9AE}" pid="12" name="Created using">
    <vt:lpwstr>LW 8.1, Build 20230124</vt:lpwstr>
  </property>
  <property fmtid="{D5CDD505-2E9C-101B-9397-08002B2CF9AE}" pid="13" name="First annex">
    <vt:lpwstr>1</vt:lpwstr>
  </property>
  <property fmtid="{D5CDD505-2E9C-101B-9397-08002B2CF9AE}" pid="14" name="Last annex">
    <vt:lpwstr>1</vt:lpwstr>
  </property>
  <property fmtid="{D5CDD505-2E9C-101B-9397-08002B2CF9AE}" pid="15" name="Unique annex">
    <vt:lpwstr>1</vt:lpwstr>
  </property>
  <property fmtid="{D5CDD505-2E9C-101B-9397-08002B2CF9AE}" pid="16" name="Part">
    <vt:lpwstr>1</vt:lpwstr>
  </property>
  <property fmtid="{D5CDD505-2E9C-101B-9397-08002B2CF9AE}" pid="17" name="Total parts">
    <vt:lpwstr>1</vt:lpwstr>
  </property>
  <property fmtid="{D5CDD505-2E9C-101B-9397-08002B2CF9AE}" pid="18" name="Level of sensitivity">
    <vt:lpwstr>Standard treatment</vt:lpwstr>
  </property>
  <property fmtid="{D5CDD505-2E9C-101B-9397-08002B2CF9AE}" pid="19" name="LWTemplateID">
    <vt:lpwstr>SG-017</vt:lpwstr>
  </property>
  <property fmtid="{D5CDD505-2E9C-101B-9397-08002B2CF9AE}" pid="20" name="DQCStatus">
    <vt:lpwstr>Green (DQC version 03)</vt:lpwstr>
  </property>
</Properties>
</file>