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F40DF8-9BE2-4004-8B33-E1D1A3F5C1B2" style="width:455.25pt;height:385.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Prezenta propunere se referă la decizia de stabilire a poziției care urmează să fie luată în numele Uniunii în cadrul Comitetului mixt înființat prin Acordul privind retragerea Regatului Unit al Marii Britanii și Irlandei de Nord din Uniunea Europeană și din Comunitatea Europeană a Energiei Atomice</w:t>
      </w:r>
      <w:r>
        <w:rPr>
          <w:rStyle w:val="FootnoteReference"/>
          <w:rFonts w:eastAsia="Arial Unicode MS"/>
          <w:noProof/>
        </w:rPr>
        <w:footnoteReference w:id="1"/>
      </w:r>
      <w:r>
        <w:rPr>
          <w:noProof/>
        </w:rPr>
        <w:t xml:space="preserve"> („Acordul de retragere”) în legătură cu adoptarea preconizată a unei decizii a Comitetului mixt de modificare a anexei 2 la Cadrul Windsor</w:t>
      </w:r>
      <w:r>
        <w:rPr>
          <w:rStyle w:val="FootnoteReference"/>
          <w:rFonts w:eastAsia="Arial Unicode MS"/>
          <w:noProof/>
        </w:rPr>
        <w:footnoteReference w:id="2"/>
      </w:r>
      <w:r>
        <w:rPr>
          <w:noProof/>
        </w:rPr>
        <w:t>, care face parte integrantă din Acordul de retragere.</w:t>
      </w:r>
    </w:p>
    <w:p>
      <w:pPr>
        <w:pStyle w:val="ManualHeading1"/>
        <w:rPr>
          <w:noProof/>
        </w:rPr>
      </w:pPr>
      <w:r>
        <w:rPr>
          <w:noProof/>
        </w:rPr>
        <w:t>2.</w:t>
      </w:r>
      <w:r>
        <w:rPr>
          <w:noProof/>
        </w:rPr>
        <w:tab/>
        <w:t>Contextul propunerii</w:t>
      </w:r>
    </w:p>
    <w:p>
      <w:pPr>
        <w:pStyle w:val="ManualHeading2"/>
        <w:rPr>
          <w:noProof/>
        </w:rPr>
      </w:pPr>
      <w:r>
        <w:rPr>
          <w:noProof/>
        </w:rPr>
        <w:t>2.1.</w:t>
      </w:r>
      <w:r>
        <w:rPr>
          <w:noProof/>
        </w:rPr>
        <w:tab/>
        <w:t>Acordul privind retragerea Regatului Unit al Marii Britanii și Irlandei de Nord din Uniunea Europeană și din Comunitatea Europeană a Energiei Atomice și Cadrul Windsor</w:t>
      </w:r>
    </w:p>
    <w:p>
      <w:pPr>
        <w:rPr>
          <w:noProof/>
        </w:rPr>
      </w:pPr>
      <w:r>
        <w:rPr>
          <w:noProof/>
        </w:rPr>
        <w:t xml:space="preserve">Acordul de retragere prevede condițiile pentru retragerea ordonată a Regatului Unit din Uniune și din Euratom. Acordul de retragere a intrat în vigoare la 1 februarie 2020. La 27 februarie 2023, Comisia Europeană și Guvernul Regatului Unit au ajuns la un acord politic de principiu cu privire la Cadrul Windsor. </w:t>
      </w:r>
      <w:bookmarkStart w:id="0" w:name="_Hlk134460027"/>
      <w:r>
        <w:rPr>
          <w:noProof/>
        </w:rPr>
        <w:t>La 24 martie 2023, Comitetul mixt instituit prin Acordul de retragere a adoptat noile dispoziții referitoare la Cadrul Windsor. Cele două părți au convenit să pună în aplicare pe deplin, în timp util și cu fidelitate Cadrul Windsor</w:t>
      </w:r>
      <w:bookmarkEnd w:id="0"/>
      <w:r>
        <w:rPr>
          <w:noProof/>
        </w:rPr>
        <w:t xml:space="preserve">. </w:t>
      </w:r>
    </w:p>
    <w:p>
      <w:pPr>
        <w:pStyle w:val="ManualHeading2"/>
        <w:rPr>
          <w:noProof/>
        </w:rPr>
      </w:pPr>
      <w:r>
        <w:rPr>
          <w:noProof/>
        </w:rPr>
        <w:t>2.2.</w:t>
      </w:r>
      <w:r>
        <w:rPr>
          <w:noProof/>
        </w:rPr>
        <w:tab/>
        <w:t>Comitetul mixt</w:t>
      </w:r>
    </w:p>
    <w:p>
      <w:pPr>
        <w:rPr>
          <w:rFonts w:eastAsia="Arial Unicode MS"/>
          <w:noProof/>
        </w:rPr>
      </w:pPr>
      <w:r>
        <w:rPr>
          <w:noProof/>
        </w:rPr>
        <w:t>Comitetul mixt instituit în temeiul articolului 164 alineatul (1) din Acordul de retragere este alcătuit din reprezentanți ai Uniunii și ai Regatului Unit. Acesta este coprezidat de Uniune și de Regatul Unit. Anexa VIII la Acordul de retragere stabilește regulamentul de procedură al Comitetului mixt. Comitetul mixt se reunește cel puțin o dată pe an sau la cererea Uniunii ori a Regatului Unit și își stabilește calendarul și ordinea de zi a reuniunilor prin consens. În conformitate cu articolul 166 alineatul (3) din Acordul de retragere, Comitetul mixt își adoptă deciziile de comun acord.</w:t>
      </w:r>
    </w:p>
    <w:p>
      <w:pPr>
        <w:rPr>
          <w:rFonts w:eastAsia="Arial Unicode MS"/>
          <w:noProof/>
        </w:rPr>
      </w:pPr>
      <w:r>
        <w:rPr>
          <w:noProof/>
        </w:rPr>
        <w:t>Sarcinile Comitetului mixt sunt prevăzute la articolul 164 din Acordul de retragere și constau în principal în:</w:t>
      </w:r>
    </w:p>
    <w:p>
      <w:pPr>
        <w:pStyle w:val="Bullet0"/>
        <w:numPr>
          <w:ilvl w:val="0"/>
          <w:numId w:val="7"/>
        </w:numPr>
        <w:rPr>
          <w:noProof/>
        </w:rPr>
      </w:pPr>
      <w:r>
        <w:rPr>
          <w:noProof/>
        </w:rPr>
        <w:t>supravegherea punerii în aplicare și a executării acordului în mod direct sau prin intermediul lucrărilor comitetelor specializate care transmit rapoarte Comitetului mixt;</w:t>
      </w:r>
    </w:p>
    <w:p>
      <w:pPr>
        <w:pStyle w:val="Bullet0"/>
        <w:rPr>
          <w:noProof/>
        </w:rPr>
      </w:pPr>
      <w:r>
        <w:rPr>
          <w:noProof/>
        </w:rPr>
        <w:t>adoptarea de decizii și recomandări, inclusiv de modificări care să fie aduse acordului, în cazurile prevăzute în acesta;</w:t>
      </w:r>
    </w:p>
    <w:p>
      <w:pPr>
        <w:pStyle w:val="Bullet0"/>
        <w:rPr>
          <w:noProof/>
        </w:rPr>
      </w:pPr>
      <w:r>
        <w:rPr>
          <w:noProof/>
        </w:rPr>
        <w:t>prevenirea problemelor și soluționarea litigiilor care pot apărea cu privire la interpretarea și executarea acordului.</w:t>
      </w:r>
    </w:p>
    <w:p>
      <w:pPr>
        <w:pStyle w:val="ManualHeading2"/>
        <w:rPr>
          <w:noProof/>
        </w:rPr>
      </w:pPr>
      <w:r>
        <w:rPr>
          <w:noProof/>
        </w:rPr>
        <w:t>2.3.</w:t>
      </w:r>
      <w:r>
        <w:rPr>
          <w:noProof/>
        </w:rPr>
        <w:tab/>
        <w:t xml:space="preserve">Actul avut în vedere de Comitetul mixt </w:t>
      </w:r>
    </w:p>
    <w:p>
      <w:pPr>
        <w:rPr>
          <w:noProof/>
        </w:rPr>
      </w:pPr>
      <w:r>
        <w:rPr>
          <w:noProof/>
        </w:rPr>
        <w:t>În cadrul următoarei sale reuniuni, Comitetul mixt urmează să adopte o decizie de adăugare a unui act al Uniunii recent adoptat care intră în domeniul de aplicare al Cadrului Windsor în anexa 2 la acest cadru („actul avut în vedere”).</w:t>
      </w:r>
    </w:p>
    <w:p>
      <w:pPr>
        <w:rPr>
          <w:noProof/>
        </w:rPr>
      </w:pPr>
      <w:r>
        <w:rPr>
          <w:noProof/>
        </w:rPr>
        <w:lastRenderedPageBreak/>
        <w:t>Astfel, scopul actului avut în vedere este de a adăuga un act al Uniunii recent adoptat care intră în domeniul de aplicare al Cadrului Windsor în anexa 2 la acest cadru, în temeiul articolului 13 alineatul (4) din acesta.</w:t>
      </w:r>
    </w:p>
    <w:p>
      <w:pPr>
        <w:rPr>
          <w:rFonts w:eastAsia="Arial Unicode MS"/>
          <w:noProof/>
        </w:rPr>
      </w:pPr>
      <w:r>
        <w:rPr>
          <w:noProof/>
        </w:rPr>
        <w:t xml:space="preserve">Actul avut în vedere va deveni obligatoriu pentru părți în conformitate cu articolul 166 alineatul (2) din Acordul de retragere, conform căruia: </w:t>
      </w:r>
      <w:r>
        <w:rPr>
          <w:i/>
          <w:noProof/>
        </w:rPr>
        <w:t>„Deciziile adoptate de Comitetul mixt sunt obligatorii pentru Uniune și pentru Regatul Unit, iar Uniunea și Regatul Unit pun în aplicare deciziile respective. Deciziile au același efect juridic ca și prezentul acord.”</w:t>
      </w:r>
      <w:r>
        <w:rPr>
          <w:noProof/>
        </w:rPr>
        <w:t xml:space="preserve"> În conformitate cu articolul 9 din Regulamentul de procedură al Comitetului mixt și al comitetelor specializate, deciziile adoptate de Comitetul mixt vor specifica data de la care produc efecte.</w:t>
      </w:r>
    </w:p>
    <w:p>
      <w:pPr>
        <w:pStyle w:val="ManualHeading1"/>
        <w:rPr>
          <w:rFonts w:eastAsia="Arial Unicode MS"/>
          <w:noProof/>
        </w:rPr>
      </w:pPr>
      <w:r>
        <w:rPr>
          <w:noProof/>
        </w:rPr>
        <w:t>3.</w:t>
      </w:r>
      <w:r>
        <w:rPr>
          <w:noProof/>
        </w:rPr>
        <w:tab/>
        <w:t>Poziția care urmează să fie luată în numele Uniunii</w:t>
      </w:r>
    </w:p>
    <w:p>
      <w:pPr>
        <w:tabs>
          <w:tab w:val="left" w:pos="851"/>
        </w:tabs>
        <w:ind w:left="851" w:hanging="851"/>
        <w:rPr>
          <w:b/>
          <w:bCs/>
          <w:noProof/>
        </w:rPr>
      </w:pPr>
      <w:r>
        <w:rPr>
          <w:b/>
          <w:noProof/>
        </w:rPr>
        <w:t xml:space="preserve">3.1. </w:t>
      </w:r>
      <w:r>
        <w:rPr>
          <w:noProof/>
        </w:rPr>
        <w:tab/>
      </w:r>
      <w:r>
        <w:rPr>
          <w:b/>
          <w:noProof/>
        </w:rPr>
        <w:t xml:space="preserve">Anexa 2 [„Dispozițiile din dreptul Uniunii menționate la articolul 5 alineatul (4)”] la Cadrul Windsor </w:t>
      </w:r>
    </w:p>
    <w:p>
      <w:pPr>
        <w:rPr>
          <w:noProof/>
        </w:rPr>
      </w:pPr>
      <w:r>
        <w:rPr>
          <w:noProof/>
        </w:rPr>
        <w:t>Anexa 2 la Cadrul Windsor conține dispozițiile din dreptul Uniunii menționate la articolul 5 alineatul (4) din respectivul cadru, și anume dispozițiile din dreptul Uniunii care se aplică, de asemenea, în condițiile stabilite în anexa respectivă, Regatului Unit și în Regatul Unit în ceea ce privește Irlanda de Nord.</w:t>
      </w:r>
    </w:p>
    <w:p>
      <w:pPr>
        <w:rPr>
          <w:noProof/>
        </w:rPr>
      </w:pPr>
      <w:r>
        <w:rPr>
          <w:noProof/>
        </w:rPr>
        <w:t>La 11 februarie 2025, Uniunea a adoptat Regulamentul (UE) 2025/327 referitor la spațiul european al datelor privind sănătatea</w:t>
      </w:r>
      <w:r>
        <w:rPr>
          <w:rStyle w:val="FootnoteReference"/>
          <w:noProof/>
        </w:rPr>
        <w:footnoteReference w:id="3"/>
      </w:r>
      <w:r>
        <w:rPr>
          <w:noProof/>
        </w:rPr>
        <w:t xml:space="preserve">. </w:t>
      </w:r>
    </w:p>
    <w:p>
      <w:pPr>
        <w:contextualSpacing/>
        <w:rPr>
          <w:noProof/>
        </w:rPr>
      </w:pPr>
      <w:r>
        <w:rPr>
          <w:noProof/>
        </w:rPr>
        <w:t xml:space="preserve">Regulamentul (UE) 2025/327 stabilește primul spațiu european al datelor specific unui anumit domeniu. Printre altele, capitolul III din regulament urmărește să armonizeze normele privind produsele și serviciile de sănătate digitală prin stabilirea unui cadru juridic uniform pentru dezvoltarea, comercializarea și utilizarea sistemelor de dosare electronice de sănătate (sisteme DES). Acesta stabilește, de asemenea, norme și proceduri pentru supravegherea pieței acestor produse. </w:t>
      </w:r>
    </w:p>
    <w:p>
      <w:pPr>
        <w:contextualSpacing/>
        <w:rPr>
          <w:noProof/>
        </w:rPr>
      </w:pPr>
    </w:p>
    <w:p>
      <w:pPr>
        <w:contextualSpacing/>
        <w:rPr>
          <w:noProof/>
        </w:rPr>
      </w:pPr>
      <w:r>
        <w:rPr>
          <w:noProof/>
        </w:rPr>
        <w:t>În măsura în care este vizată libera circulație a produselor, capitolul III din Regulamentul</w:t>
      </w:r>
      <w:bookmarkStart w:id="1" w:name="_Hlk233814399"/>
      <w:r>
        <w:rPr>
          <w:noProof/>
        </w:rPr>
        <w:t> (UE) 2025/327</w:t>
      </w:r>
      <w:bookmarkEnd w:id="1"/>
      <w:r>
        <w:rPr>
          <w:noProof/>
        </w:rPr>
        <w:t xml:space="preserve"> se referă la piața internă a mărfurilor și, prin urmare, intră în domeniul de aplicare al Cadrului Windsor. Articolul 29 din Regulamentul (UE) 2025/327, care este inclus în capitolul III din acesta, se referă la achizițiile publice, care nu intră în domeniul de aplicare al Cadrului Windsor. Prin urmare, capitolul III ar trebui, cu excepția articolului 29, să fie adăugat în anexa 2 la Cadrul Windsor, la punctul 47 – „Altele”, cu următoarea notă: „</w:t>
      </w:r>
      <w:r>
        <w:rPr>
          <w:i/>
          <w:noProof/>
        </w:rPr>
        <w:t>în ceea ce privește</w:t>
      </w:r>
      <w:r>
        <w:rPr>
          <w:noProof/>
        </w:rPr>
        <w:t xml:space="preserve"> </w:t>
      </w:r>
      <w:r>
        <w:rPr>
          <w:i/>
          <w:noProof/>
        </w:rPr>
        <w:t>condițiile și specificațiile tehnice referitoare la introducerea pe piață a produselor și la</w:t>
      </w:r>
      <w:r>
        <w:rPr>
          <w:noProof/>
        </w:rPr>
        <w:t xml:space="preserve"> </w:t>
      </w:r>
      <w:r>
        <w:rPr>
          <w:i/>
          <w:noProof/>
        </w:rPr>
        <w:t>punerea lor în funcțiune, în măsura în care afectează libera circulație a produselor și</w:t>
      </w:r>
      <w:r>
        <w:rPr>
          <w:noProof/>
        </w:rPr>
        <w:t xml:space="preserve"> </w:t>
      </w:r>
      <w:r>
        <w:rPr>
          <w:i/>
          <w:noProof/>
        </w:rPr>
        <w:t>cu excepția articolului 29</w:t>
      </w:r>
      <w:r>
        <w:rPr>
          <w:noProof/>
        </w:rPr>
        <w:t>”.</w:t>
      </w:r>
    </w:p>
    <w:p>
      <w:pPr>
        <w:contextualSpacing/>
        <w:rPr>
          <w:noProof/>
        </w:rPr>
      </w:pPr>
    </w:p>
    <w:p>
      <w:pPr>
        <w:rPr>
          <w:noProof/>
        </w:rPr>
      </w:pPr>
      <w:r>
        <w:rPr>
          <w:noProof/>
        </w:rPr>
        <w:t>Astfel, este necesar să se stabilească poziția care urmează să fie luată de către Uniune în cadrul Comitetului mixt în ceea ce privește adăugarea în anexa 2 la Cadrul Windsor a capitolului III din actul Uniunii recent adoptat menționat mai sus.</w:t>
      </w:r>
    </w:p>
    <w:p>
      <w:pPr>
        <w:contextualSpacing/>
        <w:rPr>
          <w:noProof/>
        </w:rPr>
      </w:pPr>
    </w:p>
    <w:p>
      <w:pPr>
        <w:pStyle w:val="ManualHeading1"/>
        <w:rPr>
          <w:noProof/>
        </w:rPr>
      </w:pPr>
      <w:r>
        <w:rPr>
          <w:noProof/>
        </w:rPr>
        <w:t>4.</w:t>
      </w:r>
      <w:r>
        <w:rPr>
          <w:noProof/>
        </w:rPr>
        <w:tab/>
        <w:t>Temei juridic</w:t>
      </w:r>
    </w:p>
    <w:p>
      <w:pPr>
        <w:pStyle w:val="ManualHeading2"/>
        <w:rPr>
          <w:noProof/>
        </w:rPr>
      </w:pPr>
      <w:r>
        <w:rPr>
          <w:noProof/>
        </w:rPr>
        <w:t>4.1.</w:t>
      </w:r>
      <w:r>
        <w:rPr>
          <w:noProof/>
        </w:rPr>
        <w:tab/>
        <w:t>Temeiul juridic procedural</w:t>
      </w:r>
    </w:p>
    <w:p>
      <w:pPr>
        <w:rPr>
          <w:noProof/>
        </w:rPr>
      </w:pPr>
      <w:r>
        <w:rPr>
          <w:noProof/>
        </w:rPr>
        <w:t>Comitetul mixt este un organism instituit printr-un acord, și anume Acordul de retragere.</w:t>
      </w:r>
    </w:p>
    <w:p>
      <w:pPr>
        <w:rPr>
          <w:noProof/>
        </w:rPr>
      </w:pPr>
      <w:r>
        <w:rPr>
          <w:noProof/>
        </w:rPr>
        <w:t xml:space="preserve">Actul pe care Comitetul mixt este invitat să îl adopte are efecte juridice, întrucât va produce efecte juridice pentru Uniune în temeiul Acordului de retragere. Actul avut în vedere va fi obligatoriu pentru părți în conformitate cu articolul 166 alineatul (2) din Acordul de retragere. </w:t>
      </w:r>
    </w:p>
    <w:p>
      <w:pPr>
        <w:rPr>
          <w:noProof/>
        </w:rPr>
      </w:pPr>
      <w:r>
        <w:rPr>
          <w:noProof/>
        </w:rPr>
        <w:t>Actul avut în vedere nu aduce completări sau modificări cadrului instituțional al Acordului de retragere.</w:t>
      </w:r>
    </w:p>
    <w:p>
      <w:pPr>
        <w:rPr>
          <w:noProof/>
        </w:rPr>
      </w:pPr>
      <w:r>
        <w:rPr>
          <w:noProof/>
        </w:rPr>
        <w:t>Prin urmare, temeiul juridic procedural al deciziei propuse este articolul 218 alineatul (9) din TFUE.</w:t>
      </w:r>
    </w:p>
    <w:p>
      <w:pPr>
        <w:pStyle w:val="ManualHeading2"/>
        <w:rPr>
          <w:noProof/>
        </w:rPr>
      </w:pPr>
      <w:r>
        <w:rPr>
          <w:noProof/>
        </w:rPr>
        <w:t>4.2.</w:t>
      </w:r>
      <w:r>
        <w:rPr>
          <w:noProof/>
        </w:rPr>
        <w:tab/>
        <w:t>Temeiul juridic material</w:t>
      </w:r>
    </w:p>
    <w:p>
      <w:pPr>
        <w:rPr>
          <w:iCs/>
          <w:noProof/>
        </w:rPr>
      </w:pPr>
      <w:r>
        <w:rPr>
          <w:noProof/>
        </w:rPr>
        <w:t>Principalul obiectiv și conținut al actului avut în vedere se referă la adăugarea unui act al Uniunii recent adoptat în anexa 2 la Cadrul Windsor.</w:t>
      </w:r>
    </w:p>
    <w:p>
      <w:pPr>
        <w:rPr>
          <w:iCs/>
          <w:noProof/>
        </w:rPr>
      </w:pPr>
      <w:r>
        <w:rPr>
          <w:noProof/>
        </w:rPr>
        <w:t>Încheierea Acordului de retragere s-a întemeiat pe articolul 50 alineatul (2) din TUE.</w:t>
      </w:r>
    </w:p>
    <w:p>
      <w:pPr>
        <w:rPr>
          <w:iCs/>
          <w:noProof/>
        </w:rPr>
      </w:pPr>
      <w:r>
        <w:rPr>
          <w:noProof/>
        </w:rPr>
        <w:t>Prin urmare, temeiul juridic material al deciziei propuse este articolul 50 alineatul (2) din TUE.</w:t>
      </w:r>
    </w:p>
    <w:p>
      <w:pPr>
        <w:pStyle w:val="ManualHeading2"/>
        <w:rPr>
          <w:noProof/>
        </w:rPr>
      </w:pPr>
      <w:r>
        <w:rPr>
          <w:noProof/>
        </w:rPr>
        <w:t>4.3.</w:t>
      </w:r>
      <w:r>
        <w:rPr>
          <w:noProof/>
        </w:rPr>
        <w:tab/>
        <w:t>Concluzie</w:t>
      </w:r>
    </w:p>
    <w:p>
      <w:pPr>
        <w:rPr>
          <w:noProof/>
        </w:rPr>
      </w:pPr>
      <w:r>
        <w:rPr>
          <w:noProof/>
        </w:rPr>
        <w:t>Temeiul juridic al deciziei propuse ar trebui să fie articolul 50 alineatul (2) din TUE coroborat 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Comitetului mixt va modifica anexa 2 la Cadrul Windsor, este necesar ca acesta să fie publicat, după adoptare, în </w:t>
      </w:r>
      <w:r>
        <w:rPr>
          <w:i/>
          <w:iCs/>
          <w:noProof/>
        </w:rPr>
        <w:t>Jurnalul Oficial al Uniunii Europene</w:t>
      </w:r>
      <w:r>
        <w:rPr>
          <w:noProof/>
        </w:rPr>
        <w:t>.</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2026/0285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de stabilire a poziției care urmează să fie luată în numele Uniunii Europene în cadrul Comitetului mixt înființat prin Acordul privind retragerea Regatului Unit al Marii Britanii și Irlandei de Nord din Uniunea Europeană și din Comunitatea Europeană a Energiei Atomice în ceea ce privește adoptarea unei decizii de adăugare a unui act al Uniunii recent adoptat în anexa 2 la Cadrul Windsor</w:t>
      </w:r>
    </w:p>
    <w:p>
      <w:pPr>
        <w:pStyle w:val="Institutionquiagit"/>
        <w:rPr>
          <w:noProof/>
        </w:rPr>
      </w:pPr>
      <w:r>
        <w:rPr>
          <w:noProof/>
        </w:rPr>
        <w:t>CONSILIUL UNIUNII EUROPENE,</w:t>
      </w:r>
    </w:p>
    <w:p>
      <w:pPr>
        <w:rPr>
          <w:noProof/>
        </w:rPr>
      </w:pPr>
      <w:r>
        <w:rPr>
          <w:noProof/>
        </w:rPr>
        <w:t>având în vedere Tratatul privind Uniunea Europeană, în special articolul 50 alineatul (2) coroborat cu articolul 218 alineatul (9) din Tratatul privind funcționarea Uniunii Europene,</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Acordul privind retragerea Regatului Unit al Marii Britanii și Irlandei de Nord din Uniunea Europeană și din Comunitatea Europeană a Energiei Atomice</w:t>
      </w:r>
      <w:r>
        <w:rPr>
          <w:rStyle w:val="FootnoteReference"/>
          <w:noProof/>
        </w:rPr>
        <w:footnoteReference w:id="4"/>
      </w:r>
      <w:r>
        <w:rPr>
          <w:noProof/>
        </w:rPr>
        <w:t xml:space="preserve"> (denumit în continuare „Acordul de retragere”) a fost încheiat de către Uniune prin Decizia (UE) 2020/135 a Consiliului</w:t>
      </w:r>
      <w:r>
        <w:rPr>
          <w:rStyle w:val="FootnoteReference"/>
          <w:noProof/>
        </w:rPr>
        <w:footnoteReference w:id="5"/>
      </w:r>
      <w:r>
        <w:rPr>
          <w:noProof/>
        </w:rPr>
        <w:t>.</w:t>
      </w:r>
    </w:p>
    <w:p>
      <w:pPr>
        <w:pStyle w:val="ManualConsidrant"/>
        <w:rPr>
          <w:noProof/>
        </w:rPr>
      </w:pPr>
      <w:r>
        <w:rPr>
          <w:noProof/>
        </w:rPr>
        <w:t>(2)</w:t>
      </w:r>
      <w:r>
        <w:rPr>
          <w:noProof/>
        </w:rPr>
        <w:tab/>
        <w:t>În temeiul articolului 13 alineatul (4) din Cadrul Windsor</w:t>
      </w:r>
      <w:r>
        <w:rPr>
          <w:rStyle w:val="FootnoteReference"/>
          <w:noProof/>
        </w:rPr>
        <w:footnoteReference w:id="6"/>
      </w:r>
      <w:r>
        <w:rPr>
          <w:noProof/>
        </w:rPr>
        <w:t xml:space="preserve">, care face parte integrantă din Acordul de retragere, Comitetul mixt înființat prin Acordul de retragere poate adopta decizii de modificare a anexelor relevante la Cadrul Windsor prin adăugarea unor acte ale Uniunii recent adoptate care intră în domeniul de aplicare al Cadrului Windsor, dar care nu modifică și nici nu înlocuiesc actele Uniunii enumerate în anexele la Cadrul Windsor. </w:t>
      </w:r>
    </w:p>
    <w:p>
      <w:pPr>
        <w:pStyle w:val="ManualConsidrant"/>
        <w:rPr>
          <w:noProof/>
        </w:rPr>
      </w:pPr>
      <w:r>
        <w:rPr>
          <w:noProof/>
        </w:rPr>
        <w:t>(3)</w:t>
      </w:r>
      <w:r>
        <w:rPr>
          <w:noProof/>
        </w:rPr>
        <w:tab/>
        <w:t xml:space="preserve">În cadrul următoarei sale reuniuni, Comitetul mixt urmează să adopte o decizie de adăugare a unui act al Uniunii recent adoptat în anexa 2 la Cadrul Windsor. </w:t>
      </w:r>
    </w:p>
    <w:p>
      <w:pPr>
        <w:pStyle w:val="ManualConsidrant"/>
        <w:rPr>
          <w:noProof/>
        </w:rPr>
      </w:pPr>
      <w:r>
        <w:rPr>
          <w:noProof/>
        </w:rPr>
        <w:t>(4)</w:t>
      </w:r>
      <w:r>
        <w:rPr>
          <w:noProof/>
        </w:rPr>
        <w:tab/>
        <w:t>În măsura în care cuprinde condiții și specificații tehnice care se referă la introducerea pe piață a produselor sau la prestarea de servicii care pot afecta libera circulație a produselor, capitolul III din Regulamentul (UE) 2025/327 al Parlamentului European și al Consiliului</w:t>
      </w:r>
      <w:r>
        <w:rPr>
          <w:rStyle w:val="FootnoteReference"/>
          <w:noProof/>
        </w:rPr>
        <w:footnoteReference w:id="7"/>
      </w:r>
      <w:r>
        <w:rPr>
          <w:noProof/>
        </w:rPr>
        <w:t xml:space="preserve"> include dispoziții ale unui act al Uniunii recent adoptat care intră în domeniul de aplicare al Cadrului Windsor și care ar trebui adăugate în anexa 2 la Cadrul Windsor. Acest lucru nu se aplică articolului 29, care este inclus în capitolul III al regulamentului respectiv.</w:t>
      </w:r>
    </w:p>
    <w:p>
      <w:pPr>
        <w:pStyle w:val="ManualConsidrant"/>
        <w:rPr>
          <w:noProof/>
        </w:rPr>
      </w:pPr>
      <w:r>
        <w:rPr>
          <w:noProof/>
        </w:rPr>
        <w:t>(5)</w:t>
      </w:r>
      <w:r>
        <w:rPr>
          <w:noProof/>
        </w:rPr>
        <w:tab/>
        <w:t>Dacă va fi adoptată, decizia preconizată a Comitetului mixt va produce efecte juridice pentru Uniune. Capitolul III din Regulamentul (UE) 2025/327 al Parlamentului European și al Consiliului ar trebui adăugat în anexa 2 la Cadrul Windsor, cu excepția articolului 29.</w:t>
      </w:r>
    </w:p>
    <w:p>
      <w:pPr>
        <w:pStyle w:val="ManualConsidrant"/>
        <w:rPr>
          <w:noProof/>
        </w:rPr>
      </w:pPr>
      <w:r>
        <w:rPr>
          <w:noProof/>
        </w:rPr>
        <w:t>(6)</w:t>
      </w:r>
      <w:r>
        <w:rPr>
          <w:noProof/>
        </w:rPr>
        <w:tab/>
        <w:t>Prin urmare, este necesar să se stabilească poziția care urmează să fie luată de către Comitetul mixt în ceea ce privește adăugarea unui act al Uniunii recent adoptat în anexa 2 la Cadrul Windsor,</w:t>
      </w:r>
    </w:p>
    <w:p>
      <w:pPr>
        <w:rPr>
          <w:noProof/>
        </w:rPr>
      </w:pPr>
    </w:p>
    <w:p>
      <w:pPr>
        <w:pStyle w:val="Formuledadoption"/>
        <w:rPr>
          <w:noProof/>
        </w:rPr>
      </w:pPr>
      <w:r>
        <w:rPr>
          <w:noProof/>
        </w:rPr>
        <w:t>ADOPTĂ PREZENTA DECIZIE:</w:t>
      </w:r>
    </w:p>
    <w:p>
      <w:pPr>
        <w:pStyle w:val="Titrearticle"/>
        <w:rPr>
          <w:noProof/>
        </w:rPr>
      </w:pPr>
      <w:r>
        <w:rPr>
          <w:noProof/>
        </w:rPr>
        <w:t>Articolul 1</w:t>
      </w:r>
    </w:p>
    <w:p>
      <w:pPr>
        <w:rPr>
          <w:iCs/>
          <w:noProof/>
        </w:rPr>
      </w:pPr>
      <w:r>
        <w:rPr>
          <w:noProof/>
        </w:rPr>
        <w:t xml:space="preserve">Poziția care urmează să fie luată în numele Uniunii în cadrul Comitetului mixt înființat în temeiul articolului 164 alineatul (1) din Acordul privind retragerea Regatului Unit al Marii Britanii și Irlandei de Nord din Uniunea Europeană și din Comunitatea Europeană a Energiei Atomice („Comitetul mixt”) se bazează pe proiectul de decizie a Comitetului mixt atașat la prezenta decizie. </w:t>
      </w:r>
    </w:p>
    <w:p>
      <w:pPr>
        <w:rPr>
          <w:iCs/>
          <w:noProof/>
        </w:rPr>
      </w:pPr>
    </w:p>
    <w:p>
      <w:pPr>
        <w:jc w:val="center"/>
        <w:rPr>
          <w:i/>
          <w:noProof/>
        </w:rPr>
      </w:pPr>
      <w:r>
        <w:rPr>
          <w:i/>
          <w:noProof/>
        </w:rPr>
        <w:t>Articolul 2</w:t>
      </w:r>
    </w:p>
    <w:p>
      <w:pPr>
        <w:rPr>
          <w:iCs/>
          <w:noProof/>
        </w:rPr>
      </w:pPr>
      <w:r>
        <w:rPr>
          <w:noProof/>
        </w:rPr>
        <w:t>Se poate conveni asupra unor modificări tehnice minore ale poziției stabilite în proiectul de decizie a Comitetului mixt atașat la prezenta decizie, fără a mai fi necesară o nouă decizie a Consiliului.</w:t>
      </w:r>
    </w:p>
    <w:p>
      <w:pPr>
        <w:pStyle w:val="Titrearticle"/>
        <w:rPr>
          <w:noProof/>
        </w:rPr>
      </w:pPr>
      <w:r>
        <w:rPr>
          <w:noProof/>
        </w:rPr>
        <w:t>Articolul 3</w:t>
      </w:r>
    </w:p>
    <w:p>
      <w:pPr>
        <w:rPr>
          <w:noProof/>
        </w:rPr>
      </w:pPr>
      <w:r>
        <w:rPr>
          <w:noProof/>
        </w:rPr>
        <w:t>Prezenta decizie întră în vigoare la data adoptării.</w:t>
      </w:r>
    </w:p>
    <w:p>
      <w:pPr>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31.1.2020, p. 7, ELI: </w:t>
      </w:r>
      <w:hyperlink r:id="rId1" w:tooltip="Oferă acces la acest document prin identificatorul său uniform de resurse ELI." w:history="1">
        <w:r>
          <w:rPr>
            <w:rStyle w:val="Hyperlink"/>
          </w:rPr>
          <w:t>http://data.europa.eu/eli/treaty/withd_2020/sign</w:t>
        </w:r>
      </w:hyperlink>
      <w:r>
        <w:t>.</w:t>
      </w:r>
      <w:r>
        <w:tab/>
      </w:r>
    </w:p>
  </w:footnote>
  <w:footnote w:id="2">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2" w:history="1">
        <w:r>
          <w:rPr>
            <w:rStyle w:val="Hyperlink"/>
          </w:rPr>
          <w:t>JO L 102, 17.4.2023, p. 87</w:t>
        </w:r>
      </w:hyperlink>
      <w:r>
        <w:t>).</w:t>
      </w:r>
    </w:p>
  </w:footnote>
  <w:footnote w:id="3">
    <w:p>
      <w:pPr>
        <w:pStyle w:val="FootnoteText"/>
      </w:pPr>
      <w:r>
        <w:rPr>
          <w:rStyle w:val="FootnoteReference"/>
        </w:rPr>
        <w:footnoteRef/>
      </w:r>
      <w:r>
        <w:tab/>
        <w:t>Regulamentul (UE) 2025/327 al Parlamentului European și al Consiliului din 11 februarie 2025 referitor la spațiul european al datelor privind sănătatea și de modificare a Directivei 2011/24/UE și a Regulamentului (UE) 2024/2847 (JO L, 2025/327, 5.3.2025, ELI: </w:t>
      </w:r>
      <w:hyperlink r:id="rId3" w:tgtFrame="_blank" w:tooltip="Oferă acces la acest document prin identificatorul său uniform de resurse ELI." w:history="1">
        <w:r>
          <w:rPr>
            <w:rStyle w:val="Hyperlink"/>
          </w:rPr>
          <w:t>http://data.europa.eu/eli/reg/2025/327/oj</w:t>
        </w:r>
      </w:hyperlink>
      <w:r>
        <w:t>).</w:t>
      </w:r>
    </w:p>
  </w:footnote>
  <w:footnote w:id="4">
    <w:p>
      <w:pPr>
        <w:pStyle w:val="FootnoteText"/>
      </w:pPr>
      <w:r>
        <w:rPr>
          <w:rStyle w:val="FootnoteReference"/>
        </w:rPr>
        <w:footnoteRef/>
      </w:r>
      <w:r>
        <w:tab/>
        <w:t>JO L 29, 31.1.2020, p. 7, ELI: </w:t>
      </w:r>
      <w:hyperlink r:id="rId4" w:history="1">
        <w:r>
          <w:rPr>
            <w:rStyle w:val="Hyperlink"/>
          </w:rPr>
          <w:t>http://data.europa.eu/eli/treaty/withd_2020/sign</w:t>
        </w:r>
      </w:hyperlink>
      <w:r>
        <w:t>.</w:t>
      </w:r>
      <w:r>
        <w:tab/>
      </w:r>
    </w:p>
  </w:footnote>
  <w:footnote w:id="5">
    <w:p>
      <w:pPr>
        <w:pStyle w:val="FootnoteText"/>
      </w:pPr>
      <w:r>
        <w:rPr>
          <w:rStyle w:val="FootnoteReference"/>
        </w:rPr>
        <w:footnoteRef/>
      </w:r>
      <w:r>
        <w:tab/>
        <w:t>Decizia (UE) 2020/135 a Consiliului din 30 ianuarie 2020 referitoare la încheierea Acordului privind retragerea Regatului Unit al Marii Britanii și Irlandei de Nord din Uniunea Europeană și din Comunitatea Europeană a Energiei Atomice (JO L 29, 31.1.2020, p. 1, ELI: </w:t>
      </w:r>
      <w:hyperlink r:id="rId5" w:tooltip="Oferă acces la acest document prin identificatorul său uniform de resurse ELI." w:history="1">
        <w:r>
          <w:rPr>
            <w:rStyle w:val="Hyperlink"/>
          </w:rPr>
          <w:t>http://data.europa.eu/eli/dec/2020/135/oj</w:t>
        </w:r>
      </w:hyperlink>
      <w:r>
        <w:t xml:space="preserve">). </w:t>
      </w:r>
    </w:p>
  </w:footnote>
  <w:footnote w:id="6">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6" w:history="1">
        <w:r>
          <w:rPr>
            <w:rStyle w:val="Hyperlink"/>
          </w:rPr>
          <w:t>JO L 102, 17.4.2023, p. 87</w:t>
        </w:r>
      </w:hyperlink>
      <w:r>
        <w:rPr>
          <w:rStyle w:val="Hyperlink"/>
        </w:rPr>
        <w:t>)</w:t>
      </w:r>
      <w:r>
        <w:t>.</w:t>
      </w:r>
    </w:p>
  </w:footnote>
  <w:footnote w:id="7">
    <w:p>
      <w:pPr>
        <w:pStyle w:val="FootnoteText"/>
      </w:pPr>
      <w:r>
        <w:rPr>
          <w:rStyle w:val="FootnoteReference"/>
        </w:rPr>
        <w:footnoteRef/>
      </w:r>
      <w:r>
        <w:tab/>
        <w:t>Regulamentul (UE) 2025/327 al Parlamentului European și al Consiliului din 11 februarie 2025 referitor la spațiul european al datelor privind sănătatea și de modificare a Directivei 2011/24/UE și a Regulamentului (UE) 2024/2847 (JO L, 2025/327, 5.3.2025, ELI: </w:t>
      </w:r>
      <w:hyperlink r:id="rId7" w:tgtFrame="_blank" w:tooltip="Oferă acces la acest document prin identificatorul său uniform de resurse ELI." w:history="1">
        <w:r>
          <w:rPr>
            <w:rStyle w:val="Hyperlink"/>
          </w:rPr>
          <w:t>http://data.europa.eu/eli/reg/2025/327/oj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7 15:3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F40DF8-9BE2-4004-8B33-E1D1A3F5C1B2"/>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85"/>
    <w:docVar w:name="LW_REF.II.NEW.CP_YEAR" w:val="2026"/>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Text1Char">
    <w:name w:val="Text 1 Char"/>
    <w:rPr>
      <w:rFonts w:ascii="Times New Roman" w:hAnsi="Times New Roman" w:cs="Times New Roman"/>
      <w:sz w:val="24"/>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7" Type="http://schemas.openxmlformats.org/officeDocument/2006/relationships/hyperlink" Target="http://data.europa.eu/eli/reg/2025/327/oj" TargetMode="External"/><Relationship Id="rId2" Type="http://schemas.openxmlformats.org/officeDocument/2006/relationships/hyperlink" Target="https://eur-lex.europa.eu/legal-content/RO/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ro/TXT/?uri=uriserv%3AOJ.L_.2023.102.01.0087.01.RON&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162</TotalTime>
  <Pages>5</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38</cp:revision>
  <cp:lastPrinted>2023-05-17T15:33:00Z</cp:lastPrinted>
  <dcterms:created xsi:type="dcterms:W3CDTF">2026-07-01T14:01:00Z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