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1725BE0-ACA9-4CCF-9346-635C332091FC" style="width:455.25pt;height:424.5pt">
            <v:imagedata r:id="rId8" o:title=""/>
          </v:shape>
        </w:pict>
      </w:r>
    </w:p>
    <w:p>
      <w:pPr>
        <w:rPr>
          <w:noProof/>
        </w:rPr>
        <w:sectPr>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pPr>
        <w:pStyle w:val="Annexetitre"/>
        <w:rPr>
          <w:noProof/>
        </w:rPr>
      </w:pPr>
      <w:r>
        <w:rPr>
          <w:noProof/>
        </w:rPr>
        <w:lastRenderedPageBreak/>
        <w:t xml:space="preserve">PROIECT DE </w:t>
      </w:r>
    </w:p>
    <w:p>
      <w:pPr>
        <w:rPr>
          <w:noProof/>
        </w:rPr>
      </w:pPr>
    </w:p>
    <w:p>
      <w:pPr>
        <w:rPr>
          <w:noProof/>
        </w:rPr>
      </w:pPr>
      <w:r>
        <w:rPr>
          <w:noProof/>
        </w:rPr>
        <w:t>DECIZIE NR. …/2026 A COMITETULUI MIXT ÎNFIINȚAT PRIN ACORDUL PRIVIND RETRAGEREA REGATULUI UNIT AL MARII BRITANII ȘI IRLANDEI DE NORD DIN UNIUNEA EUROPEANĂ ȘI DIN COMUNITATEA EUROPEANĂ A ENERGIEI ATOMICE</w:t>
      </w:r>
    </w:p>
    <w:p>
      <w:pPr>
        <w:rPr>
          <w:noProof/>
        </w:rPr>
      </w:pPr>
    </w:p>
    <w:p>
      <w:pPr>
        <w:jc w:val="center"/>
        <w:rPr>
          <w:noProof/>
        </w:rPr>
      </w:pPr>
      <w:r>
        <w:rPr>
          <w:noProof/>
        </w:rPr>
        <w:t>din …</w:t>
      </w:r>
    </w:p>
    <w:p>
      <w:pPr>
        <w:jc w:val="center"/>
        <w:rPr>
          <w:noProof/>
        </w:rPr>
      </w:pPr>
    </w:p>
    <w:p>
      <w:pPr>
        <w:jc w:val="center"/>
        <w:rPr>
          <w:noProof/>
        </w:rPr>
      </w:pPr>
      <w:r>
        <w:rPr>
          <w:noProof/>
        </w:rPr>
        <w:t>de adăugare a unui act al Uniunii recent adoptat în anexa 2 la Cadrul Windsor</w:t>
      </w:r>
    </w:p>
    <w:p>
      <w:pPr>
        <w:rPr>
          <w:noProof/>
        </w:rPr>
      </w:pPr>
    </w:p>
    <w:p>
      <w:pPr>
        <w:rPr>
          <w:noProof/>
        </w:rPr>
      </w:pPr>
    </w:p>
    <w:p>
      <w:pPr>
        <w:rPr>
          <w:noProof/>
        </w:rPr>
      </w:pPr>
      <w:r>
        <w:rPr>
          <w:noProof/>
        </w:rPr>
        <w:t>COMITETUL MIXT,</w:t>
      </w:r>
    </w:p>
    <w:p>
      <w:pPr>
        <w:rPr>
          <w:noProof/>
        </w:rPr>
      </w:pPr>
    </w:p>
    <w:p>
      <w:pPr>
        <w:rPr>
          <w:noProof/>
        </w:rPr>
      </w:pPr>
      <w:r>
        <w:rPr>
          <w:noProof/>
        </w:rPr>
        <w:t>având în vedere Acordul privind retragerea Regatului Unit al Marii Britanii și Irlandei de Nord din Uniunea Europeană și din Comunitatea Europeană a Energiei Atomice</w:t>
      </w:r>
      <w:r>
        <w:rPr>
          <w:rStyle w:val="FootnoteReference"/>
          <w:noProof/>
        </w:rPr>
        <w:footnoteReference w:id="1"/>
      </w:r>
      <w:r>
        <w:rPr>
          <w:noProof/>
        </w:rPr>
        <w:t xml:space="preserve"> („Acordul de retragere”), în special articolul 13 alineatul (4) din Cadrul Windsor</w:t>
      </w:r>
      <w:r>
        <w:rPr>
          <w:rStyle w:val="FootnoteReference"/>
          <w:noProof/>
        </w:rPr>
        <w:footnoteReference w:id="2"/>
      </w:r>
      <w:r>
        <w:rPr>
          <w:noProof/>
        </w:rPr>
        <w:t>,</w:t>
      </w:r>
    </w:p>
    <w:p>
      <w:pPr>
        <w:rPr>
          <w:noProof/>
        </w:rPr>
      </w:pPr>
    </w:p>
    <w:p>
      <w:pPr>
        <w:rPr>
          <w:noProof/>
        </w:rPr>
      </w:pPr>
      <w:r>
        <w:rPr>
          <w:noProof/>
        </w:rPr>
        <w:t>întrucât:</w:t>
      </w:r>
    </w:p>
    <w:p>
      <w:pPr>
        <w:rPr>
          <w:noProof/>
        </w:rPr>
      </w:pPr>
    </w:p>
    <w:p>
      <w:pPr>
        <w:pStyle w:val="Point0number"/>
        <w:numPr>
          <w:ilvl w:val="0"/>
          <w:numId w:val="5"/>
        </w:numPr>
        <w:rPr>
          <w:noProof/>
        </w:rPr>
      </w:pPr>
      <w:r>
        <w:rPr>
          <w:noProof/>
        </w:rPr>
        <w:t xml:space="preserve">Articolul 13 alineatul (4) din Cadrul Windsor conferă Comitetului mixt înființat în temeiul articolului 164 alineatul (1) din Acordul de retragere („Comitetul mixt”) competența de a adopta decizii de adăugare a actelor Uniunii care au fost recent adoptate și care intră în domeniul de aplicare al Cadrului Windsor în anexele relevante la Cadrul Windsor. </w:t>
      </w:r>
    </w:p>
    <w:p>
      <w:pPr>
        <w:rPr>
          <w:noProof/>
        </w:rPr>
      </w:pPr>
    </w:p>
    <w:p>
      <w:pPr>
        <w:pStyle w:val="Point0number"/>
        <w:numPr>
          <w:ilvl w:val="0"/>
          <w:numId w:val="5"/>
        </w:numPr>
        <w:rPr>
          <w:noProof/>
        </w:rPr>
      </w:pPr>
      <w:r>
        <w:rPr>
          <w:noProof/>
        </w:rPr>
        <w:t>În temeiul articolului 166 alineatul (2) din Acordul de retragere, deciziile adoptate de Comitetul mixt sunt obligatorii pentru Uniune și pentru Regatul Unit. Uniunea și Regatul Unit trebuie să pună în aplicare aceste decizii, care au același efect juridic ca și Acordul de retragere.</w:t>
      </w:r>
    </w:p>
    <w:p>
      <w:pPr>
        <w:pStyle w:val="ListParagraph"/>
        <w:rPr>
          <w:noProof/>
        </w:rPr>
      </w:pPr>
    </w:p>
    <w:p>
      <w:pPr>
        <w:pStyle w:val="Point0number"/>
        <w:numPr>
          <w:ilvl w:val="0"/>
          <w:numId w:val="5"/>
        </w:numPr>
        <w:rPr>
          <w:noProof/>
        </w:rPr>
      </w:pPr>
      <w:r>
        <w:rPr>
          <w:noProof/>
        </w:rPr>
        <w:t>În măsura în care cuprinde condiții și specificații tehnice care se referă la introducerea pe piață a produselor sau la prestarea de servicii care pot afecta libera circulație a produselor, capitolul III din Regulamentul (UE) 2025/327 al Parlamentului European și al Consiliului</w:t>
      </w:r>
      <w:r>
        <w:rPr>
          <w:rStyle w:val="FootnoteReference"/>
          <w:noProof/>
        </w:rPr>
        <w:footnoteReference w:id="3"/>
      </w:r>
      <w:r>
        <w:rPr>
          <w:noProof/>
        </w:rPr>
        <w:t xml:space="preserve"> include dispoziții ale unui act al Uniunii recent adoptat care intră în domeniul de aplicare al Cadrului Windsor și care ar trebui </w:t>
      </w:r>
      <w:r>
        <w:rPr>
          <w:noProof/>
        </w:rPr>
        <w:lastRenderedPageBreak/>
        <w:t>adăugate în anexa 2 la Cadrul Windsor. Acest lucru nu se aplică articolului 29, care este inclus în capitolul III al regulamentului respectiv.</w:t>
      </w:r>
    </w:p>
    <w:p>
      <w:pPr>
        <w:rPr>
          <w:noProof/>
        </w:rPr>
      </w:pPr>
    </w:p>
    <w:p>
      <w:pPr>
        <w:rPr>
          <w:noProof/>
        </w:rPr>
      </w:pPr>
      <w:r>
        <w:rPr>
          <w:noProof/>
        </w:rPr>
        <w:t>ADOPTĂ PREZENTA DECIZIE:</w:t>
      </w:r>
    </w:p>
    <w:p>
      <w:pPr>
        <w:rPr>
          <w:noProof/>
        </w:rPr>
      </w:pPr>
    </w:p>
    <w:p>
      <w:pPr>
        <w:pStyle w:val="Text6"/>
        <w:rPr>
          <w:i/>
          <w:iCs/>
          <w:noProof/>
        </w:rPr>
      </w:pPr>
      <w:r>
        <w:rPr>
          <w:i/>
          <w:noProof/>
        </w:rPr>
        <w:t>Articolul 1</w:t>
      </w:r>
    </w:p>
    <w:p>
      <w:pPr>
        <w:rPr>
          <w:noProof/>
        </w:rPr>
      </w:pPr>
      <w:r>
        <w:rPr>
          <w:noProof/>
        </w:rPr>
        <w:t>Capitolul III din Regulamentul (UE) 2025/327 al Parlamentului European și al Consiliului din 11 februarie 2025 referitor la spațiul european al datelor privind sănătatea și de modificare a Directivei 2011/24/UE și a Regulamentului (UE) 2024/2847</w:t>
      </w:r>
      <w:r>
        <w:rPr>
          <w:rStyle w:val="FootnoteReference"/>
          <w:noProof/>
        </w:rPr>
        <w:footnoteReference w:id="4"/>
      </w:r>
      <w:r>
        <w:rPr>
          <w:noProof/>
        </w:rPr>
        <w:t>,</w:t>
      </w:r>
      <w:r>
        <w:rPr>
          <w:b/>
          <w:noProof/>
        </w:rPr>
        <w:t xml:space="preserve"> </w:t>
      </w:r>
      <w:r>
        <w:rPr>
          <w:noProof/>
        </w:rPr>
        <w:t>în ceea ce privește condițiile și specificațiile tehnice referitoare la introducerea pe piață a produselor și la punerea lor în funcțiune, în măsura în care afectează libera circulație a produselor, se adaugă, cu excepția articolului 29 din regulamentul respectiv, în anexa 2 la Cadrul Windsor, la punctul 47 – „Altele”.</w:t>
      </w:r>
    </w:p>
    <w:p>
      <w:pPr>
        <w:rPr>
          <w:noProof/>
        </w:rPr>
      </w:pPr>
    </w:p>
    <w:p>
      <w:pPr>
        <w:pStyle w:val="Text6"/>
        <w:rPr>
          <w:i/>
          <w:iCs/>
          <w:noProof/>
        </w:rPr>
      </w:pPr>
      <w:r>
        <w:rPr>
          <w:i/>
          <w:noProof/>
        </w:rPr>
        <w:t>Articolul 2</w:t>
      </w:r>
    </w:p>
    <w:p>
      <w:pPr>
        <w:rPr>
          <w:noProof/>
        </w:rPr>
      </w:pPr>
      <w:r>
        <w:rPr>
          <w:noProof/>
        </w:rPr>
        <w:t>Prezenta decizie intră în vigoare în ziua următoare datei adoptării.</w:t>
      </w:r>
    </w:p>
    <w:p>
      <w:pPr>
        <w:rPr>
          <w:noProof/>
        </w:rPr>
      </w:pPr>
    </w:p>
    <w:p>
      <w:pPr>
        <w:rPr>
          <w:noProof/>
        </w:rPr>
      </w:pPr>
      <w:r>
        <w:rPr>
          <w:noProof/>
        </w:rPr>
        <w:t>Adoptată la …,</w:t>
      </w:r>
    </w:p>
    <w:p>
      <w:pPr>
        <w:rPr>
          <w:noProof/>
        </w:rPr>
      </w:pPr>
    </w:p>
    <w:p>
      <w:pPr>
        <w:rPr>
          <w:noProof/>
        </w:rPr>
      </w:pPr>
    </w:p>
    <w:p>
      <w:pPr>
        <w:rPr>
          <w:noProof/>
        </w:rPr>
      </w:pPr>
      <w:r>
        <w:rPr>
          <w:noProof/>
        </w:rPr>
        <w:t xml:space="preserve">Pentru Comitetul mixt </w:t>
      </w:r>
    </w:p>
    <w:p>
      <w:pPr>
        <w:rPr>
          <w:noProof/>
        </w:rPr>
      </w:pPr>
      <w:r>
        <w:rPr>
          <w:noProof/>
        </w:rPr>
        <w:t>Copreședinții</w:t>
      </w:r>
    </w:p>
    <w:sectPr>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JO L 29, 31.1.2020, p.7,</w:t>
      </w:r>
      <w:r>
        <w:rPr>
          <w:rFonts w:ascii="Roboto" w:hAnsi="Roboto"/>
          <w:color w:val="333333"/>
          <w:sz w:val="21"/>
          <w:shd w:val="clear" w:color="auto" w:fill="FFFFFF"/>
        </w:rPr>
        <w:t xml:space="preserve"> </w:t>
      </w:r>
      <w:r>
        <w:t>ELI: </w:t>
      </w:r>
      <w:hyperlink r:id="rId1" w:tooltip="Oferă acces la acest document prin identificatorul său uniform de resurse ELI." w:history="1">
        <w:r>
          <w:rPr>
            <w:rStyle w:val="Hyperlink"/>
          </w:rPr>
          <w:t>http://data.europa.eu/eli/treaty/withd_2020/sign</w:t>
        </w:r>
      </w:hyperlink>
      <w:r>
        <w:t>.</w:t>
      </w:r>
    </w:p>
  </w:footnote>
  <w:footnote w:id="2">
    <w:p>
      <w:pPr>
        <w:pStyle w:val="FootnoteText"/>
      </w:pPr>
      <w:r>
        <w:rPr>
          <w:rStyle w:val="FootnoteReference"/>
        </w:rPr>
        <w:footnoteRef/>
      </w:r>
      <w:r>
        <w:tab/>
        <w:t>Declarația comună nr. 1/2023 a Uniunii Europene și a Regatului Unit în cadrul Comitetului mixt înființat prin Acordul privind retragerea Regatului Unit al Marii Britanii și Irlandei de Nord din Uniunea Europeană și din Comunitatea Europeană a Energiei Atomice din 24 martie 2023 (</w:t>
      </w:r>
      <w:hyperlink r:id="rId2" w:history="1">
        <w:r>
          <w:rPr>
            <w:rStyle w:val="Hyperlink"/>
          </w:rPr>
          <w:t>JO L 102, 17.4.2023, p. 87</w:t>
        </w:r>
      </w:hyperlink>
      <w:r>
        <w:t>).</w:t>
      </w:r>
    </w:p>
  </w:footnote>
  <w:footnote w:id="3">
    <w:p>
      <w:pPr>
        <w:pStyle w:val="FootnoteText"/>
      </w:pPr>
      <w:r>
        <w:rPr>
          <w:rStyle w:val="FootnoteReference"/>
        </w:rPr>
        <w:footnoteRef/>
      </w:r>
      <w:r>
        <w:tab/>
        <w:t>Regulamentul (UE) 2025/327 al Parlamentului European și al Consiliului din 11 februarie 2025 referitor la spațiul european al datelor privind sănătatea și de modificare a Directivei 2011/24/UE și a Regulamentului (UE) 2024/2847 (JO L, 2025/327, 5.3.2025, ELI: </w:t>
      </w:r>
      <w:hyperlink r:id="rId3" w:tgtFrame="_blank" w:tooltip="Oferă acces la acest document prin identificatorul său uniform de resurse ELI." w:history="1">
        <w:r>
          <w:rPr>
            <w:rStyle w:val="Hyperlink"/>
          </w:rPr>
          <w:t>http://data.europa.eu/eli/reg/2025/327/oj</w:t>
        </w:r>
      </w:hyperlink>
      <w:r>
        <w:t>).</w:t>
      </w:r>
    </w:p>
  </w:footnote>
  <w:footnote w:id="4">
    <w:p>
      <w:pPr>
        <w:pStyle w:val="FootnoteText"/>
      </w:pPr>
      <w:r>
        <w:rPr>
          <w:rStyle w:val="FootnoteReference"/>
        </w:rPr>
        <w:footnoteRef/>
      </w:r>
      <w:r>
        <w:tab/>
        <w:t>JO L, 2025/327, 5.3.2025, ELI: </w:t>
      </w:r>
      <w:hyperlink r:id="rId4" w:tgtFrame="_blank" w:tooltip="Oferă acces la acest document prin identificatorul său uniform de resurse ELI." w:history="1">
        <w:r>
          <w:rPr>
            <w:rStyle w:val="Hyperlink"/>
          </w:rPr>
          <w:t>http://data.europa.eu/eli/reg/2025/327/oj</w:t>
        </w:r>
      </w:hyperlink>
      <w:r>
        <w:tab/>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6136D55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8274405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F61EA918"/>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A326912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D8CC542"/>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04709C3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F77A9AD0"/>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8CC9B7A"/>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2"/>
  </w:num>
  <w:num w:numId="8">
    <w:abstractNumId w:val="1"/>
  </w:num>
  <w:num w:numId="9">
    <w:abstractNumId w:val="0"/>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17 15:33:4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1"/>
    <w:docVar w:name="LW_ANNEX_UNIQUE" w:val="1"/>
    <w:docVar w:name="LW_CORRIGENDUM" w:val="&lt;UNUSED&gt;"/>
    <w:docVar w:name="LW_COVERPAGE_EXISTS" w:val="True"/>
    <w:docVar w:name="LW_COVERPAGE_GUID" w:val="81725BE0-ACA9-4CCF-9346-635C332091FC"/>
    <w:docVar w:name="LW_COVERPAGE_TYPE" w:val="1"/>
    <w:docVar w:name="LW_CROSSREFERENCE" w:val="&lt;UNUSED&gt;"/>
    <w:docVar w:name="LW_DocType" w:val="ANNEX"/>
    <w:docVar w:name="LW_EMISSION" w:val="18.9.2026"/>
    <w:docVar w:name="LW_EMISSION_ISODATE" w:val="2026-09-18"/>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lt;FMT:Bold&gt;de stabilire a pozi\u539?iei care urmeaz\u259? s\u259? fie luat\u259? în numele Uniunii Europene în cadrul Comitetului mixt înfiin\u539?at prin Acordul privind retragerea Regatului Unit al Marii Britanii \u537?i Irlandei de Nord din Uniunea European\u259? \u537?i din Comunitatea European\u259? a Energiei Atomice în ceea ce prive\u537?te adoptarea unei decizii de ad\u259?ugare a unui act al Uniunii recent adoptat în anexa 2 la Cadrul Windsor&lt;/FMT&gt;_x000d__x000d__x000d__x000d__x000d__x000d__x000d__x000d__x000d__x000d__x000d__x000d__x000b_"/>
    <w:docVar w:name="LW_OBJETACTEPRINCIPAL.CP" w:val="&lt;FMT:Bold&gt;de stabilire a pozi\u539?iei care urmeaz\u259? s\u259? fie luat\u259? în numele Uniunii Europene în cadrul Comitetului mixt înfiin\u539?at prin Acordul privind retragerea Regatului Unit al Marii Britanii \u537?i Irlandei de Nord din Uniunea European\u259? \u537?i din Comunitatea European\u259? a Energiei Atomice în ceea ce prive\u537?te adoptarea unei decizii de ad\u259?ugare a unui act al Uniunii recent adoptat în anexa 2 la Cadrul Windsor&lt;/FMT&gt;_x000d__x000d__x000d__x000d__x000d__x000d__x000d__x000d__x000d__x000d__x000d__x000d__x000b_"/>
    <w:docVar w:name="LW_PART_NBR" w:val="1"/>
    <w:docVar w:name="LW_PART_NBR_TOTAL" w:val="1"/>
    <w:docVar w:name="LW_REF.INST.NEW" w:val="COM"/>
    <w:docVar w:name="LW_REF.INST.NEW_ADOPTED" w:val="final"/>
    <w:docVar w:name="LW_REF.INST.NEW_TEXT" w:val="(2026) 48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Propunerea de DECIZIE A CONSILIULUI_x000b_"/>
    <w:docVar w:name="LW_TYPEACTEPRINCIPAL.CP" w:val="Propunerea de DECIZIE A CONSILIULUI_x000b_"/>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0820D5A1-23B8-4F48-879B-E97FAD431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800080" w:themeColor="followed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Emphasis">
    <w:name w:val="Emphasis"/>
    <w:uiPriority w:val="20"/>
    <w:qFormat/>
    <w:rPr>
      <w:i/>
      <w:iCs/>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0389873">
      <w:bodyDiv w:val="1"/>
      <w:marLeft w:val="0"/>
      <w:marRight w:val="0"/>
      <w:marTop w:val="0"/>
      <w:marBottom w:val="0"/>
      <w:divBdr>
        <w:top w:val="none" w:sz="0" w:space="0" w:color="auto"/>
        <w:left w:val="none" w:sz="0" w:space="0" w:color="auto"/>
        <w:bottom w:val="none" w:sz="0" w:space="0" w:color="auto"/>
        <w:right w:val="none" w:sz="0" w:space="0" w:color="auto"/>
      </w:divBdr>
    </w:div>
    <w:div w:id="834614723">
      <w:bodyDiv w:val="1"/>
      <w:marLeft w:val="0"/>
      <w:marRight w:val="0"/>
      <w:marTop w:val="0"/>
      <w:marBottom w:val="0"/>
      <w:divBdr>
        <w:top w:val="none" w:sz="0" w:space="0" w:color="auto"/>
        <w:left w:val="none" w:sz="0" w:space="0" w:color="auto"/>
        <w:bottom w:val="none" w:sz="0" w:space="0" w:color="auto"/>
        <w:right w:val="none" w:sz="0" w:space="0" w:color="auto"/>
      </w:divBdr>
    </w:div>
    <w:div w:id="1810170953">
      <w:bodyDiv w:val="1"/>
      <w:marLeft w:val="0"/>
      <w:marRight w:val="0"/>
      <w:marTop w:val="0"/>
      <w:marBottom w:val="0"/>
      <w:divBdr>
        <w:top w:val="none" w:sz="0" w:space="0" w:color="auto"/>
        <w:left w:val="none" w:sz="0" w:space="0" w:color="auto"/>
        <w:bottom w:val="none" w:sz="0" w:space="0" w:color="auto"/>
        <w:right w:val="none" w:sz="0" w:space="0" w:color="auto"/>
      </w:divBdr>
      <w:divsChild>
        <w:div w:id="133723552">
          <w:marLeft w:val="0"/>
          <w:marRight w:val="0"/>
          <w:marTop w:val="0"/>
          <w:marBottom w:val="0"/>
          <w:divBdr>
            <w:top w:val="none" w:sz="0" w:space="0" w:color="auto"/>
            <w:left w:val="none" w:sz="0" w:space="0" w:color="auto"/>
            <w:bottom w:val="none" w:sz="0" w:space="0" w:color="auto"/>
            <w:right w:val="none" w:sz="0" w:space="0" w:color="auto"/>
          </w:divBdr>
        </w:div>
        <w:div w:id="348946313">
          <w:marLeft w:val="0"/>
          <w:marRight w:val="0"/>
          <w:marTop w:val="0"/>
          <w:marBottom w:val="0"/>
          <w:divBdr>
            <w:top w:val="none" w:sz="0" w:space="0" w:color="auto"/>
            <w:left w:val="none" w:sz="0" w:space="0" w:color="auto"/>
            <w:bottom w:val="none" w:sz="0" w:space="0" w:color="auto"/>
            <w:right w:val="none" w:sz="0" w:space="0" w:color="auto"/>
          </w:divBdr>
        </w:div>
      </w:divsChild>
    </w:div>
    <w:div w:id="1963995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5/327/oj" TargetMode="External"/><Relationship Id="rId2" Type="http://schemas.openxmlformats.org/officeDocument/2006/relationships/hyperlink" Target="https://eur-lex.europa.eu/legal-content/RO/TXT/?uri=celex%3A22023X0417%2801%29" TargetMode="External"/><Relationship Id="rId1" Type="http://schemas.openxmlformats.org/officeDocument/2006/relationships/hyperlink" Target="http://data.europa.eu/eli/treaty/withd_2020/sign" TargetMode="External"/><Relationship Id="rId4" Type="http://schemas.openxmlformats.org/officeDocument/2006/relationships/hyperlink" Target="http://data.europa.eu/eli/reg/2025/327/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316012-62AB-4B24-B335-6BBC8D532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14</TotalTime>
  <Pages>3</Pages>
  <Words>377</Words>
  <Characters>2152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17</cp:revision>
  <dcterms:created xsi:type="dcterms:W3CDTF">2026-07-28T08:11:00Z</dcterms:created>
  <dcterms:modified xsi:type="dcterms:W3CDTF">2026-09-17T13:33:00Z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MSIP_Label_6bd9ddd1-4d20-43f6-abfa-fc3c07406f94_Enabled">
    <vt:lpwstr>true</vt:lpwstr>
  </property>
  <property fmtid="{D5CDD505-2E9C-101B-9397-08002B2CF9AE}" pid="6" name="MSIP_Label_6bd9ddd1-4d20-43f6-abfa-fc3c07406f94_SetDate">
    <vt:lpwstr>2023-02-09T10:20:23Z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5f093d14-ac39-4d12-aec0-3a79a50eedd5</vt:lpwstr>
  </property>
  <property fmtid="{D5CDD505-2E9C-101B-9397-08002B2CF9AE}" pid="11" name="MSIP_Label_6bd9ddd1-4d20-43f6-abfa-fc3c07406f94_ContentBits">
    <vt:lpwstr>0</vt:lpwstr>
  </property>
  <property fmtid="{D5CDD505-2E9C-101B-9397-08002B2CF9AE}" pid="12" name="Created using">
    <vt:lpwstr>LW 8.1, Build 20230124</vt:lpwstr>
  </property>
  <property fmtid="{D5CDD505-2E9C-101B-9397-08002B2CF9AE}" pid="13" name="First annex">
    <vt:lpwstr>1</vt:lpwstr>
  </property>
  <property fmtid="{D5CDD505-2E9C-101B-9397-08002B2CF9AE}" pid="14" name="Last annex">
    <vt:lpwstr>1</vt:lpwstr>
  </property>
  <property fmtid="{D5CDD505-2E9C-101B-9397-08002B2CF9AE}" pid="15" name="Unique annex">
    <vt:lpwstr>1</vt:lpwstr>
  </property>
  <property fmtid="{D5CDD505-2E9C-101B-9397-08002B2CF9AE}" pid="16" name="Part">
    <vt:lpwstr>1</vt:lpwstr>
  </property>
  <property fmtid="{D5CDD505-2E9C-101B-9397-08002B2CF9AE}" pid="17" name="Total parts">
    <vt:lpwstr>1</vt:lpwstr>
  </property>
  <property fmtid="{D5CDD505-2E9C-101B-9397-08002B2CF9AE}" pid="18" name="Level of sensitivity">
    <vt:lpwstr>Standard treatment</vt:lpwstr>
  </property>
  <property fmtid="{D5CDD505-2E9C-101B-9397-08002B2CF9AE}" pid="19" name="LWTemplateID">
    <vt:lpwstr>SG-017</vt:lpwstr>
  </property>
  <property fmtid="{D5CDD505-2E9C-101B-9397-08002B2CF9AE}" pid="20" name="DQCStatus">
    <vt:lpwstr>Green (DQC version 03)</vt:lpwstr>
  </property>
</Properties>
</file>