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1F6C0D0-5DE8-4BFE-8651-F574E09DDEA2" style="width:455.25pt;height:313.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134" w:right="1417" w:bottom="1134" w:left="1417" w:header="709" w:footer="709" w:gutter="0"/>
          <w:pgNumType w:start="0"/>
          <w:cols w:space="720"/>
          <w:docGrid w:linePitch="326"/>
        </w:sectPr>
      </w:pPr>
    </w:p>
    <w:p>
      <w:pPr>
        <w:pStyle w:val="Typedudocument"/>
        <w:rPr>
          <w:noProof/>
        </w:rPr>
      </w:pPr>
      <w:r>
        <w:rPr>
          <w:noProof/>
        </w:rPr>
        <w:lastRenderedPageBreak/>
        <w:t>RAPORT AL COMISIEI CĂTRE PARLAMENTUL EUROPEAN ȘI CONSILIU</w:t>
      </w:r>
    </w:p>
    <w:p>
      <w:pPr>
        <w:pStyle w:val="Titreobjet"/>
        <w:rPr>
          <w:noProof/>
        </w:rPr>
      </w:pPr>
      <w:r>
        <w:rPr>
          <w:noProof/>
        </w:rPr>
        <w:t>privind exercitarea competenței de a adopta acte delegate conferite Comisiei în temeiul Directivei 2014/68/UE a Parlamentului European și a Consiliului din 15 mai 2014 privind armonizarea legislației statelor membre referitoare la punerea la dispoziție pe piață a echipamentelor sub presiune</w:t>
      </w:r>
    </w:p>
    <w:p>
      <w:pPr>
        <w:pStyle w:val="ZFlag"/>
        <w:rPr>
          <w:noProof/>
        </w:rPr>
        <w:sectPr>
          <w:headerReference w:type="even" r:id="rId18"/>
          <w:headerReference w:type="default" r:id="rId19"/>
          <w:footerReference w:type="even" r:id="rId20"/>
          <w:footerReference w:type="default" r:id="rId21"/>
          <w:headerReference w:type="first" r:id="rId22"/>
          <w:footerReference w:type="first" r:id="rId23"/>
          <w:endnotePr>
            <w:numFmt w:val="lowerLetter"/>
          </w:endnotePr>
          <w:pgSz w:w="11906" w:h="16838"/>
          <w:pgMar w:top="1020" w:right="1701" w:bottom="1020" w:left="1587" w:header="601" w:footer="1077" w:gutter="0"/>
          <w:cols w:space="720"/>
          <w:titlePg/>
          <w:docGrid w:linePitch="326"/>
        </w:sectPr>
      </w:pPr>
    </w:p>
    <w:p>
      <w:pPr>
        <w:rPr>
          <w:b/>
          <w:bCs/>
          <w:noProof/>
          <w:u w:val="single"/>
        </w:rPr>
      </w:pPr>
      <w:r>
        <w:rPr>
          <w:b/>
          <w:noProof/>
          <w:u w:val="single"/>
        </w:rPr>
        <w:lastRenderedPageBreak/>
        <w:t>INTRODUCERE</w:t>
      </w:r>
    </w:p>
    <w:p>
      <w:pPr>
        <w:rPr>
          <w:noProof/>
        </w:rPr>
      </w:pPr>
      <w:r>
        <w:rPr>
          <w:noProof/>
        </w:rPr>
        <w:t>Directiva 2014/68/UE</w:t>
      </w:r>
      <w:r>
        <w:rPr>
          <w:rStyle w:val="FootnoteReference"/>
          <w:noProof/>
        </w:rPr>
        <w:footnoteReference w:id="1"/>
      </w:r>
      <w:r>
        <w:rPr>
          <w:noProof/>
        </w:rPr>
        <w:t xml:space="preserve"> prevede cerințe privind proiectarea, fabricarea și evaluarea conformității echipamentelor sub presiune și a ansamblurilor a căror presiune maximă admisibilă este mai mare de 0,5 bar. Articolul 45 din Directivă împuternicește Comisia să adopte acte delegate pentru:</w:t>
      </w:r>
    </w:p>
    <w:p>
      <w:pPr>
        <w:pStyle w:val="ListParagraph"/>
        <w:numPr>
          <w:ilvl w:val="0"/>
          <w:numId w:val="23"/>
        </w:numPr>
        <w:ind w:left="360"/>
        <w:rPr>
          <w:noProof/>
        </w:rPr>
      </w:pPr>
      <w:r>
        <w:rPr>
          <w:noProof/>
        </w:rPr>
        <w:t>a supune un echipament sub presiune sau o familie de echipamente sub presiune menționat(ă) la articolul 4 alineatul (3), care este proiectat(ă) și fabricat(ă) în conformitate cu bunele practici inginerești ale unui stat membru, cerințelor esențiale de securitate prevăzute în anexa I la directivă, astfel cum se indică la articolul 4 alineatul (1) din directivă;</w:t>
      </w:r>
    </w:p>
    <w:p>
      <w:pPr>
        <w:pStyle w:val="ListParagraph"/>
        <w:ind w:left="360"/>
        <w:rPr>
          <w:noProof/>
        </w:rPr>
      </w:pPr>
    </w:p>
    <w:p>
      <w:pPr>
        <w:pStyle w:val="ListParagraph"/>
        <w:numPr>
          <w:ilvl w:val="0"/>
          <w:numId w:val="23"/>
        </w:numPr>
        <w:ind w:left="360"/>
        <w:rPr>
          <w:noProof/>
        </w:rPr>
      </w:pPr>
      <w:r>
        <w:rPr>
          <w:noProof/>
        </w:rPr>
        <w:t>a supune un ansamblu sub presiune sau o familie de ansambluri sub presiune menționat(ă) la articolul 4 alineatul (3), care este proiectat(ă) și fabricat(ă) în conformitate cu bunele practici inginerești ale unui stat membru, cerințelor prevăzute în anexa I la directivă, astfel cum se indică la articolul 4 alineatul (2) din directivă;</w:t>
      </w:r>
    </w:p>
    <w:p>
      <w:pPr>
        <w:pStyle w:val="ListParagraph"/>
        <w:ind w:left="360"/>
        <w:rPr>
          <w:noProof/>
        </w:rPr>
      </w:pPr>
    </w:p>
    <w:p>
      <w:pPr>
        <w:pStyle w:val="ListParagraph"/>
        <w:numPr>
          <w:ilvl w:val="0"/>
          <w:numId w:val="23"/>
        </w:numPr>
        <w:ind w:left="360"/>
        <w:rPr>
          <w:noProof/>
        </w:rPr>
      </w:pPr>
      <w:r>
        <w:rPr>
          <w:noProof/>
        </w:rPr>
        <w:t>un echipament sub presiune sau o familie de echipamente sub presiune să fie clasificate prin derogare de la dispozițiile din anexa II la directivă într-o altă categorie.</w:t>
      </w:r>
    </w:p>
    <w:p>
      <w:pPr>
        <w:rPr>
          <w:b/>
          <w:bCs/>
          <w:noProof/>
          <w:u w:val="single"/>
        </w:rPr>
      </w:pPr>
      <w:r>
        <w:rPr>
          <w:b/>
          <w:noProof/>
          <w:u w:val="single"/>
        </w:rPr>
        <w:t>TEMEI JURIDIC</w:t>
      </w:r>
    </w:p>
    <w:p>
      <w:pPr>
        <w:rPr>
          <w:noProof/>
        </w:rPr>
      </w:pPr>
      <w:r>
        <w:rPr>
          <w:noProof/>
        </w:rPr>
        <w:t>Obligația de a transmite prezentul raport este prevăzută la articolul 46 alineatul (2) din Directiva (UE) 2014/68. În temeiul dispozițiilor acestui articol, Comisiei i s-a conferit competența de a adopta acte delegate pe o perioadă de trei ani începând cu 1 iunie 2015, având totodată obligația de a pregăti un raport privind delegarea de competențe la sfârșitul fiecărei perioade.</w:t>
      </w:r>
    </w:p>
    <w:p>
      <w:pPr>
        <w:rPr>
          <w:noProof/>
        </w:rPr>
      </w:pPr>
      <w:r>
        <w:rPr>
          <w:noProof/>
        </w:rPr>
        <w:t>În urma raportului anterior adoptat de Comisie în 2020 și în absența unei opoziții din partea Parlamentului European sau a Consiliului, delegarea de competențe a fost prelungită tacit cu o perioadă de cinci ani. Prin urmare, este necesar un nou raport pentru a permite ca delegarea de competențe să fie prelungită din nou pentru o perioadă suplimentară de cinci ani.</w:t>
      </w:r>
    </w:p>
    <w:p>
      <w:pPr>
        <w:rPr>
          <w:b/>
          <w:bCs/>
          <w:noProof/>
          <w:u w:val="single"/>
        </w:rPr>
      </w:pPr>
      <w:r>
        <w:rPr>
          <w:b/>
          <w:noProof/>
          <w:u w:val="single"/>
        </w:rPr>
        <w:t>EXERCITAREA DELEGĂRII</w:t>
      </w:r>
    </w:p>
    <w:p>
      <w:pPr>
        <w:rPr>
          <w:noProof/>
        </w:rPr>
      </w:pPr>
      <w:r>
        <w:rPr>
          <w:noProof/>
        </w:rPr>
        <w:t>De la intrarea în vigoare a Directivei 2014/68/UE, Comisia nu a făcut uz de competența sa de a adopta acte delegate.</w:t>
      </w:r>
    </w:p>
    <w:p>
      <w:pPr>
        <w:rPr>
          <w:noProof/>
        </w:rPr>
      </w:pPr>
      <w:r>
        <w:rPr>
          <w:noProof/>
        </w:rPr>
        <w:t>Cu toate acestea, motivele care au determinat colegiuitorii să delege Comisiei competența de a adopta acte delegate sunt încă valabile, iar Comisia ar putea într-adevăr să trebuiască să facă uz de această competență în viitor. De exemplu, autoritățile de supraveghere a pieței din statele membre raportează periodic motive de îngrijorare cu privire la siguranța unor noi produse introduse pe piață. Prin urmare, reclasificarea unor astfel de produse poate fi necesară pentru a le supune unor cerințe mai stricte. Prin urmare, Comisia ar putea face uz de împuternicirea sa în ceea ce privește astfel de produse.</w:t>
      </w:r>
    </w:p>
    <w:p>
      <w:pPr>
        <w:rPr>
          <w:b/>
          <w:bCs/>
          <w:noProof/>
          <w:u w:val="single"/>
        </w:rPr>
      </w:pPr>
      <w:r>
        <w:rPr>
          <w:b/>
          <w:noProof/>
          <w:u w:val="single"/>
        </w:rPr>
        <w:lastRenderedPageBreak/>
        <w:t>CONCLUZIE</w:t>
      </w:r>
    </w:p>
    <w:p>
      <w:pPr>
        <w:rPr>
          <w:noProof/>
        </w:rPr>
      </w:pPr>
      <w:r>
        <w:rPr>
          <w:noProof/>
        </w:rPr>
        <w:t>Comisia consideră că delegarea competenței de a adopta actele delegate descrise la articolele 45 și 46 din Directiva 2014/68/UE trebuie prelungită. Articolul 46 alineatul (2) din directivă prevede că delegarea de competențe se prelungește în mod tacit, pentru perioade de timp identice, cu excepția cazului în care Parlamentul European sau Consiliul se opune unei astfel de reînnoiri cel târziu cu trei luni înainte de încheierea fiecărei perioadă.</w:t>
      </w:r>
    </w:p>
    <w:sectPr>
      <w:headerReference w:type="default" r:id="rId24"/>
      <w:footerReference w:type="default" r:id="rId25"/>
      <w:headerReference w:type="first" r:id="rId26"/>
      <w:footerReference w:type="first" r:id="rId27"/>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ine"/>
      <w:jc w:val="center"/>
    </w:pPr>
    <w:r>
      <w:fldChar w:fldCharType="begin"/>
    </w:r>
    <w:r>
      <w:instrText>PAGE   \* MERGEFORMAT</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5916226"/>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2</w:t>
        </w:r>
        <w:r>
          <w:fldChar w:fldCharType="end"/>
        </w:r>
      </w:p>
    </w:sdtContent>
  </w:sdt>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ine"/>
      <w:jc w:val="center"/>
    </w:pPr>
    <w:r>
      <w:fldChar w:fldCharType="begin"/>
    </w:r>
    <w:r>
      <w:instrText>PAGE   \* MERGEFORMAT</w:instrText>
    </w:r>
    <w:r>
      <w:fldChar w:fldCharType="separate"/>
    </w:r>
    <w: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sol de pagină CE - Fără informații despre autor"/>
      <w:tag w:val="SVoGAZ38gakDmzcHmLly90-JTH5LX8azQN37Nf4Xh82U6"/>
      <w:id w:val="1928157008"/>
    </w:sdtPr>
    <w:sdtContent>
      <w:p>
        <w:pPr>
          <w:pStyle w:val="Footer"/>
        </w:pPr>
      </w:p>
      <w:p>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pPr>
      <w:r>
        <w:separator/>
      </w:r>
    </w:p>
  </w:footnote>
  <w:footnote w:type="continuationSeparator" w:id="0">
    <w:p>
      <w:pPr>
        <w:spacing w:after="0"/>
      </w:pPr>
      <w:r>
        <w:continuationSeparator/>
      </w:r>
    </w:p>
  </w:footnote>
  <w:footnote w:id="1">
    <w:p>
      <w:pPr>
        <w:pStyle w:val="FootnoteText"/>
      </w:pPr>
      <w:r>
        <w:rPr>
          <w:rStyle w:val="FootnoteReference"/>
        </w:rPr>
        <w:footnoteRef/>
      </w:r>
      <w:r>
        <w:tab/>
        <w:t>Directiva 2014/68/UE a Parlamentului European și a Consiliului din 15 mai 2014 privind armonizarea legislației statelor membre referitoare la punerea la dispoziție pe piață a echipamentelor sub presiune (JO L 189, 27.6.2014, p. 164).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900F7"/>
    <w:multiLevelType w:val="multilevel"/>
    <w:tmpl w:val="E222B722"/>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8A4877E0"/>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298E7B38"/>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DD66270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D9B6BF6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132A77FE"/>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836ADEAE"/>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00481582"/>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C8DFDF8"/>
    <w:multiLevelType w:val="multilevel"/>
    <w:tmpl w:val="07B644A8"/>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B55116"/>
    <w:multiLevelType w:val="hybridMultilevel"/>
    <w:tmpl w:val="16F8B01A"/>
    <w:lvl w:ilvl="0" w:tplc="8612E31A">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D293CE3"/>
    <w:multiLevelType w:val="multilevel"/>
    <w:tmpl w:val="B710768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4B021E40"/>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84C02884"/>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674079D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04CEA7AC"/>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7062C02E"/>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AAF633DE"/>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9AC8903C"/>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A726EF5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77A2FEC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6977472E"/>
    <w:multiLevelType w:val="multilevel"/>
    <w:tmpl w:val="17BE1F10"/>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7C65145E"/>
    <w:multiLevelType w:val="multilevel"/>
    <w:tmpl w:val="DA10564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2"/>
  </w:num>
  <w:num w:numId="3">
    <w:abstractNumId w:val="7"/>
  </w:num>
  <w:num w:numId="4">
    <w:abstractNumId w:val="13"/>
  </w:num>
  <w:num w:numId="5">
    <w:abstractNumId w:val="18"/>
  </w:num>
  <w:num w:numId="6">
    <w:abstractNumId w:val="20"/>
  </w:num>
  <w:num w:numId="7">
    <w:abstractNumId w:val="1"/>
  </w:num>
  <w:num w:numId="8">
    <w:abstractNumId w:val="6"/>
  </w:num>
  <w:num w:numId="9">
    <w:abstractNumId w:val="15"/>
  </w:num>
  <w:num w:numId="10">
    <w:abstractNumId w:val="2"/>
  </w:num>
  <w:num w:numId="11">
    <w:abstractNumId w:val="4"/>
  </w:num>
  <w:num w:numId="12">
    <w:abstractNumId w:val="5"/>
  </w:num>
  <w:num w:numId="13">
    <w:abstractNumId w:val="8"/>
  </w:num>
  <w:num w:numId="14">
    <w:abstractNumId w:val="14"/>
  </w:num>
  <w:num w:numId="15">
    <w:abstractNumId w:val="17"/>
  </w:num>
  <w:num w:numId="16">
    <w:abstractNumId w:val="21"/>
  </w:num>
  <w:num w:numId="17">
    <w:abstractNumId w:val="10"/>
  </w:num>
  <w:num w:numId="18">
    <w:abstractNumId w:val="11"/>
  </w:num>
  <w:num w:numId="19">
    <w:abstractNumId w:val="22"/>
  </w:num>
  <w:num w:numId="20">
    <w:abstractNumId w:val="16"/>
  </w:num>
  <w:num w:numId="21">
    <w:abstractNumId w:val="19"/>
  </w:num>
  <w:num w:numId="22">
    <w:abstractNumId w:val="3"/>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numFmt w:val="lowerLette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21F6C0D0-5DE8-4BFE-8651-F574E09DDEA2"/>
    <w:docVar w:name="LW_COVERPAGE_TYPE" w:val="1"/>
    <w:docVar w:name="LW_CROSSREFERENCE" w:val="&lt;UNUSED&gt;"/>
    <w:docVar w:name="LW_DocType" w:val="EUROLOOK"/>
    <w:docVar w:name="LW_EMISSION" w:val="21.9.2026"/>
    <w:docVar w:name="LW_EMISSION_ISODATE" w:val="2026-09-21"/>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49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exercitarea competen\u539?ei de a adopta acte delegate conferite Comisiei în temeiul Directivei 2014/68/UE a Parlamentului European \u537?i a Consiliului din 15 mai 2014 privind armonizarea legisla\u539?iei statelor membre referitoare la punerea la dispozi\u539?ie pe pia\u539?\u259? a echipamentelor sub presiune"/>
    <w:docVar w:name="LW_TYPE.DOC.CP" w:val="RAPORT AL COMISIEI C\u258?TRE PARLAMENTUL EUROPEAN \u536?I CONSILIU"/>
    <w:docVar w:name="LwApiVersions" w:val="LW4CoDe 1.25.1.0; LW 9.2, Build 20260702"/>
    <w:docVar w:name="Stamp" w:val="\\dossiers.dgt.cec.eu.int\dossiers\GROW\GROW-2026-01001\GROW-2026-01001-00-00-EN-EDT-00.202606221424370568859.DOCX"/>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C997AA0-148B-41CC-A203-DDA8E83C8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ro-RO" w:eastAsia="en-IE"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EndnoteReference">
    <w:name w:val="endnote reference"/>
    <w:semiHidden/>
    <w:rPr>
      <w:vertAlign w:val="superscript"/>
    </w:rPr>
  </w:style>
  <w:style w:type="character" w:styleId="FootnoteReference">
    <w:name w:val="footnote reference"/>
    <w:semiHidden/>
    <w:rPr>
      <w:vertAlign w:val="superscript"/>
    </w:rPr>
  </w:style>
  <w:style w:type="character" w:styleId="Hyperlink">
    <w:name w:val="Hyperlink"/>
    <w:rPr>
      <w:color w:val="467886" w:themeColor="hyperlink"/>
      <w:u w:val="single"/>
      <w:shd w:val="clear" w:color="auto" w:fill="auto"/>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semiHidden/>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styleId="ListParagraph">
    <w:name w:val="List Paragraph"/>
    <w:basedOn w:val="Normal"/>
    <w:uiPriority w:val="99"/>
    <w:semiHidden/>
    <w:pPr>
      <w:ind w:left="720"/>
      <w:contextualSpacing/>
    </w:pPr>
  </w:style>
  <w:style w:type="paragraph" w:styleId="Revision">
    <w:name w:val="Revision"/>
    <w:hidden/>
    <w:uiPriority w:val="99"/>
    <w:semiHidden/>
  </w:style>
  <w:style w:type="character" w:styleId="CommentReference">
    <w:name w:val="annotation reference"/>
    <w:basedOn w:val="DefaultParagraphFont"/>
    <w:uiPriority w:val="99"/>
    <w:semiHidden/>
    <w:rPr>
      <w:sz w:val="16"/>
      <w:szCs w:val="16"/>
    </w:rPr>
  </w:style>
  <w:style w:type="paragraph" w:styleId="CommentText">
    <w:name w:val="annotation text"/>
    <w:basedOn w:val="Normal"/>
    <w:link w:val="CommentTextChar"/>
    <w:uiPriority w:val="99"/>
    <w:semiHidden/>
    <w:rPr>
      <w:sz w:val="20"/>
    </w:rPr>
  </w:style>
  <w:style w:type="character" w:customStyle="1" w:styleId="CommentTextChar">
    <w:name w:val="Comment Text Char"/>
    <w:basedOn w:val="DefaultParagraphFont"/>
    <w:link w:val="CommentText"/>
    <w:uiPriority w:val="99"/>
    <w:semiHidden/>
    <w:rPr>
      <w:sz w:val="20"/>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rPr>
      <w:b/>
      <w:bCs/>
      <w:sz w:val="20"/>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link w:val="PagedecouvertureChar"/>
    <w:pPr>
      <w:spacing w:after="0"/>
    </w:pPr>
    <w:rPr>
      <w:rFonts w:eastAsiaTheme="minorHAnsi"/>
      <w:szCs w:val="22"/>
      <w:lang w:eastAsia="en-US"/>
    </w:rPr>
  </w:style>
  <w:style w:type="paragraph" w:customStyle="1" w:styleId="Typedudocument">
    <w:name w:val="Type du document"/>
    <w:basedOn w:val="Normal"/>
    <w:next w:val="Normal"/>
    <w:pPr>
      <w:spacing w:before="360" w:after="0"/>
      <w:jc w:val="center"/>
    </w:pPr>
    <w:rPr>
      <w:rFonts w:eastAsiaTheme="minorHAnsi"/>
      <w:b/>
      <w:szCs w:val="22"/>
      <w:lang w:eastAsia="en-US"/>
    </w:rPr>
  </w:style>
  <w:style w:type="paragraph" w:customStyle="1" w:styleId="Titreobjet">
    <w:name w:val="Titre objet"/>
    <w:basedOn w:val="Normal"/>
    <w:next w:val="Normal"/>
    <w:pPr>
      <w:spacing w:before="360" w:after="360"/>
      <w:jc w:val="center"/>
    </w:pPr>
    <w:rPr>
      <w:rFonts w:eastAsiaTheme="minorHAnsi"/>
      <w:b/>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Pr>
      <w:rFonts w:eastAsiaTheme="minorHAnsi"/>
      <w:szCs w:val="22"/>
      <w:lang w:eastAsia="en-US"/>
    </w:rPr>
  </w:style>
  <w:style w:type="character" w:customStyle="1" w:styleId="FooterCoverPageChar">
    <w:name w:val="Footer Cover Page Char"/>
    <w:basedOn w:val="PagedecouvertureChar"/>
    <w:link w:val="FooterCoverPage"/>
    <w:rPr>
      <w:rFonts w:eastAsiaTheme="minorHAnsi"/>
      <w:szCs w:val="22"/>
      <w:lang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Pr>
      <w:rFonts w:eastAsiaTheme="minorHAnsi"/>
      <w:b/>
      <w:sz w:val="32"/>
      <w:szCs w:val="22"/>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PagedecouvertureChar"/>
    <w:link w:val="HeaderCoverPage"/>
    <w:rPr>
      <w:rFonts w:eastAsiaTheme="minorHAnsi"/>
      <w:szCs w:val="22"/>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Pr>
      <w:rFonts w:eastAsiaTheme="minorHAnsi"/>
      <w:b/>
      <w:sz w:val="32"/>
      <w:szCs w:val="22"/>
      <w:lang w:eastAsia="en-US"/>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PagedecouvertureChar"/>
    <w:link w:val="HeaderSensitivityRight"/>
    <w:rPr>
      <w:rFonts w:eastAsiaTheme="minorHAnsi"/>
      <w:sz w:val="28"/>
      <w:szCs w:val="22"/>
      <w:lang w:eastAsia="en-US"/>
    </w:rPr>
  </w:style>
  <w:style w:type="character" w:customStyle="1" w:styleId="FooterChar">
    <w:name w:val="Footer Char"/>
    <w:basedOn w:val="DefaultParagraphFont"/>
    <w:link w:val="Footer"/>
    <w:uiPriority w:val="99"/>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Author Role="Creator" AuthorRoleName="Writer" AuthorRoleDisplayName="Writer" AuthorRoleId="a4fbaff4-b07c-48b4-a21e-e7b9eedf3796">
  <Id>409958fc-b2cc-4bec-a52d-76022245cf37</Id>
  <Names>
    <Latin>
      <FirstName>Raphaël</FirstName>
      <LastName>SAHRAOUI</LastName>
    </Latin>
    <Greek>
      <FirstName/>
      <LastName/>
    </Greek>
    <Cyrillic>
      <FirstName/>
      <LastName/>
    </Cyrillic>
    <DocumentScript>
      <FirstName>Raphaël</FirstName>
      <LastName>SAHRAOUI</LastName>
      <FullName>Raphaël SAHRAOUI</FullName>
    </DocumentScript>
  </Names>
  <Initials>RS</Initials>
  <Gender>m</Gender>
  <Email>Raphael-Emanuel.SAHRAOUI@ec.europa.eu</Email>
  <Service>GROW.H.2</Service>
  <Function ADCode="" ShowInSignature="true" ShowInHeader="false" HeaderText=""/>
  <WebAddress/>
  <FunctionalMailbox/>
  <InheritedWebAddress>WebAddress</InheritedWebAddress>
  <OrgaEntity1>
    <Id>8e50828d-b980-4366-bc08-2a20f760600e</Id>
    <LogicalLevel>1</LogicalLevel>
    <Name>GROW</Name>
    <HeadLine1>Directorate-General Internal Market, Industry, Entrepreneurship</HeadLine1>
    <HeadLine2>and SMEs</HeadLine2>
    <PrimaryAddressId>f03b5801-04c9-4931-aa17-c6d6c70bc579</PrimaryAddressId>
    <SecondaryAddressId/>
    <WebAddress>WebAddress</WebAddress>
    <InheritedWebAddress>WebAddress</InheritedWebAddress>
    <ShowInHeader>true</ShowInHeader>
  </OrgaEntity1>
  <OrgaEntity2>
    <Id>4609b496-4981-44c7-b5be-a31069f166dd</Id>
    <LogicalLevel>2</LogicalLevel>
    <Name>GROW.H</Name>
    <HeadLine1>Construction, Machinery and Market Surveillance</HeadLine1>
    <HeadLine2/>
    <PrimaryAddressId>f03b5801-04c9-4931-aa17-c6d6c70bc579</PrimaryAddressId>
    <SecondaryAddressId/>
    <WebAddress/>
    <InheritedWebAddress>WebAddress</InheritedWebAddress>
    <ShowInHeader>true</ShowInHeader>
  </OrgaEntity2>
  <OrgaEntity3>
    <Id>5221346a-7fa0-423a-bc49-1fb01737a8e5</Id>
    <LogicalLevel>3</LogicalLevel>
    <Name>GROW.H.2</Name>
    <HeadLine1>H.2 – Machinery, Equipment &amp; AI</HeadLine1>
    <HeadLine2/>
    <PrimaryAddressId>f03b5801-04c9-4931-aa17-c6d6c70bc579</PrimaryAddressId>
    <SecondaryAddressId/>
    <WebAddress/>
    <InheritedWebAddress>WebAddress</InheritedWebAddress>
    <ShowInHeader>true</ShowInHeader>
  </OrgaEntity3>
  <Hierarchy>
    <OrgaEntity>
      <Id>8e50828d-b980-4366-bc08-2a20f760600e</Id>
      <LogicalLevel>1</LogicalLevel>
      <Name>GROW</Name>
      <HeadLine1>Directorate-General Internal Market, Industry, Entrepreneurship</HeadLine1>
      <HeadLine2>and SMEs</HeadLine2>
      <PrimaryAddressId>f03b5801-04c9-4931-aa17-c6d6c70bc579</PrimaryAddressId>
      <SecondaryAddressId/>
      <WebAddress>WebAddress</WebAddress>
      <InheritedWebAddress>WebAddress</InheritedWebAddress>
      <ShowInHeader>true</ShowInHeader>
    </OrgaEntity>
    <OrgaEntity>
      <Id>4609b496-4981-44c7-b5be-a31069f166dd</Id>
      <LogicalLevel>2</LogicalLevel>
      <Name>GROW.H</Name>
      <HeadLine1>Construction, Machinery and Market Surveillance</HeadLine1>
      <HeadLine2/>
      <PrimaryAddressId>f03b5801-04c9-4931-aa17-c6d6c70bc579</PrimaryAddressId>
      <SecondaryAddressId/>
      <WebAddress/>
      <InheritedWebAddress>WebAddress</InheritedWebAddress>
      <ShowInHeader>true</ShowInHeader>
    </OrgaEntity>
    <OrgaEntity>
      <Id>5221346a-7fa0-423a-bc49-1fb01737a8e5</Id>
      <LogicalLevel>3</LogicalLevel>
      <Name>GROW.H.2</Name>
      <HeadLine1>H.2 – Machinery, Equipment &amp; AI</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+32 229-87253</Phone>
    <Office>BREY 10/176</Office>
  </MainWorkplace>
  <Workplaces>
    <Workplace IsMain="true">
      <AddressId>f03b5801-04c9-4931-aa17-c6d6c70bc579</AddressId>
      <Fax/>
      <Phone>+32 229-87253</Phone>
      <Office>BREY 10/176</Office>
    </Workplace>
  </Workplaces>
</Author>
</file>

<file path=customXml/item3.xml><?xml version="1.0" encoding="utf-8"?>
<EurolookProperties>
  <ProductCustomizationId>EC</ProductCustomizationId>
  <Created>
    <Version>10.0.47989.0</Version>
    <Date>2026-06-11T14:49:20</Date>
    <Language>EN</Language>
    <Note/>
  </Created>
  <DocumentModel>
    <Id>6cbda13a-4db2-46c6-876a-ef72275827ef</Id>
    <Name>Report</Name>
  </DocumentModel>
  <CustomTemplate>
    <Id/>
    <Name/>
  </CustomTemplate>
  <DocumentDate>2026-06-11T14:49:20</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
    <EC_SecurityDistributionSensitive MetadataSerializationType="SimpleValu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4.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UI-TaskPaneMessage-UpgradeEurolookDocument-Body>Eurolook has released a newer version of this document’s template. Please upgrade the document to use the latest styles, logos, and features. </UI-TaskPaneMessage-UpgradeEurolookDocument-Body>
  <UI-TaskPaneMessage-UpgradeEurolookDocument-LinkText>Upgrade document</UI-TaskPaneMessage-UpgradeEurolookDocument-LinkText>
  <UI-TaskPaneMessage-UpgradeEurolookDocument-Subject>Document Upgrade Available</UI-TaskPaneMessage-UpgradeEurolookDocument-Subjec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Props1.xml><?xml version="1.0" encoding="utf-8"?>
<ds:datastoreItem xmlns:ds="http://schemas.openxmlformats.org/officeDocument/2006/customXml" ds:itemID="{7047158F-DF16-4090-AB8D-A35E6E68E6EF}">
  <ds:schemaRefs>
    <ds:schemaRef ds:uri="http://schemas.openxmlformats.org/officeDocument/2006/bibliography"/>
  </ds:schemaRefs>
</ds:datastoreItem>
</file>

<file path=customXml/itemProps2.xml><?xml version="1.0" encoding="utf-8"?>
<ds:datastoreItem xmlns:ds="http://schemas.openxmlformats.org/officeDocument/2006/customXml" ds:itemID="{6812E5AE-05E6-4F97-8E91-3EB25CE64CBF}">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4EF90DE6-88B6-4264-9629-4D8DFDFE87D2}">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521</Words>
  <Characters>2975</Characters>
  <Application>Microsoft Office Word</Application>
  <DocSecurity>0</DocSecurity>
  <PresentationFormat>Microsoft Word 14.0</PresentationFormat>
  <Lines>24</Lines>
  <Paragraphs>6</Paragraphs>
  <ScaleCrop>true</ScaleCrop>
  <HeadingPairs>
    <vt:vector size="2" baseType="variant">
      <vt:variant>
        <vt:lpstr>Title</vt:lpstr>
      </vt:variant>
      <vt:variant>
        <vt:i4>1</vt:i4>
      </vt:variant>
    </vt:vector>
  </HeadingPairs>
  <TitlesOfParts>
    <vt:vector size="1" baseType="lpstr">
      <vt:lpstr>REPORT FROM THE COMMISSION TO THE EUROPEAN PARLIAMENT AND THE COUNCIL</vt:lpstr>
    </vt:vector>
  </TitlesOfParts>
  <Manager/>
  <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FROM THE COMMISSION TO THE EUROPEAN PARLIAMENT AND THE COUNCIL</dc:title>
  <dc:subject>on the exercise of the power to adopt delegated acts conferred on the Commission pursuant to Directive 2014/68/EU of the European Parliament and of the Council of 15 May 2014 on the harmonisation of the laws of the Member States relating to the making available on the market of pressure equipment</dc:subject>
  <dc:creator/>
  <cp:keywords/>
  <dc:description/>
  <cp:lastModifiedBy>SVC-T1-CODE-PRD</cp:lastModifiedBy>
  <cp:revision>11</cp:revision>
  <dcterms:created xsi:type="dcterms:W3CDTF">2026-06-25T09:05:00Z</dcterms:created>
  <dcterms:modified xsi:type="dcterms:W3CDTF">2026-09-21T08:42:00Z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2026-06-11T12:59:01Z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f3b32d8f-1f32-489e-90cf-e91a156b4358</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_LW_INVALIDATED_EurolookVersion">
    <vt:lpwstr>10.0</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CP-006</vt:lpwstr>
  </property>
  <property fmtid="{D5CDD505-2E9C-101B-9397-08002B2CF9AE}" pid="16" name="Last edited using">
    <vt:lpwstr>LW 9.2, Build 20250828</vt:lpwstr>
  </property>
  <property fmtid="{D5CDD505-2E9C-101B-9397-08002B2CF9AE}" pid="17" name="Created using">
    <vt:lpwstr>LW 9.2, Build 20250828</vt:lpwstr>
  </property>
</Properties>
</file>