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D3DD5698-11AF-470C-9D75-2D8C6C6B787B" style="width:455.25pt;height:357.75pt">
            <v:imagedata r:id="rId7" o:title=""/>
          </v:shape>
        </w:pict>
      </w:r>
    </w:p>
    <w:p>
      <w:pPr>
        <w:rPr>
          <w:noProof/>
        </w:rPr>
        <w:sectPr>
          <w:footerReference w:type="even" r:id="rId8"/>
          <w:footerReference w:type="default" r:id="rId9"/>
          <w:pgSz w:w="11907" w:h="16839"/>
          <w:pgMar w:top="1134" w:right="1417" w:bottom="1134" w:left="1417" w:header="709" w:footer="709" w:gutter="0"/>
          <w:pgNumType w:start="0"/>
          <w:cols w:space="720"/>
          <w:docGrid w:linePitch="360"/>
        </w:sectPr>
      </w:pPr>
    </w:p>
    <w:p>
      <w:pPr>
        <w:pStyle w:val="Exposdesmotifstitre"/>
        <w:rPr>
          <w:noProof/>
        </w:rPr>
      </w:pPr>
      <w:r>
        <w:rPr>
          <w:noProof/>
        </w:rPr>
        <w:lastRenderedPageBreak/>
        <w:t>EXPUNERE DE MOTIVE</w:t>
      </w:r>
    </w:p>
    <w:p>
      <w:pPr>
        <w:pStyle w:val="ManualHeading1"/>
        <w:rPr>
          <w:noProof/>
        </w:rPr>
      </w:pPr>
      <w:r>
        <w:rPr>
          <w:noProof/>
        </w:rPr>
        <w:t>1.</w:t>
      </w:r>
      <w:r>
        <w:rPr>
          <w:noProof/>
        </w:rPr>
        <w:tab/>
        <w:t>CONTEXTUL PROPUNERII</w:t>
      </w:r>
    </w:p>
    <w:p>
      <w:pPr>
        <w:pStyle w:val="ManualHeading2"/>
        <w:rPr>
          <w:rFonts w:eastAsia="Arial Unicode MS"/>
          <w:noProof/>
        </w:rPr>
      </w:pPr>
      <w:r>
        <w:rPr>
          <w:noProof/>
          <w:color w:val="000000"/>
          <w:u w:color="000000"/>
          <w:bdr w:val="nil"/>
        </w:rPr>
        <w:t>•</w:t>
      </w:r>
      <w:r>
        <w:rPr>
          <w:noProof/>
        </w:rPr>
        <w:tab/>
        <w:t>Motivele și obiectivele propunerii</w:t>
      </w:r>
    </w:p>
    <w:p>
      <w:pPr>
        <w:spacing w:line="257" w:lineRule="auto"/>
        <w:rPr>
          <w:rFonts w:eastAsia="Times New Roman"/>
          <w:noProof/>
          <w:color w:val="000000" w:themeColor="text1"/>
        </w:rPr>
      </w:pPr>
      <w:r>
        <w:rPr>
          <w:noProof/>
          <w:color w:val="000000" w:themeColor="text1"/>
        </w:rPr>
        <w:t>Fondul european pentru afaceri maritime, pescuit și acvacultură (FEAMPA), instituit în temeiul Regulamentului (UE) 2021/1139</w:t>
      </w:r>
      <w:r>
        <w:rPr>
          <w:rStyle w:val="FootnoteReference"/>
          <w:rFonts w:eastAsia="Times New Roman"/>
          <w:noProof/>
          <w:color w:val="000000" w:themeColor="text1"/>
        </w:rPr>
        <w:footnoteReference w:id="1"/>
      </w:r>
      <w:r>
        <w:rPr>
          <w:noProof/>
          <w:color w:val="000000" w:themeColor="text1"/>
        </w:rPr>
        <w:t xml:space="preserve"> (denumit în continuare „Regulamentul FEAMPA”), alocă resurse de la bugetul UE în direcția sprijinirii politicii comune în domeniul pescuitului (PCP), a politicii maritime a Uniunii europene și a angajamentelor internaționale ale acesteia în domeniul guvernanței oceanelor. Combinația dintre cadrul de reglementare al PCP – care acoperă conservarea resurselor biologice marine, un domeniu de competență exclusivă a UE – și sprijinul structural oferit de FEAMPA s-a dovedit eficace în menținerea sau refacerea unor stocuri de pește sănătoase și în promovarea unei acvaculturi sustenabile. În calitate de contribuitori esențiali la producția alimentară a UE, sectoarele pescuitului și acvaculturii au nevoie de o finanțare fiabilă pentru a face față externalităților negative, volatilității mediului și nevoii de inovare, planificare strategică și adaptare. Prin urmare, FEAMPA stă la baza pescuitului și acvaculturii sustenabile, a conservării resurselor biologice marine, a securității alimentare, a economiei albastre și a gestionării unor mări și oceane sănătoase, sigure și securizate. Statele membre elaborează programe naționale FEAMPA adaptate nevoilor lor și bazate pe prioritățile și obiectivele stabilite în Regulamentul FEAMPA.</w:t>
      </w:r>
    </w:p>
    <w:p>
      <w:pPr>
        <w:spacing w:line="257" w:lineRule="auto"/>
        <w:rPr>
          <w:rFonts w:eastAsia="Times New Roman"/>
          <w:noProof/>
          <w:color w:val="000000" w:themeColor="text1"/>
        </w:rPr>
      </w:pPr>
      <w:r>
        <w:rPr>
          <w:noProof/>
          <w:color w:val="000000" w:themeColor="text1"/>
        </w:rPr>
        <w:t>În pofida importanței sale strategice, cadrul de reglementare actual prezintă provocări în materie de punere în aplicare. Evaluarea la jumătatea perioadei a FEAMPA</w:t>
      </w:r>
      <w:r>
        <w:rPr>
          <w:rStyle w:val="FootnoteReference"/>
          <w:rFonts w:eastAsia="Times New Roman"/>
          <w:noProof/>
          <w:color w:val="000000" w:themeColor="text1"/>
        </w:rPr>
        <w:footnoteReference w:id="2"/>
      </w:r>
      <w:r>
        <w:rPr>
          <w:noProof/>
          <w:color w:val="000000" w:themeColor="text1"/>
        </w:rPr>
        <w:t xml:space="preserve"> și feedbackul periodic din partea statelor membre, a părților interesate și a consiliilor consultative (CC) indică faptul că oportunitățile de finanțare sunt percepute ca fiind limitate și insuficient de flexibile. Insecuritatea și complexitatea juridică au fost identificate ca obstacole majore în calea sprijinirii tranziției energetice, a pescuitului la scară mică și a reînnoirii generațiilor. În plus, deși FEAMPA este principala sursă de finanțare pentru punerea în aplicare a PCP, unele dintre dispozițiile sale depășesc cerințele Regulamentului privind PCP și sunt afectate de schimbări semnificative ale factorilor externi de la adoptarea Regulamentului FEAMPA, cum ar fi urgența tot mai mare de a sprijini tranziția energetică a sectorului. Prin urmare, evaluarea recomandă măsuri specifice pentru a accelera termenele de punere în aplicare și pentru a reduce întârzierile administrative.</w:t>
      </w:r>
    </w:p>
    <w:p>
      <w:pPr>
        <w:spacing w:line="257" w:lineRule="auto"/>
        <w:rPr>
          <w:rFonts w:eastAsia="Times New Roman"/>
          <w:noProof/>
          <w:color w:val="000000" w:themeColor="text1"/>
        </w:rPr>
      </w:pPr>
      <w:r>
        <w:rPr>
          <w:noProof/>
          <w:color w:val="000000" w:themeColor="text1"/>
        </w:rPr>
        <w:t>Prezenta propunere urmărește să modifice Regulamentul FEAMPA pentru a-l face mai accesibil și mai ușor de pus în aplicare de către statele membre și beneficiari. Modificarea include, de asemenea, modificările necesare pentru a asigura punerea în aplicare deplină în legislația UE a Acordului Organizației Mondiale a Comerțului (OMC) privind subvențiile pentru pescuit (AFS), care a fost adoptat în cadrul celei de a 12-a Conferințe ministeriale a OMC din 17 iunie 2022, a fost ratificat de UE la 7 iunie 2023 și a intrat în vigoare la 15 septembrie 2025. Acordul interzice subvențiile dăunătoare pentru pescuit și vizează activități și zone de pescuit specifice, inclusiv pescuitul ilegal, nedeclarat și nereglementat (INN), pescuitul stocurilor pescuite excesiv și pescuitul în marea liberă nereglementată, stabilind noi obligații corespunzătoare.</w:t>
      </w:r>
    </w:p>
    <w:p>
      <w:pPr>
        <w:pStyle w:val="ManualHeading2"/>
        <w:rPr>
          <w:rFonts w:eastAsia="Arial Unicode MS"/>
          <w:noProof/>
          <w:color w:val="000000"/>
          <w:u w:color="000000"/>
          <w:bdr w:val="nil"/>
        </w:rPr>
      </w:pPr>
      <w:r>
        <w:rPr>
          <w:noProof/>
          <w:color w:val="000000"/>
          <w:u w:color="000000"/>
          <w:bdr w:val="nil"/>
        </w:rPr>
        <w:lastRenderedPageBreak/>
        <w:t>•</w:t>
      </w:r>
      <w:r>
        <w:rPr>
          <w:noProof/>
        </w:rPr>
        <w:tab/>
        <w:t>Coerența cu dispozițiile de politică deja existente în domeniul de politică vizat</w:t>
      </w:r>
    </w:p>
    <w:p>
      <w:pPr>
        <w:rPr>
          <w:noProof/>
        </w:rPr>
      </w:pPr>
      <w:r>
        <w:rPr>
          <w:noProof/>
        </w:rPr>
        <w:t>Propunerea se limitează la modificări țintite ale Regulamentului (UE) 2021/1139 și este în concordanță cu Regulamentul (UE) nr. 1380/2013 privind politica comună în domeniul pescuitului și cu Regulamentul (UE) 2021/1060 privind dispozițiile comune pentru fondurile Uniunii executate în cadrul gestiunii partajate.</w:t>
      </w:r>
    </w:p>
    <w:p>
      <w:pPr>
        <w:pStyle w:val="ManualHeading2"/>
        <w:rPr>
          <w:rFonts w:eastAsia="Arial Unicode MS"/>
          <w:noProof/>
        </w:rPr>
      </w:pPr>
      <w:r>
        <w:rPr>
          <w:noProof/>
          <w:color w:val="000000"/>
          <w:u w:color="000000"/>
          <w:bdr w:val="nil"/>
        </w:rPr>
        <w:t>•</w:t>
      </w:r>
      <w:r>
        <w:rPr>
          <w:noProof/>
        </w:rPr>
        <w:tab/>
        <w:t>Coerența cu alte politici ale Uniunii</w:t>
      </w:r>
    </w:p>
    <w:p>
      <w:pPr>
        <w:rPr>
          <w:noProof/>
        </w:rPr>
      </w:pPr>
      <w:r>
        <w:rPr>
          <w:noProof/>
        </w:rPr>
        <w:t>Propunerea și obiectivele sale sunt coerente cu alte politici ale Uniunii, în special cu politicile de mediu, climatice, de coeziune, agricole, sociale, de piață și comerciale.</w:t>
      </w:r>
    </w:p>
    <w:p>
      <w:pPr>
        <w:rPr>
          <w:noProof/>
        </w:rPr>
      </w:pPr>
      <w:r>
        <w:rPr>
          <w:noProof/>
        </w:rPr>
        <w:t>Propunerea este, de asemenea, în concordanță cu inițiativele prevăzute în Pactul european privind oceanul planetar, care aplică o abordare integrată a finanțării și a politicilor relevante pentru oceane care acoperă o gamă largă de domenii, inclusiv conservarea resurselor biologice marine, care este una dintre cele cinci competențe exclusive ale UE; refacerea biodiversității marine; gestionarea pescuitului și a acvaculturii sustenabile și inovarea în aceste domenii; punerea în aplicare a CFP; cunoștințele oceanografice; securitatea maritimă; securitatea alimentară; și dezvoltarea și extinderea unei economii albastre competitive și durabile. Propunerea contribuie, de asemenea, la realizarea obiectivului de dezvoltare durabilă nr. 14 al Organizației Națiunilor Unite (ONU) („conservarea și utilizarea durabilă a oceanelor, a mărilor și a resurselor marine”), la care UE s-a angajat.</w:t>
      </w:r>
    </w:p>
    <w:p>
      <w:pPr>
        <w:pStyle w:val="ManualHeading1"/>
        <w:rPr>
          <w:noProof/>
        </w:rPr>
      </w:pPr>
      <w:r>
        <w:rPr>
          <w:noProof/>
        </w:rPr>
        <w:t>2.</w:t>
      </w:r>
      <w:r>
        <w:rPr>
          <w:noProof/>
        </w:rPr>
        <w:tab/>
        <w:t>TEMEI JURIDIC, SUBSIDIARITATE ȘI PROPORȚIONALITATE</w:t>
      </w:r>
    </w:p>
    <w:p>
      <w:pPr>
        <w:pStyle w:val="ManualHeading2"/>
        <w:rPr>
          <w:rFonts w:eastAsia="Arial Unicode MS"/>
          <w:noProof/>
          <w:u w:color="000000"/>
          <w:bdr w:val="nil"/>
        </w:rPr>
      </w:pPr>
      <w:r>
        <w:rPr>
          <w:noProof/>
          <w:u w:color="000000"/>
          <w:bdr w:val="nil"/>
        </w:rPr>
        <w:t>•</w:t>
      </w:r>
      <w:r>
        <w:rPr>
          <w:noProof/>
        </w:rPr>
        <w:tab/>
      </w:r>
      <w:r>
        <w:rPr>
          <w:noProof/>
          <w:u w:color="000000"/>
          <w:bdr w:val="nil"/>
        </w:rPr>
        <w:t>Temei juridic</w:t>
      </w:r>
    </w:p>
    <w:p>
      <w:pPr>
        <w:rPr>
          <w:noProof/>
        </w:rPr>
      </w:pPr>
      <w:r>
        <w:rPr>
          <w:noProof/>
        </w:rPr>
        <w:t>Articolul 42, articolul 43 alineatul (2), articolul 91 alineatul (1), articolul 100 alineatul (2), articolul 173 alineatul (3), articolul 175, articolul 188, articolul 192 alineatul (1), articolul 194 alineatul (2), articolul 195 alineatul (2) și articolul 349 din Tratatul privind funcționarea Uniunii Europene.</w:t>
      </w:r>
    </w:p>
    <w:p>
      <w:pPr>
        <w:pStyle w:val="ManualHeading2"/>
        <w:rPr>
          <w:rFonts w:eastAsia="Arial Unicode MS"/>
          <w:noProof/>
          <w:u w:color="000000"/>
          <w:bdr w:val="nil"/>
        </w:rPr>
      </w:pPr>
      <w:r>
        <w:rPr>
          <w:noProof/>
          <w:u w:color="000000"/>
          <w:bdr w:val="nil"/>
        </w:rPr>
        <w:t>•</w:t>
      </w:r>
      <w:r>
        <w:rPr>
          <w:noProof/>
        </w:rPr>
        <w:tab/>
      </w:r>
      <w:r>
        <w:rPr>
          <w:noProof/>
          <w:u w:color="000000"/>
          <w:bdr w:val="nil"/>
        </w:rPr>
        <w:t xml:space="preserve">Subsidiaritatea (în cazul competențelor neexclusive) </w:t>
      </w:r>
    </w:p>
    <w:p>
      <w:pPr>
        <w:rPr>
          <w:noProof/>
        </w:rPr>
      </w:pPr>
      <w:r>
        <w:rPr>
          <w:noProof/>
        </w:rPr>
        <w:t>Dispozițiile propuse vor fi puse în aplicare în cadrul gestiunii partajate, în conformitate cu Regulamentul financiar</w:t>
      </w:r>
      <w:r>
        <w:rPr>
          <w:rStyle w:val="FootnoteReference"/>
          <w:noProof/>
        </w:rPr>
        <w:footnoteReference w:id="3"/>
      </w:r>
      <w:r>
        <w:rPr>
          <w:noProof/>
        </w:rPr>
        <w:t>.</w:t>
      </w:r>
    </w:p>
    <w:p>
      <w:pPr>
        <w:pStyle w:val="ManualHeading2"/>
        <w:rPr>
          <w:rFonts w:eastAsia="Arial Unicode MS"/>
          <w:noProof/>
          <w:u w:color="000000"/>
          <w:bdr w:val="nil"/>
        </w:rPr>
      </w:pPr>
      <w:r>
        <w:rPr>
          <w:noProof/>
          <w:u w:color="000000"/>
          <w:bdr w:val="nil"/>
        </w:rPr>
        <w:t>•</w:t>
      </w:r>
      <w:r>
        <w:rPr>
          <w:noProof/>
        </w:rPr>
        <w:tab/>
      </w:r>
      <w:r>
        <w:rPr>
          <w:noProof/>
          <w:u w:color="000000"/>
          <w:bdr w:val="nil"/>
        </w:rPr>
        <w:t>Proporționalitatea</w:t>
      </w:r>
    </w:p>
    <w:p>
      <w:pPr>
        <w:rPr>
          <w:noProof/>
        </w:rPr>
      </w:pPr>
      <w:r>
        <w:rPr>
          <w:noProof/>
        </w:rPr>
        <w:t>Dispozițiile propuse respectă principiul proporționalității deoarece sunt adecvate și necesare și nu sunt disponibile măsuri mai puțin restrictive pentru atingerea obiectivelor de politică dorite.</w:t>
      </w:r>
    </w:p>
    <w:p>
      <w:pPr>
        <w:pStyle w:val="ManualHeading2"/>
        <w:rPr>
          <w:rFonts w:eastAsia="Arial Unicode MS"/>
          <w:noProof/>
          <w:u w:color="000000"/>
          <w:bdr w:val="nil"/>
        </w:rPr>
      </w:pPr>
      <w:r>
        <w:rPr>
          <w:noProof/>
          <w:u w:color="000000"/>
          <w:bdr w:val="nil"/>
        </w:rPr>
        <w:t>•</w:t>
      </w:r>
      <w:r>
        <w:rPr>
          <w:noProof/>
        </w:rPr>
        <w:tab/>
      </w:r>
      <w:r>
        <w:rPr>
          <w:noProof/>
          <w:u w:color="000000"/>
          <w:bdr w:val="nil"/>
        </w:rPr>
        <w:t>Alegerea instrumentului</w:t>
      </w:r>
    </w:p>
    <w:p>
      <w:pPr>
        <w:rPr>
          <w:noProof/>
        </w:rPr>
      </w:pPr>
      <w:r>
        <w:rPr>
          <w:noProof/>
        </w:rPr>
        <w:t>Instrumentul propus este un regulament al Parlamentului European și al Consiliului.</w:t>
      </w:r>
    </w:p>
    <w:p>
      <w:pPr>
        <w:pStyle w:val="ManualHeading1"/>
        <w:rPr>
          <w:noProof/>
        </w:rPr>
      </w:pPr>
      <w:r>
        <w:rPr>
          <w:noProof/>
        </w:rPr>
        <w:t>3.</w:t>
      </w:r>
      <w:r>
        <w:rPr>
          <w:noProof/>
        </w:rPr>
        <w:tab/>
        <w:t>REZULTATELE EVALUĂRILOR EX POST, ALE CONSULTĂRILOR CU PĂRȚILE INTERESATE ȘI ALE EVALUĂRILOR IMPACTULUI</w:t>
      </w:r>
    </w:p>
    <w:p>
      <w:pPr>
        <w:pStyle w:val="ManualHeading2"/>
        <w:rPr>
          <w:rFonts w:eastAsia="Arial Unicode MS"/>
          <w:noProof/>
          <w:u w:color="000000"/>
          <w:bdr w:val="nil"/>
        </w:rPr>
      </w:pPr>
      <w:r>
        <w:rPr>
          <w:noProof/>
          <w:u w:color="000000"/>
          <w:bdr w:val="nil"/>
        </w:rPr>
        <w:t>•</w:t>
      </w:r>
      <w:r>
        <w:rPr>
          <w:noProof/>
        </w:rPr>
        <w:tab/>
      </w:r>
      <w:r>
        <w:rPr>
          <w:noProof/>
          <w:u w:color="000000"/>
          <w:bdr w:val="nil"/>
        </w:rPr>
        <w:t xml:space="preserve">Evaluările </w:t>
      </w:r>
      <w:r>
        <w:rPr>
          <w:i/>
          <w:iCs/>
          <w:noProof/>
          <w:u w:color="000000"/>
          <w:bdr w:val="nil"/>
        </w:rPr>
        <w:t>ex post</w:t>
      </w:r>
      <w:r>
        <w:rPr>
          <w:noProof/>
          <w:u w:color="000000"/>
          <w:bdr w:val="nil"/>
        </w:rPr>
        <w:t>/verificarea adecvării legislației existente</w:t>
      </w:r>
    </w:p>
    <w:p>
      <w:pPr>
        <w:rPr>
          <w:noProof/>
        </w:rPr>
      </w:pPr>
      <w:r>
        <w:rPr>
          <w:noProof/>
        </w:rPr>
        <w:t xml:space="preserve">Rezultatele preliminare ale evaluării </w:t>
      </w:r>
      <w:r>
        <w:rPr>
          <w:i/>
          <w:noProof/>
        </w:rPr>
        <w:t>ex post</w:t>
      </w:r>
      <w:r>
        <w:rPr>
          <w:noProof/>
        </w:rPr>
        <w:t xml:space="preserve"> a Regulamentului FEPAM (2014-2020) și ale evaluării la jumătatea perioadei a Regulamentului FEAMPA (2021-2027) arată că fondurile anterioare ale UE care vizau domenii similare au avut un impact pozitiv asupra sectoarelor pescuitului și acvaculturii și au contribuit la punerea în aplicare a PCP, inclusiv la conservarea resurselor biologice marine, în special prin îmbunătățirea controlului pescuitului și a asigurării respectării normelor în domeniul pescuitului și prin sprijinirea colectării de date. Acestea au avut, de asemenea, contribuții pozitive la politica maritimă, la guvernanța internațională a oceanelor, la dezvoltarea comunităților costiere și la economia albastră durabilă.</w:t>
      </w:r>
    </w:p>
    <w:p>
      <w:pPr>
        <w:rPr>
          <w:noProof/>
        </w:rPr>
      </w:pPr>
      <w:r>
        <w:rPr>
          <w:noProof/>
        </w:rPr>
        <w:t>Evaluarea la jumătatea perioadei a FEAMPA ilustrează faptul că statele membre consideră că principalele cauze ale punerii în aplicare lente sunt capacitatea limitată, structurile instituționale și condițiile stricte de eligibilitate pentru măsurile legate de flotă, ceea ce indică necesitatea unor îmbunătățiri suplimentare ale sistemului de punere în aplicare. În ansamblu, evaluarea confirmă faptul că FEAMPA rămâne un instrument strategic pentru abordarea priorităților de politică ale UE și a nevoilor naționale, oferind statelor membre flexibilitatea de a programa finanțarea în funcție de evoluția contextului politic și de prioritățile în schimbare.</w:t>
      </w:r>
    </w:p>
    <w:p>
      <w:pPr>
        <w:pStyle w:val="ManualHeading2"/>
        <w:rPr>
          <w:rFonts w:eastAsia="Arial Unicode MS"/>
          <w:noProof/>
          <w:u w:color="000000"/>
          <w:bdr w:val="nil"/>
        </w:rPr>
      </w:pPr>
      <w:r>
        <w:rPr>
          <w:noProof/>
          <w:u w:color="000000"/>
          <w:bdr w:val="nil"/>
        </w:rPr>
        <w:t>•</w:t>
      </w:r>
      <w:r>
        <w:rPr>
          <w:noProof/>
        </w:rPr>
        <w:tab/>
      </w:r>
      <w:r>
        <w:rPr>
          <w:noProof/>
          <w:u w:color="000000"/>
          <w:bdr w:val="nil"/>
        </w:rPr>
        <w:t>Consultarea cu părțile interesate</w:t>
      </w:r>
    </w:p>
    <w:p>
      <w:pPr>
        <w:tabs>
          <w:tab w:val="left" w:pos="497"/>
        </w:tabs>
        <w:spacing w:before="0" w:after="160"/>
        <w:rPr>
          <w:noProof/>
        </w:rPr>
      </w:pPr>
      <w:r>
        <w:rPr>
          <w:noProof/>
        </w:rPr>
        <w:t>Pe lângă dovezile colectate prin intermediul evaluării la jumătatea perioadei a FEAMPA, al studiilor de sprijin și al schimburilor cu statele membre, cu sectorul, cu ONG-urile și cu societatea civilă în sens larg, Comisia a colectat o gamă largă de contribuții din partea statelor membre și a părților interesate care vor servi drept bază la modificarea țintită a Regulamentului FEAMPA. Modificarea se bazează, de asemenea, pe discuțiile din cadrul grupurilor de experți, pe contribuțiile experților naționali și pe activitatea unității dedicate de sprijin pentru monitorizare și evaluare din cadrul FEAMPA a Comisiei, și anume Rețeaua de monitorizare, evaluare și sprijin local pentru pescuit și acvacultură (FAMENET).</w:t>
      </w:r>
    </w:p>
    <w:p>
      <w:pPr>
        <w:tabs>
          <w:tab w:val="left" w:pos="497"/>
        </w:tabs>
        <w:spacing w:before="0" w:after="160"/>
        <w:rPr>
          <w:rFonts w:eastAsia="Times New Roman"/>
          <w:noProof/>
        </w:rPr>
      </w:pPr>
      <w:r>
        <w:rPr>
          <w:noProof/>
        </w:rPr>
        <w:t>Mai multe rezoluții adoptate de Parlamentul European au invitat Comisia să revizuiască Regulamentul FEAMPA. În rezoluția sa referitoare la stadiul punerii în aplicare a PCP, adoptată în ianuarie 2024, Parlamentul a recunoscut limitările FEAMPA și a invitat Comisia și statele membre să faciliteze accesul profesioniștilor din industrie la sprijinul FEAMPA. Într-o altă rezoluție adoptată în martie 2026, Parlamentul a solicitat eliminarea barierelor de reglementare inutile din cadrul FEAMPA. De asemenea, în rezoluția sa referitoare la decarbonizarea și modernizarea flotei de pescuit a UE, adoptată în decembrie 2025, Parlamentul a subliniat că normele actuale pot „restricționa sever” accesul la finanțare pentru reînnoirea navelor și eficiența energetică. Prin urmare, Parlamentul și-a reiterat solicitările de modificări țintite atât ale cadrului PCP, cât și ale FEAMPA, deoarece consideră că actualele cadre împiedică îmbunătățirile necesare în materie de siguranță și eficiență energetică și subminează competitivitatea și profitabilitatea pescarilor din UE în comparație cu flotele din afara UE.</w:t>
      </w:r>
    </w:p>
    <w:p>
      <w:pPr>
        <w:tabs>
          <w:tab w:val="left" w:pos="497"/>
        </w:tabs>
        <w:spacing w:before="0" w:after="160"/>
        <w:rPr>
          <w:rFonts w:eastAsia="Times New Roman"/>
          <w:noProof/>
        </w:rPr>
      </w:pPr>
      <w:r>
        <w:rPr>
          <w:noProof/>
        </w:rPr>
        <w:t>Mai precis, Parlamentul European a solicitat revizuirea articolelor 17-19 din Regulamentul FEAMPA pentru a simplifica criteriile de eligibilitate, susținând că actualele condiții sunt prea restrictive, limitează aplicarea practică a respectivelor dispoziții și conduc la o utilizare scăzută. Aceste preocupări sunt reflectate în cercetările efectuate pentru Comisia PECH cu privire la tranziția energetică a flotei de pescuit, care, în urma consultărilor cu o autoritate de management a FEAMPA și cu reprezentanți ai sectorului, au constatat că părțile interesate consideră modernizarea flotei o prioritate pentru reducerea costurilor de exploatare și îmbunătățirea condițiilor de muncă, decarbonizarea fiind urmărită ca obiectiv complementar.</w:t>
      </w:r>
    </w:p>
    <w:p>
      <w:pPr>
        <w:tabs>
          <w:tab w:val="left" w:pos="497"/>
        </w:tabs>
        <w:spacing w:before="0" w:after="160"/>
        <w:rPr>
          <w:rFonts w:eastAsia="Times New Roman"/>
          <w:noProof/>
        </w:rPr>
      </w:pPr>
      <w:r>
        <w:rPr>
          <w:noProof/>
        </w:rPr>
        <w:t>Pe lângă schimburile administrative periodice, miniștrii din mai multe state membre au trimis o scrisoare comună prin care invită Comisia să evalueze dacă Regulamentul FEAMPA ar putea fi revizuit pentru a sprijini mai bine tranziția energetică și reînnoirea generațiilor, inclusiv prin intermediul unui pachet de simplificare. Unele state membre, cum ar fi Estonia, Finlanda și Spania, au ridicat problema în scris și au solicitat reuniuni specifice. Chestiunea a fost, de asemenea, discutată în cadrul Consiliului, inclusiv în cadrul reuniunilor Consiliului Agricultură și Pescuit din martie 2025, noiembrie 2025 și martie 2026.</w:t>
      </w:r>
    </w:p>
    <w:p>
      <w:pPr>
        <w:tabs>
          <w:tab w:val="left" w:pos="497"/>
        </w:tabs>
        <w:spacing w:before="0" w:after="160"/>
        <w:rPr>
          <w:rFonts w:eastAsia="Times New Roman"/>
          <w:noProof/>
        </w:rPr>
      </w:pPr>
      <w:r>
        <w:rPr>
          <w:noProof/>
        </w:rPr>
        <w:t>Mai multe părți interesate, inclusiv consiliile consultative și asociațiile sectoriale, au prezentat propuneri de modificări țintite. Problemele ridicate de consiliile consultative se referă la constrângerile legate de punerea în aplicare, în special la lipsa unor cereri operaționale de potențiali solicitanți din partea statelor membre, la calendare neclare și la proceduri administrative complexe. Asociațiile sectoriale au solicitat măsuri structurale de consolidare a rezilienței pe termen lung a sectorului, împreună cu ajustări punctuale și un sprijin sporit pentru o tranziție energetică justă. Printre aceste organizații se numără Europêche, SEA Europe, LIFE, Asociația națională franceză a organizațiilor de producători (ANOP), Comitetul național francez pentru pescuit maritim și acvacultură marină (CNPMEM) și două dintre reprezentanțele sale regionale (CDPMEM du Finistère și CRPMEM Bretagne).</w:t>
      </w:r>
    </w:p>
    <w:p>
      <w:pPr>
        <w:tabs>
          <w:tab w:val="left" w:pos="497"/>
        </w:tabs>
        <w:spacing w:before="0" w:after="160"/>
        <w:rPr>
          <w:rFonts w:eastAsia="Times New Roman"/>
          <w:noProof/>
        </w:rPr>
      </w:pPr>
      <w:r>
        <w:rPr>
          <w:noProof/>
        </w:rPr>
        <w:t xml:space="preserve">De asemenea, Comisia a solicitat feedback în vederea unei posibile modificări țintite a FEAMPA prin intermediul </w:t>
      </w:r>
      <w:bookmarkStart w:id="0" w:name="_Int_XylF5R1m"/>
      <w:r>
        <w:rPr>
          <w:noProof/>
        </w:rPr>
        <w:t>unei</w:t>
      </w:r>
      <w:bookmarkEnd w:id="0"/>
      <w:r>
        <w:rPr>
          <w:noProof/>
        </w:rPr>
        <w:t xml:space="preserve"> cereri de contribuții</w:t>
      </w:r>
      <w:r>
        <w:rPr>
          <w:rStyle w:val="FootnoteReference"/>
          <w:rFonts w:eastAsia="Times New Roman"/>
          <w:noProof/>
        </w:rPr>
        <w:footnoteReference w:id="4"/>
      </w:r>
      <w:r>
        <w:rPr>
          <w:noProof/>
        </w:rPr>
        <w:t xml:space="preserve"> deschise în perioada 23 iunie-21 iulie 2026. S-au primit în total 69 de răspunsuri de la părți interesate din 18 state membre. Asociațiile de întreprinderi au fost cel mai mare grup de respondenți (20 de răspunsuri), urmate de ONG-uri (17 răspunsuri). Spania a totalizat 29 de răspunsuri.</w:t>
      </w:r>
    </w:p>
    <w:p>
      <w:pPr>
        <w:tabs>
          <w:tab w:val="left" w:pos="497"/>
        </w:tabs>
        <w:spacing w:before="0" w:after="160"/>
        <w:rPr>
          <w:rFonts w:eastAsia="Times New Roman"/>
          <w:noProof/>
        </w:rPr>
      </w:pPr>
      <w:r>
        <w:rPr>
          <w:noProof/>
        </w:rPr>
        <w:t>Asociațiile de întreprinderi au reprezentat cel mai mare grup de respondenți, reprezentând 21 din cele 69 de contribuții primite. Ele au cerut, în linii mari, simplificarea administrativă, extinderea eligibilității finanțării și în afara IMM-urilor la întreprinderile mai mari, modificări ale normelor privind capacitatea flotelor și condiții mai flexibile pentru reînnoirea generațiilor. Ele au subliniat, de asemenea, necesitatea de a menține bugetul specific al FEAMPA, mai degrabă decât de a-l integra într-un fond mai amplu pentru perioada de după 2027.</w:t>
      </w:r>
    </w:p>
    <w:p>
      <w:pPr>
        <w:tabs>
          <w:tab w:val="left" w:pos="497"/>
        </w:tabs>
        <w:spacing w:before="0" w:after="160"/>
        <w:rPr>
          <w:rFonts w:eastAsia="Times New Roman"/>
          <w:noProof/>
        </w:rPr>
      </w:pPr>
      <w:r>
        <w:rPr>
          <w:noProof/>
        </w:rPr>
        <w:t>Organizațiile neguvernamentale au sprijinit, în general, transpunerea integrală a Acordului OMC privind subvențiile pentru pescuit, inclusiv a unor dispoziții ferme de prevenire a sprijinului legat de pescuitul INN. În același timp, ele au subliniat că simplificarea nu trebuie să slăbească normele de eligibilitate, cerințele de monitorizare sau participarea părților interesate. De asemenea, multe au pledat pentru redirecționarea finanțării către pescuitul la scară mică, cu impact redus, refacerea ecosistemelor, garanțiile privind bunăstarea animalelor și o mai mare transparență în alocarea subvențiilor.</w:t>
      </w:r>
    </w:p>
    <w:p>
      <w:pPr>
        <w:tabs>
          <w:tab w:val="left" w:pos="497"/>
        </w:tabs>
        <w:spacing w:before="0" w:after="160"/>
        <w:rPr>
          <w:rFonts w:eastAsia="Times New Roman"/>
          <w:noProof/>
        </w:rPr>
      </w:pPr>
      <w:r>
        <w:rPr>
          <w:noProof/>
        </w:rPr>
        <w:t>Autoritățile publice au sprijinit în mare măsură simplificarea și o mai mare flexibilitate în punerea în aplicare. Multe au susținut că ar trebui revizuit conceptul de capacitate de pescuit, estimând că plafoanele GT/kW sunt depășite. Autoritățile regionale și autoritățile din regiunile ultraperiferice au cerut o mai mare recunoaștere a particularităților insulare și regionale, norme mai flexibile privind reînnoirea generațiilor și a flotei și, în unele cazuri, un mecanism de criză specific pentru a face față șocurilor, cum ar fi creșterea prețului combustibililor.</w:t>
      </w:r>
    </w:p>
    <w:p>
      <w:pPr>
        <w:tabs>
          <w:tab w:val="left" w:pos="497"/>
        </w:tabs>
        <w:spacing w:before="0" w:after="160"/>
        <w:rPr>
          <w:rFonts w:eastAsia="Times New Roman"/>
          <w:noProof/>
        </w:rPr>
      </w:pPr>
      <w:r>
        <w:rPr>
          <w:noProof/>
        </w:rPr>
        <w:t>Societățile au susținut că limitarea eligibilității la IMM-uri exclude în mod inechitabil prelucrătorii mai mari și operatorii din sectorul comercializării. Ele au sprijinit, de asemenea, finanțarea infrastructurii digitale pentru declarațiile de debarcare și raportare și și-au exprimat îngrijorarea cu privire la implicațiile juridice ale unei excluderi generale a subvențiilor pentru pescuitul cu traule de fund.</w:t>
      </w:r>
    </w:p>
    <w:p>
      <w:pPr>
        <w:tabs>
          <w:tab w:val="left" w:pos="497"/>
        </w:tabs>
        <w:spacing w:before="0" w:after="160"/>
        <w:rPr>
          <w:rFonts w:eastAsia="Times New Roman"/>
          <w:noProof/>
        </w:rPr>
      </w:pPr>
      <w:r>
        <w:rPr>
          <w:noProof/>
        </w:rPr>
        <w:t>Tot la fel, alți respondenți au sprijinit transpunerea integrală a Acordului OMC privind subvențiile pentru pescuit și o mai bună direcționare a finanțării către mediu. În cele din urmă, ele au solicitat proceduri de depunere a cererilor mai simple, plăți mai rapide și eliminarea restricțiilor de eligibilitate aplicabile exclusiv IMM-urilor.</w:t>
      </w:r>
    </w:p>
    <w:p>
      <w:pPr>
        <w:pStyle w:val="ManualHeading2"/>
        <w:rPr>
          <w:noProof/>
          <w:u w:color="000000"/>
          <w:bdr w:val="nil"/>
        </w:rPr>
      </w:pPr>
      <w:r>
        <w:rPr>
          <w:noProof/>
          <w:u w:color="000000"/>
          <w:bdr w:val="nil"/>
        </w:rPr>
        <w:t>•</w:t>
      </w:r>
      <w:r>
        <w:rPr>
          <w:noProof/>
        </w:rPr>
        <w:tab/>
      </w:r>
      <w:r>
        <w:rPr>
          <w:noProof/>
          <w:u w:color="000000"/>
          <w:bdr w:val="nil"/>
        </w:rPr>
        <w:t>Obținerea și utilizarea cunoștințelor de specialitate</w:t>
      </w:r>
    </w:p>
    <w:p>
      <w:pPr>
        <w:rPr>
          <w:noProof/>
        </w:rPr>
      </w:pPr>
      <w:r>
        <w:rPr>
          <w:noProof/>
        </w:rPr>
        <w:t>Nu se aplică.</w:t>
      </w:r>
    </w:p>
    <w:p>
      <w:pPr>
        <w:pStyle w:val="ManualHeading2"/>
        <w:rPr>
          <w:rFonts w:eastAsia="Arial Unicode MS"/>
          <w:noProof/>
          <w:u w:color="000000"/>
          <w:bdr w:val="nil"/>
        </w:rPr>
      </w:pPr>
      <w:r>
        <w:rPr>
          <w:noProof/>
          <w:u w:color="000000"/>
          <w:bdr w:val="nil"/>
        </w:rPr>
        <w:t>•</w:t>
      </w:r>
      <w:r>
        <w:rPr>
          <w:noProof/>
        </w:rPr>
        <w:tab/>
      </w:r>
      <w:r>
        <w:rPr>
          <w:noProof/>
          <w:u w:color="000000"/>
          <w:bdr w:val="nil"/>
        </w:rPr>
        <w:t>Evaluarea impactului</w:t>
      </w:r>
    </w:p>
    <w:p>
      <w:pPr>
        <w:rPr>
          <w:noProof/>
        </w:rPr>
      </w:pPr>
      <w:r>
        <w:rPr>
          <w:noProof/>
        </w:rPr>
        <w:t>Nu se aplică.</w:t>
      </w:r>
    </w:p>
    <w:p>
      <w:pPr>
        <w:pStyle w:val="ManualHeading2"/>
        <w:rPr>
          <w:rFonts w:eastAsia="Arial Unicode MS"/>
          <w:noProof/>
          <w:u w:color="000000"/>
          <w:bdr w:val="nil"/>
        </w:rPr>
      </w:pPr>
      <w:r>
        <w:rPr>
          <w:noProof/>
          <w:u w:color="000000"/>
          <w:bdr w:val="nil"/>
        </w:rPr>
        <w:t>•</w:t>
      </w:r>
      <w:r>
        <w:rPr>
          <w:noProof/>
        </w:rPr>
        <w:tab/>
      </w:r>
      <w:r>
        <w:rPr>
          <w:noProof/>
          <w:u w:color="000000"/>
          <w:bdr w:val="nil"/>
        </w:rPr>
        <w:t>Adecvarea reglementărilor și simplificarea</w:t>
      </w:r>
    </w:p>
    <w:p>
      <w:pPr>
        <w:rPr>
          <w:noProof/>
        </w:rPr>
      </w:pPr>
      <w:r>
        <w:rPr>
          <w:noProof/>
        </w:rPr>
        <w:t>Nu se aplică.</w:t>
      </w:r>
    </w:p>
    <w:p>
      <w:pPr>
        <w:pStyle w:val="ManualHeading2"/>
        <w:rPr>
          <w:rFonts w:eastAsia="Arial Unicode MS"/>
          <w:noProof/>
          <w:u w:color="000000"/>
          <w:bdr w:val="nil"/>
        </w:rPr>
      </w:pPr>
      <w:r>
        <w:rPr>
          <w:noProof/>
          <w:u w:color="000000"/>
          <w:bdr w:val="nil"/>
        </w:rPr>
        <w:t>•</w:t>
      </w:r>
      <w:r>
        <w:rPr>
          <w:noProof/>
        </w:rPr>
        <w:tab/>
      </w:r>
      <w:r>
        <w:rPr>
          <w:noProof/>
          <w:u w:color="000000"/>
          <w:bdr w:val="nil"/>
        </w:rPr>
        <w:t>Drepturile fundamentale</w:t>
      </w:r>
    </w:p>
    <w:p>
      <w:pPr>
        <w:rPr>
          <w:noProof/>
        </w:rPr>
      </w:pPr>
      <w:r>
        <w:rPr>
          <w:noProof/>
        </w:rPr>
        <w:t>Această propunere nu are implicații asupra protejării drepturilor fundamentale.</w:t>
      </w:r>
    </w:p>
    <w:p>
      <w:pPr>
        <w:pStyle w:val="ManualHeading1"/>
        <w:rPr>
          <w:noProof/>
        </w:rPr>
      </w:pPr>
      <w:r>
        <w:rPr>
          <w:noProof/>
        </w:rPr>
        <w:t>4.</w:t>
      </w:r>
      <w:r>
        <w:rPr>
          <w:noProof/>
        </w:rPr>
        <w:tab/>
        <w:t>IMPLICAȚII BUGETARE</w:t>
      </w:r>
    </w:p>
    <w:p>
      <w:pPr>
        <w:rPr>
          <w:noProof/>
        </w:rPr>
      </w:pPr>
      <w:r>
        <w:rPr>
          <w:noProof/>
        </w:rPr>
        <w:t>Modificările propuse nu implică nicio modificare a plafoanelor anuale pentru angajamente și plăți din cadrul financiar multianual.</w:t>
      </w:r>
    </w:p>
    <w:p>
      <w:pPr>
        <w:pStyle w:val="ManualHeading1"/>
        <w:rPr>
          <w:noProof/>
        </w:rPr>
      </w:pPr>
      <w:r>
        <w:rPr>
          <w:noProof/>
        </w:rPr>
        <w:t>5.</w:t>
      </w:r>
      <w:r>
        <w:rPr>
          <w:noProof/>
        </w:rPr>
        <w:tab/>
        <w:t>ALTE ELEMENTE</w:t>
      </w:r>
    </w:p>
    <w:p>
      <w:pPr>
        <w:pStyle w:val="ManualHeading2"/>
        <w:rPr>
          <w:rFonts w:eastAsia="Arial Unicode MS"/>
          <w:noProof/>
          <w:u w:color="000000"/>
          <w:bdr w:val="nil"/>
        </w:rPr>
      </w:pPr>
      <w:r>
        <w:rPr>
          <w:noProof/>
          <w:u w:color="000000"/>
          <w:bdr w:val="nil"/>
        </w:rPr>
        <w:t>•</w:t>
      </w:r>
      <w:r>
        <w:rPr>
          <w:noProof/>
        </w:rPr>
        <w:tab/>
      </w:r>
      <w:r>
        <w:rPr>
          <w:noProof/>
          <w:u w:color="000000"/>
          <w:bdr w:val="nil"/>
        </w:rPr>
        <w:t>Planurile de punere în aplicare și măsurile de monitorizare, evaluare și raportare</w:t>
      </w:r>
    </w:p>
    <w:p>
      <w:pPr>
        <w:rPr>
          <w:noProof/>
        </w:rPr>
      </w:pPr>
      <w:r>
        <w:rPr>
          <w:noProof/>
        </w:rPr>
        <w:t>Se aplică cerințele de punere în aplicare, monitorizare, evaluare și raportare stabilite în Regulamentele (UE) 2021/1139 și 2021/1060.</w:t>
      </w:r>
    </w:p>
    <w:p>
      <w:pPr>
        <w:pStyle w:val="ManualHeading2"/>
        <w:rPr>
          <w:rFonts w:eastAsia="Arial Unicode MS"/>
          <w:noProof/>
          <w:u w:color="000000"/>
          <w:bdr w:val="nil"/>
        </w:rPr>
      </w:pPr>
      <w:r>
        <w:rPr>
          <w:noProof/>
          <w:u w:color="000000"/>
          <w:bdr w:val="nil"/>
        </w:rPr>
        <w:t>•</w:t>
      </w:r>
      <w:r>
        <w:rPr>
          <w:noProof/>
        </w:rPr>
        <w:tab/>
      </w:r>
      <w:r>
        <w:rPr>
          <w:noProof/>
          <w:u w:color="000000"/>
          <w:bdr w:val="nil"/>
        </w:rPr>
        <w:t>Explicarea detaliată a dispozițiilor specifice ale propunerii</w:t>
      </w:r>
    </w:p>
    <w:p>
      <w:pPr>
        <w:rPr>
          <w:noProof/>
        </w:rPr>
      </w:pPr>
      <w:r>
        <w:rPr>
          <w:noProof/>
        </w:rPr>
        <w:t>Nu se aplică.</w:t>
      </w:r>
    </w:p>
    <w:p>
      <w:pPr>
        <w:rPr>
          <w:noProof/>
        </w:rPr>
        <w:sectPr>
          <w:headerReference w:type="even" r:id="rId10"/>
          <w:footerReference w:type="even" r:id="rId11"/>
          <w:footerReference w:type="default" r:id="rId12"/>
          <w:headerReference w:type="first" r:id="rId13"/>
          <w:footerReference w:type="first" r:id="rId14"/>
          <w:pgSz w:w="11907" w:h="16839"/>
          <w:pgMar w:top="1134" w:right="1417" w:bottom="1134" w:left="1417" w:header="709" w:footer="709" w:gutter="0"/>
          <w:cols w:space="708"/>
          <w:docGrid w:linePitch="360"/>
        </w:sectPr>
      </w:pPr>
    </w:p>
    <w:p>
      <w:pPr>
        <w:pStyle w:val="Rfrenceinterinstitutionnelle"/>
        <w:rPr>
          <w:noProof/>
        </w:rPr>
      </w:pPr>
      <w:r>
        <w:rPr>
          <w:noProof/>
        </w:rPr>
        <w:t>2026/0289 (COD)</w:t>
      </w:r>
    </w:p>
    <w:p>
      <w:pPr>
        <w:pStyle w:val="Statut"/>
        <w:rPr>
          <w:noProof/>
        </w:rPr>
      </w:pPr>
      <w:r>
        <w:rPr>
          <w:noProof/>
        </w:rPr>
        <w:t>Propunere de</w:t>
      </w:r>
    </w:p>
    <w:p>
      <w:pPr>
        <w:pStyle w:val="Typedudocument"/>
        <w:rPr>
          <w:noProof/>
        </w:rPr>
      </w:pPr>
      <w:r>
        <w:rPr>
          <w:noProof/>
        </w:rPr>
        <w:t>REGULAMENT AL PARLAMENTULUI EUROPEAN ȘI AL CONSILIULUI</w:t>
      </w:r>
    </w:p>
    <w:p>
      <w:pPr>
        <w:pStyle w:val="Titreobjet"/>
        <w:rPr>
          <w:noProof/>
        </w:rPr>
      </w:pPr>
      <w:r>
        <w:rPr>
          <w:noProof/>
        </w:rPr>
        <w:t>de modificare a Regulamentului (UE) 2021/1139 în ceea ce privește simplificarea și transpunerea Acordului OMC privind subvențiile pentru pescuit</w:t>
      </w:r>
    </w:p>
    <w:p>
      <w:pPr>
        <w:pStyle w:val="Institutionquiagit"/>
        <w:rPr>
          <w:noProof/>
        </w:rPr>
      </w:pPr>
      <w:r>
        <w:rPr>
          <w:noProof/>
        </w:rPr>
        <w:t>PARLAMENTUL EUROPEAN ȘI CONSILIUL UNIUNII EUROPENE,</w:t>
      </w:r>
    </w:p>
    <w:p>
      <w:pPr>
        <w:rPr>
          <w:noProof/>
        </w:rPr>
      </w:pPr>
      <w:r>
        <w:rPr>
          <w:noProof/>
        </w:rPr>
        <w:t>având în vedere Tratatul privind funcționarea Uniunii Europene, în special articolul 42, articolul 43 alineatul (2), articolul 91 alineatul (1), articolul 100 alineatul (2), articolul 173 alineatul (3), articolul 175, articolul 188, articolul 192 alineatul (1), articolul 194 alineatul (2), articolul 195 alineatul (2) și articolul 349,</w:t>
      </w:r>
    </w:p>
    <w:p>
      <w:pPr>
        <w:rPr>
          <w:noProof/>
        </w:rPr>
      </w:pPr>
      <w:r>
        <w:rPr>
          <w:noProof/>
        </w:rPr>
        <w:t>având în vedere propunerea Comisiei Europene,</w:t>
      </w:r>
    </w:p>
    <w:p>
      <w:pPr>
        <w:rPr>
          <w:noProof/>
        </w:rPr>
      </w:pPr>
      <w:r>
        <w:rPr>
          <w:noProof/>
        </w:rPr>
        <w:t>după transmiterea proiectului de act legislativ către parlamentele naționale,</w:t>
      </w:r>
    </w:p>
    <w:p>
      <w:pPr>
        <w:rPr>
          <w:noProof/>
        </w:rPr>
      </w:pPr>
      <w:r>
        <w:rPr>
          <w:noProof/>
        </w:rPr>
        <w:t>hotărând în conformitate cu procedura legislativă ordinară,</w:t>
      </w:r>
    </w:p>
    <w:p>
      <w:pPr>
        <w:rPr>
          <w:noProof/>
        </w:rPr>
      </w:pPr>
      <w:r>
        <w:rPr>
          <w:noProof/>
        </w:rPr>
        <w:t>întrucât:</w:t>
      </w:r>
    </w:p>
    <w:p>
      <w:pPr>
        <w:pStyle w:val="ManualConsidrant"/>
        <w:rPr>
          <w:rFonts w:eastAsia="Times New Roman"/>
          <w:noProof/>
          <w:color w:val="000000" w:themeColor="text1"/>
        </w:rPr>
      </w:pPr>
      <w:r>
        <w:rPr>
          <w:noProof/>
        </w:rPr>
        <w:t>(1)</w:t>
      </w:r>
      <w:r>
        <w:rPr>
          <w:noProof/>
        </w:rPr>
        <w:tab/>
        <w:t>Nevoile sectorului pescuitului din Uniunea Europeană și provocările cu care se confruntă în prezent impun măsuri de sprijin mai bine adaptate și mai simple în cadrul Fondului european pentru afaceri maritime, pescuit și acvacultură (denumit în continuare „FEAMPA”).</w:t>
      </w:r>
      <w:r>
        <w:rPr>
          <w:noProof/>
          <w:color w:val="000000" w:themeColor="text1"/>
        </w:rPr>
        <w:t xml:space="preserve"> Ajustările propuse în prezentul regulament vizează îmbunătățirea și facilitarea punerii în aplicare a </w:t>
      </w:r>
      <w:r>
        <w:rPr>
          <w:noProof/>
        </w:rPr>
        <w:t xml:space="preserve">FEAMPA </w:t>
      </w:r>
      <w:r>
        <w:rPr>
          <w:noProof/>
          <w:color w:val="000000" w:themeColor="text1"/>
        </w:rPr>
        <w:t>prin abordarea unora dintre aspectele care au fost identificate în evaluarea la jumătatea perioadei a FEAMPA, precum și în consultarea părților interesate, fără a se abate de la principiile fundamentale ale politicii și garantând în același timp respectarea Regulamentului privind politica comună în domeniul pescuitului (PCP). Scopul modificărilor este de a spori flexibilitatea pentru statele membre și de a reduce sarcina asupra beneficiarilor, permițându-le astfel să utilizeze mai bine oportunitățile oferite de FEAMPA pentru restul perioadei de programare.</w:t>
      </w:r>
    </w:p>
    <w:p>
      <w:pPr>
        <w:pStyle w:val="ManualConsidrant"/>
        <w:rPr>
          <w:rFonts w:eastAsia="Times New Roman"/>
          <w:noProof/>
          <w:color w:val="000000" w:themeColor="text1"/>
        </w:rPr>
      </w:pPr>
      <w:r>
        <w:rPr>
          <w:noProof/>
        </w:rPr>
        <w:t>(2)</w:t>
      </w:r>
      <w:r>
        <w:rPr>
          <w:noProof/>
        </w:rPr>
        <w:tab/>
      </w:r>
      <w:r>
        <w:rPr>
          <w:noProof/>
          <w:color w:val="000000" w:themeColor="text1"/>
        </w:rPr>
        <w:t xml:space="preserve">Restricțiile bugetare privind alocările pentru măsurile privind flota și încetarea definitivă a activității de pescuit ar trebui revizuite pentru a oferi statelor membre o mai mare flexibilitate și agilitate în programarea alocărilor financiare suplimentare în cadrul acestor măsuri. </w:t>
      </w:r>
    </w:p>
    <w:p>
      <w:pPr>
        <w:pStyle w:val="ManualConsidrant"/>
        <w:rPr>
          <w:noProof/>
        </w:rPr>
      </w:pPr>
      <w:r>
        <w:rPr>
          <w:noProof/>
        </w:rPr>
        <w:t>(3)</w:t>
      </w:r>
      <w:r>
        <w:rPr>
          <w:noProof/>
        </w:rPr>
        <w:tab/>
        <w:t>Pentru a spori siguranța pe mare fără a crește capacitatea de pescuit, tehnologiile de navigație precum GPS-ul sau radarele ar trebui să fie eligibile pentru sprijin.</w:t>
      </w:r>
    </w:p>
    <w:p>
      <w:pPr>
        <w:pStyle w:val="ManualConsidrant"/>
        <w:rPr>
          <w:noProof/>
        </w:rPr>
      </w:pPr>
      <w:r>
        <w:rPr>
          <w:noProof/>
        </w:rPr>
        <w:t>(4)</w:t>
      </w:r>
      <w:r>
        <w:rPr>
          <w:noProof/>
        </w:rPr>
        <w:tab/>
        <w:t>Reînnoirea generațiilor în sectorul pescuitului este esențială pentru securitatea alimentară, sustenabilitatea și vitalitatea zonelor costiere din Europa. Prin urmare, ar trebui facilitate transferul de proprietate către tinerii pescari și pescuitul costier la scară mică. Pentru a asigura viabilitatea micilor pescari și pentru a remedia vulnerabilitatea economică a acestora, este necesar să se prevadă stimulente financiare adecvate pentru diversificarea activităților.</w:t>
      </w:r>
    </w:p>
    <w:p>
      <w:pPr>
        <w:pStyle w:val="ManualConsidrant"/>
        <w:rPr>
          <w:noProof/>
        </w:rPr>
      </w:pPr>
      <w:r>
        <w:rPr>
          <w:noProof/>
        </w:rPr>
        <w:t>(5)</w:t>
      </w:r>
      <w:r>
        <w:rPr>
          <w:noProof/>
        </w:rPr>
        <w:tab/>
        <w:t>Prin urmare, în conformitate cu considerentul 4, ar trebui, de asemenea, ca statele membre să aibă posibilitatea să acorde tinerilor pescari o rată mai mare a intensității ajutorului pentru a sprijini reînnoirea generațiilor și a facilita intrarea acestora în sector.</w:t>
      </w:r>
    </w:p>
    <w:p>
      <w:pPr>
        <w:pStyle w:val="ManualConsidrant"/>
        <w:rPr>
          <w:noProof/>
        </w:rPr>
      </w:pPr>
      <w:r>
        <w:rPr>
          <w:noProof/>
        </w:rPr>
        <w:t>(6)</w:t>
      </w:r>
      <w:r>
        <w:rPr>
          <w:noProof/>
        </w:rPr>
        <w:tab/>
        <w:t>În procesul de tranziție energetică este nevoie de o mai mare flexibilitate și simplificare pentru a garanta că viitorul pescuitului este sustenabil din punct de vedere ecologic, economic și social, protejând în același timp viabilitatea modelelor de afaceri actuale. Înlocuirea sau modernizarea motoarelor, de exemplu prin utilizarea tehnologiei bazate pe hidrogen, amoniac, ardere internă, pile de combustie, energie electrică, o combinație de energie electrică și ardere (hibridă), tehnologie hibridă cu pile de combustie sau orice altă tehnologie echivalentă eficientă din punct de vedere energetic sau bazată pe combustibili alternativi, este o modalitate de a accelera tranziția energetică a sectorului pescuitului și de a stimula competitivitatea Uniunii. Pentru a sprijini procesul de tranziție energetică și a spori atractivitatea sectorului, navele de pescuit costier la scară mică ar trebui să beneficieze de o mai mare flexibilitate în ceea ce privește modernizarea sau înlocuirea motoarelor lor. Prin urmare, cerințele de la articolul 18 alineatul (2) litera (c) din Regulamentul (UE) 2021/1139 ar trebui modificate pentru a deplasa accentul de la capacitatea kW a motorului la contribuția sa la eficiența energetică, măsurată prin reducerea propusă a emisiilor de CO</w:t>
      </w:r>
      <w:r>
        <w:rPr>
          <w:noProof/>
          <w:vertAlign w:val="subscript"/>
        </w:rPr>
        <w:t>2</w:t>
      </w:r>
      <w:r>
        <w:rPr>
          <w:noProof/>
        </w:rPr>
        <w:t>. Cerințele pentru înlocuirea motoarelor, prevăzute la articolul 18 alineatul (2) litera (d) din Regulamentul (UE) 2021/1139, ar trebui adaptate pentru a elimina pragurile rigide care împiedică în prezent adoptarea acestei soluții, permițând astfel o decarbonizare mai amplă a ansamblului flotei.</w:t>
      </w:r>
    </w:p>
    <w:p>
      <w:pPr>
        <w:pStyle w:val="ManualConsidrant"/>
        <w:rPr>
          <w:noProof/>
        </w:rPr>
      </w:pPr>
      <w:r>
        <w:rPr>
          <w:noProof/>
        </w:rPr>
        <w:t>(7)</w:t>
      </w:r>
      <w:r>
        <w:rPr>
          <w:noProof/>
        </w:rPr>
        <w:tab/>
        <w:t>Pentru a reduce și mai mult sarcina administrativă asupra sectorului pescuitului, perioada de înregistrare a navelor de pescuit ar trebui redusă de la 10 la cinci ani calendaristici. În plus, ar trebui să se permită creșterea capacității tonajului brut al navelor pentru pescuitul costier la scară mică, pentru a ține seama de creșterea volumului necesară pentru înlocuirea unui motor sau pentru îmbunătățirea eficienței energetice.</w:t>
      </w:r>
    </w:p>
    <w:p>
      <w:pPr>
        <w:pStyle w:val="ManualConsidrant"/>
        <w:rPr>
          <w:noProof/>
        </w:rPr>
      </w:pPr>
      <w:r>
        <w:rPr>
          <w:noProof/>
        </w:rPr>
        <w:t>(8)</w:t>
      </w:r>
      <w:r>
        <w:rPr>
          <w:noProof/>
        </w:rPr>
        <w:tab/>
        <w:t>Pescuitul de anghilă este foarte sezonier, deoarece este influențat de factori geografici și de ciclul de viață complex al anghilei. În scopul simplificării, caracteristicile specifice ale pescuitului de anghilă ar trebui să se reflecte în calcularea activităților de pescuit pe mare și ar trebui introdusă o derogare de la cerința de 90 de zile pe mare de la articolul 20 alineatul (2) litera (c) din Regulamentul (UE) 2021/1139, așa cum este deja cazul pentru articolul 21 din regulamentul respectiv.</w:t>
      </w:r>
    </w:p>
    <w:p>
      <w:pPr>
        <w:pStyle w:val="ManualConsidrant"/>
        <w:rPr>
          <w:noProof/>
        </w:rPr>
      </w:pPr>
      <w:r>
        <w:rPr>
          <w:noProof/>
        </w:rPr>
        <w:t>(9)</w:t>
      </w:r>
      <w:r>
        <w:rPr>
          <w:noProof/>
        </w:rPr>
        <w:tab/>
        <w:t>Sprijinul financiar pentru încetarea temporară a activității de pescuit ar trebui să fie permis pentru a atenua impactul socioeconomic al reducerilor semnificative și neașteptate ale posibilităților de pescuit asupra pescarilor.</w:t>
      </w:r>
    </w:p>
    <w:p>
      <w:pPr>
        <w:pStyle w:val="ManualConsidrant"/>
        <w:rPr>
          <w:noProof/>
        </w:rPr>
      </w:pPr>
      <w:r>
        <w:rPr>
          <w:noProof/>
        </w:rPr>
        <w:t>(10)</w:t>
      </w:r>
      <w:r>
        <w:rPr>
          <w:noProof/>
        </w:rPr>
        <w:tab/>
        <w:t>Este necesar un sprijin financiar suplimentar pentru a încuraja inovarea, tranziția energetică și inițiativele în materie de eficiență energetică care contribuie la obiectivele Uniunii în materie de mediu și climă, în special în sectoarele pescuitului și acvaculturii. Prin urmare, ar trebui să se permită un sprijin specific suplimentar pentru proiectele-pilot și proiectele de cercetare din sectoarele care constituie inițiative experimentale menite să testeze fezabilitatea unei măsuri din cadrul juridic aplicabil. În mod similar, ar trebui să se permită acordarea de sprijin financiar pentru investițiile în porturi și infrastructuri care contribuie la tranziția energetică în sectorul pescuitului.</w:t>
      </w:r>
    </w:p>
    <w:p>
      <w:pPr>
        <w:pStyle w:val="ManualConsidrant"/>
        <w:rPr>
          <w:noProof/>
        </w:rPr>
      </w:pPr>
      <w:r>
        <w:rPr>
          <w:noProof/>
        </w:rPr>
        <w:t>(11)</w:t>
      </w:r>
      <w:r>
        <w:rPr>
          <w:noProof/>
        </w:rPr>
        <w:tab/>
        <w:t>Statele membre ar trebui să aibă posibilitatea să sprijine în continuare conceperea, dezvoltarea și punerea în aplicare colectivă a strategiilor naționale pentru zonele marine protejate și zonele în care pescuitul este restricționat și pentru gestionarea acestor zone.</w:t>
      </w:r>
    </w:p>
    <w:p>
      <w:pPr>
        <w:pStyle w:val="ManualConsidrant"/>
        <w:rPr>
          <w:noProof/>
        </w:rPr>
      </w:pPr>
      <w:r>
        <w:rPr>
          <w:noProof/>
        </w:rPr>
        <w:t>(12)</w:t>
      </w:r>
      <w:r>
        <w:rPr>
          <w:noProof/>
        </w:rPr>
        <w:tab/>
        <w:t>De asemenea, este necesar să se modifice Regulamentul (UE) 2021/1139 pentru a transpune Protocolul de modificare a Acordului de la Marrakesh privind constituirea Organizației Mondiale a Comerțului, care conține Acordul privind subvențiile pentru pescuit</w:t>
      </w:r>
      <w:r>
        <w:rPr>
          <w:rStyle w:val="FootnoteReference"/>
          <w:rFonts w:eastAsia="Calibri"/>
          <w:noProof/>
        </w:rPr>
        <w:footnoteReference w:id="5"/>
      </w:r>
      <w:r>
        <w:rPr>
          <w:noProof/>
        </w:rPr>
        <w:t>.</w:t>
      </w:r>
    </w:p>
    <w:p>
      <w:pPr>
        <w:pStyle w:val="ManualConsidrant"/>
        <w:rPr>
          <w:noProof/>
        </w:rPr>
      </w:pPr>
      <w:r>
        <w:rPr>
          <w:noProof/>
        </w:rPr>
        <w:t>(13)</w:t>
      </w:r>
      <w:r>
        <w:rPr>
          <w:noProof/>
        </w:rPr>
        <w:tab/>
        <w:t>Uniunea Europeană este membră a Organizației Mondiale a Comerțului („OMC”), care a lansat, în noiembrie 2001, Runda de negocieri comerciale de la Doha, cunoscută sub numele de „Agenda de dezvoltare de la Doha”. Obiectivul negocierilor OMC privind subvențiile pentru pescuit a fost de a îndeplini obiectivul 14.6 din obiectivele de dezvoltare durabilă ale Organizației Națiunilor Unite, care se axează pe interzicerea anumitor forme de subvenții pentru pescuit care conduc la supracapacitate și la pescuit excesiv, pe eliminarea subvențiilor care sprijină pescuitul ilegal, nedeclarat și nereglementat (INN) și pe abținerea de la introducerea unor noi subvenții dăunătoare.</w:t>
      </w:r>
    </w:p>
    <w:p>
      <w:pPr>
        <w:pStyle w:val="ManualConsidrant"/>
        <w:rPr>
          <w:noProof/>
        </w:rPr>
      </w:pPr>
      <w:r>
        <w:rPr>
          <w:noProof/>
        </w:rPr>
        <w:t>(14)</w:t>
      </w:r>
      <w:r>
        <w:rPr>
          <w:noProof/>
        </w:rPr>
        <w:tab/>
        <w:t>La 17 iunie 2022, cea de a 12-a Conferință ministerială a adoptat Protocolul de modificare a Acordului de la Marrakesh privind constituirea Organizației Mondiale a Comerțului (denumit în continuare „protocolul”), care conține Acordul privind subvențiile pentru pescuit (denumit în continuare „acordul”). Protocolul a intrat în vigoare la 15 septembrie 2025, când cele două treimi necesare din membrii OMC și-au depus instrumentele de acceptare a acordului.</w:t>
      </w:r>
    </w:p>
    <w:p>
      <w:pPr>
        <w:pStyle w:val="ManualConsidrant"/>
        <w:rPr>
          <w:noProof/>
        </w:rPr>
      </w:pPr>
      <w:r>
        <w:rPr>
          <w:noProof/>
        </w:rPr>
        <w:t>(15)</w:t>
      </w:r>
      <w:r>
        <w:rPr>
          <w:noProof/>
        </w:rPr>
        <w:tab/>
        <w:t>Acordul identifică o serie de subvenții pentru pescuit ca fiind dăunătoare și stabilește obligația membrilor OMC de a interzice subvențiile pentru navele sau operatorii implicați în activități de pescuit INN sau activități legate de pescuit care sprijină pescuitul INN și pentru activitățile de pescuit și legate de pescuit în marea liberă care nu intră în sfera de competență de reglementare a unei organizații relevante regionale de gestionare a pescuitului sau a unui acord relevant (denumite în continuare „ORGP/A”).</w:t>
      </w:r>
    </w:p>
    <w:p>
      <w:pPr>
        <w:pStyle w:val="ManualConsidrant"/>
        <w:rPr>
          <w:noProof/>
        </w:rPr>
      </w:pPr>
      <w:r>
        <w:rPr>
          <w:noProof/>
        </w:rPr>
        <w:t>(16)</w:t>
      </w:r>
      <w:r>
        <w:rPr>
          <w:noProof/>
        </w:rPr>
        <w:tab/>
        <w:t>Protocolul a fost aprobat prin Decizia (UE) 2023/1116</w:t>
      </w:r>
      <w:r>
        <w:rPr>
          <w:rStyle w:val="FootnoteReference"/>
          <w:rFonts w:eastAsia="Calibri"/>
          <w:noProof/>
        </w:rPr>
        <w:footnoteReference w:id="6"/>
      </w:r>
      <w:r>
        <w:rPr>
          <w:noProof/>
        </w:rPr>
        <w:t xml:space="preserve"> a Consiliului. Uniunea Europeană și-a depus instrumentul de acceptare la 7 iunie 2023. Protocolul ar trebui să fie transpus în dreptul Uniunii.</w:t>
      </w:r>
    </w:p>
    <w:p>
      <w:pPr>
        <w:pStyle w:val="ManualConsidrant"/>
        <w:rPr>
          <w:noProof/>
        </w:rPr>
      </w:pPr>
      <w:r>
        <w:rPr>
          <w:noProof/>
        </w:rPr>
        <w:t>(17)</w:t>
      </w:r>
      <w:r>
        <w:rPr>
          <w:noProof/>
        </w:rPr>
        <w:tab/>
        <w:t>Pentru a pune în aplicare dispozițiile acordului și pentru a asigura respectarea deplină a obligațiilor care îi revin, în special în ceea ce privește finanțarea din partea UE, este necesar să se modifice Regulamentul (UE) 2021/1139 pentru a prevedea că operatorii și navele implicate în activități de pescuit INN sau în activități legate de pescuit care sprijină pescuitul INN, astfel cum sunt stabilite în conformitate cu articolul 3 alineatul (2) din acord, precum și în activități de pescuit și legate de pescuit în marea liberă care nu intră în sfera de competență de reglementare a unei/unui ORGP/A relevant(e) nu sunt eligibile pentru sprijin în cadrul FEAMPA.</w:t>
      </w:r>
    </w:p>
    <w:p>
      <w:pPr>
        <w:pStyle w:val="ManualConsidrant"/>
        <w:rPr>
          <w:noProof/>
        </w:rPr>
      </w:pPr>
      <w:r>
        <w:rPr>
          <w:noProof/>
        </w:rPr>
        <w:t>(18)</w:t>
      </w:r>
      <w:r>
        <w:rPr>
          <w:noProof/>
        </w:rPr>
        <w:tab/>
        <w:t>Potrivit articolului 5 alineatul (1) din acord, nici unul dintre membri OMC nu trebuie să acorde sau să mențină subvenții pentru activități de pescuit sau legate de pescuit desfășurate în afara jurisdicției unui membru costier sau nemembru costier sau în afara sferei de competență a unei/unui ORGP/A relevant(e). Pentru a transpune această regulă în legislația Uniunii, este necesar să se prevadă și în FEAMPA că aceste operațiuni și cheltuieli sunt neeligibile pentru finanțare. În acest scop, ar trebui introdus un nou articol 13a pentru a completa lista operațiunilor și a cheltuielilor neeligibile în temeiul articolului 13 din Regulamentul (UE) 2021/1139.</w:t>
      </w:r>
    </w:p>
    <w:p>
      <w:pPr>
        <w:pStyle w:val="ManualConsidrant"/>
        <w:rPr>
          <w:noProof/>
        </w:rPr>
      </w:pPr>
      <w:r>
        <w:rPr>
          <w:noProof/>
        </w:rPr>
        <w:t>(19)</w:t>
      </w:r>
      <w:r>
        <w:rPr>
          <w:noProof/>
        </w:rPr>
        <w:tab/>
        <w:t xml:space="preserve">Pentru a se asigura coerența cu obligațiile care decurg din acord, dispozițiile de punere în aplicare a acordului ar trebui să se aplice de la data intrării în vigoare a prezentului regulament de modificare până la data denunțării acordului, astfel cum a fost publicată în </w:t>
      </w:r>
      <w:r>
        <w:rPr>
          <w:i/>
          <w:noProof/>
        </w:rPr>
        <w:t>Jurnalul Oficial al Uniunii Europene</w:t>
      </w:r>
      <w:r>
        <w:rPr>
          <w:noProof/>
        </w:rPr>
        <w:t>. În această perioadă, cererile de sprijin care nu sunt conforme cu acordul ar trebui să fie inadmisibile, iar operațiunile și cheltuielile ar trebui să fie neeligibile.</w:t>
      </w:r>
    </w:p>
    <w:p>
      <w:pPr>
        <w:pStyle w:val="ManualConsidrant"/>
        <w:rPr>
          <w:rFonts w:eastAsia="Times New Roman"/>
          <w:noProof/>
          <w:color w:val="000000" w:themeColor="text1"/>
        </w:rPr>
      </w:pPr>
      <w:r>
        <w:rPr>
          <w:noProof/>
        </w:rPr>
        <w:t>(20)</w:t>
      </w:r>
      <w:r>
        <w:rPr>
          <w:noProof/>
        </w:rPr>
        <w:tab/>
        <w:t>Constatările privind pescuitul INN din deciziile de constatare în temeiul articolului 3 alineatul (2) din acord nu ar trebui să aducă atingere constatărilor privind pescuitul INN în temeiul Regulamentelor (CE) nr. 1005/2008</w:t>
      </w:r>
      <w:r>
        <w:rPr>
          <w:rStyle w:val="FootnoteReference"/>
          <w:rFonts w:eastAsia="Calibri"/>
          <w:noProof/>
        </w:rPr>
        <w:footnoteReference w:id="7"/>
      </w:r>
      <w:r>
        <w:rPr>
          <w:noProof/>
        </w:rPr>
        <w:t xml:space="preserve"> și (CE) nr. 1224/2009</w:t>
      </w:r>
      <w:r>
        <w:rPr>
          <w:rStyle w:val="FootnoteReference"/>
          <w:rFonts w:eastAsia="Calibri"/>
          <w:noProof/>
        </w:rPr>
        <w:footnoteReference w:id="8"/>
      </w:r>
      <w:r>
        <w:rPr>
          <w:noProof/>
        </w:rPr>
        <w:t xml:space="preserve"> ale Consiliului,</w:t>
      </w:r>
    </w:p>
    <w:p>
      <w:pPr>
        <w:pStyle w:val="Formuledadoption"/>
        <w:rPr>
          <w:noProof/>
        </w:rPr>
      </w:pPr>
      <w:r>
        <w:rPr>
          <w:noProof/>
        </w:rPr>
        <w:t>ADOPTĂ PREZENTUL REGULAMENT:</w:t>
      </w:r>
    </w:p>
    <w:p>
      <w:pPr>
        <w:pStyle w:val="Titrearticle"/>
        <w:rPr>
          <w:noProof/>
        </w:rPr>
      </w:pPr>
      <w:r>
        <w:rPr>
          <w:noProof/>
        </w:rPr>
        <w:t>Articolul 1</w:t>
      </w:r>
    </w:p>
    <w:p>
      <w:pPr>
        <w:pStyle w:val="NormalCentered"/>
        <w:rPr>
          <w:b/>
          <w:noProof/>
        </w:rPr>
      </w:pPr>
      <w:r>
        <w:rPr>
          <w:b/>
          <w:noProof/>
        </w:rPr>
        <w:t>Modificarea Regulamentului (UE) 2021/1139</w:t>
      </w:r>
    </w:p>
    <w:p>
      <w:pPr>
        <w:rPr>
          <w:noProof/>
        </w:rPr>
      </w:pPr>
      <w:r>
        <w:rPr>
          <w:noProof/>
        </w:rPr>
        <w:t>Regulamentul (UE) 2021/1139 se modifică după cum urmează:</w:t>
      </w:r>
    </w:p>
    <w:p>
      <w:pPr>
        <w:rPr>
          <w:b/>
          <w:bCs/>
          <w:noProof/>
        </w:rPr>
      </w:pPr>
      <w:r>
        <w:rPr>
          <w:b/>
          <w:noProof/>
        </w:rPr>
        <w:t>(1) la articolul 2 alineatul (2) se adaugă următoarele puncte 16, 17, 18, 19, 20, 21, 22 și 23:</w:t>
      </w:r>
    </w:p>
    <w:p>
      <w:pPr>
        <w:rPr>
          <w:noProof/>
        </w:rPr>
      </w:pPr>
      <w:r>
        <w:rPr>
          <w:noProof/>
        </w:rPr>
        <w:t>„16.</w:t>
      </w:r>
      <w:r>
        <w:rPr>
          <w:noProof/>
        </w:rPr>
        <w:tab/>
        <w:t>«decizie de constatare» înseamnă o constatare definitivă potrivit căreia un operator sau o navă este implicată în activități de pescuit ilegal, nedeclarat sau nereglementat (« pescuit INN ») sau în activități legate de pescuit care sprijină pescuitul INN, în cazul în care constatarea respectivă este făcută de:</w:t>
      </w:r>
    </w:p>
    <w:p>
      <w:pPr>
        <w:pStyle w:val="Point1"/>
        <w:rPr>
          <w:noProof/>
        </w:rPr>
      </w:pPr>
      <w:r>
        <w:rPr>
          <w:noProof/>
        </w:rPr>
        <w:t>(a)</w:t>
      </w:r>
      <w:r>
        <w:rPr>
          <w:noProof/>
        </w:rPr>
        <w:tab/>
        <w:t>un membru al Organizației Mondiale a Comerțului (OMC), pentru activitățile desfășurate în zonele aflate sub jurisdicția sa (« statul de coastă »); sau</w:t>
      </w:r>
    </w:p>
    <w:p>
      <w:pPr>
        <w:pStyle w:val="Point1"/>
        <w:rPr>
          <w:noProof/>
        </w:rPr>
      </w:pPr>
      <w:r>
        <w:rPr>
          <w:noProof/>
        </w:rPr>
        <w:t>(b)</w:t>
      </w:r>
      <w:r>
        <w:rPr>
          <w:noProof/>
        </w:rPr>
        <w:tab/>
        <w:t>o organizație relevantă regională de gestionare a pescuitului sau un acord relevant (« ORGP/A »), pentru activitățile din zonele și pentru speciile aflate în sfera sa de competență, în conformitate cu normele și procedurile respectivei/respectivului ORGP/A și cu dreptul internațional relevant;</w:t>
      </w:r>
    </w:p>
    <w:p>
      <w:pPr>
        <w:rPr>
          <w:noProof/>
        </w:rPr>
      </w:pPr>
      <w:r>
        <w:rPr>
          <w:noProof/>
        </w:rPr>
        <w:t>17.</w:t>
      </w:r>
      <w:r>
        <w:rPr>
          <w:noProof/>
        </w:rPr>
        <w:tab/>
        <w:t>«Acordul OMC privind subvențiile pentru pescuit» înseamnă Acordul privind subvențiile pentru pescuit cuprins în Protocolul de modificare a Acordului de la Marrakesh privind constituirea Organizației Mondiale a Comerțului în ceea ce privește Acordul privind subvențiile pentru pescuit, care a fost adoptat de OMC la 17 iunie 2022, în vigoare de la 15 septembrie 2025 și a fost aprobat în numele Uniunii prin Decizia (UE) 2023/1116 a Consiliului</w:t>
      </w:r>
      <w:r>
        <w:rPr>
          <w:rStyle w:val="FootnoteReference"/>
          <w:noProof/>
        </w:rPr>
        <w:footnoteReference w:id="9"/>
      </w:r>
      <w:r>
        <w:rPr>
          <w:noProof/>
        </w:rPr>
        <w:t>;</w:t>
      </w:r>
    </w:p>
    <w:p>
      <w:pPr>
        <w:rPr>
          <w:noProof/>
        </w:rPr>
      </w:pPr>
      <w:r>
        <w:rPr>
          <w:noProof/>
        </w:rPr>
        <w:t>18.</w:t>
      </w:r>
      <w:r>
        <w:rPr>
          <w:noProof/>
        </w:rPr>
        <w:tab/>
        <w:t>«tranziție energetică în sectorul pescuitului și acvaculturii» înseamnă o transformare măsurabilă a activităților de pescuit și acvacultură în direcția unui consum mai scăzut de energie, a reducerii emisiilor de gaze cu efect de seră și a reducerii dependenței de combustibilii fosili, în cazul în care transformarea respectivă se realizează prin implementarea și utilizarea unor tehnologii și proiecte eficiente din punct de vedere energetic, prin adoptarea combustibililor alternativi și a surselor de energie cu emisii scăzute de dioxid de carbon în sectorul pescuitului și acvaculturii și prin dezvoltarea unei infrastructuri de sprijin care să nu submineze obiectivele politicii comune în domeniul pescuitului;</w:t>
      </w:r>
    </w:p>
    <w:p>
      <w:pPr>
        <w:rPr>
          <w:noProof/>
        </w:rPr>
      </w:pPr>
      <w:r>
        <w:rPr>
          <w:noProof/>
        </w:rPr>
        <w:t>19.</w:t>
      </w:r>
      <w:r>
        <w:rPr>
          <w:noProof/>
        </w:rPr>
        <w:tab/>
        <w:t>«tânăr pescar» înseamnă un pescar care nu are mai mult de 40 de ani la data depunerii cererii de sprijin;</w:t>
      </w:r>
    </w:p>
    <w:p>
      <w:pPr>
        <w:rPr>
          <w:noProof/>
        </w:rPr>
      </w:pPr>
      <w:r>
        <w:rPr>
          <w:noProof/>
        </w:rPr>
        <w:t>20.</w:t>
      </w:r>
      <w:r>
        <w:rPr>
          <w:noProof/>
        </w:rPr>
        <w:tab/>
        <w:t>«navă», în sensul articolelor 11a și 13a, înseamnă o navă de pescuit, astfel cum este definită la articolul 4 alineatul (1) punctul 4 din Regulamentul (UE) nr. 1380/2013, sau orice altă navă, vas sau ambarcațiune utilizată, echipată sau destinată a fi utilizată pentru activități de pescuit sau legate de pescuit;</w:t>
      </w:r>
    </w:p>
    <w:p>
      <w:pPr>
        <w:rPr>
          <w:noProof/>
        </w:rPr>
      </w:pPr>
      <w:r>
        <w:rPr>
          <w:noProof/>
        </w:rPr>
        <w:t>21.</w:t>
      </w:r>
      <w:r>
        <w:rPr>
          <w:noProof/>
        </w:rPr>
        <w:tab/>
        <w:t>«pescuit», în sensul articolelor 11a și 13a, înseamnă căutarea, atragerea, localizarea, capturarea, prinderea sau recoltarea de pește sau orice activitate care poate duce, în mod rezonabil, la atragerea, localizarea, capturarea, prinderea sau recoltarea de pește;</w:t>
      </w:r>
    </w:p>
    <w:p>
      <w:pPr>
        <w:rPr>
          <w:noProof/>
        </w:rPr>
      </w:pPr>
      <w:r>
        <w:rPr>
          <w:noProof/>
        </w:rPr>
        <w:t>22.</w:t>
      </w:r>
      <w:r>
        <w:rPr>
          <w:noProof/>
        </w:rPr>
        <w:tab/>
        <w:t>«activități legate de pescuit», în sensul articolelor 11a și 13a, înseamnă orice operațiune de sprijin sau de pregătire a pescuitului, a debarcării, a ambalării, a procesării, a transbordării sau a transportului peștelui care nu a fost debarcat anterior într-un port, precum și asigurarea personalului, a carburantului, a uneltelor de pescuit și a altor provizii pe mare;</w:t>
      </w:r>
    </w:p>
    <w:p>
      <w:pPr>
        <w:rPr>
          <w:noProof/>
        </w:rPr>
      </w:pPr>
      <w:r>
        <w:rPr>
          <w:noProof/>
        </w:rPr>
        <w:t>23.</w:t>
      </w:r>
      <w:r>
        <w:rPr>
          <w:noProof/>
        </w:rPr>
        <w:tab/>
        <w:t>«operator», în sensul articolelor 11a și 13a, înseamnă proprietarul unei nave sau orice persoană care este responsabilă de navă, conduce sau controlează nava.”;</w:t>
      </w:r>
    </w:p>
    <w:p>
      <w:pPr>
        <w:rPr>
          <w:b/>
          <w:bCs/>
          <w:noProof/>
        </w:rPr>
      </w:pPr>
      <w:r>
        <w:rPr>
          <w:b/>
          <w:noProof/>
        </w:rPr>
        <w:t>(2) articolul 5 alineatul (5) se înlocuiește cu următorul text:</w:t>
      </w:r>
    </w:p>
    <w:p>
      <w:pPr>
        <w:rPr>
          <w:noProof/>
        </w:rPr>
      </w:pPr>
      <w:r>
        <w:rPr>
          <w:noProof/>
        </w:rPr>
        <w:t>„Cuantumul sprijinului financiar din partea Uniunii alocat de fiecare stat membru în cadrul FEAMPA menționat la articolele 17, 18, 19 și 20 nu depășește 30 % din sprijinul financiar al Uniunii alocat statului membru respectiv.”;</w:t>
      </w:r>
    </w:p>
    <w:p>
      <w:pPr>
        <w:rPr>
          <w:b/>
          <w:bCs/>
          <w:noProof/>
        </w:rPr>
      </w:pPr>
      <w:r>
        <w:rPr>
          <w:b/>
          <w:noProof/>
        </w:rPr>
        <w:t>(3) după articolul 11 se introduce articolul 11a următor:</w:t>
      </w:r>
    </w:p>
    <w:p>
      <w:pPr>
        <w:rPr>
          <w:noProof/>
        </w:rPr>
      </w:pPr>
      <w:r>
        <w:rPr>
          <w:b/>
          <w:i/>
          <w:noProof/>
        </w:rPr>
        <w:t>„</w:t>
      </w:r>
      <w:r>
        <w:rPr>
          <w:i/>
          <w:noProof/>
        </w:rPr>
        <w:t>Articolul 11a</w:t>
      </w:r>
    </w:p>
    <w:p>
      <w:pPr>
        <w:rPr>
          <w:noProof/>
        </w:rPr>
      </w:pPr>
      <w:r>
        <w:rPr>
          <w:b/>
          <w:noProof/>
        </w:rPr>
        <w:t>Admisibilitatea cererilor în cazul unei decizii de constatare</w:t>
      </w:r>
    </w:p>
    <w:p>
      <w:pPr>
        <w:rPr>
          <w:noProof/>
        </w:rPr>
      </w:pPr>
      <w:r>
        <w:rPr>
          <w:noProof/>
        </w:rPr>
        <w:t>(1) Fără a aduce atingere articolului 11, o cerere de sprijin depusă de un operator este sau devine inadmisibilă în cazul în care un stat de coastă sau o/un ORGP/A notifică statului membru de pavilion o decizie de constatare în ceea ce privește un operator sau o navă pe care operatorul o exploatează.</w:t>
      </w:r>
    </w:p>
    <w:p>
      <w:pPr>
        <w:rPr>
          <w:noProof/>
        </w:rPr>
      </w:pPr>
      <w:r>
        <w:rPr>
          <w:noProof/>
        </w:rPr>
        <w:t>(2) În cazul în care o decizie de constatare este notificată de un stat de coastă, cererea de sprijin depusă de operator este inadmisibilă dacă decizia de constatare se bazează pe informații factuale relevante, iar statul de coastă a furnizat următoarele informații statului membru de pavilion și, dacă se cunoaște, statului membru care acordă subvenția:</w:t>
      </w:r>
    </w:p>
    <w:p>
      <w:pPr>
        <w:pStyle w:val="Point1"/>
        <w:rPr>
          <w:noProof/>
        </w:rPr>
      </w:pPr>
      <w:r>
        <w:rPr>
          <w:noProof/>
        </w:rPr>
        <w:t>(a)</w:t>
      </w:r>
      <w:r>
        <w:rPr>
          <w:noProof/>
        </w:rPr>
        <w:tab/>
        <w:t>o notificare în timp util comunicată prin canale adecvate. Notificarea include, de asemenea, trimiteri la actele cu putere de lege și la procedurile administrative aplicabile sau alte informații și detalii relevante cu privire la orice măsuri luate, inclusiv următoarele:</w:t>
      </w:r>
    </w:p>
    <w:p>
      <w:pPr>
        <w:pStyle w:val="Point2"/>
        <w:rPr>
          <w:noProof/>
        </w:rPr>
      </w:pPr>
      <w:r>
        <w:rPr>
          <w:noProof/>
        </w:rPr>
        <w:t>(i)</w:t>
      </w:r>
      <w:r>
        <w:rPr>
          <w:noProof/>
        </w:rPr>
        <w:tab/>
        <w:t>reținerea temporară a navei sau a operatorului, în așteptarea unor investigații suplimentare, pentru implicarea în pescuitul INN sau</w:t>
      </w:r>
    </w:p>
    <w:p>
      <w:pPr>
        <w:pStyle w:val="Point2"/>
        <w:rPr>
          <w:noProof/>
        </w:rPr>
      </w:pPr>
      <w:r>
        <w:rPr>
          <w:noProof/>
        </w:rPr>
        <w:t>(ii)</w:t>
      </w:r>
      <w:r>
        <w:rPr>
          <w:noProof/>
        </w:rPr>
        <w:tab/>
        <w:t>inițierea de către statul de coastă a unei investigații privind pescuitul INN;</w:t>
      </w:r>
    </w:p>
    <w:p>
      <w:pPr>
        <w:pStyle w:val="Point1"/>
        <w:rPr>
          <w:noProof/>
        </w:rPr>
      </w:pPr>
      <w:r>
        <w:rPr>
          <w:noProof/>
        </w:rPr>
        <w:t>(b)</w:t>
      </w:r>
      <w:r>
        <w:rPr>
          <w:noProof/>
        </w:rPr>
        <w:tab/>
        <w:t>posibilitatea de a face schimb de informații relevante înainte de finalizarea deciziei de constatare, astfel încât aceste informații să poată fi luate în considerare în decizia de constatare definitivă, într-un mod și într-un termen care urmează să fie specificat de statul de coastă.</w:t>
      </w:r>
    </w:p>
    <w:p>
      <w:pPr>
        <w:rPr>
          <w:noProof/>
        </w:rPr>
      </w:pPr>
      <w:r>
        <w:rPr>
          <w:noProof/>
        </w:rPr>
        <w:t>Statul de coastă notifică statului membru de pavilion decizia de constatare definitivă și orice sancțiuni impuse, inclusiv, dacă este cazul, durata acestora.</w:t>
      </w:r>
    </w:p>
    <w:p>
      <w:pPr>
        <w:rPr>
          <w:noProof/>
        </w:rPr>
      </w:pPr>
      <w:r>
        <w:rPr>
          <w:noProof/>
        </w:rPr>
        <w:t>(3) În cazul în care a fost notificată o decizie de constatare în legătură cu o anumită navă, inadmisibilitatea unei cereri depuse de operatorul navei respective se aplică numai sprijinului care este direct legat de nava respectivă sau de activitățile acesteia.</w:t>
      </w:r>
    </w:p>
    <w:p>
      <w:pPr>
        <w:rPr>
          <w:noProof/>
        </w:rPr>
      </w:pPr>
      <w:r>
        <w:rPr>
          <w:noProof/>
        </w:rPr>
        <w:t>(4) În cazul în care se notifică o decizie de constatare în perioada cuprinsă între acordarea sprijinului și plata finală, orice sprijin deja plătit din FEAMPA pentru nava și activitățile menționate în respectiva decizie de constatare se recuperează de la operator în conformitate cu articolul 44 din prezentul regulament și cu articolul 103 din Regulamentul (UE) 2021/1060 al Parlamentului European și al Consiliului.</w:t>
      </w:r>
    </w:p>
    <w:p>
      <w:pPr>
        <w:rPr>
          <w:noProof/>
        </w:rPr>
      </w:pPr>
      <w:r>
        <w:rPr>
          <w:noProof/>
        </w:rPr>
        <w:t>(5) Cererile sunt inadmisibile, în temeiul alineatelor (2)-(4), pentru o perioadă care corespunde celei mai lungi dintre următoarele perioade:</w:t>
      </w:r>
    </w:p>
    <w:p>
      <w:pPr>
        <w:pStyle w:val="Point1"/>
        <w:rPr>
          <w:noProof/>
        </w:rPr>
      </w:pPr>
      <w:r>
        <w:rPr>
          <w:noProof/>
        </w:rPr>
        <w:t>(a)</w:t>
      </w:r>
      <w:r>
        <w:rPr>
          <w:noProof/>
        </w:rPr>
        <w:tab/>
        <w:t>durata sancțiunii prevăzute în normele naționale ale statului de coastă care a adoptat o decizie de constatare; sau</w:t>
      </w:r>
    </w:p>
    <w:p>
      <w:pPr>
        <w:pStyle w:val="Point1"/>
        <w:rPr>
          <w:noProof/>
        </w:rPr>
      </w:pPr>
      <w:r>
        <w:rPr>
          <w:noProof/>
        </w:rPr>
        <w:t>(b)</w:t>
      </w:r>
      <w:r>
        <w:rPr>
          <w:noProof/>
        </w:rPr>
        <w:tab/>
        <w:t>perioada în care nava sau operatorul este inclus pe listă de către o/un ORGP/A.</w:t>
      </w:r>
    </w:p>
    <w:p>
      <w:pPr>
        <w:rPr>
          <w:noProof/>
        </w:rPr>
      </w:pPr>
      <w:r>
        <w:rPr>
          <w:noProof/>
        </w:rPr>
        <w:t>(6) Statele membre pot aplica, în conformitate cu normele lor naționale, o perioadă de inadmisibilitate mai lungă decât cea stabilită în temeiul alineatului (5), ținând seama de natura, gravitatea și repetarea activității de pescuit INN sau a activității legate de pescuit care sprijină pescuitul INN comise de navă sau de operator.</w:t>
      </w:r>
    </w:p>
    <w:p>
      <w:pPr>
        <w:rPr>
          <w:noProof/>
        </w:rPr>
      </w:pPr>
      <w:r>
        <w:rPr>
          <w:noProof/>
        </w:rPr>
        <w:t>(7) În cazul în care o decizie de constatare notificată statului membru de pavilion nu specifică durata sancțiunii, statul membru de pavilion stabilește perioada de inadmisibilitate, ținând seama de natura, gravitatea și repetarea pescuitului INN și a activităților legate de pescuit care sprijină pescuitul INN.</w:t>
      </w:r>
    </w:p>
    <w:p>
      <w:pPr>
        <w:rPr>
          <w:noProof/>
        </w:rPr>
      </w:pPr>
      <w:r>
        <w:rPr>
          <w:noProof/>
        </w:rPr>
        <w:t>(8) În cazul în care aceleași activități de pescuit INN sau activități legate de pescuit care sprijină pescuitul INN conduc la o inadmisibilitate atât în temeiul articolului 11 alineatul (1), cât și al articolului 11a, perioada totală de inadmisibilitate nu depășește cea mai lungă perioadă de inadmisibilitate care rezultă fie din articolul 11, fie din alineatele (5), (6) și (7) de la prezentul articol.</w:t>
      </w:r>
    </w:p>
    <w:p>
      <w:pPr>
        <w:rPr>
          <w:noProof/>
        </w:rPr>
      </w:pPr>
      <w:r>
        <w:rPr>
          <w:noProof/>
        </w:rPr>
        <w:t>(9) În cazul în care un stat membru de pavilion primește o decizie de constatare referitoare la una dintre navele sale sau la unul dintre operatorii săi, acesta informează Comisia prin mijloace electronice în termen de 10 zile lucrătoare de la primirea deciziei de constatare, indicând operatorul și nava în cauză și, după caz, durata sancțiunii. Comisia pune la dispoziția tuturor celorlalte state membre aceste informații publicându-le într-o secțiune cu acces restricționat de pe site-ul său web.</w:t>
      </w:r>
    </w:p>
    <w:p>
      <w:pPr>
        <w:rPr>
          <w:b/>
          <w:bCs/>
          <w:noProof/>
        </w:rPr>
      </w:pPr>
      <w:r>
        <w:rPr>
          <w:b/>
          <w:noProof/>
        </w:rPr>
        <w:t>(4) articolul 13 se modifică după cum urmează:</w:t>
      </w:r>
    </w:p>
    <w:p>
      <w:pPr>
        <w:rPr>
          <w:noProof/>
        </w:rPr>
      </w:pPr>
      <w:r>
        <w:rPr>
          <w:noProof/>
        </w:rPr>
        <w:t>(a) teza introductivă se înlocuiește cu următorul text:</w:t>
      </w:r>
    </w:p>
    <w:p>
      <w:pPr>
        <w:pStyle w:val="Text1"/>
        <w:rPr>
          <w:rFonts w:eastAsia="Times New Roman"/>
          <w:noProof/>
          <w:color w:val="333333"/>
        </w:rPr>
      </w:pPr>
      <w:r>
        <w:rPr>
          <w:noProof/>
          <w:color w:val="333333"/>
        </w:rPr>
        <w:t>„(1) Următoarele operațiuni și cheltuieli nu sunt eligibile pentru sprijin din partea FEAMPA:”;</w:t>
      </w:r>
    </w:p>
    <w:p>
      <w:pPr>
        <w:rPr>
          <w:noProof/>
        </w:rPr>
      </w:pPr>
      <w:r>
        <w:rPr>
          <w:noProof/>
        </w:rPr>
        <w:t>(b) la primul paragraf, litera (a) se înlocuiește cu următorul text:</w:t>
      </w:r>
    </w:p>
    <w:p>
      <w:pPr>
        <w:pStyle w:val="Text1"/>
        <w:rPr>
          <w:rFonts w:eastAsia="Times New Roman"/>
          <w:noProof/>
          <w:color w:val="333333"/>
        </w:rPr>
      </w:pPr>
      <w:r>
        <w:rPr>
          <w:noProof/>
          <w:color w:val="333333"/>
        </w:rPr>
        <w:t>„(a) operațiunile care sporesc capacitatea de pescuit a unei nave de pescuit, cu excepția cazului în care se prevede altfel la articolele 19 și 19a”;</w:t>
      </w:r>
    </w:p>
    <w:p>
      <w:pPr>
        <w:rPr>
          <w:noProof/>
        </w:rPr>
      </w:pPr>
      <w:r>
        <w:rPr>
          <w:noProof/>
        </w:rPr>
        <w:t>(c) la primul paragraf, litera (c) se înlocuiește cu următorul text:</w:t>
      </w:r>
    </w:p>
    <w:p>
      <w:pPr>
        <w:pStyle w:val="Text1"/>
        <w:rPr>
          <w:rFonts w:eastAsia="Times New Roman"/>
          <w:noProof/>
        </w:rPr>
      </w:pPr>
      <w:r>
        <w:rPr>
          <w:noProof/>
        </w:rPr>
        <w:t>„(c) construcția, achiziționarea sau importul de nave de pescuit, cu excepția cazului în care se prevede altfel la articolele 17 și 19a”;</w:t>
      </w:r>
    </w:p>
    <w:p>
      <w:pPr>
        <w:rPr>
          <w:noProof/>
        </w:rPr>
      </w:pPr>
      <w:r>
        <w:rPr>
          <w:noProof/>
        </w:rPr>
        <w:t>(d) la primul paragraf, litera (g) se înlocuiește cu următorul text:</w:t>
      </w:r>
    </w:p>
    <w:p>
      <w:pPr>
        <w:pStyle w:val="Text1"/>
        <w:rPr>
          <w:rFonts w:eastAsia="Times New Roman"/>
          <w:noProof/>
          <w:color w:val="333333"/>
        </w:rPr>
      </w:pPr>
      <w:r>
        <w:rPr>
          <w:noProof/>
        </w:rPr>
        <w:t>„(g) transferul dreptului de proprietate asupra unei întreprinderi, cu excepția cazului în care sprijinul este acordat unui tânăr pescar căruia i se transferă dreptul de proprietate sau a cazului în care întreprinderea este implicată numai în pescuit costier la scară mică”;</w:t>
      </w:r>
    </w:p>
    <w:p>
      <w:pPr>
        <w:rPr>
          <w:rFonts w:eastAsia="Times New Roman"/>
          <w:noProof/>
          <w:color w:val="333333"/>
        </w:rPr>
      </w:pPr>
      <w:r>
        <w:rPr>
          <w:noProof/>
          <w:color w:val="333333"/>
        </w:rPr>
        <w:t>(e) la primul paragraf, litera (k) se înlocuiește cu următorul text:</w:t>
      </w:r>
    </w:p>
    <w:p>
      <w:pPr>
        <w:pStyle w:val="Text1"/>
        <w:rPr>
          <w:rFonts w:eastAsia="Times New Roman"/>
          <w:noProof/>
          <w:color w:val="333333"/>
        </w:rPr>
      </w:pPr>
      <w:r>
        <w:rPr>
          <w:noProof/>
          <w:color w:val="333333"/>
        </w:rPr>
        <w:t>„(k) investițiile la bordul navelor de pescuit care sunt necesare pentru a respecta cerințele prevăzute de dreptul Uniunii aflate în vigoare în momentul depunerii cererii de sprijin, inclusiv cerințele care decurg din obligațiile Uniunii în cadrul ORGP-urilor, cu excepția cazului în care se prevede altfel la articolele 19a și 22”;</w:t>
      </w:r>
    </w:p>
    <w:p>
      <w:pPr>
        <w:rPr>
          <w:rFonts w:eastAsia="Times New Roman"/>
          <w:noProof/>
          <w:color w:val="333333"/>
        </w:rPr>
      </w:pPr>
      <w:r>
        <w:rPr>
          <w:noProof/>
          <w:color w:val="333333"/>
        </w:rPr>
        <w:t>(f) la primul paragraf, litera (m) se înlocuiește cu următorul text:</w:t>
      </w:r>
    </w:p>
    <w:p>
      <w:pPr>
        <w:pStyle w:val="Text1"/>
        <w:rPr>
          <w:rFonts w:eastAsia="Times New Roman"/>
          <w:noProof/>
          <w:color w:val="333333"/>
        </w:rPr>
      </w:pPr>
      <w:r>
        <w:rPr>
          <w:noProof/>
          <w:color w:val="333333"/>
        </w:rPr>
        <w:t>„(m) înlocuirea sau modernizarea unui motor principal sau auxiliar al unei nave de pescuit, cu excepția cazului în care se prevede altfel la articolele 18 și 19a”;</w:t>
      </w:r>
    </w:p>
    <w:p>
      <w:pPr>
        <w:rPr>
          <w:noProof/>
        </w:rPr>
      </w:pPr>
      <w:r>
        <w:rPr>
          <w:noProof/>
        </w:rPr>
        <w:t>(g) se adaugă următorul alineat (2):</w:t>
      </w:r>
    </w:p>
    <w:p>
      <w:pPr>
        <w:pStyle w:val="Text1"/>
        <w:rPr>
          <w:noProof/>
        </w:rPr>
      </w:pPr>
      <w:r>
        <w:rPr>
          <w:noProof/>
        </w:rPr>
        <w:t>„(2) Alineatul (1) litera (b) nu se aplică echipamentelor de navigație care operează exclusiv deasupra suprafeței apei, cum ar fi tehnologia GPS și radar, care este utilizată exclusiv pentru prevenirea accidentelor maritime și pentru creșterea siguranței pe mare.”;</w:t>
      </w:r>
    </w:p>
    <w:p>
      <w:pPr>
        <w:rPr>
          <w:b/>
          <w:bCs/>
          <w:noProof/>
        </w:rPr>
      </w:pPr>
      <w:r>
        <w:rPr>
          <w:b/>
          <w:noProof/>
        </w:rPr>
        <w:t>(6) după articolul 13 se introduce articolul 13a următor:</w:t>
      </w:r>
    </w:p>
    <w:p>
      <w:pPr>
        <w:rPr>
          <w:noProof/>
        </w:rPr>
      </w:pPr>
      <w:r>
        <w:rPr>
          <w:noProof/>
        </w:rPr>
        <w:t>„</w:t>
      </w:r>
      <w:r>
        <w:rPr>
          <w:i/>
          <w:noProof/>
        </w:rPr>
        <w:t>Articolul 13a</w:t>
      </w:r>
    </w:p>
    <w:p>
      <w:pPr>
        <w:rPr>
          <w:noProof/>
        </w:rPr>
      </w:pPr>
      <w:r>
        <w:rPr>
          <w:b/>
          <w:noProof/>
        </w:rPr>
        <w:t>Ineligibilitatea sprijinului pentru activități de pescuit sau legate de pescuit în afara jurisdicției unui stat de coastă și în afara sferei de competență a unei/unui ORGP/A relevant(e)</w:t>
      </w:r>
    </w:p>
    <w:p>
      <w:pPr>
        <w:rPr>
          <w:noProof/>
        </w:rPr>
      </w:pPr>
      <w:r>
        <w:rPr>
          <w:noProof/>
        </w:rPr>
        <w:t>Pe lângă operațiunile și cheltuielile neeligibile în temeiul articolului 13, operațiunile și cheltuielile care sprijină activități de pescuit sau legate de pescuit desfășurate în afara jurisdicției statelor de coastă, inclusiv a statelor de coastă care nu sunt membre ale OMC, și în afara sferei de competență a unei/unui ORGP/A relevant(e) nu sunt eligibile pentru sprijin din partea FEAMPA.”;</w:t>
      </w:r>
    </w:p>
    <w:p>
      <w:pPr>
        <w:rPr>
          <w:b/>
          <w:bCs/>
          <w:noProof/>
        </w:rPr>
      </w:pPr>
      <w:r>
        <w:rPr>
          <w:b/>
          <w:noProof/>
        </w:rPr>
        <w:t>(7) articolul 18 se modifică după cum urmează:</w:t>
      </w:r>
    </w:p>
    <w:p>
      <w:pPr>
        <w:rPr>
          <w:noProof/>
        </w:rPr>
      </w:pPr>
      <w:r>
        <w:rPr>
          <w:noProof/>
        </w:rPr>
        <w:t>(a) la alineatul (2), litera (c) se înlocuiește cu următorul text:</w:t>
      </w:r>
    </w:p>
    <w:p>
      <w:pPr>
        <w:pStyle w:val="Text1"/>
        <w:rPr>
          <w:noProof/>
        </w:rPr>
      </w:pPr>
      <w:r>
        <w:rPr>
          <w:noProof/>
        </w:rPr>
        <w:t>„(c) în cazul navelor de pescuit costier la scară mică, motorul nou sau modernizat contribuie la o reducere a emisiilor de CO</w:t>
      </w:r>
      <w:r>
        <w:rPr>
          <w:noProof/>
          <w:vertAlign w:val="subscript"/>
        </w:rPr>
        <w:t>2</w:t>
      </w:r>
      <w:r>
        <w:rPr>
          <w:noProof/>
        </w:rPr>
        <w:t>.”;</w:t>
      </w:r>
    </w:p>
    <w:p>
      <w:pPr>
        <w:rPr>
          <w:noProof/>
        </w:rPr>
      </w:pPr>
      <w:r>
        <w:rPr>
          <w:noProof/>
        </w:rPr>
        <w:t>(b) la alineatul (2), litera (d) se înlocuiește cu următorul text:</w:t>
      </w:r>
    </w:p>
    <w:p>
      <w:pPr>
        <w:pStyle w:val="Text1"/>
        <w:rPr>
          <w:noProof/>
        </w:rPr>
      </w:pPr>
      <w:r>
        <w:rPr>
          <w:noProof/>
        </w:rPr>
        <w:t>„(d) în cazul altor nave cu o lungime totală de maximum 24 de metri, motorul nou sau modernizat nu are o putere în kW mai mare decât cel vechi și întrunește cerințele de la alineatul (5)”;</w:t>
      </w:r>
    </w:p>
    <w:p>
      <w:pPr>
        <w:rPr>
          <w:noProof/>
        </w:rPr>
      </w:pPr>
      <w:r>
        <w:rPr>
          <w:noProof/>
        </w:rPr>
        <w:t>(c) alineatul (5) se înlocuiește cu următorul text:</w:t>
      </w:r>
    </w:p>
    <w:p>
      <w:pPr>
        <w:pStyle w:val="Text1"/>
        <w:rPr>
          <w:noProof/>
        </w:rPr>
      </w:pPr>
      <w:r>
        <w:rPr>
          <w:noProof/>
        </w:rPr>
        <w:t>„(5) Noul motor menționat la alineatul (2) litera (d) trebuie:</w:t>
      </w:r>
    </w:p>
    <w:p>
      <w:pPr>
        <w:pStyle w:val="Point1"/>
        <w:rPr>
          <w:rFonts w:eastAsia="Aptos"/>
          <w:noProof/>
        </w:rPr>
      </w:pPr>
      <w:r>
        <w:rPr>
          <w:noProof/>
        </w:rPr>
        <w:t>(a)</w:t>
      </w:r>
      <w:r>
        <w:rPr>
          <w:noProof/>
        </w:rPr>
        <w:tab/>
        <w:t>să utilizeze o tehnologie eficientă din punct de vedere energetic sau o tehnologie pentru combustibili alternativi, în conformitate cu Directiva privind eficiența energetică</w:t>
      </w:r>
      <w:r>
        <w:rPr>
          <w:rStyle w:val="FootnoteReference"/>
          <w:rFonts w:eastAsia="Aptos"/>
          <w:noProof/>
        </w:rPr>
        <w:footnoteReference w:id="10"/>
      </w:r>
      <w:r>
        <w:rPr>
          <w:noProof/>
        </w:rPr>
        <w:t>;</w:t>
      </w:r>
    </w:p>
    <w:p>
      <w:pPr>
        <w:pStyle w:val="Point1"/>
        <w:rPr>
          <w:noProof/>
        </w:rPr>
      </w:pPr>
      <w:r>
        <w:rPr>
          <w:noProof/>
        </w:rPr>
        <w:t>(b)</w:t>
      </w:r>
      <w:r>
        <w:rPr>
          <w:noProof/>
        </w:rPr>
        <w:tab/>
        <w:t>să facă obiectul unei omologări de tip în conformitate cu Regulamentul (UE) 2016/1628 al Parlamentului European și al Consiliului</w:t>
      </w:r>
      <w:r>
        <w:rPr>
          <w:rStyle w:val="FootnoteReference"/>
          <w:rFonts w:eastAsia="Aptos"/>
          <w:noProof/>
        </w:rPr>
        <w:footnoteReference w:id="11"/>
      </w:r>
      <w:r>
        <w:rPr>
          <w:noProof/>
        </w:rPr>
        <w:t>; și</w:t>
      </w:r>
    </w:p>
    <w:p>
      <w:pPr>
        <w:pStyle w:val="Point1"/>
        <w:rPr>
          <w:noProof/>
        </w:rPr>
      </w:pPr>
      <w:r>
        <w:rPr>
          <w:noProof/>
        </w:rPr>
        <w:t>(c)</w:t>
      </w:r>
      <w:r>
        <w:rPr>
          <w:noProof/>
        </w:rPr>
        <w:tab/>
        <w:t>să fie cu cel puțin șapte ani mai nou decât motorul înlocuit.”;</w:t>
      </w:r>
    </w:p>
    <w:p>
      <w:pPr>
        <w:shd w:val="clear" w:color="auto" w:fill="FFFFFF" w:themeFill="background1"/>
        <w:spacing w:after="0" w:line="312" w:lineRule="atLeast"/>
        <w:rPr>
          <w:rFonts w:eastAsia="Aptos"/>
          <w:b/>
          <w:bCs/>
          <w:noProof/>
          <w:color w:val="333333"/>
        </w:rPr>
      </w:pPr>
      <w:r>
        <w:rPr>
          <w:b/>
          <w:noProof/>
          <w:color w:val="333333"/>
        </w:rPr>
        <w:t>(8) articolul 19 se modifică după cum urmează:</w:t>
      </w:r>
    </w:p>
    <w:p>
      <w:pPr>
        <w:shd w:val="clear" w:color="auto" w:fill="FFFFFF" w:themeFill="background1"/>
        <w:spacing w:after="0" w:line="312" w:lineRule="atLeast"/>
        <w:rPr>
          <w:rFonts w:eastAsia="Aptos"/>
          <w:noProof/>
        </w:rPr>
      </w:pPr>
      <w:r>
        <w:rPr>
          <w:noProof/>
        </w:rPr>
        <w:t>(a) la alineatul (2), litera (c) se înlocuiește cu următorul text:</w:t>
      </w:r>
    </w:p>
    <w:p>
      <w:pPr>
        <w:pStyle w:val="Text1"/>
        <w:rPr>
          <w:noProof/>
        </w:rPr>
      </w:pPr>
      <w:r>
        <w:rPr>
          <w:noProof/>
        </w:rPr>
        <w:t>„(c) nava de pescuit a fost înregistrată în registrul flotei de pescuit al Uniunii timp de cel puțin cinci ani calendaristici anteriori anului în care este depusă cererea de sprijin;</w:t>
      </w:r>
    </w:p>
    <w:p>
      <w:pPr>
        <w:shd w:val="clear" w:color="auto" w:fill="FFFFFF" w:themeFill="background1"/>
        <w:spacing w:after="0" w:line="312" w:lineRule="atLeast"/>
        <w:rPr>
          <w:rFonts w:eastAsia="Aptos"/>
          <w:noProof/>
        </w:rPr>
      </w:pPr>
      <w:r>
        <w:rPr>
          <w:noProof/>
        </w:rPr>
        <w:t>(b) la alineatul (3), litera (d) se înlocuiește cu următorul text:</w:t>
      </w:r>
    </w:p>
    <w:p>
      <w:pPr>
        <w:pStyle w:val="Text1"/>
        <w:rPr>
          <w:rFonts w:eastAsia="Times New Roman"/>
          <w:noProof/>
        </w:rPr>
      </w:pPr>
      <w:r>
        <w:rPr>
          <w:noProof/>
        </w:rPr>
        <w:t>„(d) creșterea tonajului brut necesară pentru instalarea sau renovarea ulterioară a unui motor sau a unui sistem de propulsie care face dovada unei eficiențe energetice sporite sau a unor emisii de dioxid de carbon mai reduse în comparație cu situația anterioară, cu excepția cazului în care nava în cauză este o navă de capturare care desfășoară pescuit costier la scară mică, a cărui putere nu depășește puterea motorului navei de capturare certificată anterior în conformitate cu articolul 40 alineatul (1) din Regulamentul (CE) nr. 1224/2009 și a cărui putere maximă de ieșire este certificată de producător pentru modelul motorului sau sistemului de propulsie respectiv”;</w:t>
      </w:r>
    </w:p>
    <w:p>
      <w:pPr>
        <w:shd w:val="clear" w:color="auto" w:fill="FFFFFF" w:themeFill="background1"/>
        <w:spacing w:after="0" w:line="312" w:lineRule="atLeast"/>
        <w:rPr>
          <w:b/>
          <w:noProof/>
          <w:color w:val="333333"/>
        </w:rPr>
      </w:pPr>
      <w:r>
        <w:rPr>
          <w:b/>
          <w:noProof/>
          <w:color w:val="333333"/>
        </w:rPr>
        <w:t>(9) după articolul 19 se introduce articolul 19a următor:</w:t>
      </w:r>
    </w:p>
    <w:p>
      <w:pPr>
        <w:shd w:val="clear" w:color="auto" w:fill="FFFFFF" w:themeFill="background1"/>
        <w:spacing w:after="0" w:line="312" w:lineRule="atLeast"/>
        <w:rPr>
          <w:noProof/>
          <w:color w:val="333333"/>
        </w:rPr>
      </w:pPr>
      <w:r>
        <w:rPr>
          <w:noProof/>
          <w:color w:val="333333"/>
        </w:rPr>
        <w:t>„</w:t>
      </w:r>
      <w:r>
        <w:rPr>
          <w:i/>
          <w:noProof/>
          <w:color w:val="333333"/>
        </w:rPr>
        <w:t>Articolul 19a</w:t>
      </w:r>
    </w:p>
    <w:p>
      <w:pPr>
        <w:shd w:val="clear" w:color="auto" w:fill="FFFFFF" w:themeFill="background1"/>
        <w:spacing w:after="0" w:line="312" w:lineRule="atLeast"/>
        <w:rPr>
          <w:b/>
          <w:noProof/>
          <w:color w:val="333333"/>
        </w:rPr>
      </w:pPr>
      <w:r>
        <w:rPr>
          <w:b/>
          <w:noProof/>
          <w:color w:val="333333"/>
        </w:rPr>
        <w:t>Sprijin pentru tranziția energetică</w:t>
      </w:r>
    </w:p>
    <w:p>
      <w:pPr>
        <w:shd w:val="clear" w:color="auto" w:fill="FFFFFF" w:themeFill="background1"/>
        <w:spacing w:after="0" w:line="312" w:lineRule="atLeast"/>
        <w:rPr>
          <w:noProof/>
          <w:color w:val="333333"/>
        </w:rPr>
      </w:pPr>
      <w:r>
        <w:rPr>
          <w:noProof/>
          <w:color w:val="333333"/>
        </w:rPr>
        <w:t>(1) Pentru a atinge obiectivul specific menționat la articolul 14 alineatul (1) litera (a) din prezentul regulament, FEAMPA poate sprijini, de asemenea, proiecte-pilot și de cercetare și investiții în porturi și infrastructură care contribuie la tranziția energetică în sectorul pescuitului.</w:t>
      </w:r>
    </w:p>
    <w:p>
      <w:pPr>
        <w:shd w:val="clear" w:color="auto" w:fill="FFFFFF" w:themeFill="background1"/>
        <w:spacing w:after="0" w:line="312" w:lineRule="atLeast"/>
        <w:rPr>
          <w:noProof/>
          <w:color w:val="333333"/>
        </w:rPr>
      </w:pPr>
      <w:r>
        <w:rPr>
          <w:noProof/>
          <w:color w:val="333333"/>
        </w:rPr>
        <w:t>(2) Proiectele-pilot și proiectele de cercetare se referă la testarea unor soluții tehnologice și operaționale inovatoare pentru a demonstra și a valida contribuția lor la tranziția energetică utilizând una sau mai multe nave de pescuit sau sisteme de producție de acvacultură sub supravegherea unui organism științific, de cercetare sau tehnic independent. Astfel de proiecte pot cuprinde și achiziționarea unei nave de pescuit, înlocuirea motoarelor și/sau furnizarea de echipamente pentru navele de pescuit, cu condiția ca acestea să nu fie utilizate pentru pescuitul comercial. Navele, motoarele sau orice echipament finanțat în cadrul unor astfel de proiecte pot fi utilizate ulterior pentru pescuitul comercial numai dacă au fost achiziționate de operatorul relevant la valoarea justă de piață, fără sprijin public sau cu sprijin public care îndeplinește condițiile din prezentul regulament.;</w:t>
      </w:r>
    </w:p>
    <w:p>
      <w:pPr>
        <w:shd w:val="clear" w:color="auto" w:fill="FFFFFF" w:themeFill="background1"/>
        <w:spacing w:after="0" w:line="312" w:lineRule="atLeast"/>
        <w:rPr>
          <w:noProof/>
          <w:color w:val="333333"/>
        </w:rPr>
      </w:pPr>
      <w:r>
        <w:rPr>
          <w:noProof/>
          <w:color w:val="333333"/>
        </w:rPr>
        <w:t>(3) Investițiile în porturi și infrastructură înseamnă investiții care sprijină tranziția energetică în sectorul pescuitului și acvaculturii din UE, astfel cum se menționează la articolul 2 alineatul (2) punctul 18, în porturi, cheiuri și zone de andocare.”;</w:t>
      </w:r>
    </w:p>
    <w:p>
      <w:pPr>
        <w:rPr>
          <w:b/>
          <w:bCs/>
          <w:noProof/>
        </w:rPr>
      </w:pPr>
      <w:r>
        <w:rPr>
          <w:b/>
          <w:noProof/>
        </w:rPr>
        <w:t>(10) la articolul 20 alineatul (2), litera (c) se înlocuiește cu următorul text:</w:t>
      </w:r>
    </w:p>
    <w:p>
      <w:pPr>
        <w:rPr>
          <w:noProof/>
        </w:rPr>
      </w:pPr>
      <w:r>
        <w:rPr>
          <w:noProof/>
        </w:rPr>
        <w:t>„(c) nava de pescuit este înregistrată ca navă activă și a desfășurat activități de pescuit pe mare timp de cel puțin 90 de zile pe an în cursul ultimilor doi ani calendaristici anteriori datei la care este depusă cererea de sprijin; această condiție nu se aplică în cazul unei nave care are licență sau este autorizată să pescuiască anghilă.”;</w:t>
      </w:r>
    </w:p>
    <w:p>
      <w:pPr>
        <w:rPr>
          <w:b/>
          <w:bCs/>
          <w:noProof/>
        </w:rPr>
      </w:pPr>
      <w:r>
        <w:rPr>
          <w:b/>
          <w:noProof/>
        </w:rPr>
        <w:t>(11) la articolul 21 alineatul (2), se adaugă următoarea literă (f):</w:t>
      </w:r>
    </w:p>
    <w:p>
      <w:pPr>
        <w:rPr>
          <w:noProof/>
        </w:rPr>
      </w:pPr>
      <w:r>
        <w:rPr>
          <w:noProof/>
        </w:rPr>
        <w:t>„(f) unui impact socioeconomic care rezultă dintr-o reducere cu cel puțin 40 % a posibilităților de pescuit alocate operatorului, ca urmare a unei reduceri a posibilităților de pescuit adoptate de Consiliu în temeiul articolului 43 alineatul (3) din Tratatul privind funcționarea Uniunii Europene. Anul de referință pentru calcularea reducerii este anul calendaristic anterior anului pentru care posibilitățile de pescuit sunt stabilite prin regulamentul relevant al Consiliului.”;</w:t>
      </w:r>
    </w:p>
    <w:p>
      <w:pPr>
        <w:rPr>
          <w:b/>
          <w:bCs/>
          <w:noProof/>
        </w:rPr>
      </w:pPr>
      <w:r>
        <w:rPr>
          <w:b/>
          <w:noProof/>
        </w:rPr>
        <w:t>(12) la articolul 25, se adaugă următoarea literă (h):</w:t>
      </w:r>
    </w:p>
    <w:p>
      <w:pPr>
        <w:rPr>
          <w:noProof/>
        </w:rPr>
      </w:pPr>
      <w:r>
        <w:rPr>
          <w:noProof/>
        </w:rPr>
        <w:t>„(h) acțiuni de sprijinire a conceperii, dezvoltării și punerii în aplicare colective a strategiilor naționale pentru zonele marine protejate și zonele de pescuit cu acces restricționat, gestionarea zonelor marine protejate și a zonelor de pescuit cu acces restricționat, precum și dezvoltarea unor sisteme de gestionare în comun a pescuitului și măsuri de sensibilizare menite să promoveze cooperarea părților interesate pentru instituirea și gestionarea zonelor marine protejate și a zonelor în care pescuitul este protejat.”;</w:t>
      </w:r>
    </w:p>
    <w:p>
      <w:pPr>
        <w:rPr>
          <w:b/>
          <w:bCs/>
          <w:noProof/>
        </w:rPr>
      </w:pPr>
      <w:r>
        <w:rPr>
          <w:b/>
          <w:noProof/>
        </w:rPr>
        <w:t>(13) după articolul 30 se introduce articolul 30a următor:</w:t>
      </w:r>
    </w:p>
    <w:p>
      <w:pPr>
        <w:rPr>
          <w:noProof/>
        </w:rPr>
      </w:pPr>
      <w:r>
        <w:rPr>
          <w:noProof/>
        </w:rPr>
        <w:t>„</w:t>
      </w:r>
      <w:r>
        <w:rPr>
          <w:i/>
          <w:noProof/>
        </w:rPr>
        <w:t>Articolul 30a</w:t>
      </w:r>
    </w:p>
    <w:p>
      <w:pPr>
        <w:rPr>
          <w:b/>
          <w:bCs/>
          <w:noProof/>
        </w:rPr>
      </w:pPr>
      <w:r>
        <w:rPr>
          <w:b/>
          <w:noProof/>
        </w:rPr>
        <w:t>Pescuit la scară mică</w:t>
      </w:r>
    </w:p>
    <w:p>
      <w:pPr>
        <w:rPr>
          <w:noProof/>
        </w:rPr>
      </w:pPr>
      <w:r>
        <w:rPr>
          <w:noProof/>
        </w:rPr>
        <w:t>Pentru a atinge obiectivul specific menționat la articolul 29 din prezentul regulament, FEAMPA poate oferi, de asemenea, sprijin pentru acțiuni menite să susțină pescuitul costier la scară mică viabil și să faciliteze diversificarea veniturilor pescarilor costieri la scară mică prin dezvoltarea unor activități complementare.”;</w:t>
      </w:r>
    </w:p>
    <w:p>
      <w:pPr>
        <w:rPr>
          <w:b/>
          <w:bCs/>
          <w:noProof/>
        </w:rPr>
      </w:pPr>
      <w:r>
        <w:rPr>
          <w:b/>
          <w:noProof/>
        </w:rPr>
        <w:t>(14) după articolul 44 se introduce articolul 44a următor:</w:t>
      </w:r>
    </w:p>
    <w:p>
      <w:pPr>
        <w:rPr>
          <w:noProof/>
        </w:rPr>
      </w:pPr>
      <w:r>
        <w:rPr>
          <w:noProof/>
        </w:rPr>
        <w:t>„</w:t>
      </w:r>
      <w:r>
        <w:rPr>
          <w:i/>
          <w:noProof/>
        </w:rPr>
        <w:t>Articolul 44a</w:t>
      </w:r>
    </w:p>
    <w:p>
      <w:pPr>
        <w:rPr>
          <w:noProof/>
        </w:rPr>
      </w:pPr>
      <w:r>
        <w:rPr>
          <w:b/>
          <w:noProof/>
        </w:rPr>
        <w:t>Corecții financiare efectuate de statele membre în cazul unei decizii de constatare</w:t>
      </w:r>
    </w:p>
    <w:p>
      <w:pPr>
        <w:pStyle w:val="ManualNumPar2"/>
        <w:rPr>
          <w:noProof/>
        </w:rPr>
      </w:pPr>
      <w:r>
        <w:rPr>
          <w:noProof/>
        </w:rPr>
        <w:t>1.1.</w:t>
      </w:r>
      <w:r>
        <w:rPr>
          <w:noProof/>
        </w:rPr>
        <w:tab/>
        <w:t>În cazul în care se efectuează corecții financiare pentru recuperarea sprijinului acordat în temeiul articolului 11a alineatul (4), statele membre stabilesc cuantumul corecției, care trebuie să fie proporțional cu natura, gravitatea, durata și repetarea activității de pescuit INN sau a activității legate de pescuit care sprijină pescuitul INN comise de beneficiarul în cauză și cu amploarea contribuției FEAMPA la activitatea economică a beneficiarului respectiv.”;</w:t>
      </w:r>
    </w:p>
    <w:p>
      <w:pPr>
        <w:rPr>
          <w:b/>
          <w:bCs/>
          <w:noProof/>
        </w:rPr>
      </w:pPr>
      <w:r>
        <w:rPr>
          <w:b/>
          <w:noProof/>
        </w:rPr>
        <w:t>(15) articolul 66 se înlocuiește cu următorul text:</w:t>
      </w:r>
    </w:p>
    <w:p>
      <w:pPr>
        <w:rPr>
          <w:noProof/>
        </w:rPr>
      </w:pPr>
      <w:r>
        <w:rPr>
          <w:noProof/>
        </w:rPr>
        <w:t>„</w:t>
      </w:r>
      <w:r>
        <w:rPr>
          <w:i/>
          <w:noProof/>
        </w:rPr>
        <w:t>Articolul 66</w:t>
      </w:r>
    </w:p>
    <w:p>
      <w:pPr>
        <w:rPr>
          <w:b/>
          <w:bCs/>
          <w:noProof/>
        </w:rPr>
      </w:pPr>
      <w:r>
        <w:rPr>
          <w:b/>
          <w:noProof/>
        </w:rPr>
        <w:t>Intrare în vigoare și data aplicării</w:t>
      </w:r>
    </w:p>
    <w:p>
      <w:pPr>
        <w:rPr>
          <w:noProof/>
        </w:rPr>
      </w:pPr>
      <w:r>
        <w:rPr>
          <w:noProof/>
        </w:rPr>
        <w:t xml:space="preserve">Prezentul regulament intră în vigoare în ziua următoare datei publicării în </w:t>
      </w:r>
      <w:r>
        <w:rPr>
          <w:i/>
          <w:noProof/>
        </w:rPr>
        <w:t>Jurnalul Oficial al Uniunii Europene</w:t>
      </w:r>
      <w:r>
        <w:rPr>
          <w:noProof/>
        </w:rPr>
        <w:t>. Se aplică de la 1 ianuarie 2021 în ceea ce privește sprijinul acordat în regim de gestiune directă și indirectă reglementat la titlul III. Articolul 2 alineatul (2) punctele 16, 17, 20, 21, 22 și 23 și articolele 11a, 13a și 44a se aplică de la [a se introduce data intrării în vigoare a dispozițiilor de modificare a regulamentului]. Articolul 2 alineatul (2) punctele 16, 17, 20, 21, 22 și 23 și articolele 11a, 13a și 44a se aplică până la data încetării Acordului OMC privind subvențiile pentru pescuit, astfel cum a fost publicat în</w:t>
      </w:r>
      <w:r>
        <w:rPr>
          <w:i/>
          <w:noProof/>
        </w:rPr>
        <w:t xml:space="preserve"> Jurnalul Oficial al Uniunii Europene</w:t>
      </w:r>
      <w:r>
        <w:rPr>
          <w:noProof/>
        </w:rPr>
        <w:t>.”;</w:t>
      </w:r>
    </w:p>
    <w:p>
      <w:pPr>
        <w:rPr>
          <w:b/>
          <w:bCs/>
          <w:noProof/>
        </w:rPr>
      </w:pPr>
      <w:r>
        <w:rPr>
          <w:b/>
          <w:noProof/>
        </w:rPr>
        <w:t>(16) în anexa III, rândul 1 se înlocuiește cu următorul text:</w:t>
      </w:r>
    </w:p>
    <w:tbl>
      <w:tblPr>
        <w:tblW w:w="4877" w:type="pct"/>
        <w:shd w:val="clear" w:color="auto" w:fill="FFFFFF"/>
        <w:tblCellMar>
          <w:left w:w="0" w:type="dxa"/>
          <w:right w:w="0" w:type="dxa"/>
        </w:tblCellMar>
        <w:tblLook w:val="04A0" w:firstRow="1" w:lastRow="0" w:firstColumn="1" w:lastColumn="0" w:noHBand="0" w:noVBand="1"/>
      </w:tblPr>
      <w:tblGrid>
        <w:gridCol w:w="8243"/>
        <w:gridCol w:w="607"/>
      </w:tblGrid>
      <w:tr>
        <w:tc>
          <w:tcPr>
            <w:tcW w:w="0" w:type="auto"/>
            <w:shd w:val="clear" w:color="auto" w:fill="FFFFFF"/>
            <w:hideMark/>
          </w:tcPr>
          <w:p>
            <w:pPr>
              <w:spacing w:before="60" w:after="60" w:line="312" w:lineRule="atLeast"/>
              <w:rPr>
                <w:rFonts w:eastAsia="Aptos"/>
                <w:noProof/>
                <w:color w:val="333333"/>
              </w:rPr>
            </w:pPr>
            <w:r>
              <w:rPr>
                <w:noProof/>
                <w:color w:val="333333"/>
              </w:rPr>
              <w:t>„Operațiuni sprijinite în temeiul articolelor 18 și 19</w:t>
            </w:r>
          </w:p>
          <w:p>
            <w:pPr>
              <w:spacing w:before="60" w:after="60" w:line="312" w:lineRule="atLeast"/>
              <w:rPr>
                <w:rFonts w:eastAsia="Aptos"/>
                <w:noProof/>
                <w:color w:val="333333"/>
              </w:rPr>
            </w:pPr>
            <w:r>
              <w:rPr>
                <w:noProof/>
                <w:color w:val="333333"/>
              </w:rPr>
              <w:t xml:space="preserve">Operațiuni sprijinite în temeiul articolului 17 pentru tinerii pescari </w:t>
            </w:r>
          </w:p>
        </w:tc>
        <w:tc>
          <w:tcPr>
            <w:tcW w:w="282" w:type="pct"/>
            <w:shd w:val="clear" w:color="auto" w:fill="FFFFFF"/>
          </w:tcPr>
          <w:p>
            <w:pPr>
              <w:spacing w:before="60" w:after="60" w:line="312" w:lineRule="atLeast"/>
              <w:rPr>
                <w:rFonts w:eastAsia="Aptos"/>
                <w:noProof/>
                <w:color w:val="333333"/>
              </w:rPr>
            </w:pPr>
            <w:r>
              <w:rPr>
                <w:noProof/>
                <w:color w:val="333333"/>
              </w:rPr>
              <w:t>40 %</w:t>
            </w:r>
          </w:p>
          <w:p>
            <w:pPr>
              <w:spacing w:before="60" w:after="60" w:line="312" w:lineRule="atLeast"/>
              <w:rPr>
                <w:rFonts w:eastAsia="Aptos"/>
                <w:noProof/>
                <w:color w:val="333333"/>
              </w:rPr>
            </w:pPr>
            <w:r>
              <w:rPr>
                <w:noProof/>
                <w:color w:val="333333"/>
              </w:rPr>
              <w:t>60 %”</w:t>
            </w:r>
          </w:p>
        </w:tc>
      </w:tr>
    </w:tbl>
    <w:p>
      <w:pPr>
        <w:pStyle w:val="Titrearticle"/>
        <w:rPr>
          <w:noProof/>
        </w:rPr>
      </w:pPr>
      <w:r>
        <w:rPr>
          <w:noProof/>
        </w:rPr>
        <w:t>Articolul 2</w:t>
      </w:r>
    </w:p>
    <w:p>
      <w:pPr>
        <w:pStyle w:val="NormalCentered"/>
        <w:rPr>
          <w:noProof/>
        </w:rPr>
      </w:pPr>
      <w:r>
        <w:rPr>
          <w:b/>
          <w:noProof/>
        </w:rPr>
        <w:t>Intrare în vigoare</w:t>
      </w:r>
    </w:p>
    <w:p>
      <w:pPr>
        <w:rPr>
          <w:noProof/>
        </w:rPr>
      </w:pPr>
      <w:r>
        <w:rPr>
          <w:noProof/>
        </w:rPr>
        <w:t xml:space="preserve">Prezentul regulament intră în vigoare în a 20-a zi de la data publicării în </w:t>
      </w:r>
      <w:r>
        <w:rPr>
          <w:i/>
          <w:noProof/>
        </w:rPr>
        <w:t>Jurnalul Oficial al Uniunii Europene</w:t>
      </w:r>
      <w:r>
        <w:rPr>
          <w:noProof/>
        </w:rPr>
        <w:t>.</w:t>
      </w:r>
    </w:p>
    <w:p>
      <w:pPr>
        <w:pStyle w:val="Applicationdirecte"/>
        <w:keepNext/>
        <w:keepLines/>
        <w:rPr>
          <w:noProof/>
        </w:rPr>
      </w:pPr>
      <w:r>
        <w:rPr>
          <w:noProof/>
        </w:rPr>
        <w:t>Prezentul regulament este obligatoriu în toate elementele sale și se aplică direct în toate statele membre.</w:t>
      </w:r>
    </w:p>
    <w:p>
      <w:pPr>
        <w:pStyle w:val="Fait"/>
        <w:rPr>
          <w:noProof/>
        </w:rPr>
      </w:pPr>
      <w:r>
        <w:rPr>
          <w:noProof/>
        </w:rPr>
        <w:t>Adoptat la Bruxelles,</w:t>
      </w:r>
    </w:p>
    <w:p>
      <w:pPr>
        <w:pStyle w:val="Institutionquisigne"/>
        <w:rPr>
          <w:noProof/>
        </w:rPr>
      </w:pPr>
      <w:r>
        <w:rPr>
          <w:noProof/>
        </w:rPr>
        <w:t>Pentru Parlamentul European,</w:t>
      </w:r>
      <w:r>
        <w:rPr>
          <w:noProof/>
        </w:rPr>
        <w:tab/>
        <w:t>Pentru Consiliu,</w:t>
      </w:r>
    </w:p>
    <w:p>
      <w:pPr>
        <w:pStyle w:val="Personnequisigne"/>
        <w:rPr>
          <w:noProof/>
        </w:rPr>
      </w:pPr>
      <w:r>
        <w:rPr>
          <w:noProof/>
        </w:rPr>
        <w:t>Președinta</w:t>
      </w:r>
      <w:r>
        <w:rPr>
          <w:noProof/>
        </w:rPr>
        <w:tab/>
        <w:t>Președintele</w:t>
      </w:r>
    </w:p>
    <w:p>
      <w:pPr>
        <w:rPr>
          <w:noProof/>
        </w:rPr>
        <w:sectPr>
          <w:pgSz w:w="11907" w:h="16839"/>
          <w:pgMar w:top="1134" w:right="1417" w:bottom="1134" w:left="1417" w:header="709" w:footer="709" w:gutter="0"/>
          <w:cols w:space="708"/>
          <w:docGrid w:linePitch="360"/>
        </w:sectPr>
      </w:pPr>
    </w:p>
    <w:p>
      <w:pPr>
        <w:pStyle w:val="Fichefinanciretitre"/>
        <w:keepNext/>
        <w:rPr>
          <w:noProof/>
        </w:rPr>
      </w:pPr>
      <w:r>
        <w:rPr>
          <w:noProof/>
        </w:rPr>
        <w:t>FIȘĂ FINANCIARĂ LEGISLATIVĂ ȘI DIGITALĂ</w:t>
      </w:r>
    </w:p>
    <w:p>
      <w:pPr>
        <w:pStyle w:val="TOC1"/>
        <w:rPr>
          <w:rFonts w:asciiTheme="minorHAnsi" w:eastAsiaTheme="minorEastAsia" w:hAnsiTheme="minorHAnsi" w:cstheme="minorBidi"/>
          <w:noProof/>
          <w:kern w:val="2"/>
          <w:sz w:val="22"/>
          <w14:ligatures w14:val="standardContextual"/>
        </w:rPr>
      </w:pPr>
      <w:r>
        <w:rPr>
          <w:noProof/>
        </w:rPr>
        <w:t>1.</w:t>
      </w:r>
      <w:r>
        <w:rPr>
          <w:noProof/>
        </w:rPr>
        <w:tab/>
        <w:t>CADRUL PROPUNERII/INIȚIATIVEI</w:t>
      </w:r>
      <w:r>
        <w:rPr>
          <w:noProof/>
        </w:rPr>
        <w:tab/>
      </w:r>
      <w:r>
        <w:rPr>
          <w:noProof/>
          <w:webHidden/>
        </w:rPr>
        <w:t>3</w:t>
      </w:r>
    </w:p>
    <w:p>
      <w:pPr>
        <w:pStyle w:val="TOC2"/>
        <w:rPr>
          <w:rFonts w:asciiTheme="minorHAnsi" w:eastAsiaTheme="minorEastAsia" w:hAnsiTheme="minorHAnsi" w:cstheme="minorBidi"/>
          <w:noProof/>
          <w:kern w:val="2"/>
          <w:sz w:val="22"/>
          <w14:ligatures w14:val="standardContextual"/>
        </w:rPr>
      </w:pPr>
      <w:r>
        <w:rPr>
          <w:noProof/>
        </w:rPr>
        <w:t>1.1.</w:t>
      </w:r>
      <w:r>
        <w:rPr>
          <w:noProof/>
        </w:rPr>
        <w:tab/>
        <w:t>Titlul propunerii/inițiativei</w:t>
      </w:r>
      <w:r>
        <w:rPr>
          <w:noProof/>
        </w:rPr>
        <w:tab/>
      </w:r>
      <w:r>
        <w:rPr>
          <w:noProof/>
          <w:webHidden/>
        </w:rPr>
        <w:t>3</w:t>
      </w:r>
    </w:p>
    <w:p>
      <w:pPr>
        <w:pStyle w:val="TOC2"/>
        <w:rPr>
          <w:rFonts w:asciiTheme="minorHAnsi" w:eastAsiaTheme="minorEastAsia" w:hAnsiTheme="minorHAnsi" w:cstheme="minorBidi"/>
          <w:noProof/>
          <w:kern w:val="2"/>
          <w:sz w:val="22"/>
          <w14:ligatures w14:val="standardContextual"/>
        </w:rPr>
      </w:pPr>
      <w:r>
        <w:rPr>
          <w:noProof/>
        </w:rPr>
        <w:t>1.2.</w:t>
      </w:r>
      <w:r>
        <w:rPr>
          <w:noProof/>
        </w:rPr>
        <w:tab/>
        <w:t>Domeniul (domeniile) de politică vizat(e)</w:t>
      </w:r>
      <w:r>
        <w:rPr>
          <w:noProof/>
        </w:rPr>
        <w:tab/>
      </w:r>
      <w:r>
        <w:rPr>
          <w:noProof/>
          <w:webHidden/>
        </w:rPr>
        <w:t>3</w:t>
      </w:r>
    </w:p>
    <w:p>
      <w:pPr>
        <w:pStyle w:val="TOC2"/>
        <w:rPr>
          <w:rFonts w:asciiTheme="minorHAnsi" w:eastAsiaTheme="minorEastAsia" w:hAnsiTheme="minorHAnsi" w:cstheme="minorBidi"/>
          <w:noProof/>
          <w:kern w:val="2"/>
          <w:sz w:val="22"/>
          <w14:ligatures w14:val="standardContextual"/>
        </w:rPr>
      </w:pPr>
      <w:r>
        <w:rPr>
          <w:noProof/>
        </w:rPr>
        <w:t>1.3.</w:t>
      </w:r>
      <w:r>
        <w:rPr>
          <w:noProof/>
        </w:rPr>
        <w:tab/>
        <w:t>Obiectiv(e)</w:t>
      </w:r>
      <w:r>
        <w:rPr>
          <w:noProof/>
        </w:rPr>
        <w:tab/>
      </w:r>
      <w:r>
        <w:rPr>
          <w:noProof/>
          <w:webHidden/>
        </w:rPr>
        <w:t>3</w:t>
      </w:r>
    </w:p>
    <w:p>
      <w:pPr>
        <w:pStyle w:val="TOC3"/>
        <w:rPr>
          <w:rFonts w:asciiTheme="minorHAnsi" w:eastAsiaTheme="minorEastAsia" w:hAnsiTheme="minorHAnsi" w:cstheme="minorBidi"/>
          <w:noProof/>
          <w:kern w:val="2"/>
          <w:sz w:val="22"/>
          <w14:ligatures w14:val="standardContextual"/>
        </w:rPr>
      </w:pPr>
      <w:r>
        <w:rPr>
          <w:noProof/>
        </w:rPr>
        <w:t>1.3.1.</w:t>
      </w:r>
      <w:r>
        <w:rPr>
          <w:noProof/>
        </w:rPr>
        <w:tab/>
        <w:t>Obiectiv(e) general(e)</w:t>
      </w:r>
      <w:r>
        <w:rPr>
          <w:noProof/>
        </w:rPr>
        <w:tab/>
      </w:r>
      <w:r>
        <w:rPr>
          <w:noProof/>
          <w:webHidden/>
        </w:rPr>
        <w:t>3</w:t>
      </w:r>
    </w:p>
    <w:p>
      <w:pPr>
        <w:pStyle w:val="TOC3"/>
        <w:rPr>
          <w:rFonts w:asciiTheme="minorHAnsi" w:eastAsiaTheme="minorEastAsia" w:hAnsiTheme="minorHAnsi" w:cstheme="minorBidi"/>
          <w:noProof/>
          <w:kern w:val="2"/>
          <w:sz w:val="22"/>
          <w14:ligatures w14:val="standardContextual"/>
        </w:rPr>
      </w:pPr>
      <w:r>
        <w:rPr>
          <w:noProof/>
        </w:rPr>
        <w:t>1.3.2.</w:t>
      </w:r>
      <w:r>
        <w:rPr>
          <w:noProof/>
        </w:rPr>
        <w:tab/>
        <w:t>Obiectiv(e) specific(e)</w:t>
      </w:r>
      <w:r>
        <w:rPr>
          <w:noProof/>
        </w:rPr>
        <w:tab/>
      </w:r>
      <w:r>
        <w:rPr>
          <w:noProof/>
          <w:webHidden/>
        </w:rPr>
        <w:t>3</w:t>
      </w:r>
    </w:p>
    <w:p>
      <w:pPr>
        <w:pStyle w:val="TOC3"/>
        <w:rPr>
          <w:rFonts w:asciiTheme="minorHAnsi" w:eastAsiaTheme="minorEastAsia" w:hAnsiTheme="minorHAnsi" w:cstheme="minorBidi"/>
          <w:noProof/>
          <w:kern w:val="2"/>
          <w:sz w:val="22"/>
          <w14:ligatures w14:val="standardContextual"/>
        </w:rPr>
      </w:pPr>
      <w:r>
        <w:rPr>
          <w:noProof/>
        </w:rPr>
        <w:t>1.3.3.</w:t>
      </w:r>
      <w:r>
        <w:rPr>
          <w:noProof/>
        </w:rPr>
        <w:tab/>
        <w:t>Rezultatul (rezultatele) și impactul preconizate</w:t>
      </w:r>
      <w:r>
        <w:rPr>
          <w:noProof/>
        </w:rPr>
        <w:tab/>
      </w:r>
      <w:r>
        <w:rPr>
          <w:noProof/>
          <w:webHidden/>
        </w:rPr>
        <w:t>3</w:t>
      </w:r>
    </w:p>
    <w:p>
      <w:pPr>
        <w:pStyle w:val="TOC3"/>
        <w:rPr>
          <w:rFonts w:asciiTheme="minorHAnsi" w:eastAsiaTheme="minorEastAsia" w:hAnsiTheme="minorHAnsi" w:cstheme="minorBidi"/>
          <w:noProof/>
          <w:kern w:val="2"/>
          <w:sz w:val="22"/>
          <w14:ligatures w14:val="standardContextual"/>
        </w:rPr>
      </w:pPr>
      <w:r>
        <w:rPr>
          <w:noProof/>
        </w:rPr>
        <w:t>1.3.4.</w:t>
      </w:r>
      <w:r>
        <w:rPr>
          <w:noProof/>
        </w:rPr>
        <w:tab/>
        <w:t>Indicatori de performanță</w:t>
      </w:r>
      <w:r>
        <w:rPr>
          <w:noProof/>
        </w:rPr>
        <w:tab/>
      </w:r>
      <w:r>
        <w:rPr>
          <w:noProof/>
          <w:webHidden/>
        </w:rPr>
        <w:t>3</w:t>
      </w:r>
    </w:p>
    <w:p>
      <w:pPr>
        <w:pStyle w:val="TOC2"/>
        <w:rPr>
          <w:rFonts w:asciiTheme="minorHAnsi" w:eastAsiaTheme="minorEastAsia" w:hAnsiTheme="minorHAnsi" w:cstheme="minorBidi"/>
          <w:noProof/>
          <w:kern w:val="2"/>
          <w:sz w:val="22"/>
          <w14:ligatures w14:val="standardContextual"/>
        </w:rPr>
      </w:pPr>
      <w:r>
        <w:rPr>
          <w:noProof/>
        </w:rPr>
        <w:t>1.4.</w:t>
      </w:r>
      <w:r>
        <w:rPr>
          <w:noProof/>
        </w:rPr>
        <w:tab/>
        <w:t>Obiectul propunerii/inițiativei:</w:t>
      </w:r>
      <w:r>
        <w:rPr>
          <w:noProof/>
        </w:rPr>
        <w:tab/>
      </w:r>
      <w:r>
        <w:rPr>
          <w:noProof/>
          <w:webHidden/>
        </w:rPr>
        <w:t>4</w:t>
      </w:r>
    </w:p>
    <w:p>
      <w:pPr>
        <w:pStyle w:val="TOC2"/>
        <w:rPr>
          <w:rFonts w:asciiTheme="minorHAnsi" w:eastAsiaTheme="minorEastAsia" w:hAnsiTheme="minorHAnsi" w:cstheme="minorBidi"/>
          <w:noProof/>
          <w:kern w:val="2"/>
          <w:sz w:val="22"/>
          <w14:ligatures w14:val="standardContextual"/>
        </w:rPr>
      </w:pPr>
      <w:r>
        <w:rPr>
          <w:noProof/>
        </w:rPr>
        <w:t>1.5.</w:t>
      </w:r>
      <w:r>
        <w:rPr>
          <w:noProof/>
        </w:rPr>
        <w:tab/>
        <w:t>Motivele propunerii/inițiativei</w:t>
      </w:r>
      <w:r>
        <w:rPr>
          <w:noProof/>
        </w:rPr>
        <w:tab/>
      </w:r>
      <w:r>
        <w:rPr>
          <w:noProof/>
          <w:webHidden/>
        </w:rPr>
        <w:t>4</w:t>
      </w:r>
    </w:p>
    <w:p>
      <w:pPr>
        <w:pStyle w:val="TOC3"/>
        <w:rPr>
          <w:rFonts w:asciiTheme="minorHAnsi" w:eastAsiaTheme="minorEastAsia" w:hAnsiTheme="minorHAnsi" w:cstheme="minorBidi"/>
          <w:noProof/>
          <w:kern w:val="2"/>
          <w:sz w:val="22"/>
          <w14:ligatures w14:val="standardContextual"/>
        </w:rPr>
      </w:pPr>
      <w:r>
        <w:rPr>
          <w:noProof/>
        </w:rPr>
        <w:t>1.5.1.</w:t>
      </w:r>
      <w:r>
        <w:rPr>
          <w:noProof/>
        </w:rPr>
        <w:tab/>
        <w:t>Cerința (cerințele) care trebuie îndeplinită (îndeplinite) pe termen scurt sau lung, inclusiv un calendar detaliat pentru punerea în aplicare a inițiativei</w:t>
      </w:r>
      <w:r>
        <w:rPr>
          <w:noProof/>
        </w:rPr>
        <w:tab/>
      </w:r>
      <w:r>
        <w:rPr>
          <w:noProof/>
          <w:webHidden/>
        </w:rPr>
        <w:t>4</w:t>
      </w:r>
    </w:p>
    <w:p>
      <w:pPr>
        <w:pStyle w:val="TOC3"/>
        <w:rPr>
          <w:rFonts w:asciiTheme="minorHAnsi" w:eastAsiaTheme="minorEastAsia" w:hAnsiTheme="minorHAnsi" w:cstheme="minorBidi"/>
          <w:noProof/>
          <w:kern w:val="2"/>
          <w:sz w:val="22"/>
          <w14:ligatures w14:val="standardContextual"/>
        </w:rPr>
      </w:pPr>
      <w:r>
        <w:rPr>
          <w:noProof/>
        </w:rPr>
        <w:t>1.5.2.</w:t>
      </w:r>
      <w:r>
        <w:rPr>
          <w:noProof/>
        </w:rPr>
        <w:tab/>
        <w:t>Valoarea adăugată a intervenției UE (aceasta poate rezulta din diferiți factori, de exemplu mai buna coordonare, securitatea juridică, o mai mare eficacitate sau complementaritate). În sensul prezentei secțiuni, „valoarea adăugată a intervenției UE” este valoarea ce rezultă din acțiunea UE care depășește valoarea ce ar fi fost obținută dacă ar fi acționat doar statele membre.</w:t>
      </w:r>
      <w:r>
        <w:rPr>
          <w:noProof/>
        </w:rPr>
        <w:tab/>
      </w:r>
      <w:r>
        <w:rPr>
          <w:noProof/>
          <w:webHidden/>
        </w:rPr>
        <w:t>4</w:t>
      </w:r>
    </w:p>
    <w:p>
      <w:pPr>
        <w:pStyle w:val="TOC3"/>
        <w:rPr>
          <w:rFonts w:asciiTheme="minorHAnsi" w:eastAsiaTheme="minorEastAsia" w:hAnsiTheme="minorHAnsi" w:cstheme="minorBidi"/>
          <w:noProof/>
          <w:kern w:val="2"/>
          <w:sz w:val="22"/>
          <w14:ligatures w14:val="standardContextual"/>
        </w:rPr>
      </w:pPr>
      <w:r>
        <w:rPr>
          <w:noProof/>
        </w:rPr>
        <w:t>1.5.3.</w:t>
      </w:r>
      <w:r>
        <w:rPr>
          <w:noProof/>
        </w:rPr>
        <w:tab/>
        <w:t>Învățăminte desprinse din experiențele anterioare similare</w:t>
      </w:r>
      <w:r>
        <w:rPr>
          <w:noProof/>
        </w:rPr>
        <w:tab/>
      </w:r>
      <w:r>
        <w:rPr>
          <w:noProof/>
          <w:webHidden/>
        </w:rPr>
        <w:t>4</w:t>
      </w:r>
    </w:p>
    <w:p>
      <w:pPr>
        <w:pStyle w:val="TOC3"/>
        <w:rPr>
          <w:rFonts w:asciiTheme="minorHAnsi" w:eastAsiaTheme="minorEastAsia" w:hAnsiTheme="minorHAnsi" w:cstheme="minorBidi"/>
          <w:noProof/>
          <w:kern w:val="2"/>
          <w:sz w:val="22"/>
          <w14:ligatures w14:val="standardContextual"/>
        </w:rPr>
      </w:pPr>
      <w:r>
        <w:rPr>
          <w:noProof/>
        </w:rPr>
        <w:t>1.5.4.</w:t>
      </w:r>
      <w:r>
        <w:rPr>
          <w:noProof/>
        </w:rPr>
        <w:tab/>
        <w:t>Compatibilitatea cu cadrul financiar multianual și posibilele sinergii cu alte instrumente corespunzătoare</w:t>
      </w:r>
      <w:r>
        <w:rPr>
          <w:noProof/>
        </w:rPr>
        <w:tab/>
      </w:r>
      <w:r>
        <w:rPr>
          <w:noProof/>
          <w:webHidden/>
        </w:rPr>
        <w:t>5</w:t>
      </w:r>
    </w:p>
    <w:p>
      <w:pPr>
        <w:pStyle w:val="TOC3"/>
        <w:rPr>
          <w:rFonts w:asciiTheme="minorHAnsi" w:eastAsiaTheme="minorEastAsia" w:hAnsiTheme="minorHAnsi" w:cstheme="minorBidi"/>
          <w:noProof/>
          <w:kern w:val="2"/>
          <w:sz w:val="22"/>
          <w14:ligatures w14:val="standardContextual"/>
        </w:rPr>
      </w:pPr>
      <w:r>
        <w:rPr>
          <w:noProof/>
        </w:rPr>
        <w:t>1.5.5.</w:t>
      </w:r>
      <w:r>
        <w:rPr>
          <w:noProof/>
        </w:rPr>
        <w:tab/>
        <w:t>Evaluarea diferitelor opțiuni de finanțare disponibile, inclusiv a posibilităților de realocare a creditelor</w:t>
      </w:r>
      <w:r>
        <w:rPr>
          <w:noProof/>
        </w:rPr>
        <w:tab/>
      </w:r>
      <w:r>
        <w:rPr>
          <w:noProof/>
          <w:webHidden/>
        </w:rPr>
        <w:t>5</w:t>
      </w:r>
    </w:p>
    <w:p>
      <w:pPr>
        <w:pStyle w:val="TOC2"/>
        <w:rPr>
          <w:rFonts w:asciiTheme="minorHAnsi" w:eastAsiaTheme="minorEastAsia" w:hAnsiTheme="minorHAnsi" w:cstheme="minorBidi"/>
          <w:noProof/>
          <w:kern w:val="2"/>
          <w:sz w:val="22"/>
          <w14:ligatures w14:val="standardContextual"/>
        </w:rPr>
      </w:pPr>
      <w:r>
        <w:rPr>
          <w:noProof/>
        </w:rPr>
        <w:t>1.6.</w:t>
      </w:r>
      <w:r>
        <w:rPr>
          <w:noProof/>
        </w:rPr>
        <w:tab/>
        <w:t>Durata propunerii/inițiativei și a impactului său financiar</w:t>
      </w:r>
      <w:r>
        <w:rPr>
          <w:noProof/>
        </w:rPr>
        <w:tab/>
      </w:r>
      <w:r>
        <w:rPr>
          <w:noProof/>
          <w:webHidden/>
        </w:rPr>
        <w:t>6</w:t>
      </w:r>
    </w:p>
    <w:p>
      <w:pPr>
        <w:pStyle w:val="TOC2"/>
        <w:rPr>
          <w:rFonts w:asciiTheme="minorHAnsi" w:eastAsiaTheme="minorEastAsia" w:hAnsiTheme="minorHAnsi" w:cstheme="minorBidi"/>
          <w:noProof/>
          <w:kern w:val="2"/>
          <w:sz w:val="22"/>
          <w14:ligatures w14:val="standardContextual"/>
        </w:rPr>
      </w:pPr>
      <w:r>
        <w:rPr>
          <w:noProof/>
        </w:rPr>
        <w:t>1.7.</w:t>
      </w:r>
      <w:r>
        <w:rPr>
          <w:noProof/>
        </w:rPr>
        <w:tab/>
        <w:t>Metoda (metodele) de execuție a bugetului planificată (planificate)</w:t>
      </w:r>
      <w:r>
        <w:rPr>
          <w:noProof/>
        </w:rPr>
        <w:tab/>
      </w:r>
      <w:r>
        <w:rPr>
          <w:noProof/>
          <w:webHidden/>
        </w:rPr>
        <w:t>6</w:t>
      </w:r>
    </w:p>
    <w:p>
      <w:pPr>
        <w:pStyle w:val="TOC1"/>
        <w:rPr>
          <w:rFonts w:asciiTheme="minorHAnsi" w:eastAsiaTheme="minorEastAsia" w:hAnsiTheme="minorHAnsi" w:cstheme="minorBidi"/>
          <w:noProof/>
          <w:kern w:val="2"/>
          <w:sz w:val="22"/>
          <w14:ligatures w14:val="standardContextual"/>
        </w:rPr>
      </w:pPr>
      <w:r>
        <w:rPr>
          <w:noProof/>
        </w:rPr>
        <w:t>2.</w:t>
      </w:r>
      <w:r>
        <w:rPr>
          <w:noProof/>
        </w:rPr>
        <w:tab/>
        <w:t>MĂSURI DE GESTIUNE</w:t>
      </w:r>
      <w:r>
        <w:rPr>
          <w:noProof/>
        </w:rPr>
        <w:tab/>
      </w:r>
      <w:r>
        <w:rPr>
          <w:noProof/>
          <w:webHidden/>
        </w:rPr>
        <w:t>8</w:t>
      </w:r>
    </w:p>
    <w:p>
      <w:pPr>
        <w:pStyle w:val="TOC2"/>
        <w:rPr>
          <w:rFonts w:asciiTheme="minorHAnsi" w:eastAsiaTheme="minorEastAsia" w:hAnsiTheme="minorHAnsi" w:cstheme="minorBidi"/>
          <w:noProof/>
          <w:kern w:val="2"/>
          <w:sz w:val="22"/>
          <w14:ligatures w14:val="standardContextual"/>
        </w:rPr>
      </w:pPr>
      <w:r>
        <w:rPr>
          <w:noProof/>
        </w:rPr>
        <w:t>2.1.</w:t>
      </w:r>
      <w:r>
        <w:rPr>
          <w:noProof/>
        </w:rPr>
        <w:tab/>
        <w:t>Dispoziții în materie de monitorizare și de raportare</w:t>
      </w:r>
      <w:r>
        <w:rPr>
          <w:noProof/>
        </w:rPr>
        <w:tab/>
      </w:r>
      <w:r>
        <w:rPr>
          <w:noProof/>
          <w:webHidden/>
        </w:rPr>
        <w:t>8</w:t>
      </w:r>
    </w:p>
    <w:p>
      <w:pPr>
        <w:pStyle w:val="TOC2"/>
        <w:rPr>
          <w:rFonts w:asciiTheme="minorHAnsi" w:eastAsiaTheme="minorEastAsia" w:hAnsiTheme="minorHAnsi" w:cstheme="minorBidi"/>
          <w:noProof/>
          <w:kern w:val="2"/>
          <w:sz w:val="22"/>
          <w14:ligatures w14:val="standardContextual"/>
        </w:rPr>
      </w:pPr>
      <w:r>
        <w:rPr>
          <w:noProof/>
        </w:rPr>
        <w:t>2.2.</w:t>
      </w:r>
      <w:r>
        <w:rPr>
          <w:noProof/>
        </w:rPr>
        <w:tab/>
        <w:t>Sistemul (sistemele) de gestiune și de control</w:t>
      </w:r>
      <w:r>
        <w:rPr>
          <w:noProof/>
        </w:rPr>
        <w:tab/>
      </w:r>
      <w:r>
        <w:rPr>
          <w:noProof/>
          <w:webHidden/>
        </w:rPr>
        <w:t>8</w:t>
      </w:r>
    </w:p>
    <w:p>
      <w:pPr>
        <w:pStyle w:val="TOC3"/>
        <w:rPr>
          <w:rFonts w:asciiTheme="minorHAnsi" w:eastAsiaTheme="minorEastAsia" w:hAnsiTheme="minorHAnsi" w:cstheme="minorBidi"/>
          <w:noProof/>
          <w:kern w:val="2"/>
          <w:sz w:val="22"/>
          <w14:ligatures w14:val="standardContextual"/>
        </w:rPr>
      </w:pPr>
      <w:r>
        <w:rPr>
          <w:noProof/>
        </w:rPr>
        <w:t>2.2.1.</w:t>
      </w:r>
      <w:r>
        <w:rPr>
          <w:noProof/>
        </w:rPr>
        <w:tab/>
        <w:t>Justificarea metodei (metodelor) de execuție bugetară, a mecanismului (mecanismelor) de punere în aplicare a finanțării, a modalităților de plată și a strategiei de control propuse</w:t>
      </w:r>
      <w:r>
        <w:rPr>
          <w:noProof/>
        </w:rPr>
        <w:tab/>
      </w:r>
      <w:r>
        <w:rPr>
          <w:noProof/>
          <w:webHidden/>
        </w:rPr>
        <w:t>8</w:t>
      </w:r>
    </w:p>
    <w:p>
      <w:pPr>
        <w:pStyle w:val="TOC3"/>
        <w:rPr>
          <w:rFonts w:asciiTheme="minorHAnsi" w:eastAsiaTheme="minorEastAsia" w:hAnsiTheme="minorHAnsi" w:cstheme="minorBidi"/>
          <w:noProof/>
          <w:kern w:val="2"/>
          <w:sz w:val="22"/>
          <w14:ligatures w14:val="standardContextual"/>
        </w:rPr>
      </w:pPr>
      <w:r>
        <w:rPr>
          <w:noProof/>
        </w:rPr>
        <w:t>2.2.2.</w:t>
      </w:r>
      <w:r>
        <w:rPr>
          <w:noProof/>
        </w:rPr>
        <w:tab/>
        <w:t>Informații privind riscurile identificate și sistemul (sistemele) de control intern instituit(e) pentru atenuarea lor</w:t>
      </w:r>
      <w:r>
        <w:rPr>
          <w:noProof/>
        </w:rPr>
        <w:tab/>
      </w:r>
      <w:r>
        <w:rPr>
          <w:noProof/>
          <w:webHidden/>
        </w:rPr>
        <w:t>8</w:t>
      </w:r>
    </w:p>
    <w:p>
      <w:pPr>
        <w:pStyle w:val="TOC3"/>
        <w:rPr>
          <w:rFonts w:asciiTheme="minorHAnsi" w:eastAsiaTheme="minorEastAsia" w:hAnsiTheme="minorHAnsi" w:cstheme="minorBidi"/>
          <w:noProof/>
          <w:kern w:val="2"/>
          <w:sz w:val="22"/>
          <w14:ligatures w14:val="standardContextual"/>
        </w:rPr>
      </w:pPr>
      <w:r>
        <w:rPr>
          <w:noProof/>
        </w:rPr>
        <w:t>2.2.3.</w:t>
      </w:r>
      <w:r>
        <w:rPr>
          <w:noProof/>
        </w:rPr>
        <w:tab/>
        <w:t>Estimarea și justificarea raportului cost-eficacitate al controalelor (raportul dintre costurile controalelor și valoarea fondurilor aferente gestionate) și evaluarea nivelurilor preconizate ale riscurilor de eroare (la plată și la închidere)</w:t>
      </w:r>
      <w:r>
        <w:rPr>
          <w:noProof/>
        </w:rPr>
        <w:tab/>
      </w:r>
      <w:r>
        <w:rPr>
          <w:noProof/>
          <w:webHidden/>
        </w:rPr>
        <w:t>8</w:t>
      </w:r>
    </w:p>
    <w:p>
      <w:pPr>
        <w:pStyle w:val="TOC2"/>
        <w:rPr>
          <w:rFonts w:asciiTheme="minorHAnsi" w:eastAsiaTheme="minorEastAsia" w:hAnsiTheme="minorHAnsi" w:cstheme="minorBidi"/>
          <w:noProof/>
          <w:kern w:val="2"/>
          <w:sz w:val="22"/>
          <w14:ligatures w14:val="standardContextual"/>
        </w:rPr>
      </w:pPr>
      <w:r>
        <w:rPr>
          <w:noProof/>
        </w:rPr>
        <w:t>2.3.</w:t>
      </w:r>
      <w:r>
        <w:rPr>
          <w:noProof/>
        </w:rPr>
        <w:tab/>
        <w:t>Măsuri de prevenire a fraudelor și a neregulilor</w:t>
      </w:r>
      <w:r>
        <w:rPr>
          <w:noProof/>
        </w:rPr>
        <w:tab/>
      </w:r>
      <w:r>
        <w:rPr>
          <w:noProof/>
          <w:webHidden/>
        </w:rPr>
        <w:t>9</w:t>
      </w:r>
    </w:p>
    <w:p>
      <w:pPr>
        <w:pStyle w:val="TOC1"/>
        <w:rPr>
          <w:rFonts w:asciiTheme="minorHAnsi" w:eastAsiaTheme="minorEastAsia" w:hAnsiTheme="minorHAnsi" w:cstheme="minorBidi"/>
          <w:noProof/>
          <w:kern w:val="2"/>
          <w:sz w:val="22"/>
          <w14:ligatures w14:val="standardContextual"/>
        </w:rPr>
      </w:pPr>
      <w:r>
        <w:rPr>
          <w:noProof/>
        </w:rPr>
        <w:t>3.</w:t>
      </w:r>
      <w:r>
        <w:rPr>
          <w:noProof/>
        </w:rPr>
        <w:tab/>
        <w:t>IMPACTUL FINANCIAR ESTIMAT AL PROPUNERII/INIȚIATIVEI</w:t>
      </w:r>
      <w:r>
        <w:rPr>
          <w:noProof/>
        </w:rPr>
        <w:tab/>
      </w:r>
      <w:r>
        <w:rPr>
          <w:noProof/>
          <w:webHidden/>
        </w:rPr>
        <w:t>10</w:t>
      </w:r>
    </w:p>
    <w:p>
      <w:pPr>
        <w:pStyle w:val="TOC2"/>
        <w:rPr>
          <w:rFonts w:asciiTheme="minorHAnsi" w:eastAsiaTheme="minorEastAsia" w:hAnsiTheme="minorHAnsi" w:cstheme="minorBidi"/>
          <w:noProof/>
          <w:kern w:val="2"/>
          <w:sz w:val="22"/>
          <w14:ligatures w14:val="standardContextual"/>
        </w:rPr>
      </w:pPr>
      <w:r>
        <w:rPr>
          <w:noProof/>
        </w:rPr>
        <w:t>3.1.</w:t>
      </w:r>
      <w:r>
        <w:rPr>
          <w:noProof/>
        </w:rPr>
        <w:tab/>
        <w:t>Rubrica (rubricile) din cadrul financiar multianual și linia (liniile) bugetară (bugetare) de cheltuieli afectată (afectate)</w:t>
      </w:r>
      <w:r>
        <w:rPr>
          <w:noProof/>
        </w:rPr>
        <w:tab/>
      </w:r>
      <w:r>
        <w:rPr>
          <w:noProof/>
          <w:webHidden/>
        </w:rPr>
        <w:t>10</w:t>
      </w:r>
    </w:p>
    <w:p>
      <w:pPr>
        <w:pStyle w:val="TOC2"/>
        <w:rPr>
          <w:rFonts w:asciiTheme="minorHAnsi" w:eastAsiaTheme="minorEastAsia" w:hAnsiTheme="minorHAnsi" w:cstheme="minorBidi"/>
          <w:noProof/>
          <w:kern w:val="2"/>
          <w:sz w:val="22"/>
          <w14:ligatures w14:val="standardContextual"/>
        </w:rPr>
      </w:pPr>
      <w:r>
        <w:rPr>
          <w:noProof/>
        </w:rPr>
        <w:t>3.2.</w:t>
      </w:r>
      <w:r>
        <w:rPr>
          <w:noProof/>
        </w:rPr>
        <w:tab/>
        <w:t>Impactul financiar estimat al propunerii asupra creditelor</w:t>
      </w:r>
      <w:r>
        <w:rPr>
          <w:noProof/>
        </w:rPr>
        <w:tab/>
      </w:r>
      <w:r>
        <w:rPr>
          <w:noProof/>
          <w:webHidden/>
        </w:rPr>
        <w:t>12</w:t>
      </w:r>
    </w:p>
    <w:p>
      <w:pPr>
        <w:pStyle w:val="TOC3"/>
        <w:rPr>
          <w:rFonts w:asciiTheme="minorHAnsi" w:eastAsiaTheme="minorEastAsia" w:hAnsiTheme="minorHAnsi" w:cstheme="minorBidi"/>
          <w:noProof/>
          <w:kern w:val="2"/>
          <w:sz w:val="22"/>
          <w14:ligatures w14:val="standardContextual"/>
        </w:rPr>
      </w:pPr>
      <w:r>
        <w:rPr>
          <w:noProof/>
        </w:rPr>
        <w:t>3.2.1.</w:t>
      </w:r>
      <w:r>
        <w:rPr>
          <w:noProof/>
        </w:rPr>
        <w:tab/>
        <w:t>Sinteza impactului estimat asupra creditelor operaționale</w:t>
      </w:r>
      <w:r>
        <w:rPr>
          <w:noProof/>
        </w:rPr>
        <w:tab/>
      </w:r>
      <w:r>
        <w:rPr>
          <w:noProof/>
          <w:webHidden/>
        </w:rPr>
        <w:t>12</w:t>
      </w:r>
    </w:p>
    <w:p>
      <w:pPr>
        <w:pStyle w:val="TOC3"/>
        <w:rPr>
          <w:rFonts w:asciiTheme="minorHAnsi" w:eastAsiaTheme="minorEastAsia" w:hAnsiTheme="minorHAnsi" w:cstheme="minorBidi"/>
          <w:noProof/>
          <w:kern w:val="2"/>
          <w:sz w:val="22"/>
          <w14:ligatures w14:val="standardContextual"/>
        </w:rPr>
      </w:pPr>
      <w:r>
        <w:rPr>
          <w:noProof/>
        </w:rPr>
        <w:t>3.2.1.1.</w:t>
      </w:r>
      <w:r>
        <w:rPr>
          <w:noProof/>
        </w:rPr>
        <w:tab/>
        <w:t>Credite din bugetul votat</w:t>
      </w:r>
      <w:r>
        <w:rPr>
          <w:noProof/>
        </w:rPr>
        <w:tab/>
      </w:r>
      <w:r>
        <w:rPr>
          <w:noProof/>
          <w:webHidden/>
        </w:rPr>
        <w:t>12</w:t>
      </w:r>
    </w:p>
    <w:p>
      <w:pPr>
        <w:pStyle w:val="TOC3"/>
        <w:rPr>
          <w:rFonts w:asciiTheme="minorHAnsi" w:eastAsiaTheme="minorEastAsia" w:hAnsiTheme="minorHAnsi" w:cstheme="minorBidi"/>
          <w:noProof/>
          <w:kern w:val="2"/>
          <w:sz w:val="22"/>
          <w14:ligatures w14:val="standardContextual"/>
        </w:rPr>
      </w:pPr>
      <w:r>
        <w:rPr>
          <w:noProof/>
        </w:rPr>
        <w:t>3.2.1.2.</w:t>
      </w:r>
      <w:r>
        <w:rPr>
          <w:noProof/>
        </w:rPr>
        <w:tab/>
        <w:t>Credite din venituri alocate externe</w:t>
      </w:r>
      <w:r>
        <w:rPr>
          <w:noProof/>
        </w:rPr>
        <w:tab/>
      </w:r>
      <w:r>
        <w:rPr>
          <w:noProof/>
          <w:webHidden/>
        </w:rPr>
        <w:t>17</w:t>
      </w:r>
    </w:p>
    <w:p>
      <w:pPr>
        <w:pStyle w:val="TOC3"/>
        <w:rPr>
          <w:rFonts w:asciiTheme="minorHAnsi" w:eastAsiaTheme="minorEastAsia" w:hAnsiTheme="minorHAnsi" w:cstheme="minorBidi"/>
          <w:noProof/>
          <w:kern w:val="2"/>
          <w:sz w:val="22"/>
          <w14:ligatures w14:val="standardContextual"/>
        </w:rPr>
      </w:pPr>
      <w:r>
        <w:rPr>
          <w:noProof/>
        </w:rPr>
        <w:t>3.2.2.</w:t>
      </w:r>
      <w:r>
        <w:rPr>
          <w:noProof/>
        </w:rPr>
        <w:tab/>
        <w:t>Realizările preconizate finanțate din credite operaționale</w:t>
      </w:r>
      <w:r>
        <w:rPr>
          <w:noProof/>
        </w:rPr>
        <w:tab/>
      </w:r>
      <w:r>
        <w:rPr>
          <w:noProof/>
          <w:webHidden/>
        </w:rPr>
        <w:t>22</w:t>
      </w:r>
    </w:p>
    <w:p>
      <w:pPr>
        <w:pStyle w:val="TOC3"/>
        <w:rPr>
          <w:rFonts w:asciiTheme="minorHAnsi" w:eastAsiaTheme="minorEastAsia" w:hAnsiTheme="minorHAnsi" w:cstheme="minorBidi"/>
          <w:noProof/>
          <w:kern w:val="2"/>
          <w:sz w:val="22"/>
          <w14:ligatures w14:val="standardContextual"/>
        </w:rPr>
      </w:pPr>
      <w:r>
        <w:rPr>
          <w:noProof/>
        </w:rPr>
        <w:t>3.2.3.</w:t>
      </w:r>
      <w:r>
        <w:rPr>
          <w:noProof/>
        </w:rPr>
        <w:tab/>
        <w:t>Sinteza impactului estimat asupra creditelor administrative</w:t>
      </w:r>
      <w:r>
        <w:rPr>
          <w:noProof/>
        </w:rPr>
        <w:tab/>
      </w:r>
      <w:r>
        <w:rPr>
          <w:noProof/>
          <w:webHidden/>
        </w:rPr>
        <w:t>24</w:t>
      </w:r>
    </w:p>
    <w:p>
      <w:pPr>
        <w:pStyle w:val="TOC3"/>
        <w:rPr>
          <w:rFonts w:asciiTheme="minorHAnsi" w:eastAsiaTheme="minorEastAsia" w:hAnsiTheme="minorHAnsi" w:cstheme="minorBidi"/>
          <w:noProof/>
          <w:kern w:val="2"/>
          <w:sz w:val="22"/>
          <w14:ligatures w14:val="standardContextual"/>
        </w:rPr>
      </w:pPr>
      <w:r>
        <w:rPr>
          <w:noProof/>
        </w:rPr>
        <w:t>3.2.3.1. Credite din bugetul votat</w:t>
      </w:r>
      <w:r>
        <w:rPr>
          <w:noProof/>
        </w:rPr>
        <w:tab/>
      </w:r>
      <w:r>
        <w:rPr>
          <w:noProof/>
          <w:webHidden/>
        </w:rPr>
        <w:t>24</w:t>
      </w:r>
    </w:p>
    <w:p>
      <w:pPr>
        <w:pStyle w:val="TOC3"/>
        <w:rPr>
          <w:rFonts w:asciiTheme="minorHAnsi" w:eastAsiaTheme="minorEastAsia" w:hAnsiTheme="minorHAnsi" w:cstheme="minorBidi"/>
          <w:noProof/>
          <w:kern w:val="2"/>
          <w:sz w:val="22"/>
          <w14:ligatures w14:val="standardContextual"/>
        </w:rPr>
      </w:pPr>
      <w:r>
        <w:rPr>
          <w:noProof/>
        </w:rPr>
        <w:t>3.2.3.2.</w:t>
      </w:r>
      <w:r>
        <w:rPr>
          <w:noProof/>
        </w:rPr>
        <w:tab/>
        <w:t>Credite din venituri alocate externe</w:t>
      </w:r>
      <w:r>
        <w:rPr>
          <w:noProof/>
        </w:rPr>
        <w:tab/>
      </w:r>
      <w:r>
        <w:rPr>
          <w:noProof/>
          <w:webHidden/>
        </w:rPr>
        <w:t>24</w:t>
      </w:r>
    </w:p>
    <w:p>
      <w:pPr>
        <w:pStyle w:val="TOC3"/>
        <w:rPr>
          <w:rFonts w:asciiTheme="minorHAnsi" w:eastAsiaTheme="minorEastAsia" w:hAnsiTheme="minorHAnsi" w:cstheme="minorBidi"/>
          <w:noProof/>
          <w:kern w:val="2"/>
          <w:sz w:val="22"/>
          <w14:ligatures w14:val="standardContextual"/>
        </w:rPr>
      </w:pPr>
      <w:r>
        <w:rPr>
          <w:noProof/>
        </w:rPr>
        <w:t>3.2.3.3.</w:t>
      </w:r>
      <w:r>
        <w:rPr>
          <w:noProof/>
        </w:rPr>
        <w:tab/>
        <w:t>Total credite</w:t>
      </w:r>
      <w:r>
        <w:rPr>
          <w:noProof/>
        </w:rPr>
        <w:tab/>
      </w:r>
      <w:r>
        <w:rPr>
          <w:noProof/>
          <w:webHidden/>
        </w:rPr>
        <w:t>24</w:t>
      </w:r>
    </w:p>
    <w:p>
      <w:pPr>
        <w:pStyle w:val="TOC3"/>
        <w:rPr>
          <w:rFonts w:asciiTheme="minorHAnsi" w:eastAsiaTheme="minorEastAsia" w:hAnsiTheme="minorHAnsi" w:cstheme="minorBidi"/>
          <w:noProof/>
          <w:kern w:val="2"/>
          <w:sz w:val="22"/>
          <w14:ligatures w14:val="standardContextual"/>
        </w:rPr>
      </w:pPr>
      <w:r>
        <w:rPr>
          <w:noProof/>
        </w:rPr>
        <w:t>3.2.4.</w:t>
      </w:r>
      <w:r>
        <w:rPr>
          <w:noProof/>
        </w:rPr>
        <w:tab/>
        <w:t>Necesarul de resurse umane estimat</w:t>
      </w:r>
      <w:r>
        <w:rPr>
          <w:noProof/>
        </w:rPr>
        <w:tab/>
      </w:r>
      <w:r>
        <w:rPr>
          <w:noProof/>
          <w:webHidden/>
        </w:rPr>
        <w:t>25</w:t>
      </w:r>
    </w:p>
    <w:p>
      <w:pPr>
        <w:pStyle w:val="TOC3"/>
        <w:rPr>
          <w:rFonts w:asciiTheme="minorHAnsi" w:eastAsiaTheme="minorEastAsia" w:hAnsiTheme="minorHAnsi" w:cstheme="minorBidi"/>
          <w:noProof/>
          <w:kern w:val="2"/>
          <w:sz w:val="22"/>
          <w14:ligatures w14:val="standardContextual"/>
        </w:rPr>
      </w:pPr>
      <w:r>
        <w:rPr>
          <w:noProof/>
        </w:rPr>
        <w:t>3.2.4.1.</w:t>
      </w:r>
      <w:r>
        <w:rPr>
          <w:noProof/>
        </w:rPr>
        <w:tab/>
        <w:t>Finanțate din bugetul votat</w:t>
      </w:r>
      <w:r>
        <w:rPr>
          <w:noProof/>
        </w:rPr>
        <w:tab/>
      </w:r>
      <w:r>
        <w:rPr>
          <w:noProof/>
          <w:webHidden/>
        </w:rPr>
        <w:t>25</w:t>
      </w:r>
    </w:p>
    <w:p>
      <w:pPr>
        <w:pStyle w:val="TOC3"/>
        <w:rPr>
          <w:rFonts w:asciiTheme="minorHAnsi" w:eastAsiaTheme="minorEastAsia" w:hAnsiTheme="minorHAnsi" w:cstheme="minorBidi"/>
          <w:noProof/>
          <w:kern w:val="2"/>
          <w:sz w:val="22"/>
          <w14:ligatures w14:val="standardContextual"/>
        </w:rPr>
      </w:pPr>
      <w:r>
        <w:rPr>
          <w:noProof/>
        </w:rPr>
        <w:t>3.2.4.2.</w:t>
      </w:r>
      <w:r>
        <w:rPr>
          <w:noProof/>
        </w:rPr>
        <w:tab/>
        <w:t>Finanțate din venituri alocate externe</w:t>
      </w:r>
      <w:r>
        <w:rPr>
          <w:noProof/>
        </w:rPr>
        <w:tab/>
      </w:r>
      <w:r>
        <w:rPr>
          <w:noProof/>
          <w:webHidden/>
        </w:rPr>
        <w:t>26</w:t>
      </w:r>
    </w:p>
    <w:p>
      <w:pPr>
        <w:pStyle w:val="TOC3"/>
        <w:rPr>
          <w:rFonts w:asciiTheme="minorHAnsi" w:eastAsiaTheme="minorEastAsia" w:hAnsiTheme="minorHAnsi" w:cstheme="minorBidi"/>
          <w:noProof/>
          <w:kern w:val="2"/>
          <w:sz w:val="22"/>
          <w14:ligatures w14:val="standardContextual"/>
        </w:rPr>
      </w:pPr>
      <w:r>
        <w:rPr>
          <w:noProof/>
        </w:rPr>
        <w:t>3.2.4.3.</w:t>
      </w:r>
      <w:r>
        <w:rPr>
          <w:noProof/>
        </w:rPr>
        <w:tab/>
        <w:t>Necesarul total de resurse umane</w:t>
      </w:r>
      <w:r>
        <w:rPr>
          <w:noProof/>
        </w:rPr>
        <w:tab/>
      </w:r>
      <w:r>
        <w:rPr>
          <w:noProof/>
          <w:webHidden/>
        </w:rPr>
        <w:t>26</w:t>
      </w:r>
    </w:p>
    <w:p>
      <w:pPr>
        <w:pStyle w:val="TOC3"/>
        <w:rPr>
          <w:rFonts w:asciiTheme="minorHAnsi" w:eastAsiaTheme="minorEastAsia" w:hAnsiTheme="minorHAnsi" w:cstheme="minorBidi"/>
          <w:noProof/>
          <w:kern w:val="2"/>
          <w:sz w:val="22"/>
          <w14:ligatures w14:val="standardContextual"/>
        </w:rPr>
      </w:pPr>
      <w:r>
        <w:rPr>
          <w:noProof/>
        </w:rPr>
        <w:t>3.2.5.</w:t>
      </w:r>
      <w:r>
        <w:rPr>
          <w:noProof/>
        </w:rPr>
        <w:tab/>
        <w:t>Prezentare generală a impactului estimat asupra investițiilor legate de tehnologia digitală</w:t>
      </w:r>
      <w:r>
        <w:rPr>
          <w:noProof/>
        </w:rPr>
        <w:tab/>
      </w:r>
      <w:r>
        <w:rPr>
          <w:noProof/>
          <w:webHidden/>
        </w:rPr>
        <w:t>28</w:t>
      </w:r>
    </w:p>
    <w:p>
      <w:pPr>
        <w:pStyle w:val="TOC3"/>
        <w:rPr>
          <w:rFonts w:asciiTheme="minorHAnsi" w:eastAsiaTheme="minorEastAsia" w:hAnsiTheme="minorHAnsi" w:cstheme="minorBidi"/>
          <w:noProof/>
          <w:kern w:val="2"/>
          <w:sz w:val="22"/>
          <w14:ligatures w14:val="standardContextual"/>
        </w:rPr>
      </w:pPr>
      <w:r>
        <w:rPr>
          <w:noProof/>
        </w:rPr>
        <w:t>3.2.6.</w:t>
      </w:r>
      <w:r>
        <w:rPr>
          <w:noProof/>
        </w:rPr>
        <w:tab/>
        <w:t>Compatibilitatea cu cadrul financiar multianual actual</w:t>
      </w:r>
      <w:r>
        <w:rPr>
          <w:noProof/>
        </w:rPr>
        <w:tab/>
      </w:r>
      <w:r>
        <w:rPr>
          <w:noProof/>
          <w:webHidden/>
        </w:rPr>
        <w:t>28</w:t>
      </w:r>
    </w:p>
    <w:p>
      <w:pPr>
        <w:pStyle w:val="TOC3"/>
        <w:rPr>
          <w:rFonts w:asciiTheme="minorHAnsi" w:eastAsiaTheme="minorEastAsia" w:hAnsiTheme="minorHAnsi" w:cstheme="minorBidi"/>
          <w:noProof/>
          <w:kern w:val="2"/>
          <w:sz w:val="22"/>
          <w14:ligatures w14:val="standardContextual"/>
        </w:rPr>
      </w:pPr>
      <w:r>
        <w:rPr>
          <w:noProof/>
        </w:rPr>
        <w:t>3.2.7.</w:t>
      </w:r>
      <w:r>
        <w:rPr>
          <w:noProof/>
        </w:rPr>
        <w:tab/>
        <w:t>Contribuțiile terților</w:t>
      </w:r>
      <w:r>
        <w:rPr>
          <w:noProof/>
        </w:rPr>
        <w:tab/>
      </w:r>
      <w:r>
        <w:rPr>
          <w:noProof/>
          <w:webHidden/>
        </w:rPr>
        <w:t>28</w:t>
      </w:r>
    </w:p>
    <w:p>
      <w:pPr>
        <w:pStyle w:val="TOC2"/>
        <w:rPr>
          <w:rFonts w:asciiTheme="minorHAnsi" w:eastAsiaTheme="minorEastAsia" w:hAnsiTheme="minorHAnsi" w:cstheme="minorBidi"/>
          <w:noProof/>
          <w:kern w:val="2"/>
          <w:sz w:val="22"/>
          <w14:ligatures w14:val="standardContextual"/>
        </w:rPr>
      </w:pPr>
      <w:r>
        <w:rPr>
          <w:noProof/>
        </w:rPr>
        <w:t>3.3.</w:t>
      </w:r>
      <w:r>
        <w:rPr>
          <w:noProof/>
        </w:rPr>
        <w:tab/>
        <w:t>Impactul estimat asupra veniturilor</w:t>
      </w:r>
      <w:r>
        <w:rPr>
          <w:noProof/>
        </w:rPr>
        <w:tab/>
      </w:r>
      <w:r>
        <w:rPr>
          <w:noProof/>
          <w:webHidden/>
        </w:rPr>
        <w:t>29</w:t>
      </w:r>
    </w:p>
    <w:p>
      <w:pPr>
        <w:pStyle w:val="TOC1"/>
        <w:rPr>
          <w:rFonts w:asciiTheme="minorHAnsi" w:eastAsiaTheme="minorEastAsia" w:hAnsiTheme="minorHAnsi" w:cstheme="minorBidi"/>
          <w:noProof/>
          <w:kern w:val="2"/>
          <w:sz w:val="22"/>
          <w14:ligatures w14:val="standardContextual"/>
        </w:rPr>
      </w:pPr>
      <w:r>
        <w:rPr>
          <w:noProof/>
        </w:rPr>
        <w:t>4.</w:t>
      </w:r>
      <w:r>
        <w:rPr>
          <w:noProof/>
        </w:rPr>
        <w:tab/>
      </w:r>
      <w:r>
        <w:rPr>
          <w:caps/>
          <w:noProof/>
        </w:rPr>
        <w:t>Dimensiunile digitale</w:t>
      </w:r>
      <w:r>
        <w:rPr>
          <w:noProof/>
        </w:rPr>
        <w:tab/>
      </w:r>
      <w:r>
        <w:rPr>
          <w:noProof/>
          <w:webHidden/>
        </w:rPr>
        <w:t>29</w:t>
      </w:r>
    </w:p>
    <w:p>
      <w:pPr>
        <w:pStyle w:val="TOC2"/>
        <w:rPr>
          <w:rFonts w:asciiTheme="minorHAnsi" w:eastAsiaTheme="minorEastAsia" w:hAnsiTheme="minorHAnsi" w:cstheme="minorBidi"/>
          <w:noProof/>
          <w:kern w:val="2"/>
          <w:sz w:val="22"/>
          <w14:ligatures w14:val="standardContextual"/>
        </w:rPr>
      </w:pPr>
      <w:r>
        <w:rPr>
          <w:noProof/>
        </w:rPr>
        <w:t>4.1.</w:t>
      </w:r>
      <w:r>
        <w:rPr>
          <w:noProof/>
        </w:rPr>
        <w:tab/>
        <w:t>Cerințe cu relevanță digitală</w:t>
      </w:r>
      <w:r>
        <w:rPr>
          <w:noProof/>
        </w:rPr>
        <w:tab/>
      </w:r>
      <w:r>
        <w:rPr>
          <w:noProof/>
          <w:webHidden/>
        </w:rPr>
        <w:t>30</w:t>
      </w:r>
    </w:p>
    <w:p>
      <w:pPr>
        <w:pStyle w:val="TOC2"/>
        <w:rPr>
          <w:rFonts w:asciiTheme="minorHAnsi" w:eastAsiaTheme="minorEastAsia" w:hAnsiTheme="minorHAnsi" w:cstheme="minorBidi"/>
          <w:noProof/>
          <w:kern w:val="2"/>
          <w:sz w:val="22"/>
          <w14:ligatures w14:val="standardContextual"/>
        </w:rPr>
      </w:pPr>
      <w:r>
        <w:rPr>
          <w:noProof/>
        </w:rPr>
        <w:t>4.2.</w:t>
      </w:r>
      <w:r>
        <w:rPr>
          <w:noProof/>
        </w:rPr>
        <w:tab/>
        <w:t>Date</w:t>
      </w:r>
      <w:r>
        <w:rPr>
          <w:noProof/>
        </w:rPr>
        <w:tab/>
      </w:r>
      <w:r>
        <w:rPr>
          <w:noProof/>
          <w:webHidden/>
        </w:rPr>
        <w:t>30</w:t>
      </w:r>
    </w:p>
    <w:p>
      <w:pPr>
        <w:pStyle w:val="TOC2"/>
        <w:rPr>
          <w:rFonts w:asciiTheme="minorHAnsi" w:eastAsiaTheme="minorEastAsia" w:hAnsiTheme="minorHAnsi" w:cstheme="minorBidi"/>
          <w:noProof/>
          <w:kern w:val="2"/>
          <w:sz w:val="22"/>
          <w14:ligatures w14:val="standardContextual"/>
        </w:rPr>
      </w:pPr>
      <w:r>
        <w:rPr>
          <w:noProof/>
        </w:rPr>
        <w:t>4.3.</w:t>
      </w:r>
      <w:r>
        <w:rPr>
          <w:noProof/>
        </w:rPr>
        <w:tab/>
        <w:t>Soluții digitale</w:t>
      </w:r>
      <w:r>
        <w:rPr>
          <w:noProof/>
        </w:rPr>
        <w:tab/>
      </w:r>
      <w:r>
        <w:rPr>
          <w:noProof/>
          <w:webHidden/>
        </w:rPr>
        <w:t>31</w:t>
      </w:r>
    </w:p>
    <w:p>
      <w:pPr>
        <w:pStyle w:val="TOC2"/>
        <w:rPr>
          <w:rFonts w:asciiTheme="minorHAnsi" w:eastAsiaTheme="minorEastAsia" w:hAnsiTheme="minorHAnsi" w:cstheme="minorBidi"/>
          <w:noProof/>
          <w:kern w:val="2"/>
          <w:sz w:val="22"/>
          <w14:ligatures w14:val="standardContextual"/>
        </w:rPr>
      </w:pPr>
      <w:r>
        <w:rPr>
          <w:noProof/>
        </w:rPr>
        <w:t>4.4.</w:t>
      </w:r>
      <w:r>
        <w:rPr>
          <w:noProof/>
        </w:rPr>
        <w:tab/>
        <w:t>Evaluarea interoperabilității</w:t>
      </w:r>
      <w:r>
        <w:rPr>
          <w:noProof/>
        </w:rPr>
        <w:tab/>
      </w:r>
      <w:r>
        <w:rPr>
          <w:noProof/>
          <w:webHidden/>
        </w:rPr>
        <w:t>31</w:t>
      </w:r>
    </w:p>
    <w:p>
      <w:pPr>
        <w:pStyle w:val="TOC2"/>
        <w:rPr>
          <w:rFonts w:asciiTheme="minorHAnsi" w:eastAsiaTheme="minorEastAsia" w:hAnsiTheme="minorHAnsi" w:cstheme="minorBidi"/>
          <w:noProof/>
          <w:kern w:val="2"/>
          <w:sz w:val="22"/>
          <w14:ligatures w14:val="standardContextual"/>
        </w:rPr>
      </w:pPr>
      <w:r>
        <w:rPr>
          <w:noProof/>
        </w:rPr>
        <w:t>4.5.</w:t>
      </w:r>
      <w:r>
        <w:rPr>
          <w:noProof/>
        </w:rPr>
        <w:tab/>
        <w:t>Măsuri de sprijinire a implementării digitale</w:t>
      </w:r>
      <w:r>
        <w:rPr>
          <w:noProof/>
        </w:rPr>
        <w:tab/>
      </w:r>
      <w:r>
        <w:rPr>
          <w:noProof/>
          <w:webHidden/>
        </w:rPr>
        <w:t>32</w:t>
      </w:r>
    </w:p>
    <w:p>
      <w:pPr>
        <w:pStyle w:val="TOC1"/>
        <w:ind w:left="0" w:firstLine="0"/>
        <w:rPr>
          <w:noProof/>
        </w:rPr>
        <w:sectPr>
          <w:pgSz w:w="11907" w:h="16840" w:code="9"/>
          <w:pgMar w:top="1134" w:right="1418" w:bottom="1134" w:left="1418" w:header="709" w:footer="709" w:gutter="0"/>
          <w:pgNumType w:start="1"/>
          <w:cols w:space="720"/>
          <w:docGrid w:linePitch="360"/>
        </w:sectPr>
      </w:pPr>
    </w:p>
    <w:p>
      <w:pPr>
        <w:pStyle w:val="ManualHeading1"/>
        <w:rPr>
          <w:noProof/>
        </w:rPr>
      </w:pPr>
      <w:bookmarkStart w:id="1" w:name="_Toc514938007"/>
      <w:bookmarkStart w:id="2" w:name="_Toc520485025"/>
      <w:bookmarkStart w:id="3" w:name="_Toc160804567"/>
      <w:bookmarkStart w:id="4" w:name="_Toc167220259"/>
      <w:bookmarkStart w:id="5" w:name="_Toc177548992"/>
      <w:r>
        <w:rPr>
          <w:noProof/>
        </w:rPr>
        <w:t>1.</w:t>
      </w:r>
      <w:r>
        <w:rPr>
          <w:noProof/>
        </w:rPr>
        <w:tab/>
        <w:t>CADRUL PROPUNERII/INIȚIATIVEI</w:t>
      </w:r>
      <w:bookmarkEnd w:id="1"/>
      <w:bookmarkEnd w:id="2"/>
      <w:bookmarkEnd w:id="3"/>
      <w:bookmarkEnd w:id="4"/>
      <w:bookmarkEnd w:id="5"/>
      <w:r>
        <w:rPr>
          <w:noProof/>
        </w:rPr>
        <w:t xml:space="preserve"> </w:t>
      </w:r>
    </w:p>
    <w:p>
      <w:pPr>
        <w:pStyle w:val="ManualHeading2"/>
        <w:rPr>
          <w:noProof/>
        </w:rPr>
      </w:pPr>
      <w:bookmarkStart w:id="6" w:name="_Toc514938008"/>
      <w:bookmarkStart w:id="7" w:name="_Toc520485026"/>
      <w:bookmarkStart w:id="8" w:name="_Toc160804568"/>
      <w:bookmarkStart w:id="9" w:name="_Toc167220260"/>
      <w:bookmarkStart w:id="10" w:name="_Toc177548993"/>
      <w:r>
        <w:rPr>
          <w:noProof/>
        </w:rPr>
        <w:t>1.1.</w:t>
      </w:r>
      <w:r>
        <w:rPr>
          <w:noProof/>
        </w:rPr>
        <w:tab/>
        <w:t>Titlul propunerii/inițiativei</w:t>
      </w:r>
      <w:bookmarkEnd w:id="6"/>
      <w:bookmarkEnd w:id="7"/>
      <w:bookmarkEnd w:id="8"/>
      <w:bookmarkEnd w:id="9"/>
      <w:bookmarkEnd w:id="10"/>
    </w:p>
    <w:p>
      <w:pPr>
        <w:pStyle w:val="Text1"/>
        <w:pBdr>
          <w:top w:val="single" w:sz="4" w:space="1" w:color="auto"/>
          <w:left w:val="single" w:sz="4" w:space="4" w:color="auto"/>
          <w:bottom w:val="single" w:sz="4" w:space="1" w:color="auto"/>
          <w:right w:val="single" w:sz="4" w:space="4" w:color="auto"/>
        </w:pBdr>
        <w:ind w:left="851"/>
        <w:rPr>
          <w:noProof/>
        </w:rPr>
      </w:pPr>
      <w:bookmarkStart w:id="11" w:name="_Toc514938011"/>
      <w:bookmarkStart w:id="12" w:name="_Toc520485027"/>
      <w:bookmarkStart w:id="13" w:name="_Toc160804569"/>
      <w:bookmarkStart w:id="14" w:name="_Toc167220261"/>
      <w:bookmarkStart w:id="15" w:name="_Toc177548994"/>
      <w:r>
        <w:rPr>
          <w:noProof/>
          <w:color w:val="000000" w:themeColor="text1"/>
        </w:rPr>
        <w:t>Propunere de regulament al Parlamentului European și</w:t>
      </w:r>
      <w:r>
        <w:rPr>
          <w:noProof/>
        </w:rPr>
        <w:t xml:space="preserve"> al Consiliului de modificare a Regulamentului (UE) 2021/1139 în ceea ce privește simplificarea și transpunerea Acordului OMC privind subvențiile pentru pescuit.</w:t>
      </w:r>
    </w:p>
    <w:p>
      <w:pPr>
        <w:pStyle w:val="ManualHeading2"/>
        <w:rPr>
          <w:i/>
          <w:noProof/>
        </w:rPr>
      </w:pPr>
      <w:r>
        <w:rPr>
          <w:noProof/>
        </w:rPr>
        <w:t>1.2.</w:t>
      </w:r>
      <w:r>
        <w:rPr>
          <w:noProof/>
        </w:rPr>
        <w:tab/>
        <w:t>Domeniul (domeniile) de politică vizat(e)</w:t>
      </w:r>
      <w:bookmarkEnd w:id="11"/>
      <w:bookmarkEnd w:id="12"/>
      <w:bookmarkEnd w:id="13"/>
      <w:bookmarkEnd w:id="14"/>
      <w:bookmarkEnd w:id="15"/>
      <w:r>
        <w:rPr>
          <w:i/>
          <w:noProof/>
        </w:rPr>
        <w:t xml:space="preserve"> </w:t>
      </w:r>
    </w:p>
    <w:p>
      <w:pPr>
        <w:pStyle w:val="Text1"/>
        <w:pBdr>
          <w:top w:val="single" w:sz="4" w:space="1" w:color="auto"/>
          <w:left w:val="single" w:sz="4" w:space="4" w:color="auto"/>
          <w:bottom w:val="single" w:sz="4" w:space="1" w:color="auto"/>
          <w:right w:val="single" w:sz="4" w:space="4" w:color="auto"/>
        </w:pBdr>
        <w:ind w:left="851"/>
        <w:rPr>
          <w:noProof/>
        </w:rPr>
      </w:pPr>
      <w:bookmarkStart w:id="16" w:name="_Toc514938015"/>
      <w:bookmarkStart w:id="17" w:name="_Toc520485029"/>
      <w:bookmarkStart w:id="18" w:name="_Toc160804571"/>
      <w:bookmarkStart w:id="19" w:name="_Toc167220263"/>
      <w:bookmarkStart w:id="20" w:name="_Toc177548995"/>
      <w:r>
        <w:rPr>
          <w:noProof/>
        </w:rPr>
        <w:t>Propunerea vizează clusterul de programe 8 („Agricultură și Politica maritimă”) de la rubrica 3 („Resurse naturale și mediu”) din cadrul financiar multianual (CFM) 2021-2027. Ea se limitează la modificări țintite ale Regulamentului (UE) 2021/1139 și este în concordanță cu Regulamentul (UE) nr. 1380/2013 privind politica comună în domeniul pescuitului și cu Regulamentul (UE) 2021/1060 privind dispozițiile comune pentru fondurile Uniunii executate în cadrul gestiunii partajate.</w:t>
      </w:r>
    </w:p>
    <w:p>
      <w:pPr>
        <w:pStyle w:val="Text1"/>
        <w:pBdr>
          <w:top w:val="single" w:sz="4" w:space="1" w:color="auto"/>
          <w:left w:val="single" w:sz="4" w:space="4" w:color="auto"/>
          <w:bottom w:val="single" w:sz="4" w:space="1" w:color="auto"/>
          <w:right w:val="single" w:sz="4" w:space="4" w:color="auto"/>
        </w:pBdr>
        <w:ind w:left="851"/>
        <w:rPr>
          <w:noProof/>
        </w:rPr>
      </w:pPr>
      <w:r>
        <w:rPr>
          <w:noProof/>
        </w:rPr>
        <w:t>În plus, ea are legături și cu alte politici ale Uniunii, în special politicile de mediu, climatice, de coeziune, agricole, sociale, de piață și comerciale. Propunerea este coerentă cu inițiativele prevăzute în Pactul european privind oceanul planetar și contribuie la realizarea obiectivului de dezvoltare durabilă nr. 14 al Organizației Națiunilor Unite (ONU) („conservarea și utilizarea durabilă a oceanelor, a mărilor și a resurselor marine”), la care UE s-a angajat.</w:t>
      </w:r>
    </w:p>
    <w:p>
      <w:pPr>
        <w:pStyle w:val="ManualHeading2"/>
        <w:rPr>
          <w:noProof/>
        </w:rPr>
      </w:pPr>
      <w:r>
        <w:rPr>
          <w:noProof/>
        </w:rPr>
        <w:t>1.3.</w:t>
      </w:r>
      <w:r>
        <w:rPr>
          <w:noProof/>
        </w:rPr>
        <w:tab/>
        <w:t>Obiectiv(e)</w:t>
      </w:r>
      <w:bookmarkEnd w:id="16"/>
      <w:bookmarkEnd w:id="17"/>
      <w:bookmarkEnd w:id="18"/>
      <w:bookmarkEnd w:id="19"/>
      <w:bookmarkEnd w:id="20"/>
    </w:p>
    <w:p>
      <w:pPr>
        <w:pStyle w:val="ManualHeading3"/>
        <w:rPr>
          <w:noProof/>
        </w:rPr>
      </w:pPr>
      <w:bookmarkStart w:id="21" w:name="_Toc514938016"/>
      <w:bookmarkStart w:id="22" w:name="_Toc520485030"/>
      <w:bookmarkStart w:id="23" w:name="_Toc160804572"/>
      <w:bookmarkStart w:id="24" w:name="_Toc167220264"/>
      <w:bookmarkStart w:id="25" w:name="_Toc177548996"/>
      <w:r>
        <w:rPr>
          <w:noProof/>
        </w:rPr>
        <w:t>1.3.1.</w:t>
      </w:r>
      <w:r>
        <w:rPr>
          <w:noProof/>
        </w:rPr>
        <w:tab/>
        <w:t>Obiectiv(e) general(e)</w:t>
      </w:r>
      <w:bookmarkEnd w:id="21"/>
      <w:bookmarkEnd w:id="22"/>
      <w:bookmarkEnd w:id="23"/>
      <w:bookmarkEnd w:id="24"/>
      <w:bookmarkEnd w:id="25"/>
    </w:p>
    <w:p>
      <w:pPr>
        <w:pStyle w:val="Text1"/>
        <w:pBdr>
          <w:top w:val="single" w:sz="4" w:space="1" w:color="auto"/>
          <w:left w:val="single" w:sz="4" w:space="4" w:color="auto"/>
          <w:bottom w:val="single" w:sz="4" w:space="1" w:color="auto"/>
          <w:right w:val="single" w:sz="4" w:space="4" w:color="auto"/>
        </w:pBdr>
        <w:rPr>
          <w:noProof/>
        </w:rPr>
      </w:pPr>
      <w:bookmarkStart w:id="26" w:name="_Toc514938018"/>
      <w:bookmarkStart w:id="27" w:name="_Toc520485031"/>
      <w:bookmarkStart w:id="28" w:name="_Toc160804573"/>
      <w:bookmarkStart w:id="29" w:name="_Toc167220265"/>
      <w:bookmarkStart w:id="30" w:name="_Toc177548997"/>
      <w:r>
        <w:rPr>
          <w:noProof/>
        </w:rPr>
        <w:t>Prezenta propunere urmărește să modifice Regulamentul FEAMPA pentru a-l face mai accesibil și mai ușor de pus în aplicare de către statele membre și beneficiari. Propunerea include, de asemenea, modificările necesare pentru a asigura punerea în aplicare deplină în legislația UE a Acordului Organizației Mondiale a Comerțului (OMC) privind subvențiile pentru pescuit (AFS).</w:t>
      </w:r>
    </w:p>
    <w:p>
      <w:pPr>
        <w:pStyle w:val="ManualHeading3"/>
        <w:rPr>
          <w:noProof/>
        </w:rPr>
      </w:pPr>
      <w:r>
        <w:rPr>
          <w:noProof/>
        </w:rPr>
        <w:t>1.3.2.</w:t>
      </w:r>
      <w:r>
        <w:rPr>
          <w:noProof/>
        </w:rPr>
        <w:tab/>
        <w:t>Obiectiv(e) specific(e)</w:t>
      </w:r>
      <w:bookmarkEnd w:id="26"/>
      <w:bookmarkEnd w:id="27"/>
      <w:bookmarkEnd w:id="28"/>
      <w:bookmarkEnd w:id="29"/>
      <w:bookmarkEnd w:id="30"/>
    </w:p>
    <w:p>
      <w:pPr>
        <w:pStyle w:val="Text1"/>
        <w:pBdr>
          <w:top w:val="single" w:sz="4" w:space="1" w:color="auto"/>
          <w:left w:val="single" w:sz="4" w:space="4" w:color="auto"/>
          <w:bottom w:val="single" w:sz="4" w:space="1" w:color="auto"/>
          <w:right w:val="single" w:sz="4" w:space="4" w:color="auto"/>
        </w:pBdr>
        <w:rPr>
          <w:noProof/>
          <w:color w:val="000000" w:themeColor="text1"/>
        </w:rPr>
      </w:pPr>
      <w:bookmarkStart w:id="31" w:name="_Toc514938019"/>
      <w:bookmarkStart w:id="32" w:name="_Toc520485032"/>
      <w:bookmarkStart w:id="33" w:name="_Toc160804574"/>
      <w:bookmarkStart w:id="34" w:name="_Toc167220266"/>
      <w:bookmarkStart w:id="35" w:name="_Toc177548998"/>
      <w:r>
        <w:rPr>
          <w:noProof/>
        </w:rPr>
        <w:t>Propunerea introduce noi definiții pentru a oferi o mai mare securitate juridică, face mai flexibile anumite condiții privind înlocuirea sau modernizarea motoarelor, introduce două noi scheme pentru încetarea temporară a activității de pescuit și pentru pescuitul la scară mică, crește intensitatea ajutorului pentru a sprijini reînnoirea generațiilor și reduce anumite restricții privind alocările bugetare. Propunerea transpune, de asemenea, Acordul privind subvențiile pentru pescuit în acest temei juridic.</w:t>
      </w:r>
    </w:p>
    <w:p>
      <w:pPr>
        <w:pStyle w:val="ManualHeading3"/>
        <w:rPr>
          <w:noProof/>
        </w:rPr>
      </w:pPr>
      <w:r>
        <w:rPr>
          <w:noProof/>
        </w:rPr>
        <w:t>1.3.3.</w:t>
      </w:r>
      <w:r>
        <w:rPr>
          <w:noProof/>
        </w:rPr>
        <w:tab/>
        <w:t>Rezultatul (rezultatele) și impactul preconizate</w:t>
      </w:r>
      <w:bookmarkEnd w:id="31"/>
      <w:bookmarkEnd w:id="32"/>
      <w:bookmarkEnd w:id="33"/>
      <w:bookmarkEnd w:id="34"/>
      <w:bookmarkEnd w:id="35"/>
    </w:p>
    <w:p>
      <w:pPr>
        <w:pStyle w:val="Text1"/>
        <w:rPr>
          <w:i/>
          <w:noProof/>
          <w:sz w:val="20"/>
        </w:rPr>
      </w:pPr>
      <w:r>
        <w:rPr>
          <w:i/>
          <w:noProof/>
          <w:sz w:val="20"/>
        </w:rPr>
        <w:t>A se preciza efectele pe care ar trebui să le aibă propunerea/inițiativa asupra beneficiarilor vizați/grupurilor vizate.</w:t>
      </w:r>
    </w:p>
    <w:p>
      <w:pPr>
        <w:pStyle w:val="Text1"/>
        <w:pBdr>
          <w:top w:val="single" w:sz="4" w:space="1" w:color="auto"/>
          <w:left w:val="single" w:sz="4" w:space="4" w:color="auto"/>
          <w:bottom w:val="single" w:sz="4" w:space="1" w:color="auto"/>
          <w:right w:val="single" w:sz="4" w:space="4" w:color="auto"/>
        </w:pBdr>
        <w:rPr>
          <w:noProof/>
          <w:color w:val="000000" w:themeColor="text1"/>
        </w:rPr>
      </w:pPr>
      <w:bookmarkStart w:id="36" w:name="_Toc514938023"/>
      <w:bookmarkStart w:id="37" w:name="_Toc520485033"/>
      <w:bookmarkStart w:id="38" w:name="_Toc160804575"/>
      <w:bookmarkStart w:id="39" w:name="_Toc167220267"/>
      <w:bookmarkStart w:id="40" w:name="_Toc177548999"/>
      <w:r>
        <w:rPr>
          <w:noProof/>
          <w:color w:val="000000" w:themeColor="text1"/>
        </w:rPr>
        <w:t>Este de așteptat ca propunerea:</w:t>
      </w:r>
    </w:p>
    <w:p>
      <w:pPr>
        <w:pStyle w:val="Text1"/>
        <w:pBdr>
          <w:top w:val="single" w:sz="4" w:space="1" w:color="auto"/>
          <w:left w:val="single" w:sz="4" w:space="4" w:color="auto"/>
          <w:bottom w:val="single" w:sz="4" w:space="1" w:color="auto"/>
          <w:right w:val="single" w:sz="4" w:space="4" w:color="auto"/>
        </w:pBdr>
        <w:rPr>
          <w:noProof/>
          <w:color w:val="000000" w:themeColor="text1"/>
        </w:rPr>
      </w:pPr>
      <w:r>
        <w:rPr>
          <w:noProof/>
          <w:color w:val="000000" w:themeColor="text1"/>
        </w:rPr>
        <w:t>să ofere o mai mare securitate juridică și să faciliteze testarea noilor tehnologii prin introducerea unor noi definiții pentru „tranziția energetică”, „proiectele-pilot” și „demonstratori”, care nu ar trebui tratate ca nave de pescuit obișnuite.</w:t>
      </w:r>
    </w:p>
    <w:p>
      <w:pPr>
        <w:pStyle w:val="Text1"/>
        <w:pBdr>
          <w:top w:val="single" w:sz="4" w:space="1" w:color="auto"/>
          <w:left w:val="single" w:sz="4" w:space="4" w:color="auto"/>
          <w:bottom w:val="single" w:sz="4" w:space="1" w:color="auto"/>
          <w:right w:val="single" w:sz="4" w:space="4" w:color="auto"/>
        </w:pBdr>
        <w:rPr>
          <w:noProof/>
          <w:color w:val="000000" w:themeColor="text1"/>
        </w:rPr>
      </w:pPr>
      <w:r>
        <w:rPr>
          <w:noProof/>
          <w:color w:val="000000" w:themeColor="text1"/>
        </w:rPr>
        <w:t>să accelereze tranziția energetică a flotei de pescuit a UE prin flexibilizarea normelor de înlocuire și modernizare a motoarelor, cu un proces de aprobare și o metodologie simplificate pentru calcularea reducerii emisiilor.</w:t>
      </w:r>
    </w:p>
    <w:p>
      <w:pPr>
        <w:pStyle w:val="Text1"/>
        <w:pBdr>
          <w:top w:val="single" w:sz="4" w:space="1" w:color="auto"/>
          <w:left w:val="single" w:sz="4" w:space="4" w:color="auto"/>
          <w:bottom w:val="single" w:sz="4" w:space="1" w:color="auto"/>
          <w:right w:val="single" w:sz="4" w:space="4" w:color="auto"/>
        </w:pBdr>
        <w:rPr>
          <w:noProof/>
          <w:color w:val="000000" w:themeColor="text1"/>
        </w:rPr>
      </w:pPr>
      <w:r>
        <w:rPr>
          <w:noProof/>
          <w:color w:val="000000" w:themeColor="text1"/>
        </w:rPr>
        <w:t>să aibă un impact pozitiv asupra reînnoirii generațiilor prin creșterea intensității ajutoarelor pentru tinerii pescari și eliminarea obstacolelor pentru a sprijini transferul de proprietate asupra întreprinderilor, ceea ce va avea un impact pozitiv asupra reînnoirii generațiilor.</w:t>
      </w:r>
    </w:p>
    <w:p>
      <w:pPr>
        <w:pStyle w:val="Text1"/>
        <w:pBdr>
          <w:top w:val="single" w:sz="4" w:space="1" w:color="auto"/>
          <w:left w:val="single" w:sz="4" w:space="4" w:color="auto"/>
          <w:bottom w:val="single" w:sz="4" w:space="1" w:color="auto"/>
          <w:right w:val="single" w:sz="4" w:space="4" w:color="auto"/>
        </w:pBdr>
        <w:rPr>
          <w:noProof/>
        </w:rPr>
      </w:pPr>
      <w:r>
        <w:rPr>
          <w:noProof/>
        </w:rPr>
        <w:t>să introducă o nouă schemă pentru încetarea temporară a activității de pescuit pentru a atenua impactul socioeconomic al reducerilor semnificative și neașteptate ale posibilităților de pescuit asupra pescarilor.</w:t>
      </w:r>
    </w:p>
    <w:p>
      <w:pPr>
        <w:pStyle w:val="Text1"/>
        <w:pBdr>
          <w:top w:val="single" w:sz="4" w:space="1" w:color="auto"/>
          <w:left w:val="single" w:sz="4" w:space="4" w:color="auto"/>
          <w:bottom w:val="single" w:sz="4" w:space="1" w:color="auto"/>
          <w:right w:val="single" w:sz="4" w:space="4" w:color="auto"/>
        </w:pBdr>
        <w:rPr>
          <w:noProof/>
        </w:rPr>
      </w:pPr>
      <w:r>
        <w:rPr>
          <w:noProof/>
        </w:rPr>
        <w:t>să acorde statelor membre mai multă flexibilitate bugetară prin creșterea plafonului pentru măsurile privind flota și încetarea definitivă a activității de pescuit de la 15 % la 30 % din alocarea fiecărui stat membru.</w:t>
      </w:r>
    </w:p>
    <w:p>
      <w:pPr>
        <w:pStyle w:val="Text1"/>
        <w:pBdr>
          <w:top w:val="single" w:sz="4" w:space="1" w:color="auto"/>
          <w:left w:val="single" w:sz="4" w:space="4" w:color="auto"/>
          <w:bottom w:val="single" w:sz="4" w:space="1" w:color="auto"/>
          <w:right w:val="single" w:sz="4" w:space="4" w:color="auto"/>
        </w:pBdr>
        <w:rPr>
          <w:noProof/>
        </w:rPr>
      </w:pPr>
      <w:r>
        <w:rPr>
          <w:noProof/>
        </w:rPr>
        <w:t>să se asigure de respectarea deplină a Acordului privind subvențiile pentru pescuit, declarând neeligibil pentru sprijin din partea FEAMPA orice operator sau orice navă implicat(ă) în activități de pescuit INN sau în activități în marea liberă care nu intră în sfera de competență a organizațiilor regionale de gestionare a pescuitului (ORGP).</w:t>
      </w:r>
    </w:p>
    <w:p>
      <w:pPr>
        <w:pStyle w:val="ManualHeading3"/>
        <w:rPr>
          <w:noProof/>
        </w:rPr>
      </w:pPr>
      <w:r>
        <w:rPr>
          <w:noProof/>
        </w:rPr>
        <w:t>1.3.4.</w:t>
      </w:r>
      <w:r>
        <w:rPr>
          <w:noProof/>
        </w:rPr>
        <w:tab/>
        <w:t>Indicatori de performanță</w:t>
      </w:r>
      <w:bookmarkEnd w:id="36"/>
      <w:bookmarkEnd w:id="37"/>
      <w:bookmarkEnd w:id="38"/>
      <w:bookmarkEnd w:id="39"/>
      <w:bookmarkEnd w:id="40"/>
    </w:p>
    <w:p>
      <w:pPr>
        <w:pStyle w:val="Text1"/>
        <w:rPr>
          <w:i/>
          <w:noProof/>
          <w:sz w:val="20"/>
        </w:rPr>
      </w:pPr>
      <w:r>
        <w:rPr>
          <w:i/>
          <w:noProof/>
          <w:sz w:val="20"/>
        </w:rPr>
        <w:t>A se preciza indicatorii care permit monitorizarea progreselor și a realizărilor obținute.</w:t>
      </w:r>
    </w:p>
    <w:p>
      <w:pPr>
        <w:pStyle w:val="Text1"/>
        <w:pBdr>
          <w:top w:val="single" w:sz="4" w:space="1" w:color="auto"/>
          <w:left w:val="single" w:sz="4" w:space="4" w:color="auto"/>
          <w:bottom w:val="single" w:sz="4" w:space="1" w:color="auto"/>
          <w:right w:val="single" w:sz="4" w:space="4" w:color="auto"/>
        </w:pBdr>
        <w:rPr>
          <w:noProof/>
          <w:color w:val="000000" w:themeColor="text1"/>
        </w:rPr>
      </w:pPr>
      <w:bookmarkStart w:id="41" w:name="_Toc177549000"/>
      <w:r>
        <w:rPr>
          <w:noProof/>
        </w:rPr>
        <w:t>Se aplică cerințele de punere în aplicare, monitorizare, evaluare și raportare stabilite în Regulamentele (UE) 2021/1139 și 2021/1060.</w:t>
      </w:r>
    </w:p>
    <w:p>
      <w:pPr>
        <w:pStyle w:val="ManualHeading2"/>
        <w:rPr>
          <w:noProof/>
        </w:rPr>
      </w:pPr>
      <w:r>
        <w:rPr>
          <w:noProof/>
        </w:rPr>
        <w:t>1.4.</w:t>
      </w:r>
      <w:r>
        <w:rPr>
          <w:noProof/>
        </w:rPr>
        <w:tab/>
        <w:t>Obiectul propunerii/inițiativei:</w:t>
      </w:r>
      <w:bookmarkEnd w:id="41"/>
      <w:r>
        <w:rPr>
          <w:noProof/>
        </w:rPr>
        <w:t xml:space="preserve"> </w:t>
      </w:r>
    </w:p>
    <w:p>
      <w:pPr>
        <w:pStyle w:val="Text1"/>
        <w:rPr>
          <w:noProof/>
          <w:sz w:val="22"/>
        </w:rPr>
      </w:pPr>
      <w:r>
        <w:rPr>
          <w:rFonts w:ascii="Wingdings" w:hAnsi="Wingdings"/>
          <w:noProof/>
          <w:sz w:val="22"/>
        </w:rPr>
        <w:t>¨</w:t>
      </w:r>
      <w:r>
        <w:rPr>
          <w:i/>
          <w:noProof/>
          <w:sz w:val="22"/>
        </w:rPr>
        <w:t xml:space="preserve"> </w:t>
      </w:r>
      <w:r>
        <w:rPr>
          <w:noProof/>
        </w:rPr>
        <w:t>o acțiune nouă</w:t>
      </w:r>
      <w:r>
        <w:rPr>
          <w:noProof/>
          <w:sz w:val="22"/>
        </w:rPr>
        <w:t xml:space="preserve"> </w:t>
      </w:r>
    </w:p>
    <w:p>
      <w:pPr>
        <w:pStyle w:val="Text1"/>
        <w:rPr>
          <w:noProof/>
          <w:sz w:val="22"/>
        </w:rPr>
      </w:pPr>
      <w:r>
        <w:rPr>
          <w:rFonts w:ascii="Wingdings" w:hAnsi="Wingdings"/>
          <w:noProof/>
          <w:sz w:val="22"/>
        </w:rPr>
        <w:t>¨</w:t>
      </w:r>
      <w:r>
        <w:rPr>
          <w:i/>
          <w:noProof/>
          <w:sz w:val="22"/>
        </w:rPr>
        <w:t xml:space="preserve"> </w:t>
      </w:r>
      <w:r>
        <w:rPr>
          <w:noProof/>
        </w:rPr>
        <w:t>o acțiune nouă întreprinsă ca urmare a unui proiect-pilot/a unei acțiuni pregătitoare</w:t>
      </w:r>
      <w:r>
        <w:rPr>
          <w:rStyle w:val="FootnoteReference"/>
          <w:noProof/>
        </w:rPr>
        <w:footnoteReference w:id="12"/>
      </w:r>
      <w:r>
        <w:rPr>
          <w:noProof/>
          <w:sz w:val="22"/>
        </w:rPr>
        <w:t xml:space="preserve"> </w:t>
      </w:r>
    </w:p>
    <w:p>
      <w:pPr>
        <w:pStyle w:val="Text1"/>
        <w:rPr>
          <w:noProof/>
          <w:sz w:val="22"/>
        </w:rPr>
      </w:pPr>
      <w:sdt>
        <w:sdtPr>
          <w:rPr>
            <w:rFonts w:ascii="Wingdings" w:eastAsia="Wingdings" w:hAnsi="Wingdings" w:cs="Wingdings"/>
            <w:b/>
            <w:bCs/>
            <w:noProof/>
            <w:sz w:val="22"/>
          </w:rPr>
          <w:id w:val="250324371"/>
          <w14:checkbox>
            <w14:checked w14:val="1"/>
            <w14:checkedState w14:val="2612" w14:font="MS Gothic"/>
            <w14:uncheckedState w14:val="2610" w14:font="MS Gothic"/>
          </w14:checkbox>
        </w:sdtPr>
        <w:sdtContent>
          <w:r>
            <w:rPr>
              <w:rFonts w:ascii="MS Gothic" w:eastAsia="MS Gothic" w:hAnsi="MS Gothic" w:cs="Wingdings" w:hint="eastAsia"/>
              <w:b/>
              <w:bCs/>
              <w:noProof/>
              <w:sz w:val="22"/>
            </w:rPr>
            <w:t>☒</w:t>
          </w:r>
        </w:sdtContent>
      </w:sdt>
      <w:r>
        <w:rPr>
          <w:i/>
          <w:noProof/>
          <w:sz w:val="22"/>
        </w:rPr>
        <w:t xml:space="preserve"> </w:t>
      </w:r>
      <w:r>
        <w:rPr>
          <w:noProof/>
        </w:rPr>
        <w:t>prelungirea unei acțiuni existente</w:t>
      </w:r>
      <w:r>
        <w:rPr>
          <w:noProof/>
          <w:sz w:val="22"/>
        </w:rPr>
        <w:t xml:space="preserve"> </w:t>
      </w:r>
    </w:p>
    <w:p>
      <w:pPr>
        <w:pStyle w:val="Text1"/>
        <w:rPr>
          <w:noProof/>
        </w:rPr>
      </w:pPr>
      <w:r>
        <w:rPr>
          <w:rFonts w:ascii="Wingdings" w:hAnsi="Wingdings"/>
          <w:noProof/>
          <w:sz w:val="22"/>
        </w:rPr>
        <w:t>¨</w:t>
      </w:r>
      <w:r>
        <w:rPr>
          <w:i/>
          <w:noProof/>
          <w:sz w:val="22"/>
        </w:rPr>
        <w:t xml:space="preserve"> </w:t>
      </w:r>
      <w:r>
        <w:rPr>
          <w:noProof/>
        </w:rPr>
        <w:t>o fuziune sau o redirecționare a uneia sau a mai multor acțiuni către o altă/o nouă acțiune</w:t>
      </w:r>
    </w:p>
    <w:p>
      <w:pPr>
        <w:pStyle w:val="ManualHeading2"/>
        <w:rPr>
          <w:bCs/>
          <w:noProof/>
          <w:szCs w:val="24"/>
        </w:rPr>
      </w:pPr>
      <w:bookmarkStart w:id="42" w:name="_Toc514938025"/>
      <w:bookmarkStart w:id="43" w:name="_Toc520485034"/>
      <w:bookmarkStart w:id="44" w:name="_Toc160804576"/>
      <w:bookmarkStart w:id="45" w:name="_Toc167220268"/>
      <w:bookmarkStart w:id="46" w:name="_Toc177549001"/>
      <w:r>
        <w:rPr>
          <w:noProof/>
        </w:rPr>
        <w:t>1.5.</w:t>
      </w:r>
      <w:r>
        <w:rPr>
          <w:noProof/>
        </w:rPr>
        <w:tab/>
        <w:t>Motivele propunerii/inițiativei</w:t>
      </w:r>
      <w:bookmarkEnd w:id="42"/>
      <w:bookmarkEnd w:id="43"/>
      <w:bookmarkEnd w:id="44"/>
      <w:bookmarkEnd w:id="45"/>
      <w:bookmarkEnd w:id="46"/>
      <w:r>
        <w:rPr>
          <w:noProof/>
        </w:rPr>
        <w:t xml:space="preserve"> </w:t>
      </w:r>
    </w:p>
    <w:p>
      <w:pPr>
        <w:pStyle w:val="ManualHeading3"/>
        <w:rPr>
          <w:noProof/>
        </w:rPr>
      </w:pPr>
      <w:bookmarkStart w:id="47" w:name="_Toc514938026"/>
      <w:bookmarkStart w:id="48" w:name="_Toc520485035"/>
      <w:bookmarkStart w:id="49" w:name="_Toc160804577"/>
      <w:bookmarkStart w:id="50" w:name="_Toc167220269"/>
      <w:bookmarkStart w:id="51" w:name="_Toc177549002"/>
      <w:r>
        <w:rPr>
          <w:noProof/>
        </w:rPr>
        <w:t>1.5.1.</w:t>
      </w:r>
      <w:r>
        <w:rPr>
          <w:noProof/>
        </w:rPr>
        <w:tab/>
        <w:t>Cerința (cerințele) care trebuie îndeplinită (îndeplinite) pe termen scurt sau lung, inclusiv un calendar detaliat pentru punerea în aplicare a inițiativei</w:t>
      </w:r>
      <w:bookmarkEnd w:id="47"/>
      <w:bookmarkEnd w:id="48"/>
      <w:bookmarkEnd w:id="49"/>
      <w:bookmarkEnd w:id="50"/>
      <w:bookmarkEnd w:id="51"/>
    </w:p>
    <w:p>
      <w:pPr>
        <w:pStyle w:val="Text1"/>
        <w:pBdr>
          <w:top w:val="single" w:sz="4" w:space="1" w:color="auto"/>
          <w:left w:val="single" w:sz="4" w:space="4" w:color="auto"/>
          <w:bottom w:val="single" w:sz="4" w:space="1" w:color="auto"/>
          <w:right w:val="single" w:sz="4" w:space="4" w:color="auto"/>
        </w:pBdr>
        <w:rPr>
          <w:noProof/>
        </w:rPr>
      </w:pPr>
    </w:p>
    <w:p>
      <w:pPr>
        <w:pStyle w:val="Text1"/>
        <w:pBdr>
          <w:top w:val="single" w:sz="4" w:space="1" w:color="auto"/>
          <w:left w:val="single" w:sz="4" w:space="4" w:color="auto"/>
          <w:bottom w:val="single" w:sz="4" w:space="1" w:color="auto"/>
          <w:right w:val="single" w:sz="4" w:space="4" w:color="auto"/>
        </w:pBdr>
        <w:rPr>
          <w:noProof/>
        </w:rPr>
      </w:pPr>
    </w:p>
    <w:p>
      <w:pPr>
        <w:pStyle w:val="ManualHeading3"/>
        <w:rPr>
          <w:bCs/>
          <w:noProof/>
          <w:szCs w:val="24"/>
        </w:rPr>
      </w:pPr>
      <w:bookmarkStart w:id="52" w:name="_Toc514938029"/>
      <w:bookmarkStart w:id="53" w:name="_Toc520485036"/>
      <w:bookmarkStart w:id="54" w:name="_Toc160804578"/>
      <w:bookmarkStart w:id="55" w:name="_Toc167220270"/>
      <w:bookmarkStart w:id="56" w:name="_Toc177549003"/>
      <w:r>
        <w:rPr>
          <w:noProof/>
        </w:rPr>
        <w:t>1.5.2.</w:t>
      </w:r>
      <w:r>
        <w:rPr>
          <w:noProof/>
        </w:rPr>
        <w:tab/>
        <w:t>Valoarea adăugată a intervenției UE (aceasta poate rezulta din diferiți factori, de exemplu mai buna coordonare, securitatea juridică, o mai mare eficacitate sau complementaritate). În sensul prezentei secțiuni, „valoarea adăugată a intervenției UE” este valoarea ce rezultă din acțiunea UE care depășește valoarea ce ar fi fost obținută dacă ar fi acționat doar statele membre.</w:t>
      </w:r>
      <w:bookmarkEnd w:id="52"/>
      <w:bookmarkEnd w:id="53"/>
      <w:bookmarkEnd w:id="54"/>
      <w:bookmarkEnd w:id="55"/>
      <w:bookmarkEnd w:id="56"/>
    </w:p>
    <w:p>
      <w:pPr>
        <w:pStyle w:val="Text1"/>
        <w:pBdr>
          <w:top w:val="single" w:sz="4" w:space="1" w:color="auto"/>
          <w:left w:val="single" w:sz="4" w:space="4" w:color="auto"/>
          <w:bottom w:val="single" w:sz="4" w:space="1" w:color="auto"/>
          <w:right w:val="single" w:sz="4" w:space="4" w:color="auto"/>
        </w:pBdr>
        <w:rPr>
          <w:noProof/>
        </w:rPr>
      </w:pPr>
      <w:r>
        <w:rPr>
          <w:noProof/>
        </w:rPr>
        <w:t xml:space="preserve">Motivele acțiunii la nivelul UE (ex ante) </w:t>
      </w:r>
    </w:p>
    <w:p>
      <w:pPr>
        <w:pStyle w:val="Text1"/>
        <w:pBdr>
          <w:top w:val="single" w:sz="4" w:space="1" w:color="auto"/>
          <w:left w:val="single" w:sz="4" w:space="4" w:color="auto"/>
          <w:bottom w:val="single" w:sz="4" w:space="1" w:color="auto"/>
          <w:right w:val="single" w:sz="4" w:space="4" w:color="auto"/>
        </w:pBdr>
        <w:rPr>
          <w:noProof/>
        </w:rPr>
      </w:pPr>
      <w:r>
        <w:rPr>
          <w:noProof/>
        </w:rPr>
        <w:t xml:space="preserve">Valoarea adăugată la nivelul UE pe care se preconizează că o va avea intervenția (ex-post) </w:t>
      </w:r>
    </w:p>
    <w:p>
      <w:pPr>
        <w:pStyle w:val="ManualHeading3"/>
        <w:rPr>
          <w:noProof/>
        </w:rPr>
      </w:pPr>
      <w:bookmarkStart w:id="57" w:name="_Toc514938030"/>
      <w:bookmarkStart w:id="58" w:name="_Toc520485037"/>
      <w:bookmarkStart w:id="59" w:name="_Toc160804579"/>
      <w:bookmarkStart w:id="60" w:name="_Toc167220271"/>
      <w:bookmarkStart w:id="61" w:name="_Toc177549004"/>
      <w:r>
        <w:rPr>
          <w:noProof/>
        </w:rPr>
        <w:t>1.5.3.</w:t>
      </w:r>
      <w:r>
        <w:rPr>
          <w:noProof/>
        </w:rPr>
        <w:tab/>
        <w:t>Învățăminte desprinse din experiențele anterioare similare</w:t>
      </w:r>
      <w:bookmarkEnd w:id="57"/>
      <w:bookmarkEnd w:id="58"/>
      <w:bookmarkEnd w:id="59"/>
      <w:bookmarkEnd w:id="60"/>
      <w:bookmarkEnd w:id="61"/>
    </w:p>
    <w:p>
      <w:pPr>
        <w:pStyle w:val="Text1"/>
        <w:pBdr>
          <w:top w:val="single" w:sz="4" w:space="1" w:color="auto"/>
          <w:left w:val="single" w:sz="4" w:space="4" w:color="auto"/>
          <w:bottom w:val="single" w:sz="4" w:space="1" w:color="auto"/>
          <w:right w:val="single" w:sz="4" w:space="4" w:color="auto"/>
        </w:pBdr>
        <w:rPr>
          <w:noProof/>
        </w:rPr>
      </w:pPr>
    </w:p>
    <w:p>
      <w:pPr>
        <w:pStyle w:val="Text1"/>
        <w:pBdr>
          <w:top w:val="single" w:sz="4" w:space="1" w:color="auto"/>
          <w:left w:val="single" w:sz="4" w:space="4" w:color="auto"/>
          <w:bottom w:val="single" w:sz="4" w:space="1" w:color="auto"/>
          <w:right w:val="single" w:sz="4" w:space="4" w:color="auto"/>
        </w:pBdr>
        <w:rPr>
          <w:noProof/>
        </w:rPr>
      </w:pPr>
    </w:p>
    <w:p>
      <w:pPr>
        <w:pStyle w:val="ManualHeading3"/>
        <w:rPr>
          <w:noProof/>
        </w:rPr>
      </w:pPr>
      <w:bookmarkStart w:id="62" w:name="_Toc514938033"/>
      <w:bookmarkStart w:id="63" w:name="_Toc520485038"/>
      <w:bookmarkStart w:id="64" w:name="_Toc160804580"/>
      <w:bookmarkStart w:id="65" w:name="_Toc167220272"/>
      <w:bookmarkStart w:id="66" w:name="_Toc177549005"/>
      <w:r>
        <w:rPr>
          <w:noProof/>
        </w:rPr>
        <w:t>1.5.4.</w:t>
      </w:r>
      <w:r>
        <w:rPr>
          <w:noProof/>
        </w:rPr>
        <w:tab/>
        <w:t>Compatibilitatea cu cadrul financiar multianual și posibilele sinergii cu alte instrumente corespunzătoare</w:t>
      </w:r>
      <w:bookmarkEnd w:id="62"/>
      <w:bookmarkEnd w:id="63"/>
      <w:bookmarkEnd w:id="64"/>
      <w:bookmarkEnd w:id="65"/>
      <w:bookmarkEnd w:id="66"/>
    </w:p>
    <w:p>
      <w:pPr>
        <w:pStyle w:val="Text1"/>
        <w:pBdr>
          <w:top w:val="single" w:sz="4" w:space="1" w:color="auto"/>
          <w:left w:val="single" w:sz="4" w:space="4" w:color="auto"/>
          <w:bottom w:val="single" w:sz="4" w:space="1" w:color="auto"/>
          <w:right w:val="single" w:sz="4" w:space="4" w:color="auto"/>
        </w:pBdr>
        <w:rPr>
          <w:noProof/>
        </w:rPr>
      </w:pPr>
    </w:p>
    <w:p>
      <w:pPr>
        <w:pStyle w:val="Text1"/>
        <w:pBdr>
          <w:top w:val="single" w:sz="4" w:space="1" w:color="auto"/>
          <w:left w:val="single" w:sz="4" w:space="4" w:color="auto"/>
          <w:bottom w:val="single" w:sz="4" w:space="1" w:color="auto"/>
          <w:right w:val="single" w:sz="4" w:space="4" w:color="auto"/>
        </w:pBdr>
        <w:rPr>
          <w:noProof/>
        </w:rPr>
      </w:pPr>
    </w:p>
    <w:p>
      <w:pPr>
        <w:pStyle w:val="ManualHeading3"/>
        <w:rPr>
          <w:noProof/>
        </w:rPr>
      </w:pPr>
      <w:bookmarkStart w:id="67" w:name="_Toc514938036"/>
      <w:bookmarkStart w:id="68" w:name="_Toc520485039"/>
      <w:bookmarkStart w:id="69" w:name="_Toc160804581"/>
      <w:bookmarkStart w:id="70" w:name="_Toc167220273"/>
      <w:bookmarkStart w:id="71" w:name="_Toc177549006"/>
      <w:r>
        <w:rPr>
          <w:noProof/>
        </w:rPr>
        <w:t>1.5.5.</w:t>
      </w:r>
      <w:r>
        <w:rPr>
          <w:noProof/>
        </w:rPr>
        <w:tab/>
        <w:t>Evaluarea diferitelor opțiuni de finanțare disponibile, inclusiv a posibilităților de realocare a creditelor</w:t>
      </w:r>
      <w:bookmarkEnd w:id="67"/>
      <w:bookmarkEnd w:id="68"/>
      <w:bookmarkEnd w:id="69"/>
      <w:bookmarkEnd w:id="70"/>
      <w:bookmarkEnd w:id="71"/>
    </w:p>
    <w:p>
      <w:pPr>
        <w:pStyle w:val="Text1"/>
        <w:pBdr>
          <w:top w:val="single" w:sz="4" w:space="1" w:color="auto"/>
          <w:left w:val="single" w:sz="4" w:space="4" w:color="auto"/>
          <w:bottom w:val="single" w:sz="4" w:space="1" w:color="auto"/>
          <w:right w:val="single" w:sz="4" w:space="4" w:color="auto"/>
        </w:pBdr>
        <w:rPr>
          <w:noProof/>
        </w:rPr>
      </w:pPr>
    </w:p>
    <w:p>
      <w:pPr>
        <w:pStyle w:val="Text1"/>
        <w:pBdr>
          <w:top w:val="single" w:sz="4" w:space="1" w:color="auto"/>
          <w:left w:val="single" w:sz="4" w:space="4" w:color="auto"/>
          <w:bottom w:val="single" w:sz="4" w:space="1" w:color="auto"/>
          <w:right w:val="single" w:sz="4" w:space="4" w:color="auto"/>
        </w:pBdr>
        <w:rPr>
          <w:noProof/>
        </w:rPr>
      </w:pPr>
    </w:p>
    <w:p>
      <w:pPr>
        <w:pStyle w:val="ManualHeading2"/>
        <w:rPr>
          <w:bCs/>
          <w:noProof/>
          <w:szCs w:val="24"/>
        </w:rPr>
      </w:pPr>
      <w:r>
        <w:rPr>
          <w:noProof/>
        </w:rPr>
        <w:br w:type="page"/>
      </w:r>
      <w:bookmarkStart w:id="72" w:name="_Toc514938039"/>
      <w:bookmarkStart w:id="73" w:name="_Toc520485040"/>
      <w:bookmarkStart w:id="74" w:name="_Toc160804582"/>
      <w:bookmarkStart w:id="75" w:name="_Toc167220274"/>
      <w:bookmarkStart w:id="76" w:name="_Toc177549007"/>
      <w:r>
        <w:rPr>
          <w:noProof/>
        </w:rPr>
        <w:t>1.6.</w:t>
      </w:r>
      <w:r>
        <w:rPr>
          <w:noProof/>
        </w:rPr>
        <w:tab/>
        <w:t xml:space="preserve">Durata propunerii/inițiativei </w:t>
      </w:r>
      <w:bookmarkEnd w:id="72"/>
      <w:bookmarkEnd w:id="73"/>
      <w:r>
        <w:rPr>
          <w:noProof/>
        </w:rPr>
        <w:t>și a impactului său financiar</w:t>
      </w:r>
      <w:bookmarkEnd w:id="74"/>
      <w:bookmarkEnd w:id="75"/>
      <w:bookmarkEnd w:id="76"/>
    </w:p>
    <w:p>
      <w:pPr>
        <w:pStyle w:val="Text1"/>
        <w:rPr>
          <w:noProof/>
        </w:rPr>
      </w:pPr>
      <w:r>
        <w:rPr>
          <w:rFonts w:ascii="Wingdings" w:hAnsi="Wingdings"/>
          <w:noProof/>
        </w:rPr>
        <w:t>¨</w:t>
      </w:r>
      <w:r>
        <w:rPr>
          <w:b/>
          <w:i/>
          <w:noProof/>
        </w:rPr>
        <w:t xml:space="preserve"> </w:t>
      </w:r>
      <w:r>
        <w:rPr>
          <w:b/>
          <w:noProof/>
        </w:rPr>
        <w:t xml:space="preserve">durată limitată </w:t>
      </w:r>
    </w:p>
    <w:p>
      <w:pPr>
        <w:pStyle w:val="ListDash2"/>
        <w:rPr>
          <w:noProof/>
        </w:rPr>
      </w:pPr>
      <w:r>
        <w:rPr>
          <w:rFonts w:ascii="Wingdings" w:hAnsi="Wingdings"/>
          <w:noProof/>
        </w:rPr>
        <w:t>¨</w:t>
      </w:r>
      <w:r>
        <w:rPr>
          <w:noProof/>
        </w:rPr>
        <w:tab/>
        <w:t xml:space="preserve">de la [ZZ/LL]AAAA până la [ZZ/LL]AAAA </w:t>
      </w:r>
    </w:p>
    <w:p>
      <w:pPr>
        <w:pStyle w:val="ListDash2"/>
        <w:rPr>
          <w:noProof/>
        </w:rPr>
      </w:pPr>
      <w:r>
        <w:rPr>
          <w:rFonts w:ascii="Wingdings" w:hAnsi="Wingdings"/>
          <w:noProof/>
        </w:rPr>
        <w:t>¨</w:t>
      </w:r>
      <w:r>
        <w:rPr>
          <w:noProof/>
        </w:rPr>
        <w:tab/>
        <w:t xml:space="preserve">impactul financiar din AAAA până în AAAA pentru creditele de angajament și din AAAA până în AAAA pentru creditele de plată. </w:t>
      </w:r>
    </w:p>
    <w:p>
      <w:pPr>
        <w:pStyle w:val="Text1"/>
        <w:rPr>
          <w:noProof/>
        </w:rPr>
      </w:pPr>
      <w:r>
        <w:rPr>
          <w:rFonts w:ascii="Wingdings" w:hAnsi="Wingdings"/>
          <w:noProof/>
        </w:rPr>
        <w:t>¨</w:t>
      </w:r>
      <w:r>
        <w:rPr>
          <w:b/>
          <w:i/>
          <w:noProof/>
        </w:rPr>
        <w:t xml:space="preserve"> </w:t>
      </w:r>
      <w:r>
        <w:rPr>
          <w:b/>
          <w:noProof/>
        </w:rPr>
        <w:t>durată nelimitată</w:t>
      </w:r>
    </w:p>
    <w:p>
      <w:pPr>
        <w:pStyle w:val="ListDash1"/>
        <w:rPr>
          <w:noProof/>
        </w:rPr>
      </w:pPr>
      <w:r>
        <w:rPr>
          <w:noProof/>
        </w:rPr>
        <w:t>Punere în aplicare cu o perioadă de creștere în intensitate din AAAA până în AAAA,</w:t>
      </w:r>
    </w:p>
    <w:p>
      <w:pPr>
        <w:pStyle w:val="ListDash1"/>
        <w:rPr>
          <w:noProof/>
        </w:rPr>
      </w:pPr>
      <w:r>
        <w:rPr>
          <w:noProof/>
        </w:rPr>
        <w:t>urmată de o perioadă de funcționare la capacitate maximă.</w:t>
      </w:r>
    </w:p>
    <w:p>
      <w:pPr>
        <w:pStyle w:val="ManualHeading2"/>
        <w:rPr>
          <w:bCs/>
          <w:noProof/>
          <w:szCs w:val="24"/>
        </w:rPr>
      </w:pPr>
      <w:bookmarkStart w:id="77" w:name="_Toc514938040"/>
      <w:bookmarkStart w:id="78" w:name="_Toc520485041"/>
      <w:bookmarkStart w:id="79" w:name="_Toc160804583"/>
      <w:bookmarkStart w:id="80" w:name="_Toc167220275"/>
      <w:bookmarkStart w:id="81" w:name="_Toc177549008"/>
      <w:r>
        <w:rPr>
          <w:noProof/>
        </w:rPr>
        <w:t>1.7.</w:t>
      </w:r>
      <w:r>
        <w:rPr>
          <w:noProof/>
        </w:rPr>
        <w:tab/>
        <w:t>Metoda (metodele) de execuție a bugetului planificată (planificate)</w:t>
      </w:r>
      <w:bookmarkEnd w:id="77"/>
      <w:bookmarkEnd w:id="78"/>
      <w:bookmarkEnd w:id="79"/>
      <w:bookmarkEnd w:id="80"/>
      <w:bookmarkEnd w:id="81"/>
      <w:r>
        <w:rPr>
          <w:noProof/>
        </w:rPr>
        <w:t xml:space="preserve"> </w:t>
      </w:r>
    </w:p>
    <w:p>
      <w:pPr>
        <w:pStyle w:val="Text1"/>
        <w:rPr>
          <w:noProof/>
        </w:rPr>
      </w:pPr>
      <w:r>
        <w:rPr>
          <w:rFonts w:ascii="Wingdings" w:hAnsi="Wingdings"/>
          <w:noProof/>
        </w:rPr>
        <w:t>¨</w:t>
      </w:r>
      <w:r>
        <w:rPr>
          <w:i/>
          <w:noProof/>
        </w:rPr>
        <w:t xml:space="preserve"> </w:t>
      </w:r>
      <w:r>
        <w:rPr>
          <w:b/>
          <w:bCs/>
          <w:noProof/>
        </w:rPr>
        <w:t>Gestiune directă</w:t>
      </w:r>
      <w:r>
        <w:rPr>
          <w:noProof/>
        </w:rPr>
        <w:t xml:space="preserve"> asigurată de Comisie</w:t>
      </w:r>
    </w:p>
    <w:p>
      <w:pPr>
        <w:pStyle w:val="ListDash2"/>
        <w:rPr>
          <w:rFonts w:cs="EUAlbertina"/>
          <w:noProof/>
        </w:rPr>
      </w:pPr>
      <w:r>
        <w:rPr>
          <w:rFonts w:ascii="Wingdings" w:hAnsi="Wingdings"/>
          <w:noProof/>
        </w:rPr>
        <w:t>¨</w:t>
      </w:r>
      <w:r>
        <w:rPr>
          <w:noProof/>
        </w:rPr>
        <w:t xml:space="preserve"> prin intermediul serviciilor sale, inclusiv al personalului din delegațiile Uniunii; </w:t>
      </w:r>
    </w:p>
    <w:p>
      <w:pPr>
        <w:pStyle w:val="ListDash2"/>
        <w:rPr>
          <w:noProof/>
        </w:rPr>
      </w:pPr>
      <w:r>
        <w:rPr>
          <w:rFonts w:ascii="Wingdings" w:hAnsi="Wingdings"/>
          <w:noProof/>
        </w:rPr>
        <w:t>¨</w:t>
      </w:r>
      <w:r>
        <w:rPr>
          <w:noProof/>
        </w:rPr>
        <w:tab/>
        <w:t xml:space="preserve">prin intermediul agențiilor executive </w:t>
      </w:r>
    </w:p>
    <w:p>
      <w:pPr>
        <w:pStyle w:val="Text1"/>
        <w:rPr>
          <w:noProof/>
        </w:rPr>
      </w:pPr>
      <w:r>
        <w:rPr>
          <w:rFonts w:ascii="Wingdings" w:hAnsi="Wingdings"/>
          <w:noProof/>
        </w:rPr>
        <w:t>¨</w:t>
      </w:r>
      <w:r>
        <w:rPr>
          <w:b/>
          <w:i/>
          <w:noProof/>
        </w:rPr>
        <w:t xml:space="preserve"> </w:t>
      </w:r>
      <w:r>
        <w:rPr>
          <w:b/>
          <w:bCs/>
          <w:noProof/>
        </w:rPr>
        <w:t>Gestiune partajată</w:t>
      </w:r>
      <w:r>
        <w:rPr>
          <w:noProof/>
        </w:rPr>
        <w:t xml:space="preserve"> cu statele membre </w:t>
      </w:r>
    </w:p>
    <w:p>
      <w:pPr>
        <w:pStyle w:val="Text1"/>
        <w:rPr>
          <w:noProof/>
        </w:rPr>
      </w:pPr>
      <w:r>
        <w:rPr>
          <w:rFonts w:ascii="Wingdings" w:hAnsi="Wingdings"/>
          <w:noProof/>
        </w:rPr>
        <w:t>¨</w:t>
      </w:r>
      <w:r>
        <w:rPr>
          <w:i/>
          <w:noProof/>
        </w:rPr>
        <w:t xml:space="preserve"> </w:t>
      </w:r>
      <w:r>
        <w:rPr>
          <w:b/>
          <w:bCs/>
          <w:noProof/>
        </w:rPr>
        <w:t>Gestiune indirectă</w:t>
      </w:r>
      <w:r>
        <w:rPr>
          <w:noProof/>
        </w:rPr>
        <w:t>, cu delegarea sarcinilor de execuție bugetară:</w:t>
      </w:r>
    </w:p>
    <w:p>
      <w:pPr>
        <w:pStyle w:val="ListDash2"/>
        <w:rPr>
          <w:noProof/>
        </w:rPr>
      </w:pPr>
      <w:r>
        <w:rPr>
          <w:rFonts w:ascii="Wingdings" w:hAnsi="Wingdings"/>
          <w:noProof/>
        </w:rPr>
        <w:t>¨</w:t>
      </w:r>
      <w:r>
        <w:rPr>
          <w:noProof/>
        </w:rPr>
        <w:t xml:space="preserve"> țărilor terțe sau organismelor pe care le-au desemnat acestea</w:t>
      </w:r>
    </w:p>
    <w:p>
      <w:pPr>
        <w:pStyle w:val="ListDash2"/>
        <w:rPr>
          <w:noProof/>
        </w:rPr>
      </w:pPr>
      <w:r>
        <w:rPr>
          <w:rFonts w:ascii="Wingdings" w:hAnsi="Wingdings"/>
          <w:noProof/>
        </w:rPr>
        <w:t>¨</w:t>
      </w:r>
      <w:r>
        <w:rPr>
          <w:noProof/>
        </w:rPr>
        <w:t xml:space="preserve"> organizațiilor internaționale și agențiilor acestora (a se preciza)</w:t>
      </w:r>
    </w:p>
    <w:p>
      <w:pPr>
        <w:pStyle w:val="ListDash2"/>
        <w:rPr>
          <w:noProof/>
        </w:rPr>
      </w:pPr>
      <w:r>
        <w:rPr>
          <w:rFonts w:ascii="Wingdings" w:hAnsi="Wingdings"/>
          <w:noProof/>
        </w:rPr>
        <w:t>¨</w:t>
      </w:r>
      <w:r>
        <w:rPr>
          <w:noProof/>
        </w:rPr>
        <w:t xml:space="preserve"> Băncii Europene de Investiții și Fondului European de Investiții</w:t>
      </w:r>
    </w:p>
    <w:p>
      <w:pPr>
        <w:pStyle w:val="ListDash2"/>
        <w:rPr>
          <w:noProof/>
        </w:rPr>
      </w:pPr>
      <w:r>
        <w:rPr>
          <w:rFonts w:ascii="Wingdings" w:hAnsi="Wingdings"/>
          <w:noProof/>
        </w:rPr>
        <w:t>¨</w:t>
      </w:r>
      <w:r>
        <w:rPr>
          <w:noProof/>
        </w:rPr>
        <w:t xml:space="preserve"> organismelor menționate la articolele 70 și 71 din Regulamentul financiar</w:t>
      </w:r>
    </w:p>
    <w:p>
      <w:pPr>
        <w:pStyle w:val="ListDash2"/>
        <w:rPr>
          <w:noProof/>
        </w:rPr>
      </w:pPr>
      <w:r>
        <w:rPr>
          <w:rFonts w:ascii="Wingdings" w:hAnsi="Wingdings"/>
          <w:noProof/>
        </w:rPr>
        <w:t>¨</w:t>
      </w:r>
      <w:r>
        <w:rPr>
          <w:noProof/>
        </w:rPr>
        <w:t xml:space="preserve"> organismelor de drept public</w:t>
      </w:r>
    </w:p>
    <w:p>
      <w:pPr>
        <w:pStyle w:val="ListDash2"/>
        <w:rPr>
          <w:noProof/>
        </w:rPr>
      </w:pPr>
      <w:r>
        <w:rPr>
          <w:rFonts w:ascii="Wingdings" w:hAnsi="Wingdings"/>
          <w:noProof/>
        </w:rPr>
        <w:t>¨</w:t>
      </w:r>
      <w:r>
        <w:rPr>
          <w:noProof/>
        </w:rPr>
        <w:t xml:space="preserve"> organismelor de drept privat cu misiune de serviciu public, cu condiția să li se furnizeze garanții financiare adecvate</w:t>
      </w:r>
    </w:p>
    <w:p>
      <w:pPr>
        <w:pStyle w:val="ListDash2"/>
        <w:rPr>
          <w:noProof/>
        </w:rPr>
      </w:pPr>
      <w:r>
        <w:rPr>
          <w:rFonts w:ascii="Wingdings" w:hAnsi="Wingdings"/>
          <w:noProof/>
        </w:rPr>
        <w:t>¨</w:t>
      </w:r>
      <w:r>
        <w:rPr>
          <w:noProof/>
        </w:rPr>
        <w:t xml:space="preserve"> organismelor de drept privat dintr-un stat membru care sunt responsabile cu punerea în aplicare a unui parteneriat public-privat și cărora li se furnizează garanții financiare adecvate</w:t>
      </w:r>
    </w:p>
    <w:p>
      <w:pPr>
        <w:pStyle w:val="ListDash2"/>
        <w:rPr>
          <w:noProof/>
        </w:rPr>
      </w:pPr>
      <w:r>
        <w:rPr>
          <w:rFonts w:ascii="Wingdings" w:hAnsi="Wingdings"/>
          <w:noProof/>
        </w:rPr>
        <w:t>¨</w:t>
      </w:r>
      <w:r>
        <w:rPr>
          <w:noProof/>
        </w:rPr>
        <w:t xml:space="preserve"> organismelor sau persoanelor cărora li se încredințează executarea unor acțiuni specifice în cadrul politicii externe și de securitate comune, în temeiul titlului V din Tratatul privind Uniunea Europeană, și care sunt identificate în actul de bază relevant</w:t>
      </w:r>
    </w:p>
    <w:p>
      <w:pPr>
        <w:pStyle w:val="ListDash2"/>
        <w:rPr>
          <w:noProof/>
        </w:rPr>
      </w:pPr>
      <w:r>
        <w:rPr>
          <w:rFonts w:ascii="Wingdings" w:hAnsi="Wingdings"/>
          <w:noProof/>
        </w:rPr>
        <w:t>¨ </w:t>
      </w:r>
      <w:r>
        <w:rPr>
          <w:noProof/>
        </w:rPr>
        <w:t xml:space="preserve"> organismelor stabilite într-un stat membru, reglementate de dreptul privat al unui stat membru sau de dreptul Uniunii și eligibile pentru a li se încredința, în conformitate cu normele sectoriale, execuția unor fonduri sau a unor garanții bugetare ale Uniunii, în măsura în care aceste organisme sunt controlate de organisme de drept public sau de organisme de drept privat cu misiune de serviciu public și beneficiază de garanții financiare adecvate care sunt furnizate sub formă de răspundere solidară din partea organismelor de control sau de garanții financiare echivalente și care pot fi limitate, pentru fiecare acțiune, la cuantumul maxim al sprijinului din partea Uniunii.</w:t>
      </w:r>
    </w:p>
    <w:p>
      <w:pPr>
        <w:rPr>
          <w:noProof/>
        </w:rPr>
      </w:pPr>
      <w:r>
        <w:rPr>
          <w:noProof/>
        </w:rPr>
        <w:t xml:space="preserve">Observații </w:t>
      </w:r>
    </w:p>
    <w:p>
      <w:pPr>
        <w:pBdr>
          <w:top w:val="single" w:sz="4" w:space="1" w:color="auto"/>
          <w:left w:val="single" w:sz="4" w:space="4" w:color="auto"/>
          <w:bottom w:val="single" w:sz="4" w:space="1" w:color="auto"/>
          <w:right w:val="single" w:sz="4" w:space="4" w:color="auto"/>
        </w:pBdr>
        <w:rPr>
          <w:noProof/>
        </w:rPr>
      </w:pPr>
    </w:p>
    <w:p>
      <w:pPr>
        <w:pBdr>
          <w:top w:val="single" w:sz="4" w:space="1" w:color="auto"/>
          <w:left w:val="single" w:sz="4" w:space="4" w:color="auto"/>
          <w:bottom w:val="single" w:sz="4" w:space="1" w:color="auto"/>
          <w:right w:val="single" w:sz="4" w:space="4" w:color="auto"/>
        </w:pBdr>
        <w:rPr>
          <w:noProof/>
        </w:rPr>
      </w:pPr>
    </w:p>
    <w:p>
      <w:pPr>
        <w:rPr>
          <w:noProof/>
        </w:rPr>
        <w:sectPr>
          <w:pgSz w:w="11907" w:h="16840" w:code="9"/>
          <w:pgMar w:top="1134" w:right="1418" w:bottom="1134" w:left="1418" w:header="709" w:footer="709" w:gutter="0"/>
          <w:cols w:space="708"/>
          <w:docGrid w:linePitch="360"/>
        </w:sectPr>
      </w:pPr>
    </w:p>
    <w:p>
      <w:pPr>
        <w:pStyle w:val="ManualHeading1"/>
        <w:rPr>
          <w:bCs/>
          <w:noProof/>
          <w:szCs w:val="24"/>
        </w:rPr>
      </w:pPr>
      <w:bookmarkStart w:id="82" w:name="_Toc514938041"/>
      <w:bookmarkStart w:id="83" w:name="_Toc520485042"/>
      <w:bookmarkStart w:id="84" w:name="_Toc160804584"/>
      <w:bookmarkStart w:id="85" w:name="_Toc167220276"/>
      <w:bookmarkStart w:id="86" w:name="_Toc177549009"/>
      <w:r>
        <w:rPr>
          <w:noProof/>
        </w:rPr>
        <w:t>2.</w:t>
      </w:r>
      <w:r>
        <w:rPr>
          <w:noProof/>
        </w:rPr>
        <w:tab/>
        <w:t>MĂSURI DE GESTIUNE</w:t>
      </w:r>
      <w:bookmarkEnd w:id="82"/>
      <w:bookmarkEnd w:id="83"/>
      <w:bookmarkEnd w:id="84"/>
      <w:bookmarkEnd w:id="85"/>
      <w:bookmarkEnd w:id="86"/>
      <w:r>
        <w:rPr>
          <w:noProof/>
        </w:rPr>
        <w:t xml:space="preserve"> </w:t>
      </w:r>
    </w:p>
    <w:p>
      <w:pPr>
        <w:pStyle w:val="ManualHeading2"/>
        <w:rPr>
          <w:noProof/>
        </w:rPr>
      </w:pPr>
      <w:bookmarkStart w:id="87" w:name="_Toc514938042"/>
      <w:bookmarkStart w:id="88" w:name="_Toc520485043"/>
      <w:bookmarkStart w:id="89" w:name="_Toc160804585"/>
      <w:bookmarkStart w:id="90" w:name="_Toc167220277"/>
      <w:bookmarkStart w:id="91" w:name="_Toc177549010"/>
      <w:r>
        <w:rPr>
          <w:noProof/>
        </w:rPr>
        <w:t>2.1.</w:t>
      </w:r>
      <w:r>
        <w:rPr>
          <w:noProof/>
        </w:rPr>
        <w:tab/>
        <w:t>Dispoziții în materie de monitorizare și de raportare</w:t>
      </w:r>
      <w:bookmarkEnd w:id="87"/>
      <w:bookmarkEnd w:id="88"/>
      <w:bookmarkEnd w:id="89"/>
      <w:bookmarkEnd w:id="90"/>
      <w:bookmarkEnd w:id="91"/>
      <w:r>
        <w:rPr>
          <w:noProof/>
        </w:rPr>
        <w:t xml:space="preserve"> </w:t>
      </w:r>
    </w:p>
    <w:p>
      <w:pPr>
        <w:pStyle w:val="Text1"/>
        <w:pBdr>
          <w:top w:val="single" w:sz="4" w:space="1" w:color="auto"/>
          <w:left w:val="single" w:sz="4" w:space="4" w:color="auto"/>
          <w:bottom w:val="single" w:sz="4" w:space="1" w:color="auto"/>
          <w:right w:val="single" w:sz="4" w:space="4" w:color="auto"/>
        </w:pBdr>
        <w:rPr>
          <w:noProof/>
        </w:rPr>
      </w:pPr>
    </w:p>
    <w:p>
      <w:pPr>
        <w:pStyle w:val="Text1"/>
        <w:pBdr>
          <w:top w:val="single" w:sz="4" w:space="1" w:color="auto"/>
          <w:left w:val="single" w:sz="4" w:space="4" w:color="auto"/>
          <w:bottom w:val="single" w:sz="4" w:space="1" w:color="auto"/>
          <w:right w:val="single" w:sz="4" w:space="4" w:color="auto"/>
        </w:pBdr>
        <w:rPr>
          <w:noProof/>
        </w:rPr>
      </w:pPr>
    </w:p>
    <w:p>
      <w:pPr>
        <w:pStyle w:val="ManualHeading2"/>
        <w:rPr>
          <w:bCs/>
          <w:noProof/>
          <w:szCs w:val="24"/>
        </w:rPr>
      </w:pPr>
      <w:bookmarkStart w:id="92" w:name="_Toc514938045"/>
      <w:bookmarkStart w:id="93" w:name="_Toc520485044"/>
      <w:bookmarkStart w:id="94" w:name="_Toc160804586"/>
      <w:bookmarkStart w:id="95" w:name="_Toc167220278"/>
      <w:bookmarkStart w:id="96" w:name="_Toc177549011"/>
      <w:r>
        <w:rPr>
          <w:noProof/>
        </w:rPr>
        <w:t>2.2.</w:t>
      </w:r>
      <w:r>
        <w:rPr>
          <w:noProof/>
        </w:rPr>
        <w:tab/>
        <w:t>Sistemul (sistemele) de gestiune și de control</w:t>
      </w:r>
      <w:bookmarkEnd w:id="92"/>
      <w:bookmarkEnd w:id="93"/>
      <w:bookmarkEnd w:id="94"/>
      <w:bookmarkEnd w:id="95"/>
      <w:bookmarkEnd w:id="96"/>
      <w:r>
        <w:rPr>
          <w:noProof/>
        </w:rPr>
        <w:t xml:space="preserve"> </w:t>
      </w:r>
    </w:p>
    <w:p>
      <w:pPr>
        <w:pStyle w:val="ManualHeading3"/>
        <w:rPr>
          <w:noProof/>
        </w:rPr>
      </w:pPr>
      <w:bookmarkStart w:id="97" w:name="_Toc514938046"/>
      <w:bookmarkStart w:id="98" w:name="_Toc520485045"/>
      <w:bookmarkStart w:id="99" w:name="_Toc160804587"/>
      <w:bookmarkStart w:id="100" w:name="_Toc167220279"/>
      <w:bookmarkStart w:id="101" w:name="_Toc177549012"/>
      <w:r>
        <w:rPr>
          <w:noProof/>
        </w:rPr>
        <w:t>2.2.1.</w:t>
      </w:r>
      <w:r>
        <w:rPr>
          <w:noProof/>
        </w:rPr>
        <w:tab/>
        <w:t>Justificarea metodei (metodelor) de execuție bugetară, a mecanismului (mecanismelor) de punere în aplicare a finanțării, a modalităților de plată și a strategiei de control propuse</w:t>
      </w:r>
      <w:bookmarkEnd w:id="97"/>
      <w:bookmarkEnd w:id="98"/>
      <w:bookmarkEnd w:id="99"/>
      <w:bookmarkEnd w:id="100"/>
      <w:bookmarkEnd w:id="101"/>
    </w:p>
    <w:p>
      <w:pPr>
        <w:pStyle w:val="Text1"/>
        <w:pBdr>
          <w:top w:val="single" w:sz="4" w:space="1" w:color="auto"/>
          <w:left w:val="single" w:sz="4" w:space="4" w:color="auto"/>
          <w:bottom w:val="single" w:sz="4" w:space="1" w:color="auto"/>
          <w:right w:val="single" w:sz="4" w:space="4" w:color="auto"/>
        </w:pBdr>
        <w:rPr>
          <w:noProof/>
        </w:rPr>
      </w:pPr>
    </w:p>
    <w:p>
      <w:pPr>
        <w:pStyle w:val="Text1"/>
        <w:pBdr>
          <w:top w:val="single" w:sz="4" w:space="1" w:color="auto"/>
          <w:left w:val="single" w:sz="4" w:space="4" w:color="auto"/>
          <w:bottom w:val="single" w:sz="4" w:space="1" w:color="auto"/>
          <w:right w:val="single" w:sz="4" w:space="4" w:color="auto"/>
        </w:pBdr>
        <w:rPr>
          <w:noProof/>
        </w:rPr>
      </w:pPr>
    </w:p>
    <w:p>
      <w:pPr>
        <w:pStyle w:val="ManualHeading3"/>
        <w:rPr>
          <w:bCs/>
          <w:noProof/>
          <w:szCs w:val="24"/>
        </w:rPr>
      </w:pPr>
      <w:bookmarkStart w:id="102" w:name="_Toc514938047"/>
      <w:bookmarkStart w:id="103" w:name="_Toc520485046"/>
      <w:bookmarkStart w:id="104" w:name="_Toc160804588"/>
      <w:bookmarkStart w:id="105" w:name="_Toc167220280"/>
      <w:bookmarkStart w:id="106" w:name="_Toc177549013"/>
      <w:r>
        <w:rPr>
          <w:noProof/>
        </w:rPr>
        <w:t>2.2.2.</w:t>
      </w:r>
      <w:r>
        <w:rPr>
          <w:noProof/>
        </w:rPr>
        <w:tab/>
        <w:t>Informații privind riscurile identificate și sistemul (sistemele) de control intern instituit(e) pentru atenuarea lor</w:t>
      </w:r>
      <w:bookmarkEnd w:id="102"/>
      <w:bookmarkEnd w:id="103"/>
      <w:bookmarkEnd w:id="104"/>
      <w:bookmarkEnd w:id="105"/>
      <w:bookmarkEnd w:id="106"/>
    </w:p>
    <w:p>
      <w:pPr>
        <w:pStyle w:val="Text1"/>
        <w:pBdr>
          <w:top w:val="single" w:sz="4" w:space="1" w:color="auto"/>
          <w:left w:val="single" w:sz="4" w:space="4" w:color="auto"/>
          <w:bottom w:val="single" w:sz="4" w:space="1" w:color="auto"/>
          <w:right w:val="single" w:sz="4" w:space="4" w:color="auto"/>
        </w:pBdr>
        <w:rPr>
          <w:noProof/>
        </w:rPr>
      </w:pPr>
    </w:p>
    <w:p>
      <w:pPr>
        <w:pStyle w:val="Text1"/>
        <w:pBdr>
          <w:top w:val="single" w:sz="4" w:space="1" w:color="auto"/>
          <w:left w:val="single" w:sz="4" w:space="4" w:color="auto"/>
          <w:bottom w:val="single" w:sz="4" w:space="1" w:color="auto"/>
          <w:right w:val="single" w:sz="4" w:space="4" w:color="auto"/>
        </w:pBdr>
        <w:rPr>
          <w:noProof/>
        </w:rPr>
      </w:pPr>
    </w:p>
    <w:p>
      <w:pPr>
        <w:pStyle w:val="ManualHeading3"/>
        <w:rPr>
          <w:noProof/>
        </w:rPr>
      </w:pPr>
      <w:bookmarkStart w:id="107" w:name="_Toc514938048"/>
      <w:bookmarkStart w:id="108" w:name="_Toc520485047"/>
      <w:bookmarkStart w:id="109" w:name="_Toc160804589"/>
      <w:bookmarkStart w:id="110" w:name="_Toc167220281"/>
      <w:bookmarkStart w:id="111" w:name="_Toc177549014"/>
      <w:r>
        <w:rPr>
          <w:noProof/>
        </w:rPr>
        <w:t>2.2.3.</w:t>
      </w:r>
      <w:r>
        <w:rPr>
          <w:noProof/>
        </w:rPr>
        <w:tab/>
        <w:t>Estimarea și justificarea raportului cost-eficacitate al controalelor (raportul dintre costurile controalelor și valoarea fondurilor aferente gestionate) și evaluarea nivelurilor preconizate ale riscurilor de eroare (la plată și la închidere)</w:t>
      </w:r>
      <w:bookmarkEnd w:id="107"/>
      <w:bookmarkEnd w:id="108"/>
      <w:bookmarkEnd w:id="109"/>
      <w:bookmarkEnd w:id="110"/>
      <w:bookmarkEnd w:id="111"/>
      <w:r>
        <w:rPr>
          <w:noProof/>
        </w:rPr>
        <w:t xml:space="preserve"> </w:t>
      </w:r>
    </w:p>
    <w:p>
      <w:pPr>
        <w:pStyle w:val="Text1"/>
        <w:pBdr>
          <w:top w:val="single" w:sz="4" w:space="1" w:color="auto"/>
          <w:left w:val="single" w:sz="4" w:space="4" w:color="auto"/>
          <w:bottom w:val="single" w:sz="4" w:space="1" w:color="auto"/>
          <w:right w:val="single" w:sz="4" w:space="4" w:color="auto"/>
        </w:pBdr>
        <w:rPr>
          <w:noProof/>
        </w:rPr>
      </w:pPr>
    </w:p>
    <w:p>
      <w:pPr>
        <w:pStyle w:val="Text1"/>
        <w:pBdr>
          <w:top w:val="single" w:sz="4" w:space="1" w:color="auto"/>
          <w:left w:val="single" w:sz="4" w:space="4" w:color="auto"/>
          <w:bottom w:val="single" w:sz="4" w:space="1" w:color="auto"/>
          <w:right w:val="single" w:sz="4" w:space="4" w:color="auto"/>
        </w:pBdr>
        <w:rPr>
          <w:noProof/>
        </w:rPr>
      </w:pPr>
    </w:p>
    <w:p>
      <w:pPr>
        <w:pStyle w:val="ManualHeading2"/>
        <w:rPr>
          <w:bCs/>
          <w:noProof/>
          <w:szCs w:val="24"/>
        </w:rPr>
      </w:pPr>
      <w:bookmarkStart w:id="112" w:name="_Toc514938049"/>
      <w:bookmarkStart w:id="113" w:name="_Toc520485048"/>
      <w:bookmarkStart w:id="114" w:name="_Toc160804590"/>
      <w:bookmarkStart w:id="115" w:name="_Toc167220282"/>
      <w:bookmarkStart w:id="116" w:name="_Toc177549015"/>
      <w:r>
        <w:rPr>
          <w:noProof/>
        </w:rPr>
        <w:t>2.3.</w:t>
      </w:r>
      <w:r>
        <w:rPr>
          <w:noProof/>
        </w:rPr>
        <w:tab/>
        <w:t>Măsuri de prevenire a fraudelor și a neregulilor</w:t>
      </w:r>
      <w:bookmarkEnd w:id="112"/>
      <w:bookmarkEnd w:id="113"/>
      <w:bookmarkEnd w:id="114"/>
      <w:bookmarkEnd w:id="115"/>
      <w:bookmarkEnd w:id="116"/>
      <w:r>
        <w:rPr>
          <w:noProof/>
        </w:rPr>
        <w:t xml:space="preserve"> </w:t>
      </w:r>
    </w:p>
    <w:p>
      <w:pPr>
        <w:pStyle w:val="Text1"/>
        <w:pBdr>
          <w:top w:val="single" w:sz="4" w:space="1" w:color="auto"/>
          <w:left w:val="single" w:sz="4" w:space="4" w:color="auto"/>
          <w:bottom w:val="single" w:sz="4" w:space="1" w:color="auto"/>
          <w:right w:val="single" w:sz="4" w:space="4" w:color="auto"/>
        </w:pBdr>
        <w:rPr>
          <w:noProof/>
        </w:rPr>
      </w:pPr>
    </w:p>
    <w:p>
      <w:pPr>
        <w:pStyle w:val="Text1"/>
        <w:pBdr>
          <w:top w:val="single" w:sz="4" w:space="1" w:color="auto"/>
          <w:left w:val="single" w:sz="4" w:space="4" w:color="auto"/>
          <w:bottom w:val="single" w:sz="4" w:space="1" w:color="auto"/>
          <w:right w:val="single" w:sz="4" w:space="4" w:color="auto"/>
        </w:pBdr>
        <w:rPr>
          <w:noProof/>
        </w:rPr>
      </w:pPr>
    </w:p>
    <w:p>
      <w:pPr>
        <w:rPr>
          <w:noProof/>
        </w:rPr>
        <w:sectPr>
          <w:pgSz w:w="11907" w:h="16840" w:code="9"/>
          <w:pgMar w:top="1134" w:right="1418" w:bottom="1134" w:left="1418" w:header="709" w:footer="709" w:gutter="0"/>
          <w:cols w:space="708"/>
          <w:docGrid w:linePitch="360"/>
        </w:sectPr>
      </w:pPr>
    </w:p>
    <w:p>
      <w:pPr>
        <w:pStyle w:val="ManualHeading1"/>
        <w:rPr>
          <w:bCs/>
          <w:noProof/>
          <w:szCs w:val="24"/>
        </w:rPr>
      </w:pPr>
      <w:bookmarkStart w:id="117" w:name="_Toc514938050"/>
      <w:bookmarkStart w:id="118" w:name="_Toc520485049"/>
      <w:bookmarkStart w:id="119" w:name="_Toc160804591"/>
      <w:bookmarkStart w:id="120" w:name="_Toc167220283"/>
      <w:bookmarkStart w:id="121" w:name="_Toc177549016"/>
      <w:r>
        <w:rPr>
          <w:noProof/>
        </w:rPr>
        <w:t>3.</w:t>
      </w:r>
      <w:r>
        <w:rPr>
          <w:noProof/>
        </w:rPr>
        <w:tab/>
        <w:t>IMPACTUL FINANCIAR ESTIMAT AL PROPUNERII/INIȚIATIVEI</w:t>
      </w:r>
      <w:bookmarkEnd w:id="117"/>
      <w:bookmarkEnd w:id="118"/>
      <w:bookmarkEnd w:id="119"/>
      <w:bookmarkEnd w:id="120"/>
      <w:bookmarkEnd w:id="121"/>
      <w:r>
        <w:rPr>
          <w:noProof/>
        </w:rPr>
        <w:t xml:space="preserve"> </w:t>
      </w:r>
    </w:p>
    <w:p>
      <w:pPr>
        <w:pStyle w:val="ManualHeading2"/>
        <w:rPr>
          <w:noProof/>
        </w:rPr>
      </w:pPr>
      <w:bookmarkStart w:id="122" w:name="_Toc514938051"/>
      <w:bookmarkStart w:id="123" w:name="_Toc520485050"/>
      <w:bookmarkStart w:id="124" w:name="_Toc160804592"/>
      <w:bookmarkStart w:id="125" w:name="_Toc167220284"/>
      <w:bookmarkStart w:id="126" w:name="_Toc177549017"/>
      <w:r>
        <w:rPr>
          <w:noProof/>
        </w:rPr>
        <w:t>3.1.</w:t>
      </w:r>
      <w:r>
        <w:rPr>
          <w:noProof/>
        </w:rPr>
        <w:tab/>
        <w:t>Rubrica (rubricile) din cadrul financiar multianual și linia (liniile) bugetară (bugetare) de cheltuieli afectată (afectate)</w:t>
      </w:r>
      <w:bookmarkEnd w:id="122"/>
      <w:bookmarkEnd w:id="123"/>
      <w:bookmarkEnd w:id="124"/>
      <w:bookmarkEnd w:id="125"/>
      <w:bookmarkEnd w:id="126"/>
      <w:r>
        <w:rPr>
          <w:noProof/>
        </w:rPr>
        <w:t xml:space="preserve"> </w:t>
      </w:r>
    </w:p>
    <w:p>
      <w:pPr>
        <w:pStyle w:val="ListBullet1"/>
        <w:rPr>
          <w:noProof/>
        </w:rPr>
      </w:pPr>
      <w:r>
        <w:rPr>
          <w:noProof/>
        </w:rPr>
        <w:t xml:space="preserve">Linii bugetare existente </w:t>
      </w:r>
    </w:p>
    <w:p>
      <w:pPr>
        <w:pStyle w:val="Text1"/>
        <w:rPr>
          <w:i/>
          <w:noProof/>
        </w:rPr>
      </w:pPr>
      <w:r>
        <w:rPr>
          <w:i/>
          <w:noProof/>
          <w:u w:val="single"/>
        </w:rPr>
        <w:t>În ordinea</w:t>
      </w:r>
      <w:r>
        <w:rPr>
          <w:i/>
          <w:noProof/>
        </w:rPr>
        <w:t xml:space="preserve"> rubricilor din cadrul financiar multianual și a liniilor bugetare.</w:t>
      </w:r>
    </w:p>
    <w:tbl>
      <w:tblPr>
        <w:tblW w:w="10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2"/>
        <w:gridCol w:w="4002"/>
        <w:gridCol w:w="1092"/>
        <w:gridCol w:w="966"/>
        <w:gridCol w:w="1092"/>
        <w:gridCol w:w="966"/>
        <w:gridCol w:w="1463"/>
      </w:tblGrid>
      <w:tr>
        <w:trPr>
          <w:jc w:val="center"/>
        </w:trPr>
        <w:tc>
          <w:tcPr>
            <w:tcW w:w="1092" w:type="dxa"/>
            <w:vMerge w:val="restart"/>
            <w:vAlign w:val="center"/>
          </w:tcPr>
          <w:p>
            <w:pPr>
              <w:spacing w:before="60" w:after="60"/>
              <w:jc w:val="center"/>
              <w:rPr>
                <w:noProof/>
              </w:rPr>
            </w:pPr>
            <w:r>
              <w:rPr>
                <w:noProof/>
                <w:sz w:val="18"/>
              </w:rPr>
              <w:t>Rubrica din cadrul financiar multianual</w:t>
            </w:r>
          </w:p>
        </w:tc>
        <w:tc>
          <w:tcPr>
            <w:tcW w:w="4002" w:type="dxa"/>
            <w:vAlign w:val="center"/>
          </w:tcPr>
          <w:p>
            <w:pPr>
              <w:spacing w:before="60" w:after="60"/>
              <w:jc w:val="center"/>
              <w:rPr>
                <w:noProof/>
              </w:rPr>
            </w:pPr>
            <w:r>
              <w:rPr>
                <w:noProof/>
                <w:sz w:val="20"/>
              </w:rPr>
              <w:t>Linia bugetară</w:t>
            </w:r>
          </w:p>
        </w:tc>
        <w:tc>
          <w:tcPr>
            <w:tcW w:w="1092" w:type="dxa"/>
            <w:vAlign w:val="center"/>
          </w:tcPr>
          <w:p>
            <w:pPr>
              <w:spacing w:before="60" w:after="60"/>
              <w:jc w:val="center"/>
              <w:rPr>
                <w:noProof/>
              </w:rPr>
            </w:pPr>
            <w:r>
              <w:rPr>
                <w:noProof/>
                <w:sz w:val="18"/>
              </w:rPr>
              <w:t>Tipul de cheltuieli</w:t>
            </w:r>
          </w:p>
        </w:tc>
        <w:tc>
          <w:tcPr>
            <w:tcW w:w="4487" w:type="dxa"/>
            <w:gridSpan w:val="4"/>
            <w:vAlign w:val="center"/>
          </w:tcPr>
          <w:p>
            <w:pPr>
              <w:spacing w:before="60" w:after="60"/>
              <w:jc w:val="center"/>
              <w:rPr>
                <w:noProof/>
              </w:rPr>
            </w:pPr>
            <w:r>
              <w:rPr>
                <w:noProof/>
                <w:sz w:val="20"/>
              </w:rPr>
              <w:t xml:space="preserve">Contribuția </w:t>
            </w:r>
          </w:p>
        </w:tc>
      </w:tr>
      <w:tr>
        <w:trPr>
          <w:cantSplit/>
          <w:jc w:val="center"/>
        </w:trPr>
        <w:tc>
          <w:tcPr>
            <w:tcW w:w="1092" w:type="dxa"/>
            <w:vMerge/>
            <w:vAlign w:val="center"/>
          </w:tcPr>
          <w:p>
            <w:pPr>
              <w:jc w:val="center"/>
              <w:rPr>
                <w:noProof/>
              </w:rPr>
            </w:pPr>
          </w:p>
        </w:tc>
        <w:tc>
          <w:tcPr>
            <w:tcW w:w="4002" w:type="dxa"/>
            <w:vAlign w:val="center"/>
          </w:tcPr>
          <w:p>
            <w:pPr>
              <w:rPr>
                <w:noProof/>
              </w:rPr>
            </w:pPr>
            <w:r>
              <w:rPr>
                <w:noProof/>
                <w:sz w:val="20"/>
              </w:rPr>
              <w:t xml:space="preserve">Numărul </w:t>
            </w:r>
            <w:r>
              <w:rPr>
                <w:noProof/>
              </w:rPr>
              <w:t xml:space="preserve"> </w:t>
            </w:r>
            <w:r>
              <w:rPr>
                <w:noProof/>
              </w:rPr>
              <w:br/>
            </w:r>
          </w:p>
        </w:tc>
        <w:tc>
          <w:tcPr>
            <w:tcW w:w="1092" w:type="dxa"/>
            <w:vAlign w:val="center"/>
          </w:tcPr>
          <w:p>
            <w:pPr>
              <w:jc w:val="center"/>
              <w:rPr>
                <w:noProof/>
              </w:rPr>
            </w:pPr>
            <w:r>
              <w:rPr>
                <w:noProof/>
                <w:sz w:val="18"/>
              </w:rPr>
              <w:t>Dif./Nedif.</w:t>
            </w:r>
            <w:r>
              <w:rPr>
                <w:rStyle w:val="FootnoteReference"/>
                <w:noProof/>
                <w:sz w:val="18"/>
              </w:rPr>
              <w:footnoteReference w:id="13"/>
            </w:r>
          </w:p>
        </w:tc>
        <w:tc>
          <w:tcPr>
            <w:tcW w:w="966" w:type="dxa"/>
            <w:vAlign w:val="center"/>
          </w:tcPr>
          <w:p>
            <w:pPr>
              <w:jc w:val="center"/>
              <w:rPr>
                <w:b/>
                <w:noProof/>
                <w:sz w:val="18"/>
              </w:rPr>
            </w:pPr>
            <w:r>
              <w:rPr>
                <w:noProof/>
                <w:sz w:val="18"/>
              </w:rPr>
              <w:t>din partea țărilor AELS</w:t>
            </w:r>
            <w:r>
              <w:rPr>
                <w:rStyle w:val="FootnoteReference"/>
                <w:noProof/>
                <w:sz w:val="18"/>
              </w:rPr>
              <w:footnoteReference w:id="14"/>
            </w:r>
          </w:p>
        </w:tc>
        <w:tc>
          <w:tcPr>
            <w:tcW w:w="1092" w:type="dxa"/>
            <w:vAlign w:val="center"/>
          </w:tcPr>
          <w:p>
            <w:pPr>
              <w:jc w:val="center"/>
              <w:rPr>
                <w:noProof/>
                <w:sz w:val="18"/>
              </w:rPr>
            </w:pPr>
            <w:r>
              <w:rPr>
                <w:noProof/>
                <w:sz w:val="18"/>
              </w:rPr>
              <w:t>din partea țărilor candidate și potențial candidate</w:t>
            </w:r>
            <w:r>
              <w:rPr>
                <w:rStyle w:val="FootnoteReference"/>
                <w:noProof/>
                <w:sz w:val="18"/>
              </w:rPr>
              <w:footnoteReference w:id="15"/>
            </w:r>
          </w:p>
        </w:tc>
        <w:tc>
          <w:tcPr>
            <w:tcW w:w="966" w:type="dxa"/>
            <w:vAlign w:val="center"/>
          </w:tcPr>
          <w:p>
            <w:pPr>
              <w:jc w:val="center"/>
              <w:rPr>
                <w:noProof/>
                <w:sz w:val="18"/>
              </w:rPr>
            </w:pPr>
            <w:r>
              <w:rPr>
                <w:noProof/>
                <w:sz w:val="18"/>
              </w:rPr>
              <w:t>din partea altor țări terțe</w:t>
            </w:r>
          </w:p>
        </w:tc>
        <w:tc>
          <w:tcPr>
            <w:tcW w:w="1463" w:type="dxa"/>
            <w:vAlign w:val="center"/>
          </w:tcPr>
          <w:p>
            <w:pPr>
              <w:jc w:val="center"/>
              <w:rPr>
                <w:noProof/>
              </w:rPr>
            </w:pPr>
            <w:r>
              <w:rPr>
                <w:noProof/>
                <w:sz w:val="18"/>
              </w:rPr>
              <w:t>alte venituri alocate</w:t>
            </w:r>
          </w:p>
        </w:tc>
      </w:tr>
      <w:tr>
        <w:trPr>
          <w:jc w:val="center"/>
        </w:trPr>
        <w:tc>
          <w:tcPr>
            <w:tcW w:w="1092" w:type="dxa"/>
            <w:vAlign w:val="center"/>
          </w:tcPr>
          <w:p>
            <w:pPr>
              <w:jc w:val="center"/>
              <w:rPr>
                <w:noProof/>
                <w:color w:val="0000FF"/>
              </w:rPr>
            </w:pPr>
          </w:p>
        </w:tc>
        <w:tc>
          <w:tcPr>
            <w:tcW w:w="4002" w:type="dxa"/>
            <w:vAlign w:val="center"/>
          </w:tcPr>
          <w:p>
            <w:pPr>
              <w:spacing w:before="60"/>
              <w:rPr>
                <w:noProof/>
              </w:rPr>
            </w:pPr>
            <w:r>
              <w:rPr>
                <w:noProof/>
                <w:sz w:val="22"/>
              </w:rPr>
              <w:t>[XX.YY.YY.YY]</w:t>
            </w:r>
          </w:p>
          <w:p>
            <w:pPr>
              <w:spacing w:after="60"/>
              <w:rPr>
                <w:noProof/>
              </w:rPr>
            </w:pPr>
          </w:p>
        </w:tc>
        <w:tc>
          <w:tcPr>
            <w:tcW w:w="1092" w:type="dxa"/>
            <w:vAlign w:val="center"/>
          </w:tcPr>
          <w:p>
            <w:pPr>
              <w:jc w:val="center"/>
              <w:rPr>
                <w:noProof/>
                <w:color w:val="0000FF"/>
              </w:rPr>
            </w:pPr>
            <w:r>
              <w:rPr>
                <w:noProof/>
                <w:sz w:val="22"/>
              </w:rPr>
              <w:t>Dif./Nedif.</w:t>
            </w:r>
          </w:p>
        </w:tc>
        <w:tc>
          <w:tcPr>
            <w:tcW w:w="966" w:type="dxa"/>
            <w:vAlign w:val="center"/>
          </w:tcPr>
          <w:p>
            <w:pPr>
              <w:jc w:val="center"/>
              <w:rPr>
                <w:noProof/>
                <w:sz w:val="20"/>
                <w:szCs w:val="20"/>
              </w:rPr>
            </w:pPr>
            <w:r>
              <w:rPr>
                <w:noProof/>
                <w:sz w:val="20"/>
              </w:rPr>
              <w:t>DA/NU</w:t>
            </w:r>
          </w:p>
        </w:tc>
        <w:tc>
          <w:tcPr>
            <w:tcW w:w="1092" w:type="dxa"/>
            <w:vAlign w:val="center"/>
          </w:tcPr>
          <w:p>
            <w:pPr>
              <w:jc w:val="center"/>
              <w:rPr>
                <w:noProof/>
                <w:sz w:val="20"/>
                <w:szCs w:val="20"/>
              </w:rPr>
            </w:pPr>
            <w:r>
              <w:rPr>
                <w:noProof/>
                <w:sz w:val="20"/>
              </w:rPr>
              <w:t>DA/NU</w:t>
            </w:r>
          </w:p>
        </w:tc>
        <w:tc>
          <w:tcPr>
            <w:tcW w:w="966" w:type="dxa"/>
            <w:vAlign w:val="center"/>
          </w:tcPr>
          <w:p>
            <w:pPr>
              <w:jc w:val="center"/>
              <w:rPr>
                <w:noProof/>
                <w:sz w:val="20"/>
                <w:szCs w:val="20"/>
              </w:rPr>
            </w:pPr>
            <w:r>
              <w:rPr>
                <w:noProof/>
                <w:sz w:val="20"/>
              </w:rPr>
              <w:t>DA/NU</w:t>
            </w:r>
          </w:p>
        </w:tc>
        <w:tc>
          <w:tcPr>
            <w:tcW w:w="1463" w:type="dxa"/>
            <w:vAlign w:val="center"/>
          </w:tcPr>
          <w:p>
            <w:pPr>
              <w:jc w:val="center"/>
              <w:rPr>
                <w:noProof/>
                <w:sz w:val="20"/>
                <w:szCs w:val="20"/>
              </w:rPr>
            </w:pPr>
            <w:r>
              <w:rPr>
                <w:noProof/>
                <w:sz w:val="20"/>
              </w:rPr>
              <w:t>DA/NU</w:t>
            </w:r>
          </w:p>
        </w:tc>
      </w:tr>
      <w:tr>
        <w:trPr>
          <w:jc w:val="center"/>
        </w:trPr>
        <w:tc>
          <w:tcPr>
            <w:tcW w:w="1092" w:type="dxa"/>
            <w:vAlign w:val="center"/>
          </w:tcPr>
          <w:p>
            <w:pPr>
              <w:jc w:val="center"/>
              <w:rPr>
                <w:noProof/>
                <w:color w:val="0000FF"/>
              </w:rPr>
            </w:pPr>
          </w:p>
        </w:tc>
        <w:tc>
          <w:tcPr>
            <w:tcW w:w="4002" w:type="dxa"/>
            <w:vAlign w:val="center"/>
          </w:tcPr>
          <w:p>
            <w:pPr>
              <w:spacing w:before="60"/>
              <w:rPr>
                <w:noProof/>
              </w:rPr>
            </w:pPr>
            <w:r>
              <w:rPr>
                <w:noProof/>
                <w:sz w:val="22"/>
              </w:rPr>
              <w:t>[XX.YY.YY.YY]</w:t>
            </w:r>
          </w:p>
          <w:p>
            <w:pPr>
              <w:spacing w:after="60"/>
              <w:rPr>
                <w:noProof/>
              </w:rPr>
            </w:pPr>
          </w:p>
        </w:tc>
        <w:tc>
          <w:tcPr>
            <w:tcW w:w="1092" w:type="dxa"/>
            <w:vAlign w:val="center"/>
          </w:tcPr>
          <w:p>
            <w:pPr>
              <w:jc w:val="center"/>
              <w:rPr>
                <w:noProof/>
                <w:color w:val="0000FF"/>
              </w:rPr>
            </w:pPr>
            <w:r>
              <w:rPr>
                <w:noProof/>
                <w:sz w:val="22"/>
              </w:rPr>
              <w:t>Dif./Nedif.</w:t>
            </w:r>
          </w:p>
        </w:tc>
        <w:tc>
          <w:tcPr>
            <w:tcW w:w="966" w:type="dxa"/>
            <w:vAlign w:val="center"/>
          </w:tcPr>
          <w:p>
            <w:pPr>
              <w:jc w:val="center"/>
              <w:rPr>
                <w:noProof/>
                <w:sz w:val="20"/>
                <w:szCs w:val="20"/>
              </w:rPr>
            </w:pPr>
            <w:r>
              <w:rPr>
                <w:noProof/>
                <w:sz w:val="20"/>
              </w:rPr>
              <w:t>DA/NU</w:t>
            </w:r>
          </w:p>
        </w:tc>
        <w:tc>
          <w:tcPr>
            <w:tcW w:w="1092" w:type="dxa"/>
            <w:vAlign w:val="center"/>
          </w:tcPr>
          <w:p>
            <w:pPr>
              <w:jc w:val="center"/>
              <w:rPr>
                <w:noProof/>
                <w:sz w:val="20"/>
                <w:szCs w:val="20"/>
              </w:rPr>
            </w:pPr>
            <w:r>
              <w:rPr>
                <w:noProof/>
                <w:sz w:val="20"/>
              </w:rPr>
              <w:t>DA/NU</w:t>
            </w:r>
          </w:p>
        </w:tc>
        <w:tc>
          <w:tcPr>
            <w:tcW w:w="966" w:type="dxa"/>
            <w:vAlign w:val="center"/>
          </w:tcPr>
          <w:p>
            <w:pPr>
              <w:jc w:val="center"/>
              <w:rPr>
                <w:noProof/>
                <w:sz w:val="20"/>
                <w:szCs w:val="20"/>
              </w:rPr>
            </w:pPr>
            <w:r>
              <w:rPr>
                <w:noProof/>
                <w:sz w:val="20"/>
              </w:rPr>
              <w:t>DA/NU</w:t>
            </w:r>
          </w:p>
        </w:tc>
        <w:tc>
          <w:tcPr>
            <w:tcW w:w="1463" w:type="dxa"/>
            <w:vAlign w:val="center"/>
          </w:tcPr>
          <w:p>
            <w:pPr>
              <w:jc w:val="center"/>
              <w:rPr>
                <w:noProof/>
                <w:sz w:val="20"/>
                <w:szCs w:val="20"/>
              </w:rPr>
            </w:pPr>
            <w:r>
              <w:rPr>
                <w:noProof/>
                <w:sz w:val="20"/>
              </w:rPr>
              <w:t>DA/NU</w:t>
            </w:r>
          </w:p>
        </w:tc>
      </w:tr>
      <w:tr>
        <w:trPr>
          <w:jc w:val="center"/>
        </w:trPr>
        <w:tc>
          <w:tcPr>
            <w:tcW w:w="1092" w:type="dxa"/>
            <w:vAlign w:val="center"/>
          </w:tcPr>
          <w:p>
            <w:pPr>
              <w:jc w:val="center"/>
              <w:rPr>
                <w:noProof/>
                <w:color w:val="0000FF"/>
              </w:rPr>
            </w:pPr>
          </w:p>
        </w:tc>
        <w:tc>
          <w:tcPr>
            <w:tcW w:w="4002" w:type="dxa"/>
            <w:vAlign w:val="center"/>
          </w:tcPr>
          <w:p>
            <w:pPr>
              <w:spacing w:before="60"/>
              <w:rPr>
                <w:noProof/>
              </w:rPr>
            </w:pPr>
            <w:r>
              <w:rPr>
                <w:noProof/>
                <w:sz w:val="22"/>
              </w:rPr>
              <w:t>[XX.YY.YY.YY]</w:t>
            </w:r>
          </w:p>
          <w:p>
            <w:pPr>
              <w:spacing w:after="60"/>
              <w:rPr>
                <w:noProof/>
              </w:rPr>
            </w:pPr>
          </w:p>
        </w:tc>
        <w:tc>
          <w:tcPr>
            <w:tcW w:w="1092" w:type="dxa"/>
            <w:vAlign w:val="center"/>
          </w:tcPr>
          <w:p>
            <w:pPr>
              <w:jc w:val="center"/>
              <w:rPr>
                <w:noProof/>
                <w:color w:val="0000FF"/>
              </w:rPr>
            </w:pPr>
            <w:r>
              <w:rPr>
                <w:noProof/>
                <w:sz w:val="22"/>
              </w:rPr>
              <w:t>Dif./Nedif.</w:t>
            </w:r>
          </w:p>
        </w:tc>
        <w:tc>
          <w:tcPr>
            <w:tcW w:w="966" w:type="dxa"/>
            <w:vAlign w:val="center"/>
          </w:tcPr>
          <w:p>
            <w:pPr>
              <w:jc w:val="center"/>
              <w:rPr>
                <w:noProof/>
                <w:sz w:val="20"/>
                <w:szCs w:val="20"/>
              </w:rPr>
            </w:pPr>
            <w:r>
              <w:rPr>
                <w:noProof/>
                <w:sz w:val="20"/>
              </w:rPr>
              <w:t>DA/NU</w:t>
            </w:r>
          </w:p>
        </w:tc>
        <w:tc>
          <w:tcPr>
            <w:tcW w:w="1092" w:type="dxa"/>
            <w:vAlign w:val="center"/>
          </w:tcPr>
          <w:p>
            <w:pPr>
              <w:jc w:val="center"/>
              <w:rPr>
                <w:noProof/>
                <w:sz w:val="20"/>
                <w:szCs w:val="20"/>
              </w:rPr>
            </w:pPr>
            <w:r>
              <w:rPr>
                <w:noProof/>
                <w:sz w:val="20"/>
              </w:rPr>
              <w:t>DA/NU</w:t>
            </w:r>
          </w:p>
        </w:tc>
        <w:tc>
          <w:tcPr>
            <w:tcW w:w="966" w:type="dxa"/>
            <w:vAlign w:val="center"/>
          </w:tcPr>
          <w:p>
            <w:pPr>
              <w:jc w:val="center"/>
              <w:rPr>
                <w:noProof/>
                <w:sz w:val="20"/>
                <w:szCs w:val="20"/>
              </w:rPr>
            </w:pPr>
            <w:r>
              <w:rPr>
                <w:noProof/>
                <w:sz w:val="20"/>
              </w:rPr>
              <w:t>DA/NU</w:t>
            </w:r>
          </w:p>
        </w:tc>
        <w:tc>
          <w:tcPr>
            <w:tcW w:w="1463" w:type="dxa"/>
            <w:vAlign w:val="center"/>
          </w:tcPr>
          <w:p>
            <w:pPr>
              <w:jc w:val="center"/>
              <w:rPr>
                <w:noProof/>
                <w:sz w:val="20"/>
                <w:szCs w:val="20"/>
              </w:rPr>
            </w:pPr>
            <w:r>
              <w:rPr>
                <w:noProof/>
                <w:sz w:val="20"/>
              </w:rPr>
              <w:t>DA/NU</w:t>
            </w:r>
          </w:p>
        </w:tc>
      </w:tr>
    </w:tbl>
    <w:p>
      <w:pPr>
        <w:pStyle w:val="ListBullet1"/>
        <w:rPr>
          <w:noProof/>
        </w:rPr>
      </w:pPr>
      <w:r>
        <w:rPr>
          <w:noProof/>
        </w:rPr>
        <w:t xml:space="preserve">Noile linii bugetare solicitate </w:t>
      </w:r>
    </w:p>
    <w:p>
      <w:pPr>
        <w:pStyle w:val="Text1"/>
        <w:rPr>
          <w:i/>
          <w:noProof/>
          <w:sz w:val="20"/>
        </w:rPr>
      </w:pPr>
      <w:r>
        <w:rPr>
          <w:i/>
          <w:noProof/>
          <w:u w:val="single"/>
        </w:rPr>
        <w:t>În ordinea</w:t>
      </w:r>
      <w:r>
        <w:rPr>
          <w:i/>
          <w:noProof/>
        </w:rPr>
        <w:t xml:space="preserve"> rubricilor din cadrul financiar multianual și a liniilor bugetare.</w:t>
      </w:r>
    </w:p>
    <w:tbl>
      <w:tblPr>
        <w:tblW w:w="10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2"/>
        <w:gridCol w:w="4002"/>
        <w:gridCol w:w="1092"/>
        <w:gridCol w:w="966"/>
        <w:gridCol w:w="1092"/>
        <w:gridCol w:w="966"/>
        <w:gridCol w:w="1463"/>
      </w:tblGrid>
      <w:tr>
        <w:trPr>
          <w:jc w:val="center"/>
        </w:trPr>
        <w:tc>
          <w:tcPr>
            <w:tcW w:w="1080" w:type="dxa"/>
            <w:vMerge w:val="restart"/>
            <w:vAlign w:val="center"/>
          </w:tcPr>
          <w:p>
            <w:pPr>
              <w:spacing w:before="60" w:after="60"/>
              <w:jc w:val="center"/>
              <w:rPr>
                <w:noProof/>
                <w:sz w:val="18"/>
                <w:szCs w:val="18"/>
              </w:rPr>
            </w:pPr>
            <w:r>
              <w:rPr>
                <w:noProof/>
                <w:sz w:val="18"/>
              </w:rPr>
              <w:t>Rubrica din cadrul financiar multianual</w:t>
            </w:r>
          </w:p>
        </w:tc>
        <w:tc>
          <w:tcPr>
            <w:tcW w:w="3960" w:type="dxa"/>
            <w:vAlign w:val="center"/>
          </w:tcPr>
          <w:p>
            <w:pPr>
              <w:spacing w:before="60" w:after="60"/>
              <w:jc w:val="center"/>
              <w:rPr>
                <w:noProof/>
              </w:rPr>
            </w:pPr>
            <w:r>
              <w:rPr>
                <w:noProof/>
                <w:sz w:val="20"/>
              </w:rPr>
              <w:t>Linia bugetară</w:t>
            </w:r>
          </w:p>
        </w:tc>
        <w:tc>
          <w:tcPr>
            <w:tcW w:w="1080" w:type="dxa"/>
            <w:vAlign w:val="center"/>
          </w:tcPr>
          <w:p>
            <w:pPr>
              <w:spacing w:before="60" w:after="60"/>
              <w:jc w:val="center"/>
              <w:rPr>
                <w:noProof/>
              </w:rPr>
            </w:pPr>
            <w:r>
              <w:rPr>
                <w:noProof/>
                <w:sz w:val="18"/>
              </w:rPr>
              <w:t>Tipul de cheltuieli</w:t>
            </w:r>
          </w:p>
        </w:tc>
        <w:tc>
          <w:tcPr>
            <w:tcW w:w="4440" w:type="dxa"/>
            <w:gridSpan w:val="4"/>
            <w:vAlign w:val="center"/>
          </w:tcPr>
          <w:p>
            <w:pPr>
              <w:spacing w:before="60" w:after="60"/>
              <w:jc w:val="center"/>
              <w:rPr>
                <w:noProof/>
              </w:rPr>
            </w:pPr>
            <w:r>
              <w:rPr>
                <w:noProof/>
                <w:sz w:val="20"/>
              </w:rPr>
              <w:t xml:space="preserve">Contribuția </w:t>
            </w:r>
          </w:p>
        </w:tc>
      </w:tr>
      <w:tr>
        <w:trPr>
          <w:cantSplit/>
          <w:jc w:val="center"/>
        </w:trPr>
        <w:tc>
          <w:tcPr>
            <w:tcW w:w="1080" w:type="dxa"/>
            <w:vMerge/>
            <w:vAlign w:val="center"/>
          </w:tcPr>
          <w:p>
            <w:pPr>
              <w:jc w:val="center"/>
              <w:rPr>
                <w:noProof/>
              </w:rPr>
            </w:pPr>
          </w:p>
        </w:tc>
        <w:tc>
          <w:tcPr>
            <w:tcW w:w="3960" w:type="dxa"/>
            <w:vAlign w:val="center"/>
          </w:tcPr>
          <w:p>
            <w:pPr>
              <w:rPr>
                <w:noProof/>
              </w:rPr>
            </w:pPr>
            <w:r>
              <w:rPr>
                <w:noProof/>
                <w:sz w:val="20"/>
              </w:rPr>
              <w:t xml:space="preserve">Numărul </w:t>
            </w:r>
            <w:r>
              <w:rPr>
                <w:noProof/>
              </w:rPr>
              <w:t xml:space="preserve"> </w:t>
            </w:r>
            <w:r>
              <w:rPr>
                <w:noProof/>
              </w:rPr>
              <w:br/>
            </w:r>
          </w:p>
        </w:tc>
        <w:tc>
          <w:tcPr>
            <w:tcW w:w="1080" w:type="dxa"/>
            <w:vAlign w:val="center"/>
          </w:tcPr>
          <w:p>
            <w:pPr>
              <w:jc w:val="center"/>
              <w:rPr>
                <w:noProof/>
              </w:rPr>
            </w:pPr>
            <w:r>
              <w:rPr>
                <w:noProof/>
                <w:sz w:val="18"/>
              </w:rPr>
              <w:t>Dif./Nedif.</w:t>
            </w:r>
          </w:p>
        </w:tc>
        <w:tc>
          <w:tcPr>
            <w:tcW w:w="956" w:type="dxa"/>
            <w:vAlign w:val="center"/>
          </w:tcPr>
          <w:p>
            <w:pPr>
              <w:jc w:val="center"/>
              <w:rPr>
                <w:noProof/>
                <w:sz w:val="18"/>
              </w:rPr>
            </w:pPr>
            <w:r>
              <w:rPr>
                <w:noProof/>
                <w:sz w:val="18"/>
              </w:rPr>
              <w:t>din partea țărilor AELS</w:t>
            </w:r>
          </w:p>
        </w:tc>
        <w:tc>
          <w:tcPr>
            <w:tcW w:w="1080" w:type="dxa"/>
            <w:vAlign w:val="center"/>
          </w:tcPr>
          <w:p>
            <w:pPr>
              <w:jc w:val="center"/>
              <w:rPr>
                <w:noProof/>
                <w:sz w:val="18"/>
              </w:rPr>
            </w:pPr>
            <w:r>
              <w:rPr>
                <w:noProof/>
                <w:sz w:val="18"/>
              </w:rPr>
              <w:t>din partea țărilor candidate și potențial candidate</w:t>
            </w:r>
          </w:p>
        </w:tc>
        <w:tc>
          <w:tcPr>
            <w:tcW w:w="956" w:type="dxa"/>
            <w:vAlign w:val="center"/>
          </w:tcPr>
          <w:p>
            <w:pPr>
              <w:jc w:val="center"/>
              <w:rPr>
                <w:noProof/>
                <w:sz w:val="18"/>
              </w:rPr>
            </w:pPr>
            <w:r>
              <w:rPr>
                <w:noProof/>
                <w:sz w:val="18"/>
              </w:rPr>
              <w:t>din partea altor țări terțe</w:t>
            </w:r>
          </w:p>
        </w:tc>
        <w:tc>
          <w:tcPr>
            <w:tcW w:w="1448" w:type="dxa"/>
            <w:vAlign w:val="center"/>
          </w:tcPr>
          <w:p>
            <w:pPr>
              <w:jc w:val="center"/>
              <w:rPr>
                <w:noProof/>
              </w:rPr>
            </w:pPr>
            <w:r>
              <w:rPr>
                <w:noProof/>
                <w:sz w:val="18"/>
              </w:rPr>
              <w:t xml:space="preserve">alte venituri alocate </w:t>
            </w:r>
          </w:p>
        </w:tc>
      </w:tr>
      <w:tr>
        <w:trPr>
          <w:cantSplit/>
          <w:jc w:val="center"/>
        </w:trPr>
        <w:tc>
          <w:tcPr>
            <w:tcW w:w="1080" w:type="dxa"/>
            <w:vAlign w:val="center"/>
          </w:tcPr>
          <w:p>
            <w:pPr>
              <w:jc w:val="center"/>
              <w:rPr>
                <w:noProof/>
                <w:color w:val="0000FF"/>
              </w:rPr>
            </w:pPr>
          </w:p>
        </w:tc>
        <w:tc>
          <w:tcPr>
            <w:tcW w:w="3960" w:type="dxa"/>
            <w:vAlign w:val="center"/>
          </w:tcPr>
          <w:p>
            <w:pPr>
              <w:spacing w:before="60"/>
              <w:rPr>
                <w:noProof/>
              </w:rPr>
            </w:pPr>
            <w:r>
              <w:rPr>
                <w:noProof/>
                <w:sz w:val="22"/>
              </w:rPr>
              <w:t>[XX.YY.YY.YY]</w:t>
            </w:r>
          </w:p>
          <w:p>
            <w:pPr>
              <w:spacing w:after="60"/>
              <w:rPr>
                <w:noProof/>
              </w:rPr>
            </w:pPr>
          </w:p>
        </w:tc>
        <w:tc>
          <w:tcPr>
            <w:tcW w:w="1080" w:type="dxa"/>
            <w:vAlign w:val="center"/>
          </w:tcPr>
          <w:p>
            <w:pPr>
              <w:jc w:val="center"/>
              <w:rPr>
                <w:noProof/>
                <w:color w:val="0000FF"/>
              </w:rPr>
            </w:pPr>
            <w:r>
              <w:rPr>
                <w:noProof/>
                <w:sz w:val="22"/>
              </w:rPr>
              <w:t>Dif./Nedif.</w:t>
            </w:r>
          </w:p>
        </w:tc>
        <w:tc>
          <w:tcPr>
            <w:tcW w:w="956" w:type="dxa"/>
            <w:vAlign w:val="center"/>
          </w:tcPr>
          <w:p>
            <w:pPr>
              <w:jc w:val="center"/>
              <w:rPr>
                <w:noProof/>
                <w:sz w:val="20"/>
                <w:szCs w:val="20"/>
              </w:rPr>
            </w:pPr>
            <w:r>
              <w:rPr>
                <w:noProof/>
                <w:sz w:val="20"/>
              </w:rPr>
              <w:t>DA/NU</w:t>
            </w:r>
          </w:p>
        </w:tc>
        <w:tc>
          <w:tcPr>
            <w:tcW w:w="1080" w:type="dxa"/>
            <w:vAlign w:val="center"/>
          </w:tcPr>
          <w:p>
            <w:pPr>
              <w:jc w:val="center"/>
              <w:rPr>
                <w:noProof/>
                <w:sz w:val="20"/>
                <w:szCs w:val="20"/>
              </w:rPr>
            </w:pPr>
            <w:r>
              <w:rPr>
                <w:noProof/>
                <w:sz w:val="20"/>
              </w:rPr>
              <w:t>DA/NU</w:t>
            </w:r>
          </w:p>
        </w:tc>
        <w:tc>
          <w:tcPr>
            <w:tcW w:w="956" w:type="dxa"/>
            <w:vAlign w:val="center"/>
          </w:tcPr>
          <w:p>
            <w:pPr>
              <w:jc w:val="center"/>
              <w:rPr>
                <w:noProof/>
                <w:sz w:val="20"/>
                <w:szCs w:val="20"/>
              </w:rPr>
            </w:pPr>
            <w:r>
              <w:rPr>
                <w:noProof/>
                <w:sz w:val="20"/>
              </w:rPr>
              <w:t>DA/NU</w:t>
            </w:r>
          </w:p>
        </w:tc>
        <w:tc>
          <w:tcPr>
            <w:tcW w:w="1448" w:type="dxa"/>
            <w:vAlign w:val="center"/>
          </w:tcPr>
          <w:p>
            <w:pPr>
              <w:jc w:val="center"/>
              <w:rPr>
                <w:noProof/>
                <w:sz w:val="20"/>
                <w:szCs w:val="20"/>
              </w:rPr>
            </w:pPr>
            <w:r>
              <w:rPr>
                <w:noProof/>
                <w:sz w:val="20"/>
              </w:rPr>
              <w:t>DA/NU</w:t>
            </w:r>
          </w:p>
        </w:tc>
      </w:tr>
      <w:tr>
        <w:trPr>
          <w:cantSplit/>
          <w:jc w:val="center"/>
        </w:trPr>
        <w:tc>
          <w:tcPr>
            <w:tcW w:w="1080" w:type="dxa"/>
            <w:vAlign w:val="center"/>
          </w:tcPr>
          <w:p>
            <w:pPr>
              <w:jc w:val="center"/>
              <w:rPr>
                <w:noProof/>
                <w:color w:val="0000FF"/>
              </w:rPr>
            </w:pPr>
          </w:p>
        </w:tc>
        <w:tc>
          <w:tcPr>
            <w:tcW w:w="3960" w:type="dxa"/>
            <w:vAlign w:val="center"/>
          </w:tcPr>
          <w:p>
            <w:pPr>
              <w:spacing w:before="60"/>
              <w:rPr>
                <w:noProof/>
              </w:rPr>
            </w:pPr>
            <w:r>
              <w:rPr>
                <w:noProof/>
                <w:sz w:val="22"/>
              </w:rPr>
              <w:t>[XX.YY.YY.YY]</w:t>
            </w:r>
          </w:p>
          <w:p>
            <w:pPr>
              <w:spacing w:after="60"/>
              <w:rPr>
                <w:noProof/>
              </w:rPr>
            </w:pPr>
          </w:p>
        </w:tc>
        <w:tc>
          <w:tcPr>
            <w:tcW w:w="1080" w:type="dxa"/>
            <w:vAlign w:val="center"/>
          </w:tcPr>
          <w:p>
            <w:pPr>
              <w:jc w:val="center"/>
              <w:rPr>
                <w:noProof/>
                <w:color w:val="0000FF"/>
              </w:rPr>
            </w:pPr>
            <w:r>
              <w:rPr>
                <w:noProof/>
                <w:sz w:val="22"/>
              </w:rPr>
              <w:t>Dif./Nedif.</w:t>
            </w:r>
          </w:p>
        </w:tc>
        <w:tc>
          <w:tcPr>
            <w:tcW w:w="956" w:type="dxa"/>
            <w:vAlign w:val="center"/>
          </w:tcPr>
          <w:p>
            <w:pPr>
              <w:jc w:val="center"/>
              <w:rPr>
                <w:noProof/>
                <w:sz w:val="20"/>
                <w:szCs w:val="20"/>
              </w:rPr>
            </w:pPr>
            <w:r>
              <w:rPr>
                <w:noProof/>
                <w:sz w:val="20"/>
              </w:rPr>
              <w:t>DA/NU</w:t>
            </w:r>
          </w:p>
        </w:tc>
        <w:tc>
          <w:tcPr>
            <w:tcW w:w="1080" w:type="dxa"/>
            <w:vAlign w:val="center"/>
          </w:tcPr>
          <w:p>
            <w:pPr>
              <w:jc w:val="center"/>
              <w:rPr>
                <w:noProof/>
                <w:sz w:val="20"/>
                <w:szCs w:val="20"/>
              </w:rPr>
            </w:pPr>
            <w:r>
              <w:rPr>
                <w:noProof/>
                <w:sz w:val="20"/>
              </w:rPr>
              <w:t>DA/NU</w:t>
            </w:r>
          </w:p>
        </w:tc>
        <w:tc>
          <w:tcPr>
            <w:tcW w:w="956" w:type="dxa"/>
            <w:vAlign w:val="center"/>
          </w:tcPr>
          <w:p>
            <w:pPr>
              <w:jc w:val="center"/>
              <w:rPr>
                <w:noProof/>
                <w:sz w:val="20"/>
                <w:szCs w:val="20"/>
              </w:rPr>
            </w:pPr>
            <w:r>
              <w:rPr>
                <w:noProof/>
                <w:sz w:val="20"/>
              </w:rPr>
              <w:t>DA/NU</w:t>
            </w:r>
          </w:p>
        </w:tc>
        <w:tc>
          <w:tcPr>
            <w:tcW w:w="1448" w:type="dxa"/>
            <w:vAlign w:val="center"/>
          </w:tcPr>
          <w:p>
            <w:pPr>
              <w:jc w:val="center"/>
              <w:rPr>
                <w:noProof/>
                <w:sz w:val="20"/>
                <w:szCs w:val="20"/>
              </w:rPr>
            </w:pPr>
            <w:r>
              <w:rPr>
                <w:noProof/>
                <w:sz w:val="20"/>
              </w:rPr>
              <w:t>DA/NU</w:t>
            </w:r>
          </w:p>
        </w:tc>
      </w:tr>
      <w:tr>
        <w:trPr>
          <w:jc w:val="center"/>
        </w:trPr>
        <w:tc>
          <w:tcPr>
            <w:tcW w:w="1080" w:type="dxa"/>
            <w:vAlign w:val="center"/>
          </w:tcPr>
          <w:p>
            <w:pPr>
              <w:jc w:val="center"/>
              <w:rPr>
                <w:noProof/>
                <w:color w:val="0000FF"/>
              </w:rPr>
            </w:pPr>
          </w:p>
        </w:tc>
        <w:tc>
          <w:tcPr>
            <w:tcW w:w="3960" w:type="dxa"/>
            <w:vAlign w:val="center"/>
          </w:tcPr>
          <w:p>
            <w:pPr>
              <w:spacing w:before="60"/>
              <w:rPr>
                <w:noProof/>
              </w:rPr>
            </w:pPr>
            <w:r>
              <w:rPr>
                <w:noProof/>
                <w:sz w:val="22"/>
              </w:rPr>
              <w:t>[XX.YY.YY.YY]</w:t>
            </w:r>
          </w:p>
          <w:p>
            <w:pPr>
              <w:spacing w:after="60"/>
              <w:rPr>
                <w:noProof/>
                <w:color w:val="0000FF"/>
              </w:rPr>
            </w:pPr>
          </w:p>
        </w:tc>
        <w:tc>
          <w:tcPr>
            <w:tcW w:w="1080" w:type="dxa"/>
            <w:vAlign w:val="center"/>
          </w:tcPr>
          <w:p>
            <w:pPr>
              <w:jc w:val="center"/>
              <w:rPr>
                <w:noProof/>
                <w:color w:val="0000FF"/>
              </w:rPr>
            </w:pPr>
            <w:r>
              <w:rPr>
                <w:noProof/>
                <w:sz w:val="22"/>
              </w:rPr>
              <w:t>Dif./Nedif.</w:t>
            </w:r>
          </w:p>
        </w:tc>
        <w:tc>
          <w:tcPr>
            <w:tcW w:w="956" w:type="dxa"/>
            <w:vAlign w:val="center"/>
          </w:tcPr>
          <w:p>
            <w:pPr>
              <w:jc w:val="center"/>
              <w:rPr>
                <w:noProof/>
                <w:sz w:val="20"/>
                <w:szCs w:val="20"/>
              </w:rPr>
            </w:pPr>
            <w:r>
              <w:rPr>
                <w:noProof/>
                <w:sz w:val="20"/>
              </w:rPr>
              <w:t>DA/NU</w:t>
            </w:r>
          </w:p>
        </w:tc>
        <w:tc>
          <w:tcPr>
            <w:tcW w:w="1080" w:type="dxa"/>
            <w:vAlign w:val="center"/>
          </w:tcPr>
          <w:p>
            <w:pPr>
              <w:jc w:val="center"/>
              <w:rPr>
                <w:noProof/>
                <w:color w:val="0000FF"/>
                <w:sz w:val="20"/>
                <w:szCs w:val="20"/>
              </w:rPr>
            </w:pPr>
            <w:r>
              <w:rPr>
                <w:noProof/>
                <w:sz w:val="20"/>
              </w:rPr>
              <w:t>DA/NU</w:t>
            </w:r>
          </w:p>
        </w:tc>
        <w:tc>
          <w:tcPr>
            <w:tcW w:w="956" w:type="dxa"/>
            <w:vAlign w:val="center"/>
          </w:tcPr>
          <w:p>
            <w:pPr>
              <w:jc w:val="center"/>
              <w:rPr>
                <w:noProof/>
                <w:color w:val="0000FF"/>
                <w:sz w:val="20"/>
                <w:szCs w:val="20"/>
              </w:rPr>
            </w:pPr>
            <w:r>
              <w:rPr>
                <w:noProof/>
                <w:sz w:val="20"/>
              </w:rPr>
              <w:t>DA/NU</w:t>
            </w:r>
          </w:p>
        </w:tc>
        <w:tc>
          <w:tcPr>
            <w:tcW w:w="1448" w:type="dxa"/>
            <w:vAlign w:val="center"/>
          </w:tcPr>
          <w:p>
            <w:pPr>
              <w:jc w:val="center"/>
              <w:rPr>
                <w:noProof/>
                <w:sz w:val="20"/>
                <w:szCs w:val="20"/>
              </w:rPr>
            </w:pPr>
            <w:r>
              <w:rPr>
                <w:noProof/>
                <w:sz w:val="20"/>
              </w:rPr>
              <w:t>DA/NU</w:t>
            </w:r>
          </w:p>
        </w:tc>
      </w:tr>
    </w:tbl>
    <w:p>
      <w:pPr>
        <w:rPr>
          <w:noProof/>
        </w:rPr>
        <w:sectPr>
          <w:pgSz w:w="11907" w:h="16840" w:code="1"/>
          <w:pgMar w:top="1134" w:right="1418" w:bottom="1134" w:left="1418" w:header="709" w:footer="709" w:gutter="0"/>
          <w:cols w:space="708"/>
          <w:docGrid w:linePitch="360"/>
        </w:sectPr>
      </w:pPr>
    </w:p>
    <w:p>
      <w:pPr>
        <w:pStyle w:val="ManualHeading2"/>
        <w:rPr>
          <w:bCs/>
          <w:noProof/>
          <w:szCs w:val="24"/>
        </w:rPr>
      </w:pPr>
      <w:bookmarkStart w:id="127" w:name="_Toc514938052"/>
      <w:bookmarkStart w:id="128" w:name="_Toc520485051"/>
      <w:bookmarkStart w:id="129" w:name="_Toc160804593"/>
      <w:bookmarkStart w:id="130" w:name="_Toc167220285"/>
      <w:bookmarkStart w:id="131" w:name="_Toc177549018"/>
      <w:r>
        <w:rPr>
          <w:noProof/>
        </w:rPr>
        <w:t>3.2.</w:t>
      </w:r>
      <w:r>
        <w:rPr>
          <w:noProof/>
        </w:rPr>
        <w:tab/>
        <w:t>Impactul financiar estimat al propunerii asupra creditelor</w:t>
      </w:r>
      <w:bookmarkEnd w:id="127"/>
      <w:bookmarkEnd w:id="128"/>
      <w:bookmarkEnd w:id="129"/>
      <w:bookmarkEnd w:id="130"/>
      <w:bookmarkEnd w:id="131"/>
      <w:r>
        <w:rPr>
          <w:noProof/>
        </w:rPr>
        <w:t xml:space="preserve"> </w:t>
      </w:r>
    </w:p>
    <w:p>
      <w:pPr>
        <w:pStyle w:val="ManualHeading3"/>
        <w:rPr>
          <w:noProof/>
        </w:rPr>
      </w:pPr>
      <w:bookmarkStart w:id="132" w:name="_Toc514938053"/>
      <w:bookmarkStart w:id="133" w:name="_Toc520485052"/>
      <w:bookmarkStart w:id="134" w:name="_Toc160804594"/>
      <w:bookmarkStart w:id="135" w:name="_Toc167220286"/>
      <w:bookmarkStart w:id="136" w:name="_Toc177549019"/>
      <w:r>
        <w:rPr>
          <w:noProof/>
        </w:rPr>
        <w:t>3.2.1.</w:t>
      </w:r>
      <w:r>
        <w:rPr>
          <w:noProof/>
        </w:rPr>
        <w:tab/>
        <w:t>Sinteza impactului estimat asupra creditelor operaționale</w:t>
      </w:r>
      <w:bookmarkEnd w:id="132"/>
      <w:bookmarkEnd w:id="133"/>
      <w:bookmarkEnd w:id="134"/>
      <w:bookmarkEnd w:id="135"/>
      <w:bookmarkEnd w:id="136"/>
      <w:r>
        <w:rPr>
          <w:noProof/>
        </w:rPr>
        <w:t xml:space="preserve"> </w:t>
      </w:r>
    </w:p>
    <w:p>
      <w:pPr>
        <w:pStyle w:val="ListDash1"/>
        <w:rPr>
          <w:noProof/>
        </w:rPr>
      </w:pPr>
      <w:r>
        <w:rPr>
          <w:rFonts w:ascii="Wingdings" w:hAnsi="Wingdings"/>
          <w:noProof/>
        </w:rPr>
        <w:t>¨</w:t>
      </w:r>
      <w:r>
        <w:rPr>
          <w:noProof/>
        </w:rPr>
        <w:tab/>
        <w:t xml:space="preserve">Propunerea/inițiativa nu implică utilizarea de credite operaționale </w:t>
      </w:r>
    </w:p>
    <w:p>
      <w:pPr>
        <w:pStyle w:val="ListDash1"/>
        <w:rPr>
          <w:noProof/>
        </w:rPr>
      </w:pPr>
      <w:r>
        <w:rPr>
          <w:rFonts w:ascii="Wingdings" w:hAnsi="Wingdings"/>
          <w:noProof/>
        </w:rPr>
        <w:t>¨</w:t>
      </w:r>
      <w:r>
        <w:rPr>
          <w:noProof/>
        </w:rPr>
        <w:tab/>
        <w:t>Propunerea/inițiativa implică utilizarea de credite operaționale, conform explicațiilor de mai jos.</w:t>
      </w:r>
    </w:p>
    <w:p>
      <w:pPr>
        <w:pStyle w:val="ManualHeading3"/>
        <w:rPr>
          <w:noProof/>
        </w:rPr>
      </w:pPr>
      <w:bookmarkStart w:id="137" w:name="_Toc160804595"/>
      <w:bookmarkStart w:id="138" w:name="_Toc167220287"/>
      <w:bookmarkStart w:id="139" w:name="_Toc177549020"/>
      <w:r>
        <w:rPr>
          <w:noProof/>
        </w:rPr>
        <w:t>3.2.1.1.</w:t>
      </w:r>
      <w:r>
        <w:rPr>
          <w:noProof/>
        </w:rPr>
        <w:tab/>
        <w:t>Credite din bugetul votat</w:t>
      </w:r>
      <w:bookmarkEnd w:id="137"/>
      <w:bookmarkEnd w:id="138"/>
      <w:bookmarkEnd w:id="139"/>
    </w:p>
    <w:p>
      <w:pPr>
        <w:jc w:val="right"/>
        <w:rPr>
          <w:noProof/>
          <w:sz w:val="18"/>
          <w:szCs w:val="18"/>
        </w:rPr>
      </w:pPr>
      <w:r>
        <w:rPr>
          <w:noProof/>
          <w:sz w:val="18"/>
        </w:rPr>
        <w:t>Milioane EUR (cu trei zecimale)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tc>
          <w:tcPr>
            <w:tcW w:w="1739" w:type="pct"/>
            <w:shd w:val="thinDiagStripe" w:color="C0C0C0" w:fill="auto"/>
            <w:vAlign w:val="center"/>
          </w:tcPr>
          <w:p>
            <w:pPr>
              <w:spacing w:before="60" w:after="60"/>
              <w:jc w:val="center"/>
              <w:rPr>
                <w:b/>
                <w:noProof/>
              </w:rPr>
            </w:pPr>
            <w:r>
              <w:rPr>
                <w:b/>
                <w:noProof/>
                <w:sz w:val="22"/>
              </w:rPr>
              <w:t xml:space="preserve">Rubrica din cadrul financiar multianual </w:t>
            </w:r>
          </w:p>
        </w:tc>
        <w:tc>
          <w:tcPr>
            <w:tcW w:w="396" w:type="pct"/>
            <w:vAlign w:val="center"/>
          </w:tcPr>
          <w:p>
            <w:pPr>
              <w:spacing w:before="60" w:after="60"/>
              <w:jc w:val="center"/>
              <w:rPr>
                <w:noProof/>
              </w:rPr>
            </w:pPr>
            <w:r>
              <w:rPr>
                <w:noProof/>
                <w:sz w:val="22"/>
              </w:rPr>
              <w:t>Numărul</w:t>
            </w:r>
          </w:p>
        </w:tc>
        <w:tc>
          <w:tcPr>
            <w:tcW w:w="2865" w:type="pct"/>
            <w:vAlign w:val="center"/>
          </w:tcPr>
          <w:p>
            <w:pPr>
              <w:spacing w:before="60" w:after="60"/>
              <w:rPr>
                <w:noProof/>
              </w:rPr>
            </w:pPr>
          </w:p>
        </w:tc>
      </w:tr>
    </w:tbl>
    <w:p>
      <w:pPr>
        <w:rPr>
          <w:noProof/>
          <w:sz w:val="16"/>
        </w:rPr>
      </w:pPr>
    </w:p>
    <w:tbl>
      <w:tblPr>
        <w:tblW w:w="5000" w:type="pct"/>
        <w:tblLook w:val="04A0" w:firstRow="1" w:lastRow="0" w:firstColumn="1" w:lastColumn="0" w:noHBand="0" w:noVBand="1"/>
      </w:tblPr>
      <w:tblGrid>
        <w:gridCol w:w="4013"/>
        <w:gridCol w:w="23"/>
        <w:gridCol w:w="1482"/>
        <w:gridCol w:w="23"/>
        <w:gridCol w:w="1376"/>
        <w:gridCol w:w="34"/>
        <w:gridCol w:w="1368"/>
        <w:gridCol w:w="43"/>
        <w:gridCol w:w="1359"/>
        <w:gridCol w:w="51"/>
        <w:gridCol w:w="1351"/>
        <w:gridCol w:w="60"/>
        <w:gridCol w:w="1342"/>
        <w:gridCol w:w="17"/>
        <w:gridCol w:w="1678"/>
      </w:tblGrid>
      <w:tr>
        <w:trPr>
          <w:trHeight w:val="420"/>
        </w:trPr>
        <w:tc>
          <w:tcPr>
            <w:tcW w:w="2444" w:type="pct"/>
            <w:gridSpan w:val="6"/>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noProof/>
                <w:color w:val="000000"/>
                <w:sz w:val="22"/>
              </w:rPr>
            </w:pPr>
            <w:r>
              <w:rPr>
                <w:noProof/>
                <w:color w:val="000000"/>
                <w:sz w:val="22"/>
              </w:rPr>
              <w:t>DG: &lt;…….&gt;</w:t>
            </w:r>
          </w:p>
        </w:tc>
        <w:tc>
          <w:tcPr>
            <w:tcW w:w="496"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496"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496"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478"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590" w:type="pct"/>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TOTAL CFM 2021-2027</w:t>
            </w:r>
          </w:p>
        </w:tc>
      </w:tr>
      <w:tr>
        <w:trPr>
          <w:trHeight w:val="288"/>
        </w:trPr>
        <w:tc>
          <w:tcPr>
            <w:tcW w:w="2444" w:type="pct"/>
            <w:gridSpan w:val="6"/>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noProof/>
                <w:color w:val="000000"/>
                <w:sz w:val="22"/>
                <w:lang w:eastAsia="en-IE"/>
              </w:rPr>
            </w:pPr>
          </w:p>
        </w:tc>
        <w:tc>
          <w:tcPr>
            <w:tcW w:w="496" w:type="pct"/>
            <w:gridSpan w:val="2"/>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2024</w:t>
            </w:r>
          </w:p>
        </w:tc>
        <w:tc>
          <w:tcPr>
            <w:tcW w:w="496" w:type="pct"/>
            <w:gridSpan w:val="2"/>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2025</w:t>
            </w:r>
          </w:p>
        </w:tc>
        <w:tc>
          <w:tcPr>
            <w:tcW w:w="496" w:type="pct"/>
            <w:gridSpan w:val="2"/>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2026</w:t>
            </w:r>
          </w:p>
        </w:tc>
        <w:tc>
          <w:tcPr>
            <w:tcW w:w="478" w:type="pct"/>
            <w:gridSpan w:val="2"/>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2027</w:t>
            </w:r>
          </w:p>
        </w:tc>
        <w:tc>
          <w:tcPr>
            <w:tcW w:w="590" w:type="pct"/>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b/>
                <w:bCs/>
                <w:noProof/>
                <w:color w:val="000000"/>
                <w:sz w:val="20"/>
                <w:szCs w:val="20"/>
                <w:lang w:eastAsia="en-IE"/>
              </w:rPr>
            </w:pPr>
          </w:p>
        </w:tc>
      </w:tr>
      <w:tr>
        <w:trPr>
          <w:trHeight w:val="300"/>
        </w:trPr>
        <w:tc>
          <w:tcPr>
            <w:tcW w:w="5000" w:type="pct"/>
            <w:gridSpan w:val="15"/>
            <w:tcBorders>
              <w:top w:val="single" w:sz="8" w:space="0" w:color="auto"/>
              <w:left w:val="single" w:sz="8" w:space="0" w:color="auto"/>
              <w:bottom w:val="single" w:sz="8" w:space="0" w:color="auto"/>
              <w:right w:val="single" w:sz="8" w:space="0" w:color="auto"/>
            </w:tcBorders>
            <w:vAlign w:val="center"/>
            <w:hideMark/>
          </w:tcPr>
          <w:p>
            <w:pPr>
              <w:spacing w:before="0" w:after="0"/>
              <w:jc w:val="left"/>
              <w:rPr>
                <w:noProof/>
                <w:color w:val="000000"/>
                <w:sz w:val="21"/>
                <w:szCs w:val="21"/>
              </w:rPr>
            </w:pPr>
            <w:r>
              <w:rPr>
                <w:noProof/>
                <w:color w:val="000000"/>
                <w:sz w:val="21"/>
              </w:rPr>
              <w:t xml:space="preserve">Credite operaționale </w:t>
            </w:r>
          </w:p>
        </w:tc>
      </w:tr>
      <w:tr>
        <w:trPr>
          <w:trHeight w:val="288"/>
        </w:trPr>
        <w:tc>
          <w:tcPr>
            <w:tcW w:w="1419" w:type="pct"/>
            <w:gridSpan w:val="2"/>
            <w:vMerge w:val="restart"/>
            <w:tcBorders>
              <w:top w:val="nil"/>
              <w:left w:val="single" w:sz="8" w:space="0" w:color="auto"/>
              <w:bottom w:val="single" w:sz="8" w:space="0" w:color="auto"/>
              <w:right w:val="single" w:sz="8" w:space="0" w:color="auto"/>
            </w:tcBorders>
            <w:noWrap/>
            <w:vAlign w:val="center"/>
            <w:hideMark/>
          </w:tcPr>
          <w:p>
            <w:pPr>
              <w:spacing w:before="0" w:after="0"/>
              <w:jc w:val="left"/>
              <w:rPr>
                <w:noProof/>
                <w:color w:val="000000"/>
                <w:sz w:val="22"/>
              </w:rPr>
            </w:pPr>
            <w:r>
              <w:rPr>
                <w:noProof/>
                <w:color w:val="000000"/>
                <w:sz w:val="22"/>
              </w:rPr>
              <w:t>Linia bugetară</w:t>
            </w:r>
          </w:p>
        </w:tc>
        <w:tc>
          <w:tcPr>
            <w:tcW w:w="529"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Angajamente</w:t>
            </w:r>
          </w:p>
        </w:tc>
        <w:tc>
          <w:tcPr>
            <w:tcW w:w="496"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(1a)</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78"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590"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315"/>
        </w:trPr>
        <w:tc>
          <w:tcPr>
            <w:tcW w:w="1419" w:type="pct"/>
            <w:gridSpan w:val="2"/>
            <w:vMerge/>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22"/>
                <w:lang w:eastAsia="en-IE"/>
              </w:rPr>
            </w:pPr>
          </w:p>
        </w:tc>
        <w:tc>
          <w:tcPr>
            <w:tcW w:w="529"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Plăți</w:t>
            </w:r>
          </w:p>
        </w:tc>
        <w:tc>
          <w:tcPr>
            <w:tcW w:w="496"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(2a)</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78"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590"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315"/>
        </w:trPr>
        <w:tc>
          <w:tcPr>
            <w:tcW w:w="1419" w:type="pct"/>
            <w:gridSpan w:val="2"/>
            <w:vMerge w:val="restart"/>
            <w:tcBorders>
              <w:top w:val="nil"/>
              <w:left w:val="single" w:sz="8" w:space="0" w:color="auto"/>
              <w:bottom w:val="single" w:sz="8" w:space="0" w:color="auto"/>
              <w:right w:val="single" w:sz="8" w:space="0" w:color="auto"/>
            </w:tcBorders>
            <w:vAlign w:val="center"/>
            <w:hideMark/>
          </w:tcPr>
          <w:p>
            <w:pPr>
              <w:spacing w:before="0" w:after="0"/>
              <w:rPr>
                <w:noProof/>
                <w:color w:val="000000"/>
                <w:sz w:val="20"/>
                <w:szCs w:val="20"/>
              </w:rPr>
            </w:pPr>
            <w:r>
              <w:rPr>
                <w:noProof/>
                <w:color w:val="000000"/>
                <w:sz w:val="20"/>
              </w:rPr>
              <w:t>Linia bugetară</w:t>
            </w:r>
          </w:p>
        </w:tc>
        <w:tc>
          <w:tcPr>
            <w:tcW w:w="529"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Angajamente</w:t>
            </w:r>
          </w:p>
        </w:tc>
        <w:tc>
          <w:tcPr>
            <w:tcW w:w="496"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(1b)</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78"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590"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315"/>
        </w:trPr>
        <w:tc>
          <w:tcPr>
            <w:tcW w:w="1419" w:type="pct"/>
            <w:gridSpan w:val="2"/>
            <w:vMerge/>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20"/>
                <w:szCs w:val="20"/>
                <w:lang w:eastAsia="en-IE"/>
              </w:rPr>
            </w:pPr>
          </w:p>
        </w:tc>
        <w:tc>
          <w:tcPr>
            <w:tcW w:w="529"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Plăți</w:t>
            </w:r>
          </w:p>
        </w:tc>
        <w:tc>
          <w:tcPr>
            <w:tcW w:w="496"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(2b)</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78"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590"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288"/>
        </w:trPr>
        <w:tc>
          <w:tcPr>
            <w:tcW w:w="5000" w:type="pct"/>
            <w:gridSpan w:val="15"/>
            <w:tcBorders>
              <w:top w:val="single" w:sz="8" w:space="0" w:color="auto"/>
              <w:left w:val="single" w:sz="8" w:space="0" w:color="auto"/>
              <w:bottom w:val="single" w:sz="8" w:space="0" w:color="auto"/>
              <w:right w:val="single" w:sz="8" w:space="0" w:color="auto"/>
            </w:tcBorders>
            <w:noWrap/>
            <w:vAlign w:val="bottom"/>
            <w:hideMark/>
          </w:tcPr>
          <w:p>
            <w:pPr>
              <w:spacing w:before="0" w:after="0"/>
              <w:jc w:val="left"/>
              <w:rPr>
                <w:noProof/>
                <w:color w:val="000000"/>
                <w:sz w:val="22"/>
              </w:rPr>
            </w:pPr>
            <w:r>
              <w:rPr>
                <w:noProof/>
                <w:color w:val="000000"/>
                <w:sz w:val="22"/>
              </w:rPr>
              <w:t>Credite cu caracter administrativ finanțate din bugetul unor programe specifice</w:t>
            </w:r>
            <w:r>
              <w:rPr>
                <w:noProof/>
              </w:rPr>
              <w:t xml:space="preserve"> </w:t>
            </w:r>
          </w:p>
        </w:tc>
      </w:tr>
      <w:tr>
        <w:trPr>
          <w:trHeight w:val="288"/>
        </w:trPr>
        <w:tc>
          <w:tcPr>
            <w:tcW w:w="1419" w:type="pct"/>
            <w:gridSpan w:val="2"/>
            <w:tcBorders>
              <w:top w:val="nil"/>
              <w:left w:val="single" w:sz="8" w:space="0" w:color="auto"/>
              <w:bottom w:val="single" w:sz="8" w:space="0" w:color="auto"/>
              <w:right w:val="single" w:sz="8" w:space="0" w:color="auto"/>
            </w:tcBorders>
            <w:vAlign w:val="center"/>
            <w:hideMark/>
          </w:tcPr>
          <w:p>
            <w:pPr>
              <w:spacing w:before="0" w:after="0"/>
              <w:rPr>
                <w:noProof/>
                <w:color w:val="000000"/>
                <w:sz w:val="20"/>
                <w:szCs w:val="20"/>
              </w:rPr>
            </w:pPr>
            <w:r>
              <w:rPr>
                <w:noProof/>
                <w:color w:val="000000"/>
                <w:sz w:val="20"/>
              </w:rPr>
              <w:t>Linia bugetară</w:t>
            </w:r>
          </w:p>
        </w:tc>
        <w:tc>
          <w:tcPr>
            <w:tcW w:w="529"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18"/>
                <w:szCs w:val="18"/>
              </w:rPr>
            </w:pPr>
            <w:r>
              <w:rPr>
                <w:noProof/>
                <w:color w:val="000000"/>
                <w:sz w:val="18"/>
              </w:rPr>
              <w:t xml:space="preserve"> </w:t>
            </w:r>
          </w:p>
        </w:tc>
        <w:tc>
          <w:tcPr>
            <w:tcW w:w="496"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(3)</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rPr>
            </w:pPr>
            <w:r>
              <w:rPr>
                <w:b/>
                <w:noProof/>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rPr>
            </w:pPr>
            <w:r>
              <w:rPr>
                <w:b/>
                <w:noProof/>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rPr>
            </w:pPr>
            <w:r>
              <w:rPr>
                <w:b/>
                <w:noProof/>
                <w:color w:val="000000"/>
                <w:sz w:val="20"/>
              </w:rPr>
              <w:t xml:space="preserve"> </w:t>
            </w:r>
          </w:p>
        </w:tc>
        <w:tc>
          <w:tcPr>
            <w:tcW w:w="478" w:type="pct"/>
            <w:gridSpan w:val="2"/>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rPr>
            </w:pPr>
            <w:r>
              <w:rPr>
                <w:b/>
                <w:noProof/>
                <w:color w:val="000000"/>
                <w:sz w:val="20"/>
              </w:rPr>
              <w:t xml:space="preserve"> </w:t>
            </w:r>
          </w:p>
        </w:tc>
        <w:tc>
          <w:tcPr>
            <w:tcW w:w="590"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288"/>
        </w:trPr>
        <w:tc>
          <w:tcPr>
            <w:tcW w:w="1419" w:type="pct"/>
            <w:gridSpan w:val="2"/>
            <w:vMerge w:val="restart"/>
            <w:tcBorders>
              <w:top w:val="nil"/>
              <w:left w:val="single" w:sz="8" w:space="0" w:color="auto"/>
              <w:right w:val="single" w:sz="8" w:space="0" w:color="auto"/>
            </w:tcBorders>
            <w:vAlign w:val="center"/>
            <w:hideMark/>
          </w:tcPr>
          <w:p>
            <w:pPr>
              <w:spacing w:before="0" w:after="0"/>
              <w:jc w:val="center"/>
              <w:rPr>
                <w:b/>
                <w:bCs/>
                <w:noProof/>
                <w:color w:val="000000"/>
                <w:sz w:val="22"/>
              </w:rPr>
            </w:pPr>
            <w:r>
              <w:rPr>
                <w:b/>
                <w:noProof/>
                <w:color w:val="000000"/>
                <w:sz w:val="22"/>
              </w:rPr>
              <w:t>TOTAL credite</w:t>
            </w:r>
          </w:p>
          <w:p>
            <w:pPr>
              <w:spacing w:before="0" w:after="0"/>
              <w:jc w:val="center"/>
              <w:rPr>
                <w:b/>
                <w:bCs/>
                <w:noProof/>
                <w:color w:val="000000"/>
                <w:sz w:val="22"/>
              </w:rPr>
            </w:pPr>
            <w:r>
              <w:rPr>
                <w:b/>
                <w:noProof/>
                <w:color w:val="000000"/>
                <w:sz w:val="22"/>
              </w:rPr>
              <w:t>pentru DG</w:t>
            </w:r>
            <w:r>
              <w:rPr>
                <w:noProof/>
                <w:color w:val="000000"/>
                <w:sz w:val="22"/>
              </w:rPr>
              <w:t xml:space="preserve"> &lt;….&gt;</w:t>
            </w:r>
          </w:p>
        </w:tc>
        <w:tc>
          <w:tcPr>
            <w:tcW w:w="529"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Angajamente</w:t>
            </w:r>
          </w:p>
        </w:tc>
        <w:tc>
          <w:tcPr>
            <w:tcW w:w="496"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=1a+1b+3</w:t>
            </w:r>
          </w:p>
        </w:tc>
        <w:tc>
          <w:tcPr>
            <w:tcW w:w="496"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78"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590"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288"/>
        </w:trPr>
        <w:tc>
          <w:tcPr>
            <w:tcW w:w="1419" w:type="pct"/>
            <w:gridSpan w:val="2"/>
            <w:vMerge/>
            <w:tcBorders>
              <w:left w:val="single" w:sz="8" w:space="0" w:color="auto"/>
              <w:bottom w:val="single" w:sz="4" w:space="0" w:color="auto"/>
              <w:right w:val="single" w:sz="8" w:space="0" w:color="auto"/>
            </w:tcBorders>
            <w:vAlign w:val="center"/>
            <w:hideMark/>
          </w:tcPr>
          <w:p>
            <w:pPr>
              <w:spacing w:before="0" w:after="0"/>
              <w:jc w:val="center"/>
              <w:rPr>
                <w:b/>
                <w:bCs/>
                <w:noProof/>
                <w:color w:val="000000"/>
                <w:sz w:val="22"/>
                <w:lang w:eastAsia="en-IE"/>
              </w:rPr>
            </w:pPr>
          </w:p>
        </w:tc>
        <w:tc>
          <w:tcPr>
            <w:tcW w:w="529" w:type="pct"/>
            <w:gridSpan w:val="2"/>
            <w:tcBorders>
              <w:top w:val="nil"/>
              <w:left w:val="single" w:sz="8" w:space="0" w:color="auto"/>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Plăți</w:t>
            </w:r>
          </w:p>
        </w:tc>
        <w:tc>
          <w:tcPr>
            <w:tcW w:w="496"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=2a+2b+3</w:t>
            </w:r>
          </w:p>
        </w:tc>
        <w:tc>
          <w:tcPr>
            <w:tcW w:w="496"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78"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590"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420"/>
        </w:trPr>
        <w:tc>
          <w:tcPr>
            <w:tcW w:w="2444" w:type="pct"/>
            <w:gridSpan w:val="6"/>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noProof/>
                <w:color w:val="000000"/>
                <w:sz w:val="22"/>
              </w:rPr>
            </w:pPr>
            <w:r>
              <w:rPr>
                <w:noProof/>
                <w:color w:val="000000"/>
                <w:sz w:val="22"/>
              </w:rPr>
              <w:t>DG: &lt;…….&gt;</w:t>
            </w:r>
          </w:p>
        </w:tc>
        <w:tc>
          <w:tcPr>
            <w:tcW w:w="496"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496"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496"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478"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590" w:type="pct"/>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TOTAL CFM 2021-2027</w:t>
            </w:r>
          </w:p>
        </w:tc>
      </w:tr>
      <w:tr>
        <w:trPr>
          <w:trHeight w:val="288"/>
        </w:trPr>
        <w:tc>
          <w:tcPr>
            <w:tcW w:w="2444" w:type="pct"/>
            <w:gridSpan w:val="6"/>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noProof/>
                <w:color w:val="000000"/>
                <w:sz w:val="22"/>
                <w:lang w:eastAsia="en-IE"/>
              </w:rPr>
            </w:pPr>
          </w:p>
        </w:tc>
        <w:tc>
          <w:tcPr>
            <w:tcW w:w="496" w:type="pct"/>
            <w:gridSpan w:val="2"/>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2024</w:t>
            </w:r>
          </w:p>
        </w:tc>
        <w:tc>
          <w:tcPr>
            <w:tcW w:w="496" w:type="pct"/>
            <w:gridSpan w:val="2"/>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2025</w:t>
            </w:r>
          </w:p>
        </w:tc>
        <w:tc>
          <w:tcPr>
            <w:tcW w:w="496" w:type="pct"/>
            <w:gridSpan w:val="2"/>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2026</w:t>
            </w:r>
          </w:p>
        </w:tc>
        <w:tc>
          <w:tcPr>
            <w:tcW w:w="478" w:type="pct"/>
            <w:gridSpan w:val="2"/>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2027</w:t>
            </w:r>
          </w:p>
        </w:tc>
        <w:tc>
          <w:tcPr>
            <w:tcW w:w="590" w:type="pct"/>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b/>
                <w:bCs/>
                <w:noProof/>
                <w:color w:val="000000"/>
                <w:sz w:val="20"/>
                <w:szCs w:val="20"/>
                <w:lang w:eastAsia="en-IE"/>
              </w:rPr>
            </w:pPr>
          </w:p>
        </w:tc>
      </w:tr>
      <w:tr>
        <w:trPr>
          <w:trHeight w:val="300"/>
        </w:trPr>
        <w:tc>
          <w:tcPr>
            <w:tcW w:w="5000" w:type="pct"/>
            <w:gridSpan w:val="15"/>
            <w:tcBorders>
              <w:top w:val="single" w:sz="8" w:space="0" w:color="auto"/>
              <w:left w:val="single" w:sz="8" w:space="0" w:color="auto"/>
              <w:bottom w:val="single" w:sz="8" w:space="0" w:color="auto"/>
              <w:right w:val="single" w:sz="8" w:space="0" w:color="auto"/>
            </w:tcBorders>
            <w:vAlign w:val="center"/>
            <w:hideMark/>
          </w:tcPr>
          <w:p>
            <w:pPr>
              <w:spacing w:before="0" w:after="0"/>
              <w:jc w:val="left"/>
              <w:rPr>
                <w:noProof/>
                <w:color w:val="000000"/>
                <w:sz w:val="21"/>
                <w:szCs w:val="21"/>
              </w:rPr>
            </w:pPr>
            <w:r>
              <w:rPr>
                <w:noProof/>
                <w:color w:val="000000"/>
                <w:sz w:val="21"/>
              </w:rPr>
              <w:t xml:space="preserve">Credite operaționale </w:t>
            </w:r>
          </w:p>
        </w:tc>
      </w:tr>
      <w:tr>
        <w:trPr>
          <w:trHeight w:val="288"/>
        </w:trPr>
        <w:tc>
          <w:tcPr>
            <w:tcW w:w="1419" w:type="pct"/>
            <w:gridSpan w:val="2"/>
            <w:vMerge w:val="restart"/>
            <w:tcBorders>
              <w:top w:val="nil"/>
              <w:left w:val="single" w:sz="8" w:space="0" w:color="auto"/>
              <w:bottom w:val="single" w:sz="8" w:space="0" w:color="auto"/>
              <w:right w:val="single" w:sz="8" w:space="0" w:color="auto"/>
            </w:tcBorders>
            <w:noWrap/>
            <w:vAlign w:val="center"/>
            <w:hideMark/>
          </w:tcPr>
          <w:p>
            <w:pPr>
              <w:spacing w:before="0" w:after="0"/>
              <w:jc w:val="left"/>
              <w:rPr>
                <w:noProof/>
                <w:color w:val="000000"/>
                <w:sz w:val="22"/>
              </w:rPr>
            </w:pPr>
            <w:r>
              <w:rPr>
                <w:noProof/>
                <w:color w:val="000000"/>
                <w:sz w:val="22"/>
              </w:rPr>
              <w:t>Linia bugetară</w:t>
            </w:r>
          </w:p>
        </w:tc>
        <w:tc>
          <w:tcPr>
            <w:tcW w:w="529"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Angajamente</w:t>
            </w:r>
          </w:p>
        </w:tc>
        <w:tc>
          <w:tcPr>
            <w:tcW w:w="496"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(1a)</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78"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590"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315"/>
        </w:trPr>
        <w:tc>
          <w:tcPr>
            <w:tcW w:w="1419" w:type="pct"/>
            <w:gridSpan w:val="2"/>
            <w:vMerge/>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22"/>
                <w:lang w:eastAsia="en-IE"/>
              </w:rPr>
            </w:pPr>
          </w:p>
        </w:tc>
        <w:tc>
          <w:tcPr>
            <w:tcW w:w="529"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Plăți</w:t>
            </w:r>
          </w:p>
        </w:tc>
        <w:tc>
          <w:tcPr>
            <w:tcW w:w="496"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(2a)</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78"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590"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315"/>
        </w:trPr>
        <w:tc>
          <w:tcPr>
            <w:tcW w:w="1419" w:type="pct"/>
            <w:gridSpan w:val="2"/>
            <w:vMerge w:val="restart"/>
            <w:tcBorders>
              <w:top w:val="nil"/>
              <w:left w:val="single" w:sz="8" w:space="0" w:color="auto"/>
              <w:bottom w:val="single" w:sz="8" w:space="0" w:color="auto"/>
              <w:right w:val="single" w:sz="8" w:space="0" w:color="auto"/>
            </w:tcBorders>
            <w:vAlign w:val="center"/>
            <w:hideMark/>
          </w:tcPr>
          <w:p>
            <w:pPr>
              <w:spacing w:before="0" w:after="0"/>
              <w:rPr>
                <w:noProof/>
                <w:color w:val="000000"/>
                <w:sz w:val="20"/>
                <w:szCs w:val="20"/>
              </w:rPr>
            </w:pPr>
            <w:r>
              <w:rPr>
                <w:noProof/>
                <w:color w:val="000000"/>
                <w:sz w:val="20"/>
              </w:rPr>
              <w:t>Linia bugetară</w:t>
            </w:r>
          </w:p>
        </w:tc>
        <w:tc>
          <w:tcPr>
            <w:tcW w:w="529"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Angajamente</w:t>
            </w:r>
          </w:p>
        </w:tc>
        <w:tc>
          <w:tcPr>
            <w:tcW w:w="496"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(1b)</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78"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590"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315"/>
        </w:trPr>
        <w:tc>
          <w:tcPr>
            <w:tcW w:w="1419" w:type="pct"/>
            <w:gridSpan w:val="2"/>
            <w:vMerge/>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20"/>
                <w:szCs w:val="20"/>
                <w:lang w:eastAsia="en-IE"/>
              </w:rPr>
            </w:pPr>
          </w:p>
        </w:tc>
        <w:tc>
          <w:tcPr>
            <w:tcW w:w="529"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Plăți</w:t>
            </w:r>
          </w:p>
        </w:tc>
        <w:tc>
          <w:tcPr>
            <w:tcW w:w="496"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(2b)</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78"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590"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288"/>
        </w:trPr>
        <w:tc>
          <w:tcPr>
            <w:tcW w:w="5000" w:type="pct"/>
            <w:gridSpan w:val="15"/>
            <w:tcBorders>
              <w:top w:val="single" w:sz="8" w:space="0" w:color="auto"/>
              <w:left w:val="single" w:sz="8" w:space="0" w:color="auto"/>
              <w:bottom w:val="single" w:sz="8" w:space="0" w:color="auto"/>
              <w:right w:val="single" w:sz="8" w:space="0" w:color="auto"/>
            </w:tcBorders>
            <w:noWrap/>
            <w:vAlign w:val="bottom"/>
            <w:hideMark/>
          </w:tcPr>
          <w:p>
            <w:pPr>
              <w:spacing w:before="0" w:after="0"/>
              <w:jc w:val="left"/>
              <w:rPr>
                <w:noProof/>
                <w:color w:val="000000"/>
                <w:sz w:val="22"/>
              </w:rPr>
            </w:pPr>
            <w:r>
              <w:rPr>
                <w:noProof/>
                <w:color w:val="000000"/>
                <w:sz w:val="22"/>
              </w:rPr>
              <w:t>Credite cu caracter administrativ finanțate din bugetul unor programe specifice</w:t>
            </w:r>
            <w:r>
              <w:rPr>
                <w:noProof/>
              </w:rPr>
              <w:t xml:space="preserve"> </w:t>
            </w:r>
          </w:p>
        </w:tc>
      </w:tr>
      <w:tr>
        <w:trPr>
          <w:trHeight w:val="288"/>
        </w:trPr>
        <w:tc>
          <w:tcPr>
            <w:tcW w:w="1419" w:type="pct"/>
            <w:gridSpan w:val="2"/>
            <w:tcBorders>
              <w:top w:val="nil"/>
              <w:left w:val="single" w:sz="8" w:space="0" w:color="auto"/>
              <w:bottom w:val="single" w:sz="8" w:space="0" w:color="auto"/>
              <w:right w:val="single" w:sz="8" w:space="0" w:color="auto"/>
            </w:tcBorders>
            <w:vAlign w:val="center"/>
            <w:hideMark/>
          </w:tcPr>
          <w:p>
            <w:pPr>
              <w:spacing w:before="0" w:after="0"/>
              <w:rPr>
                <w:noProof/>
                <w:color w:val="000000"/>
                <w:sz w:val="20"/>
                <w:szCs w:val="20"/>
              </w:rPr>
            </w:pPr>
            <w:r>
              <w:rPr>
                <w:noProof/>
                <w:color w:val="000000"/>
                <w:sz w:val="20"/>
              </w:rPr>
              <w:t>Linia bugetară</w:t>
            </w:r>
          </w:p>
        </w:tc>
        <w:tc>
          <w:tcPr>
            <w:tcW w:w="529"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18"/>
                <w:szCs w:val="18"/>
              </w:rPr>
            </w:pPr>
            <w:r>
              <w:rPr>
                <w:noProof/>
                <w:color w:val="000000"/>
                <w:sz w:val="18"/>
              </w:rPr>
              <w:t xml:space="preserve"> </w:t>
            </w:r>
          </w:p>
        </w:tc>
        <w:tc>
          <w:tcPr>
            <w:tcW w:w="496"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(3)</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rPr>
            </w:pPr>
            <w:r>
              <w:rPr>
                <w:b/>
                <w:noProof/>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rPr>
            </w:pPr>
            <w:r>
              <w:rPr>
                <w:b/>
                <w:noProof/>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rPr>
            </w:pPr>
            <w:r>
              <w:rPr>
                <w:b/>
                <w:noProof/>
                <w:color w:val="000000"/>
                <w:sz w:val="20"/>
              </w:rPr>
              <w:t xml:space="preserve"> </w:t>
            </w:r>
          </w:p>
        </w:tc>
        <w:tc>
          <w:tcPr>
            <w:tcW w:w="478" w:type="pct"/>
            <w:gridSpan w:val="2"/>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rPr>
            </w:pPr>
            <w:r>
              <w:rPr>
                <w:b/>
                <w:noProof/>
                <w:color w:val="000000"/>
                <w:sz w:val="20"/>
              </w:rPr>
              <w:t xml:space="preserve"> </w:t>
            </w:r>
          </w:p>
        </w:tc>
        <w:tc>
          <w:tcPr>
            <w:tcW w:w="590"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288"/>
        </w:trPr>
        <w:tc>
          <w:tcPr>
            <w:tcW w:w="1419" w:type="pct"/>
            <w:gridSpan w:val="2"/>
            <w:vMerge w:val="restart"/>
            <w:tcBorders>
              <w:top w:val="nil"/>
              <w:left w:val="single" w:sz="8" w:space="0" w:color="auto"/>
              <w:right w:val="single" w:sz="8" w:space="0" w:color="auto"/>
            </w:tcBorders>
            <w:vAlign w:val="center"/>
            <w:hideMark/>
          </w:tcPr>
          <w:p>
            <w:pPr>
              <w:spacing w:before="0" w:after="0"/>
              <w:jc w:val="center"/>
              <w:rPr>
                <w:b/>
                <w:bCs/>
                <w:noProof/>
                <w:color w:val="000000"/>
                <w:sz w:val="22"/>
              </w:rPr>
            </w:pPr>
            <w:r>
              <w:rPr>
                <w:b/>
                <w:noProof/>
                <w:color w:val="000000"/>
                <w:sz w:val="22"/>
              </w:rPr>
              <w:t>TOTAL credite</w:t>
            </w:r>
          </w:p>
          <w:p>
            <w:pPr>
              <w:spacing w:before="0" w:after="0"/>
              <w:jc w:val="center"/>
              <w:rPr>
                <w:b/>
                <w:bCs/>
                <w:noProof/>
                <w:color w:val="000000"/>
                <w:sz w:val="22"/>
              </w:rPr>
            </w:pPr>
            <w:r>
              <w:rPr>
                <w:b/>
                <w:noProof/>
                <w:color w:val="000000"/>
                <w:sz w:val="22"/>
              </w:rPr>
              <w:t>pentru DG</w:t>
            </w:r>
            <w:r>
              <w:rPr>
                <w:noProof/>
                <w:color w:val="000000"/>
                <w:sz w:val="22"/>
              </w:rPr>
              <w:t xml:space="preserve"> &lt;….&gt;</w:t>
            </w:r>
          </w:p>
        </w:tc>
        <w:tc>
          <w:tcPr>
            <w:tcW w:w="529"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Angajamente</w:t>
            </w:r>
          </w:p>
        </w:tc>
        <w:tc>
          <w:tcPr>
            <w:tcW w:w="496"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=1a+1b+3</w:t>
            </w:r>
          </w:p>
        </w:tc>
        <w:tc>
          <w:tcPr>
            <w:tcW w:w="496"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78"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590"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288"/>
        </w:trPr>
        <w:tc>
          <w:tcPr>
            <w:tcW w:w="1419" w:type="pct"/>
            <w:gridSpan w:val="2"/>
            <w:vMerge/>
            <w:tcBorders>
              <w:left w:val="single" w:sz="8" w:space="0" w:color="auto"/>
              <w:bottom w:val="single" w:sz="8" w:space="0" w:color="auto"/>
              <w:right w:val="single" w:sz="8" w:space="0" w:color="auto"/>
            </w:tcBorders>
            <w:vAlign w:val="center"/>
            <w:hideMark/>
          </w:tcPr>
          <w:p>
            <w:pPr>
              <w:spacing w:before="0" w:after="0"/>
              <w:jc w:val="center"/>
              <w:rPr>
                <w:b/>
                <w:bCs/>
                <w:noProof/>
                <w:color w:val="000000"/>
                <w:sz w:val="22"/>
                <w:lang w:eastAsia="en-IE"/>
              </w:rPr>
            </w:pPr>
          </w:p>
        </w:tc>
        <w:tc>
          <w:tcPr>
            <w:tcW w:w="529"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Plăți</w:t>
            </w:r>
          </w:p>
        </w:tc>
        <w:tc>
          <w:tcPr>
            <w:tcW w:w="496"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=2a+2b+3</w:t>
            </w:r>
          </w:p>
        </w:tc>
        <w:tc>
          <w:tcPr>
            <w:tcW w:w="496"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78"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590"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300"/>
        </w:trPr>
        <w:tc>
          <w:tcPr>
            <w:tcW w:w="2432" w:type="pct"/>
            <w:gridSpan w:val="5"/>
            <w:vMerge w:val="restart"/>
            <w:tcBorders>
              <w:top w:val="single" w:sz="8" w:space="0" w:color="auto"/>
              <w:left w:val="single" w:sz="8" w:space="0" w:color="auto"/>
              <w:bottom w:val="single" w:sz="8" w:space="0" w:color="000000"/>
              <w:right w:val="single" w:sz="8" w:space="0" w:color="000000"/>
            </w:tcBorders>
            <w:vAlign w:val="center"/>
            <w:hideMark/>
          </w:tcPr>
          <w:p>
            <w:pPr>
              <w:spacing w:before="0" w:after="0"/>
              <w:jc w:val="center"/>
              <w:rPr>
                <w:b/>
                <w:bCs/>
                <w:noProof/>
                <w:color w:val="000000"/>
                <w:sz w:val="22"/>
              </w:rPr>
            </w:pPr>
            <w:r>
              <w:rPr>
                <w:b/>
                <w:noProof/>
                <w:color w:val="000000"/>
                <w:sz w:val="22"/>
              </w:rPr>
              <w:t xml:space="preserve"> </w:t>
            </w:r>
          </w:p>
        </w:tc>
        <w:tc>
          <w:tcPr>
            <w:tcW w:w="493"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493"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493"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493"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596" w:type="pct"/>
            <w:gridSpan w:val="2"/>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TOTAL CFM 2021-2027</w:t>
            </w:r>
          </w:p>
        </w:tc>
      </w:tr>
      <w:tr>
        <w:trPr>
          <w:trHeight w:val="300"/>
        </w:trPr>
        <w:tc>
          <w:tcPr>
            <w:tcW w:w="2432" w:type="pct"/>
            <w:gridSpan w:val="5"/>
            <w:vMerge/>
            <w:tcBorders>
              <w:top w:val="single" w:sz="8" w:space="0" w:color="auto"/>
              <w:left w:val="single" w:sz="8" w:space="0" w:color="auto"/>
              <w:bottom w:val="single" w:sz="8" w:space="0" w:color="000000"/>
              <w:right w:val="single" w:sz="8" w:space="0" w:color="000000"/>
            </w:tcBorders>
            <w:vAlign w:val="center"/>
            <w:hideMark/>
          </w:tcPr>
          <w:p>
            <w:pPr>
              <w:spacing w:before="0" w:after="0"/>
              <w:jc w:val="left"/>
              <w:rPr>
                <w:b/>
                <w:bCs/>
                <w:noProof/>
                <w:color w:val="000000"/>
                <w:sz w:val="22"/>
                <w:lang w:eastAsia="en-IE"/>
              </w:rPr>
            </w:pPr>
          </w:p>
        </w:tc>
        <w:tc>
          <w:tcPr>
            <w:tcW w:w="493" w:type="pct"/>
            <w:gridSpan w:val="2"/>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2024</w:t>
            </w:r>
          </w:p>
        </w:tc>
        <w:tc>
          <w:tcPr>
            <w:tcW w:w="493" w:type="pct"/>
            <w:gridSpan w:val="2"/>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2025</w:t>
            </w:r>
          </w:p>
        </w:tc>
        <w:tc>
          <w:tcPr>
            <w:tcW w:w="493" w:type="pct"/>
            <w:gridSpan w:val="2"/>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2026</w:t>
            </w:r>
          </w:p>
        </w:tc>
        <w:tc>
          <w:tcPr>
            <w:tcW w:w="493" w:type="pct"/>
            <w:gridSpan w:val="2"/>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2027</w:t>
            </w:r>
          </w:p>
        </w:tc>
        <w:tc>
          <w:tcPr>
            <w:tcW w:w="596" w:type="pct"/>
            <w:gridSpan w:val="2"/>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b/>
                <w:bCs/>
                <w:noProof/>
                <w:color w:val="000000"/>
                <w:sz w:val="20"/>
                <w:szCs w:val="20"/>
                <w:lang w:eastAsia="en-IE"/>
              </w:rPr>
            </w:pPr>
          </w:p>
        </w:tc>
      </w:tr>
      <w:tr>
        <w:trPr>
          <w:trHeight w:val="432"/>
        </w:trPr>
        <w:tc>
          <w:tcPr>
            <w:tcW w:w="1411" w:type="pct"/>
            <w:vMerge w:val="restart"/>
            <w:tcBorders>
              <w:top w:val="nil"/>
              <w:left w:val="single" w:sz="8" w:space="0" w:color="auto"/>
              <w:bottom w:val="single" w:sz="8" w:space="0" w:color="auto"/>
              <w:right w:val="single" w:sz="8" w:space="0" w:color="auto"/>
            </w:tcBorders>
            <w:vAlign w:val="center"/>
            <w:hideMark/>
          </w:tcPr>
          <w:p>
            <w:pPr>
              <w:spacing w:before="0" w:after="0"/>
              <w:rPr>
                <w:noProof/>
                <w:color w:val="000000"/>
                <w:sz w:val="21"/>
                <w:szCs w:val="21"/>
              </w:rPr>
            </w:pPr>
            <w:r>
              <w:rPr>
                <w:noProof/>
                <w:color w:val="000000"/>
                <w:sz w:val="21"/>
              </w:rPr>
              <w:t xml:space="preserve">TOTAL credite operaționale </w:t>
            </w:r>
            <w:r>
              <w:rPr>
                <w:noProof/>
              </w:rPr>
              <w:t xml:space="preserve"> </w:t>
            </w:r>
            <w:r>
              <w:rPr>
                <w:noProof/>
              </w:rPr>
              <w:br/>
            </w:r>
          </w:p>
        </w:tc>
        <w:tc>
          <w:tcPr>
            <w:tcW w:w="529"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Angajamente</w:t>
            </w:r>
          </w:p>
        </w:tc>
        <w:tc>
          <w:tcPr>
            <w:tcW w:w="492"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(4)</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456"/>
        </w:trPr>
        <w:tc>
          <w:tcPr>
            <w:tcW w:w="1411" w:type="pct"/>
            <w:vMerge/>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21"/>
                <w:szCs w:val="21"/>
                <w:lang w:eastAsia="en-IE"/>
              </w:rPr>
            </w:pPr>
          </w:p>
        </w:tc>
        <w:tc>
          <w:tcPr>
            <w:tcW w:w="529"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Plăți</w:t>
            </w:r>
          </w:p>
        </w:tc>
        <w:tc>
          <w:tcPr>
            <w:tcW w:w="492"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(5)</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924"/>
        </w:trPr>
        <w:tc>
          <w:tcPr>
            <w:tcW w:w="1939" w:type="pct"/>
            <w:gridSpan w:val="3"/>
            <w:tcBorders>
              <w:top w:val="single" w:sz="8" w:space="0" w:color="auto"/>
              <w:left w:val="single" w:sz="8" w:space="0" w:color="auto"/>
              <w:bottom w:val="single" w:sz="8" w:space="0" w:color="auto"/>
              <w:right w:val="single" w:sz="8" w:space="0" w:color="auto"/>
            </w:tcBorders>
            <w:vAlign w:val="center"/>
            <w:hideMark/>
          </w:tcPr>
          <w:p>
            <w:pPr>
              <w:spacing w:before="0" w:after="0"/>
              <w:rPr>
                <w:noProof/>
                <w:color w:val="000000"/>
                <w:sz w:val="21"/>
                <w:szCs w:val="21"/>
              </w:rPr>
            </w:pPr>
            <w:r>
              <w:rPr>
                <w:noProof/>
                <w:color w:val="000000"/>
                <w:sz w:val="21"/>
              </w:rPr>
              <w:t xml:space="preserve">TOTAL credite cu caracter administrativ finanțate din bugetul unor programe specifice </w:t>
            </w:r>
          </w:p>
        </w:tc>
        <w:tc>
          <w:tcPr>
            <w:tcW w:w="492"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(6)</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564"/>
        </w:trPr>
        <w:tc>
          <w:tcPr>
            <w:tcW w:w="1411" w:type="pct"/>
            <w:tcBorders>
              <w:top w:val="nil"/>
              <w:left w:val="single" w:sz="8" w:space="0" w:color="auto"/>
              <w:bottom w:val="nil"/>
              <w:right w:val="single" w:sz="8" w:space="0" w:color="auto"/>
            </w:tcBorders>
            <w:shd w:val="thinDiagStripe" w:color="C0C0C0" w:fill="F1F1F1"/>
            <w:vAlign w:val="center"/>
            <w:hideMark/>
          </w:tcPr>
          <w:p>
            <w:pPr>
              <w:spacing w:before="0" w:after="0"/>
              <w:jc w:val="center"/>
              <w:rPr>
                <w:b/>
                <w:bCs/>
                <w:noProof/>
                <w:color w:val="000000"/>
                <w:sz w:val="22"/>
              </w:rPr>
            </w:pPr>
            <w:r>
              <w:rPr>
                <w:b/>
                <w:noProof/>
                <w:color w:val="000000"/>
                <w:sz w:val="22"/>
              </w:rPr>
              <w:t>TOTAL credite în cadrul RUBRICII &lt;….&gt;</w:t>
            </w:r>
          </w:p>
        </w:tc>
        <w:tc>
          <w:tcPr>
            <w:tcW w:w="529"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Angajamente</w:t>
            </w:r>
          </w:p>
        </w:tc>
        <w:tc>
          <w:tcPr>
            <w:tcW w:w="492"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=4+6</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528"/>
        </w:trPr>
        <w:tc>
          <w:tcPr>
            <w:tcW w:w="1411" w:type="pct"/>
            <w:tcBorders>
              <w:top w:val="nil"/>
              <w:left w:val="single" w:sz="8" w:space="0" w:color="auto"/>
              <w:bottom w:val="single" w:sz="8" w:space="0" w:color="auto"/>
              <w:right w:val="single" w:sz="8" w:space="0" w:color="auto"/>
            </w:tcBorders>
            <w:shd w:val="thinDiagStripe" w:color="C0C0C0" w:fill="F1F1F1"/>
            <w:vAlign w:val="center"/>
            <w:hideMark/>
          </w:tcPr>
          <w:p>
            <w:pPr>
              <w:spacing w:before="0" w:after="0"/>
              <w:jc w:val="center"/>
              <w:rPr>
                <w:noProof/>
                <w:color w:val="000000"/>
                <w:sz w:val="22"/>
              </w:rPr>
            </w:pPr>
            <w:r>
              <w:rPr>
                <w:noProof/>
                <w:color w:val="000000"/>
                <w:sz w:val="22"/>
              </w:rPr>
              <w:t>din cadrul financiar multianual</w:t>
            </w:r>
          </w:p>
        </w:tc>
        <w:tc>
          <w:tcPr>
            <w:tcW w:w="529"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Plăți</w:t>
            </w:r>
          </w:p>
        </w:tc>
        <w:tc>
          <w:tcPr>
            <w:tcW w:w="492"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=5+6</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bl>
    <w:p>
      <w:pPr>
        <w:rPr>
          <w:noProof/>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trPr>
          <w:jc w:val="center"/>
        </w:trPr>
        <w:tc>
          <w:tcPr>
            <w:tcW w:w="1739" w:type="pct"/>
            <w:shd w:val="thinDiagStripe" w:color="C0C0C0" w:fill="auto"/>
            <w:vAlign w:val="center"/>
          </w:tcPr>
          <w:p>
            <w:pPr>
              <w:spacing w:before="60" w:after="60"/>
              <w:jc w:val="center"/>
              <w:rPr>
                <w:b/>
                <w:noProof/>
              </w:rPr>
            </w:pPr>
            <w:r>
              <w:rPr>
                <w:b/>
                <w:noProof/>
                <w:sz w:val="22"/>
              </w:rPr>
              <w:t xml:space="preserve">Rubrica din cadrul financiar </w:t>
            </w:r>
            <w:r>
              <w:rPr>
                <w:noProof/>
              </w:rPr>
              <w:t xml:space="preserve"> </w:t>
            </w:r>
            <w:r>
              <w:rPr>
                <w:noProof/>
              </w:rPr>
              <w:br/>
            </w:r>
            <w:r>
              <w:rPr>
                <w:b/>
                <w:noProof/>
                <w:sz w:val="22"/>
              </w:rPr>
              <w:t xml:space="preserve">multianual </w:t>
            </w:r>
          </w:p>
        </w:tc>
        <w:tc>
          <w:tcPr>
            <w:tcW w:w="396" w:type="pct"/>
            <w:vAlign w:val="center"/>
          </w:tcPr>
          <w:p>
            <w:pPr>
              <w:spacing w:before="60" w:after="60"/>
              <w:jc w:val="center"/>
              <w:rPr>
                <w:noProof/>
              </w:rPr>
            </w:pPr>
            <w:r>
              <w:rPr>
                <w:noProof/>
                <w:sz w:val="22"/>
              </w:rPr>
              <w:t>Numărul</w:t>
            </w:r>
          </w:p>
        </w:tc>
        <w:tc>
          <w:tcPr>
            <w:tcW w:w="2865" w:type="pct"/>
            <w:vAlign w:val="center"/>
          </w:tcPr>
          <w:p>
            <w:pPr>
              <w:spacing w:before="60" w:after="60"/>
              <w:rPr>
                <w:noProof/>
              </w:rPr>
            </w:pPr>
          </w:p>
        </w:tc>
      </w:tr>
    </w:tbl>
    <w:p>
      <w:pPr>
        <w:rPr>
          <w:noProof/>
        </w:rPr>
      </w:pPr>
    </w:p>
    <w:tbl>
      <w:tblPr>
        <w:tblW w:w="5000" w:type="pct"/>
        <w:tblLook w:val="04A0" w:firstRow="1" w:lastRow="0" w:firstColumn="1" w:lastColumn="0" w:noHBand="0" w:noVBand="1"/>
      </w:tblPr>
      <w:tblGrid>
        <w:gridCol w:w="4329"/>
        <w:gridCol w:w="1399"/>
        <w:gridCol w:w="1960"/>
        <w:gridCol w:w="1254"/>
        <w:gridCol w:w="1254"/>
        <w:gridCol w:w="1254"/>
        <w:gridCol w:w="1254"/>
        <w:gridCol w:w="1516"/>
      </w:tblGrid>
      <w:tr>
        <w:trPr>
          <w:trHeight w:val="300"/>
        </w:trPr>
        <w:tc>
          <w:tcPr>
            <w:tcW w:w="2703" w:type="pct"/>
            <w:gridSpan w:val="3"/>
            <w:vMerge w:val="restart"/>
            <w:tcBorders>
              <w:top w:val="single" w:sz="8" w:space="0" w:color="auto"/>
              <w:left w:val="single" w:sz="8" w:space="0" w:color="auto"/>
              <w:bottom w:val="single" w:sz="8" w:space="0" w:color="000000"/>
              <w:right w:val="single" w:sz="8" w:space="0" w:color="000000"/>
            </w:tcBorders>
            <w:vAlign w:val="center"/>
            <w:hideMark/>
          </w:tcPr>
          <w:p>
            <w:pPr>
              <w:spacing w:before="0" w:after="0"/>
              <w:jc w:val="center"/>
              <w:rPr>
                <w:noProof/>
                <w:color w:val="000000"/>
                <w:sz w:val="22"/>
              </w:rPr>
            </w:pPr>
            <w:r>
              <w:rPr>
                <w:noProof/>
                <w:color w:val="000000"/>
                <w:sz w:val="22"/>
              </w:rPr>
              <w:t>DG: &lt;…….&gt;</w:t>
            </w:r>
          </w:p>
        </w:tc>
        <w:tc>
          <w:tcPr>
            <w:tcW w:w="441"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441"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441"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441"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534"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b/>
                <w:bCs/>
                <w:noProof/>
                <w:color w:val="000000"/>
                <w:sz w:val="20"/>
                <w:szCs w:val="20"/>
              </w:rPr>
            </w:pPr>
            <w:r>
              <w:rPr>
                <w:b/>
                <w:noProof/>
                <w:color w:val="000000"/>
                <w:sz w:val="20"/>
              </w:rPr>
              <w:t>TOTAL CFM 2021-2027</w:t>
            </w:r>
          </w:p>
        </w:tc>
      </w:tr>
      <w:tr>
        <w:trPr>
          <w:trHeight w:val="300"/>
        </w:trPr>
        <w:tc>
          <w:tcPr>
            <w:tcW w:w="2703" w:type="pct"/>
            <w:gridSpan w:val="3"/>
            <w:vMerge/>
            <w:tcBorders>
              <w:top w:val="single" w:sz="8" w:space="0" w:color="auto"/>
              <w:left w:val="single" w:sz="8" w:space="0" w:color="auto"/>
              <w:bottom w:val="single" w:sz="8" w:space="0" w:color="000000"/>
              <w:right w:val="single" w:sz="8" w:space="0" w:color="000000"/>
            </w:tcBorders>
            <w:vAlign w:val="center"/>
            <w:hideMark/>
          </w:tcPr>
          <w:p>
            <w:pPr>
              <w:spacing w:before="0" w:after="0"/>
              <w:jc w:val="left"/>
              <w:rPr>
                <w:noProof/>
                <w:color w:val="000000"/>
                <w:sz w:val="22"/>
                <w:lang w:eastAsia="en-IE"/>
              </w:rPr>
            </w:pPr>
          </w:p>
        </w:tc>
        <w:tc>
          <w:tcPr>
            <w:tcW w:w="441"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2024</w:t>
            </w:r>
          </w:p>
        </w:tc>
        <w:tc>
          <w:tcPr>
            <w:tcW w:w="441"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2025</w:t>
            </w:r>
          </w:p>
        </w:tc>
        <w:tc>
          <w:tcPr>
            <w:tcW w:w="441"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2026</w:t>
            </w:r>
          </w:p>
        </w:tc>
        <w:tc>
          <w:tcPr>
            <w:tcW w:w="441"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2027</w:t>
            </w:r>
          </w:p>
        </w:tc>
        <w:tc>
          <w:tcPr>
            <w:tcW w:w="534"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b/>
                <w:bCs/>
                <w:noProof/>
                <w:color w:val="000000"/>
                <w:sz w:val="20"/>
                <w:szCs w:val="20"/>
                <w:lang w:eastAsia="en-IE"/>
              </w:rPr>
            </w:pPr>
          </w:p>
        </w:tc>
      </w:tr>
      <w:tr>
        <w:trPr>
          <w:trHeight w:val="300"/>
        </w:trPr>
        <w:tc>
          <w:tcPr>
            <w:tcW w:w="2703" w:type="pct"/>
            <w:gridSpan w:val="3"/>
            <w:tcBorders>
              <w:top w:val="single" w:sz="8" w:space="0" w:color="auto"/>
              <w:left w:val="single" w:sz="8" w:space="0" w:color="auto"/>
              <w:bottom w:val="single" w:sz="8" w:space="0" w:color="auto"/>
              <w:right w:val="single" w:sz="8" w:space="0" w:color="000000"/>
            </w:tcBorders>
            <w:vAlign w:val="center"/>
            <w:hideMark/>
          </w:tcPr>
          <w:p>
            <w:pPr>
              <w:spacing w:before="0" w:after="0"/>
              <w:rPr>
                <w:noProof/>
                <w:color w:val="000000"/>
                <w:sz w:val="21"/>
                <w:szCs w:val="21"/>
              </w:rPr>
            </w:pPr>
            <w:r>
              <w:rPr>
                <w:noProof/>
                <w:color w:val="000000"/>
                <w:sz w:val="21"/>
              </w:rPr>
              <w:t xml:space="preserve">Credite operaționale </w:t>
            </w:r>
          </w:p>
        </w:tc>
        <w:tc>
          <w:tcPr>
            <w:tcW w:w="441" w:type="pct"/>
            <w:tcBorders>
              <w:top w:val="nil"/>
              <w:left w:val="nil"/>
              <w:bottom w:val="single" w:sz="8" w:space="0" w:color="auto"/>
              <w:right w:val="single" w:sz="8" w:space="0" w:color="auto"/>
            </w:tcBorders>
            <w:vAlign w:val="center"/>
            <w:hideMark/>
          </w:tcPr>
          <w:p>
            <w:pPr>
              <w:spacing w:before="0" w:after="0"/>
              <w:rPr>
                <w:noProof/>
                <w:color w:val="000000"/>
                <w:sz w:val="20"/>
                <w:szCs w:val="20"/>
              </w:rPr>
            </w:pPr>
            <w:r>
              <w:rPr>
                <w:noProof/>
                <w:color w:val="000000"/>
                <w:sz w:val="20"/>
              </w:rPr>
              <w:t xml:space="preserve"> </w:t>
            </w:r>
          </w:p>
        </w:tc>
        <w:tc>
          <w:tcPr>
            <w:tcW w:w="441" w:type="pct"/>
            <w:tcBorders>
              <w:top w:val="nil"/>
              <w:left w:val="nil"/>
              <w:bottom w:val="single" w:sz="8" w:space="0" w:color="auto"/>
              <w:right w:val="single" w:sz="8" w:space="0" w:color="auto"/>
            </w:tcBorders>
            <w:vAlign w:val="center"/>
            <w:hideMark/>
          </w:tcPr>
          <w:p>
            <w:pPr>
              <w:spacing w:before="0" w:after="0"/>
              <w:rPr>
                <w:noProof/>
                <w:color w:val="000000"/>
                <w:sz w:val="20"/>
                <w:szCs w:val="20"/>
              </w:rPr>
            </w:pPr>
            <w:r>
              <w:rPr>
                <w:noProof/>
                <w:color w:val="000000"/>
                <w:sz w:val="20"/>
              </w:rPr>
              <w:t xml:space="preserve"> </w:t>
            </w:r>
          </w:p>
        </w:tc>
        <w:tc>
          <w:tcPr>
            <w:tcW w:w="441" w:type="pct"/>
            <w:tcBorders>
              <w:top w:val="nil"/>
              <w:left w:val="nil"/>
              <w:bottom w:val="single" w:sz="8" w:space="0" w:color="auto"/>
              <w:right w:val="single" w:sz="8" w:space="0" w:color="auto"/>
            </w:tcBorders>
            <w:vAlign w:val="center"/>
            <w:hideMark/>
          </w:tcPr>
          <w:p>
            <w:pPr>
              <w:spacing w:before="0" w:after="0"/>
              <w:rPr>
                <w:noProof/>
                <w:color w:val="000000"/>
                <w:sz w:val="20"/>
                <w:szCs w:val="20"/>
              </w:rPr>
            </w:pPr>
            <w:r>
              <w:rPr>
                <w:noProof/>
                <w:color w:val="000000"/>
                <w:sz w:val="20"/>
              </w:rPr>
              <w:t xml:space="preserve"> </w:t>
            </w:r>
          </w:p>
        </w:tc>
        <w:tc>
          <w:tcPr>
            <w:tcW w:w="441" w:type="pct"/>
            <w:tcBorders>
              <w:top w:val="nil"/>
              <w:left w:val="nil"/>
              <w:bottom w:val="single" w:sz="8" w:space="0" w:color="auto"/>
              <w:right w:val="single" w:sz="8" w:space="0" w:color="auto"/>
            </w:tcBorders>
            <w:vAlign w:val="center"/>
            <w:hideMark/>
          </w:tcPr>
          <w:p>
            <w:pPr>
              <w:spacing w:before="0" w:after="0"/>
              <w:rPr>
                <w:b/>
                <w:bCs/>
                <w:noProof/>
                <w:color w:val="000000"/>
                <w:sz w:val="20"/>
                <w:szCs w:val="20"/>
              </w:rPr>
            </w:pPr>
            <w:r>
              <w:rPr>
                <w:b/>
                <w:noProof/>
                <w:color w:val="000000"/>
                <w:sz w:val="20"/>
              </w:rPr>
              <w:t xml:space="preserve"> </w:t>
            </w:r>
          </w:p>
        </w:tc>
        <w:tc>
          <w:tcPr>
            <w:tcW w:w="534" w:type="pct"/>
            <w:tcBorders>
              <w:top w:val="nil"/>
              <w:left w:val="nil"/>
              <w:bottom w:val="single" w:sz="8" w:space="0" w:color="auto"/>
              <w:right w:val="single" w:sz="8" w:space="0" w:color="auto"/>
            </w:tcBorders>
            <w:vAlign w:val="center"/>
            <w:hideMark/>
          </w:tcPr>
          <w:p>
            <w:pPr>
              <w:spacing w:before="0" w:after="0"/>
              <w:rPr>
                <w:b/>
                <w:bCs/>
                <w:noProof/>
                <w:color w:val="000000"/>
                <w:sz w:val="20"/>
                <w:szCs w:val="20"/>
              </w:rPr>
            </w:pPr>
            <w:r>
              <w:rPr>
                <w:b/>
                <w:noProof/>
                <w:color w:val="000000"/>
                <w:sz w:val="20"/>
              </w:rPr>
              <w:t xml:space="preserve"> </w:t>
            </w:r>
          </w:p>
        </w:tc>
      </w:tr>
      <w:tr>
        <w:trPr>
          <w:trHeight w:val="300"/>
        </w:trPr>
        <w:tc>
          <w:tcPr>
            <w:tcW w:w="1522" w:type="pct"/>
            <w:vMerge w:val="restart"/>
            <w:tcBorders>
              <w:top w:val="nil"/>
              <w:left w:val="single" w:sz="8" w:space="0" w:color="auto"/>
              <w:bottom w:val="single" w:sz="8" w:space="0" w:color="000000"/>
              <w:right w:val="single" w:sz="8" w:space="0" w:color="auto"/>
            </w:tcBorders>
            <w:noWrap/>
            <w:vAlign w:val="center"/>
            <w:hideMark/>
          </w:tcPr>
          <w:p>
            <w:pPr>
              <w:spacing w:before="0" w:after="0"/>
              <w:jc w:val="left"/>
              <w:rPr>
                <w:noProof/>
                <w:color w:val="000000"/>
                <w:sz w:val="22"/>
              </w:rPr>
            </w:pPr>
            <w:r>
              <w:rPr>
                <w:noProof/>
                <w:color w:val="000000"/>
                <w:sz w:val="22"/>
              </w:rPr>
              <w:t>Linia bugetară</w:t>
            </w:r>
          </w:p>
        </w:tc>
        <w:tc>
          <w:tcPr>
            <w:tcW w:w="492" w:type="pct"/>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Angajamente</w:t>
            </w:r>
          </w:p>
        </w:tc>
        <w:tc>
          <w:tcPr>
            <w:tcW w:w="688" w:type="pct"/>
            <w:tcBorders>
              <w:top w:val="single" w:sz="8" w:space="0" w:color="auto"/>
              <w:left w:val="nil"/>
              <w:bottom w:val="single" w:sz="8" w:space="0" w:color="auto"/>
              <w:right w:val="single" w:sz="8" w:space="0" w:color="000000"/>
            </w:tcBorders>
            <w:vAlign w:val="center"/>
            <w:hideMark/>
          </w:tcPr>
          <w:p>
            <w:pPr>
              <w:spacing w:before="0" w:after="0"/>
              <w:jc w:val="center"/>
              <w:rPr>
                <w:noProof/>
                <w:color w:val="000000"/>
                <w:sz w:val="14"/>
                <w:szCs w:val="14"/>
              </w:rPr>
            </w:pPr>
            <w:r>
              <w:rPr>
                <w:noProof/>
                <w:color w:val="000000"/>
                <w:sz w:val="14"/>
              </w:rPr>
              <w:t>(1a)</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534"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300"/>
        </w:trPr>
        <w:tc>
          <w:tcPr>
            <w:tcW w:w="1522" w:type="pct"/>
            <w:vMerge/>
            <w:tcBorders>
              <w:top w:val="nil"/>
              <w:left w:val="single" w:sz="8" w:space="0" w:color="auto"/>
              <w:bottom w:val="single" w:sz="8" w:space="0" w:color="000000"/>
              <w:right w:val="single" w:sz="8" w:space="0" w:color="auto"/>
            </w:tcBorders>
            <w:vAlign w:val="center"/>
            <w:hideMark/>
          </w:tcPr>
          <w:p>
            <w:pPr>
              <w:spacing w:before="0" w:after="0"/>
              <w:jc w:val="left"/>
              <w:rPr>
                <w:noProof/>
                <w:color w:val="000000"/>
                <w:sz w:val="22"/>
                <w:lang w:eastAsia="en-IE"/>
              </w:rPr>
            </w:pPr>
          </w:p>
        </w:tc>
        <w:tc>
          <w:tcPr>
            <w:tcW w:w="492" w:type="pct"/>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Plăți</w:t>
            </w:r>
          </w:p>
        </w:tc>
        <w:tc>
          <w:tcPr>
            <w:tcW w:w="688" w:type="pct"/>
            <w:tcBorders>
              <w:top w:val="single" w:sz="8" w:space="0" w:color="auto"/>
              <w:left w:val="nil"/>
              <w:bottom w:val="single" w:sz="8" w:space="0" w:color="auto"/>
              <w:right w:val="single" w:sz="8" w:space="0" w:color="000000"/>
            </w:tcBorders>
            <w:vAlign w:val="center"/>
            <w:hideMark/>
          </w:tcPr>
          <w:p>
            <w:pPr>
              <w:spacing w:before="0" w:after="0"/>
              <w:jc w:val="center"/>
              <w:rPr>
                <w:noProof/>
                <w:color w:val="000000"/>
                <w:sz w:val="14"/>
                <w:szCs w:val="14"/>
              </w:rPr>
            </w:pPr>
            <w:r>
              <w:rPr>
                <w:noProof/>
                <w:color w:val="000000"/>
                <w:sz w:val="14"/>
              </w:rPr>
              <w:t>(2a)</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534"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300"/>
        </w:trPr>
        <w:tc>
          <w:tcPr>
            <w:tcW w:w="1522" w:type="pct"/>
            <w:vMerge w:val="restart"/>
            <w:tcBorders>
              <w:top w:val="nil"/>
              <w:left w:val="single" w:sz="8" w:space="0" w:color="auto"/>
              <w:bottom w:val="single" w:sz="8" w:space="0" w:color="000000"/>
              <w:right w:val="single" w:sz="8" w:space="0" w:color="auto"/>
            </w:tcBorders>
            <w:vAlign w:val="center"/>
            <w:hideMark/>
          </w:tcPr>
          <w:p>
            <w:pPr>
              <w:spacing w:before="0" w:after="0"/>
              <w:rPr>
                <w:noProof/>
                <w:color w:val="000000"/>
                <w:sz w:val="20"/>
                <w:szCs w:val="20"/>
              </w:rPr>
            </w:pPr>
            <w:r>
              <w:rPr>
                <w:noProof/>
                <w:color w:val="000000"/>
                <w:sz w:val="20"/>
              </w:rPr>
              <w:t>Linia bugetară</w:t>
            </w:r>
          </w:p>
        </w:tc>
        <w:tc>
          <w:tcPr>
            <w:tcW w:w="492" w:type="pct"/>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Angajamente</w:t>
            </w:r>
          </w:p>
        </w:tc>
        <w:tc>
          <w:tcPr>
            <w:tcW w:w="688" w:type="pct"/>
            <w:tcBorders>
              <w:top w:val="single" w:sz="8" w:space="0" w:color="auto"/>
              <w:left w:val="nil"/>
              <w:bottom w:val="single" w:sz="8" w:space="0" w:color="auto"/>
              <w:right w:val="single" w:sz="8" w:space="0" w:color="000000"/>
            </w:tcBorders>
            <w:vAlign w:val="center"/>
            <w:hideMark/>
          </w:tcPr>
          <w:p>
            <w:pPr>
              <w:spacing w:before="0" w:after="0"/>
              <w:jc w:val="center"/>
              <w:rPr>
                <w:noProof/>
                <w:color w:val="000000"/>
                <w:sz w:val="14"/>
                <w:szCs w:val="14"/>
              </w:rPr>
            </w:pPr>
            <w:r>
              <w:rPr>
                <w:noProof/>
                <w:color w:val="000000"/>
                <w:sz w:val="14"/>
              </w:rPr>
              <w:t>(1b)</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534"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300"/>
        </w:trPr>
        <w:tc>
          <w:tcPr>
            <w:tcW w:w="1522" w:type="pct"/>
            <w:vMerge/>
            <w:tcBorders>
              <w:top w:val="nil"/>
              <w:left w:val="single" w:sz="8" w:space="0" w:color="auto"/>
              <w:bottom w:val="single" w:sz="8" w:space="0" w:color="000000"/>
              <w:right w:val="single" w:sz="8" w:space="0" w:color="auto"/>
            </w:tcBorders>
            <w:vAlign w:val="center"/>
            <w:hideMark/>
          </w:tcPr>
          <w:p>
            <w:pPr>
              <w:spacing w:before="0" w:after="0"/>
              <w:jc w:val="left"/>
              <w:rPr>
                <w:noProof/>
                <w:color w:val="000000"/>
                <w:sz w:val="20"/>
                <w:szCs w:val="20"/>
                <w:lang w:eastAsia="en-IE"/>
              </w:rPr>
            </w:pPr>
          </w:p>
        </w:tc>
        <w:tc>
          <w:tcPr>
            <w:tcW w:w="492" w:type="pct"/>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Plăți</w:t>
            </w:r>
          </w:p>
        </w:tc>
        <w:tc>
          <w:tcPr>
            <w:tcW w:w="688" w:type="pct"/>
            <w:tcBorders>
              <w:top w:val="single" w:sz="8" w:space="0" w:color="auto"/>
              <w:left w:val="nil"/>
              <w:bottom w:val="single" w:sz="8" w:space="0" w:color="auto"/>
              <w:right w:val="single" w:sz="8" w:space="0" w:color="000000"/>
            </w:tcBorders>
            <w:vAlign w:val="center"/>
            <w:hideMark/>
          </w:tcPr>
          <w:p>
            <w:pPr>
              <w:spacing w:before="0" w:after="0"/>
              <w:jc w:val="center"/>
              <w:rPr>
                <w:noProof/>
                <w:color w:val="000000"/>
                <w:sz w:val="14"/>
                <w:szCs w:val="14"/>
              </w:rPr>
            </w:pPr>
            <w:r>
              <w:rPr>
                <w:noProof/>
                <w:color w:val="000000"/>
                <w:sz w:val="14"/>
              </w:rPr>
              <w:t>(2b)</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534"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300"/>
        </w:trPr>
        <w:tc>
          <w:tcPr>
            <w:tcW w:w="5000" w:type="pct"/>
            <w:gridSpan w:val="8"/>
            <w:tcBorders>
              <w:top w:val="single" w:sz="8" w:space="0" w:color="auto"/>
              <w:left w:val="single" w:sz="8" w:space="0" w:color="auto"/>
              <w:bottom w:val="single" w:sz="8" w:space="0" w:color="auto"/>
              <w:right w:val="nil"/>
            </w:tcBorders>
            <w:noWrap/>
            <w:vAlign w:val="bottom"/>
            <w:hideMark/>
          </w:tcPr>
          <w:p>
            <w:pPr>
              <w:spacing w:before="0" w:after="0"/>
              <w:jc w:val="left"/>
              <w:rPr>
                <w:noProof/>
                <w:color w:val="000000"/>
                <w:sz w:val="22"/>
              </w:rPr>
            </w:pPr>
            <w:r>
              <w:rPr>
                <w:noProof/>
                <w:color w:val="000000"/>
                <w:sz w:val="22"/>
              </w:rPr>
              <w:t>Credite cu caracter administrativ finanțate din bugetul unor programe specifice</w:t>
            </w:r>
            <w:r>
              <w:rPr>
                <w:noProof/>
              </w:rPr>
              <w:t xml:space="preserve"> </w:t>
            </w:r>
          </w:p>
        </w:tc>
      </w:tr>
      <w:tr>
        <w:trPr>
          <w:trHeight w:val="300"/>
        </w:trPr>
        <w:tc>
          <w:tcPr>
            <w:tcW w:w="1522" w:type="pct"/>
            <w:tcBorders>
              <w:top w:val="nil"/>
              <w:left w:val="single" w:sz="8" w:space="0" w:color="auto"/>
              <w:bottom w:val="single" w:sz="8" w:space="0" w:color="auto"/>
              <w:right w:val="single" w:sz="8" w:space="0" w:color="auto"/>
            </w:tcBorders>
            <w:vAlign w:val="center"/>
            <w:hideMark/>
          </w:tcPr>
          <w:p>
            <w:pPr>
              <w:spacing w:before="0" w:after="0"/>
              <w:rPr>
                <w:noProof/>
                <w:color w:val="000000"/>
                <w:sz w:val="20"/>
                <w:szCs w:val="20"/>
              </w:rPr>
            </w:pPr>
            <w:r>
              <w:rPr>
                <w:noProof/>
                <w:color w:val="000000"/>
                <w:sz w:val="20"/>
              </w:rPr>
              <w:t>Linia bugetară</w:t>
            </w:r>
          </w:p>
        </w:tc>
        <w:tc>
          <w:tcPr>
            <w:tcW w:w="492" w:type="pct"/>
            <w:tcBorders>
              <w:top w:val="nil"/>
              <w:left w:val="nil"/>
              <w:bottom w:val="single" w:sz="8" w:space="0" w:color="auto"/>
              <w:right w:val="single" w:sz="8" w:space="0" w:color="auto"/>
            </w:tcBorders>
            <w:vAlign w:val="center"/>
            <w:hideMark/>
          </w:tcPr>
          <w:p>
            <w:pPr>
              <w:spacing w:before="0" w:after="0"/>
              <w:jc w:val="right"/>
              <w:rPr>
                <w:noProof/>
                <w:color w:val="000000"/>
                <w:sz w:val="18"/>
                <w:szCs w:val="18"/>
              </w:rPr>
            </w:pPr>
            <w:r>
              <w:rPr>
                <w:noProof/>
                <w:color w:val="000000"/>
                <w:sz w:val="18"/>
              </w:rPr>
              <w:t xml:space="preserve"> </w:t>
            </w:r>
          </w:p>
        </w:tc>
        <w:tc>
          <w:tcPr>
            <w:tcW w:w="688" w:type="pct"/>
            <w:tcBorders>
              <w:top w:val="nil"/>
              <w:left w:val="nil"/>
              <w:bottom w:val="single" w:sz="8" w:space="0" w:color="auto"/>
              <w:right w:val="single" w:sz="8" w:space="0" w:color="000000"/>
            </w:tcBorders>
            <w:vAlign w:val="center"/>
            <w:hideMark/>
          </w:tcPr>
          <w:p>
            <w:pPr>
              <w:spacing w:before="0" w:after="0"/>
              <w:jc w:val="center"/>
              <w:rPr>
                <w:noProof/>
                <w:color w:val="000000"/>
                <w:sz w:val="14"/>
                <w:szCs w:val="14"/>
              </w:rPr>
            </w:pPr>
            <w:r>
              <w:rPr>
                <w:noProof/>
                <w:color w:val="000000"/>
                <w:sz w:val="14"/>
              </w:rPr>
              <w:t>(3)</w:t>
            </w:r>
          </w:p>
        </w:tc>
        <w:tc>
          <w:tcPr>
            <w:tcW w:w="441" w:type="pct"/>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rPr>
            </w:pPr>
            <w:r>
              <w:rPr>
                <w:b/>
                <w:noProof/>
                <w:color w:val="000000"/>
                <w:sz w:val="20"/>
              </w:rPr>
              <w:t xml:space="preserve"> </w:t>
            </w:r>
          </w:p>
        </w:tc>
        <w:tc>
          <w:tcPr>
            <w:tcW w:w="441" w:type="pct"/>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rPr>
            </w:pPr>
            <w:r>
              <w:rPr>
                <w:b/>
                <w:noProof/>
                <w:color w:val="000000"/>
                <w:sz w:val="20"/>
              </w:rPr>
              <w:t xml:space="preserve"> </w:t>
            </w:r>
          </w:p>
        </w:tc>
        <w:tc>
          <w:tcPr>
            <w:tcW w:w="441" w:type="pct"/>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rPr>
            </w:pPr>
            <w:r>
              <w:rPr>
                <w:b/>
                <w:noProof/>
                <w:color w:val="000000"/>
                <w:sz w:val="20"/>
              </w:rPr>
              <w:t xml:space="preserve"> </w:t>
            </w:r>
          </w:p>
        </w:tc>
        <w:tc>
          <w:tcPr>
            <w:tcW w:w="441" w:type="pct"/>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rPr>
            </w:pPr>
            <w:r>
              <w:rPr>
                <w:b/>
                <w:noProof/>
                <w:color w:val="000000"/>
                <w:sz w:val="20"/>
              </w:rPr>
              <w:t xml:space="preserve"> </w:t>
            </w:r>
          </w:p>
        </w:tc>
        <w:tc>
          <w:tcPr>
            <w:tcW w:w="534"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300"/>
        </w:trPr>
        <w:tc>
          <w:tcPr>
            <w:tcW w:w="1522" w:type="pct"/>
            <w:tcBorders>
              <w:top w:val="nil"/>
              <w:left w:val="single" w:sz="8" w:space="0" w:color="auto"/>
              <w:bottom w:val="nil"/>
              <w:right w:val="single" w:sz="8" w:space="0" w:color="auto"/>
            </w:tcBorders>
            <w:vAlign w:val="center"/>
            <w:hideMark/>
          </w:tcPr>
          <w:p>
            <w:pPr>
              <w:spacing w:before="0" w:after="0"/>
              <w:jc w:val="center"/>
              <w:rPr>
                <w:b/>
                <w:bCs/>
                <w:noProof/>
                <w:color w:val="000000"/>
                <w:sz w:val="22"/>
              </w:rPr>
            </w:pPr>
            <w:r>
              <w:rPr>
                <w:b/>
                <w:noProof/>
                <w:color w:val="000000"/>
                <w:sz w:val="22"/>
              </w:rPr>
              <w:t>TOTAL credite</w:t>
            </w:r>
          </w:p>
        </w:tc>
        <w:tc>
          <w:tcPr>
            <w:tcW w:w="492" w:type="pct"/>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Angajamente</w:t>
            </w:r>
          </w:p>
        </w:tc>
        <w:tc>
          <w:tcPr>
            <w:tcW w:w="688" w:type="pct"/>
            <w:tcBorders>
              <w:top w:val="single" w:sz="8" w:space="0" w:color="auto"/>
              <w:left w:val="nil"/>
              <w:bottom w:val="single" w:sz="8" w:space="0" w:color="auto"/>
              <w:right w:val="single" w:sz="8" w:space="0" w:color="000000"/>
            </w:tcBorders>
            <w:vAlign w:val="center"/>
            <w:hideMark/>
          </w:tcPr>
          <w:p>
            <w:pPr>
              <w:spacing w:before="0" w:after="0"/>
              <w:jc w:val="center"/>
              <w:rPr>
                <w:noProof/>
                <w:color w:val="000000"/>
                <w:sz w:val="14"/>
                <w:szCs w:val="14"/>
              </w:rPr>
            </w:pPr>
            <w:r>
              <w:rPr>
                <w:noProof/>
                <w:color w:val="000000"/>
                <w:sz w:val="14"/>
              </w:rPr>
              <w:t>=1a+1b +3</w:t>
            </w:r>
          </w:p>
        </w:tc>
        <w:tc>
          <w:tcPr>
            <w:tcW w:w="441"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41"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41"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41"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534"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300"/>
        </w:trPr>
        <w:tc>
          <w:tcPr>
            <w:tcW w:w="1522" w:type="pct"/>
            <w:tcBorders>
              <w:top w:val="nil"/>
              <w:left w:val="single" w:sz="8" w:space="0" w:color="auto"/>
              <w:bottom w:val="single" w:sz="8" w:space="0" w:color="auto"/>
              <w:right w:val="single" w:sz="8" w:space="0" w:color="auto"/>
            </w:tcBorders>
            <w:vAlign w:val="center"/>
            <w:hideMark/>
          </w:tcPr>
          <w:p>
            <w:pPr>
              <w:spacing w:before="0" w:after="0"/>
              <w:jc w:val="center"/>
              <w:rPr>
                <w:b/>
                <w:bCs/>
                <w:noProof/>
                <w:color w:val="000000"/>
                <w:sz w:val="22"/>
              </w:rPr>
            </w:pPr>
            <w:r>
              <w:rPr>
                <w:b/>
                <w:noProof/>
                <w:color w:val="000000"/>
                <w:sz w:val="22"/>
              </w:rPr>
              <w:t>pentru DG</w:t>
            </w:r>
            <w:r>
              <w:rPr>
                <w:noProof/>
                <w:color w:val="000000"/>
                <w:sz w:val="22"/>
              </w:rPr>
              <w:t xml:space="preserve"> &lt;….&gt;</w:t>
            </w:r>
          </w:p>
        </w:tc>
        <w:tc>
          <w:tcPr>
            <w:tcW w:w="492" w:type="pct"/>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Plăți</w:t>
            </w:r>
          </w:p>
        </w:tc>
        <w:tc>
          <w:tcPr>
            <w:tcW w:w="688" w:type="pct"/>
            <w:tcBorders>
              <w:top w:val="single" w:sz="8" w:space="0" w:color="auto"/>
              <w:left w:val="nil"/>
              <w:bottom w:val="single" w:sz="8" w:space="0" w:color="auto"/>
              <w:right w:val="single" w:sz="8" w:space="0" w:color="000000"/>
            </w:tcBorders>
            <w:vAlign w:val="center"/>
            <w:hideMark/>
          </w:tcPr>
          <w:p>
            <w:pPr>
              <w:spacing w:before="0" w:after="0"/>
              <w:jc w:val="center"/>
              <w:rPr>
                <w:noProof/>
                <w:color w:val="000000"/>
                <w:sz w:val="14"/>
                <w:szCs w:val="14"/>
              </w:rPr>
            </w:pPr>
            <w:r>
              <w:rPr>
                <w:noProof/>
                <w:color w:val="000000"/>
                <w:sz w:val="14"/>
              </w:rPr>
              <w:t>=2a+2b+3</w:t>
            </w:r>
          </w:p>
        </w:tc>
        <w:tc>
          <w:tcPr>
            <w:tcW w:w="441"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41"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41"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41"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534"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bl>
    <w:p>
      <w:pPr>
        <w:rPr>
          <w:noProof/>
        </w:rPr>
      </w:pPr>
    </w:p>
    <w:tbl>
      <w:tblPr>
        <w:tblW w:w="5000" w:type="pct"/>
        <w:tblLook w:val="04A0" w:firstRow="1" w:lastRow="0" w:firstColumn="1" w:lastColumn="0" w:noHBand="0" w:noVBand="1"/>
      </w:tblPr>
      <w:tblGrid>
        <w:gridCol w:w="4329"/>
        <w:gridCol w:w="1340"/>
        <w:gridCol w:w="2019"/>
        <w:gridCol w:w="1254"/>
        <w:gridCol w:w="1254"/>
        <w:gridCol w:w="1254"/>
        <w:gridCol w:w="1254"/>
        <w:gridCol w:w="1516"/>
      </w:tblGrid>
      <w:tr>
        <w:trPr>
          <w:trHeight w:val="300"/>
        </w:trPr>
        <w:tc>
          <w:tcPr>
            <w:tcW w:w="2703" w:type="pct"/>
            <w:gridSpan w:val="3"/>
            <w:vMerge w:val="restart"/>
            <w:tcBorders>
              <w:top w:val="single" w:sz="8" w:space="0" w:color="auto"/>
              <w:left w:val="single" w:sz="8" w:space="0" w:color="auto"/>
              <w:bottom w:val="single" w:sz="8" w:space="0" w:color="000000"/>
              <w:right w:val="single" w:sz="8" w:space="0" w:color="000000"/>
            </w:tcBorders>
            <w:vAlign w:val="center"/>
            <w:hideMark/>
          </w:tcPr>
          <w:p>
            <w:pPr>
              <w:spacing w:before="0" w:after="0"/>
              <w:jc w:val="center"/>
              <w:rPr>
                <w:noProof/>
                <w:color w:val="000000"/>
                <w:sz w:val="22"/>
              </w:rPr>
            </w:pPr>
            <w:r>
              <w:rPr>
                <w:noProof/>
                <w:color w:val="000000"/>
                <w:sz w:val="22"/>
              </w:rPr>
              <w:t>DG: &lt;…….&gt;</w:t>
            </w:r>
          </w:p>
        </w:tc>
        <w:tc>
          <w:tcPr>
            <w:tcW w:w="441"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441"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441"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441"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534"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b/>
                <w:bCs/>
                <w:noProof/>
                <w:color w:val="000000"/>
                <w:sz w:val="20"/>
                <w:szCs w:val="20"/>
              </w:rPr>
            </w:pPr>
            <w:r>
              <w:rPr>
                <w:b/>
                <w:noProof/>
                <w:color w:val="000000"/>
                <w:sz w:val="20"/>
              </w:rPr>
              <w:t>TOTAL CFM 2021-2027</w:t>
            </w:r>
          </w:p>
        </w:tc>
      </w:tr>
      <w:tr>
        <w:trPr>
          <w:trHeight w:val="300"/>
        </w:trPr>
        <w:tc>
          <w:tcPr>
            <w:tcW w:w="2703" w:type="pct"/>
            <w:gridSpan w:val="3"/>
            <w:vMerge/>
            <w:tcBorders>
              <w:top w:val="single" w:sz="8" w:space="0" w:color="auto"/>
              <w:left w:val="single" w:sz="8" w:space="0" w:color="auto"/>
              <w:bottom w:val="single" w:sz="8" w:space="0" w:color="000000"/>
              <w:right w:val="single" w:sz="8" w:space="0" w:color="000000"/>
            </w:tcBorders>
            <w:vAlign w:val="center"/>
            <w:hideMark/>
          </w:tcPr>
          <w:p>
            <w:pPr>
              <w:spacing w:before="0" w:after="0"/>
              <w:jc w:val="left"/>
              <w:rPr>
                <w:noProof/>
                <w:color w:val="000000"/>
                <w:sz w:val="22"/>
                <w:lang w:eastAsia="en-IE"/>
              </w:rPr>
            </w:pPr>
          </w:p>
        </w:tc>
        <w:tc>
          <w:tcPr>
            <w:tcW w:w="441"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2024</w:t>
            </w:r>
          </w:p>
        </w:tc>
        <w:tc>
          <w:tcPr>
            <w:tcW w:w="441"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2025</w:t>
            </w:r>
          </w:p>
        </w:tc>
        <w:tc>
          <w:tcPr>
            <w:tcW w:w="441"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2026</w:t>
            </w:r>
          </w:p>
        </w:tc>
        <w:tc>
          <w:tcPr>
            <w:tcW w:w="441"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2027</w:t>
            </w:r>
          </w:p>
        </w:tc>
        <w:tc>
          <w:tcPr>
            <w:tcW w:w="534"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b/>
                <w:bCs/>
                <w:noProof/>
                <w:color w:val="000000"/>
                <w:sz w:val="20"/>
                <w:szCs w:val="20"/>
                <w:lang w:eastAsia="en-IE"/>
              </w:rPr>
            </w:pPr>
          </w:p>
        </w:tc>
      </w:tr>
      <w:tr>
        <w:trPr>
          <w:trHeight w:val="300"/>
        </w:trPr>
        <w:tc>
          <w:tcPr>
            <w:tcW w:w="2703" w:type="pct"/>
            <w:gridSpan w:val="3"/>
            <w:tcBorders>
              <w:top w:val="single" w:sz="8" w:space="0" w:color="auto"/>
              <w:left w:val="single" w:sz="8" w:space="0" w:color="auto"/>
              <w:bottom w:val="single" w:sz="8" w:space="0" w:color="auto"/>
              <w:right w:val="single" w:sz="8" w:space="0" w:color="000000"/>
            </w:tcBorders>
            <w:vAlign w:val="center"/>
            <w:hideMark/>
          </w:tcPr>
          <w:p>
            <w:pPr>
              <w:spacing w:before="0" w:after="0"/>
              <w:rPr>
                <w:noProof/>
                <w:color w:val="000000"/>
                <w:sz w:val="21"/>
                <w:szCs w:val="21"/>
              </w:rPr>
            </w:pPr>
            <w:r>
              <w:rPr>
                <w:noProof/>
                <w:color w:val="000000"/>
                <w:sz w:val="21"/>
              </w:rPr>
              <w:t xml:space="preserve">Credite operaționale </w:t>
            </w:r>
          </w:p>
        </w:tc>
        <w:tc>
          <w:tcPr>
            <w:tcW w:w="441" w:type="pct"/>
            <w:tcBorders>
              <w:top w:val="nil"/>
              <w:left w:val="nil"/>
              <w:bottom w:val="single" w:sz="8" w:space="0" w:color="auto"/>
              <w:right w:val="single" w:sz="8" w:space="0" w:color="auto"/>
            </w:tcBorders>
            <w:vAlign w:val="center"/>
            <w:hideMark/>
          </w:tcPr>
          <w:p>
            <w:pPr>
              <w:spacing w:before="0" w:after="0"/>
              <w:rPr>
                <w:noProof/>
                <w:color w:val="000000"/>
                <w:sz w:val="20"/>
                <w:szCs w:val="20"/>
              </w:rPr>
            </w:pPr>
            <w:r>
              <w:rPr>
                <w:noProof/>
                <w:color w:val="000000"/>
                <w:sz w:val="20"/>
              </w:rPr>
              <w:t xml:space="preserve"> </w:t>
            </w:r>
          </w:p>
        </w:tc>
        <w:tc>
          <w:tcPr>
            <w:tcW w:w="441" w:type="pct"/>
            <w:tcBorders>
              <w:top w:val="nil"/>
              <w:left w:val="nil"/>
              <w:bottom w:val="single" w:sz="8" w:space="0" w:color="auto"/>
              <w:right w:val="single" w:sz="8" w:space="0" w:color="auto"/>
            </w:tcBorders>
            <w:vAlign w:val="center"/>
            <w:hideMark/>
          </w:tcPr>
          <w:p>
            <w:pPr>
              <w:spacing w:before="0" w:after="0"/>
              <w:rPr>
                <w:noProof/>
                <w:color w:val="000000"/>
                <w:sz w:val="20"/>
                <w:szCs w:val="20"/>
              </w:rPr>
            </w:pPr>
            <w:r>
              <w:rPr>
                <w:noProof/>
                <w:color w:val="000000"/>
                <w:sz w:val="20"/>
              </w:rPr>
              <w:t xml:space="preserve"> </w:t>
            </w:r>
          </w:p>
        </w:tc>
        <w:tc>
          <w:tcPr>
            <w:tcW w:w="441" w:type="pct"/>
            <w:tcBorders>
              <w:top w:val="nil"/>
              <w:left w:val="nil"/>
              <w:bottom w:val="single" w:sz="8" w:space="0" w:color="auto"/>
              <w:right w:val="single" w:sz="8" w:space="0" w:color="auto"/>
            </w:tcBorders>
            <w:vAlign w:val="center"/>
            <w:hideMark/>
          </w:tcPr>
          <w:p>
            <w:pPr>
              <w:spacing w:before="0" w:after="0"/>
              <w:rPr>
                <w:noProof/>
                <w:color w:val="000000"/>
                <w:sz w:val="20"/>
                <w:szCs w:val="20"/>
              </w:rPr>
            </w:pPr>
            <w:r>
              <w:rPr>
                <w:noProof/>
                <w:color w:val="000000"/>
                <w:sz w:val="20"/>
              </w:rPr>
              <w:t xml:space="preserve"> </w:t>
            </w:r>
          </w:p>
        </w:tc>
        <w:tc>
          <w:tcPr>
            <w:tcW w:w="441" w:type="pct"/>
            <w:tcBorders>
              <w:top w:val="nil"/>
              <w:left w:val="nil"/>
              <w:bottom w:val="single" w:sz="8" w:space="0" w:color="auto"/>
              <w:right w:val="single" w:sz="8" w:space="0" w:color="auto"/>
            </w:tcBorders>
            <w:vAlign w:val="center"/>
            <w:hideMark/>
          </w:tcPr>
          <w:p>
            <w:pPr>
              <w:spacing w:before="0" w:after="0"/>
              <w:rPr>
                <w:b/>
                <w:bCs/>
                <w:noProof/>
                <w:color w:val="000000"/>
                <w:sz w:val="20"/>
                <w:szCs w:val="20"/>
              </w:rPr>
            </w:pPr>
            <w:r>
              <w:rPr>
                <w:b/>
                <w:noProof/>
                <w:color w:val="000000"/>
                <w:sz w:val="20"/>
              </w:rPr>
              <w:t xml:space="preserve"> </w:t>
            </w:r>
          </w:p>
        </w:tc>
        <w:tc>
          <w:tcPr>
            <w:tcW w:w="534" w:type="pct"/>
            <w:tcBorders>
              <w:top w:val="nil"/>
              <w:left w:val="nil"/>
              <w:bottom w:val="single" w:sz="8" w:space="0" w:color="auto"/>
              <w:right w:val="single" w:sz="8" w:space="0" w:color="auto"/>
            </w:tcBorders>
            <w:vAlign w:val="center"/>
            <w:hideMark/>
          </w:tcPr>
          <w:p>
            <w:pPr>
              <w:spacing w:before="0" w:after="0"/>
              <w:rPr>
                <w:b/>
                <w:bCs/>
                <w:noProof/>
                <w:color w:val="000000"/>
                <w:sz w:val="20"/>
                <w:szCs w:val="20"/>
              </w:rPr>
            </w:pPr>
            <w:r>
              <w:rPr>
                <w:b/>
                <w:noProof/>
                <w:color w:val="000000"/>
                <w:sz w:val="20"/>
              </w:rPr>
              <w:t xml:space="preserve"> </w:t>
            </w:r>
          </w:p>
        </w:tc>
      </w:tr>
      <w:tr>
        <w:trPr>
          <w:trHeight w:val="300"/>
        </w:trPr>
        <w:tc>
          <w:tcPr>
            <w:tcW w:w="1522" w:type="pct"/>
            <w:vMerge w:val="restart"/>
            <w:tcBorders>
              <w:top w:val="nil"/>
              <w:left w:val="single" w:sz="8" w:space="0" w:color="auto"/>
              <w:bottom w:val="single" w:sz="8" w:space="0" w:color="000000"/>
              <w:right w:val="single" w:sz="8" w:space="0" w:color="auto"/>
            </w:tcBorders>
            <w:noWrap/>
            <w:vAlign w:val="center"/>
            <w:hideMark/>
          </w:tcPr>
          <w:p>
            <w:pPr>
              <w:spacing w:before="0" w:after="0"/>
              <w:jc w:val="left"/>
              <w:rPr>
                <w:noProof/>
                <w:color w:val="000000"/>
                <w:sz w:val="22"/>
              </w:rPr>
            </w:pPr>
            <w:r>
              <w:rPr>
                <w:noProof/>
                <w:color w:val="000000"/>
                <w:sz w:val="22"/>
              </w:rPr>
              <w:t>Linia bugetară</w:t>
            </w:r>
          </w:p>
        </w:tc>
        <w:tc>
          <w:tcPr>
            <w:tcW w:w="471" w:type="pct"/>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Angajamente</w:t>
            </w:r>
          </w:p>
        </w:tc>
        <w:tc>
          <w:tcPr>
            <w:tcW w:w="709" w:type="pct"/>
            <w:tcBorders>
              <w:top w:val="single" w:sz="8" w:space="0" w:color="auto"/>
              <w:left w:val="nil"/>
              <w:bottom w:val="single" w:sz="8" w:space="0" w:color="auto"/>
              <w:right w:val="single" w:sz="8" w:space="0" w:color="000000"/>
            </w:tcBorders>
            <w:vAlign w:val="center"/>
            <w:hideMark/>
          </w:tcPr>
          <w:p>
            <w:pPr>
              <w:spacing w:before="0" w:after="0"/>
              <w:jc w:val="center"/>
              <w:rPr>
                <w:noProof/>
                <w:color w:val="000000"/>
                <w:sz w:val="14"/>
                <w:szCs w:val="14"/>
              </w:rPr>
            </w:pPr>
            <w:r>
              <w:rPr>
                <w:noProof/>
                <w:color w:val="000000"/>
                <w:sz w:val="14"/>
              </w:rPr>
              <w:t>(1a)</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534"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300"/>
        </w:trPr>
        <w:tc>
          <w:tcPr>
            <w:tcW w:w="1522" w:type="pct"/>
            <w:vMerge/>
            <w:tcBorders>
              <w:top w:val="nil"/>
              <w:left w:val="single" w:sz="8" w:space="0" w:color="auto"/>
              <w:bottom w:val="single" w:sz="8" w:space="0" w:color="000000"/>
              <w:right w:val="single" w:sz="8" w:space="0" w:color="auto"/>
            </w:tcBorders>
            <w:vAlign w:val="center"/>
            <w:hideMark/>
          </w:tcPr>
          <w:p>
            <w:pPr>
              <w:spacing w:before="0" w:after="0"/>
              <w:jc w:val="left"/>
              <w:rPr>
                <w:noProof/>
                <w:color w:val="000000"/>
                <w:sz w:val="22"/>
                <w:lang w:eastAsia="en-IE"/>
              </w:rPr>
            </w:pPr>
          </w:p>
        </w:tc>
        <w:tc>
          <w:tcPr>
            <w:tcW w:w="471" w:type="pct"/>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Plăți</w:t>
            </w:r>
          </w:p>
        </w:tc>
        <w:tc>
          <w:tcPr>
            <w:tcW w:w="709" w:type="pct"/>
            <w:tcBorders>
              <w:top w:val="single" w:sz="8" w:space="0" w:color="auto"/>
              <w:left w:val="nil"/>
              <w:bottom w:val="single" w:sz="8" w:space="0" w:color="auto"/>
              <w:right w:val="single" w:sz="8" w:space="0" w:color="000000"/>
            </w:tcBorders>
            <w:vAlign w:val="center"/>
            <w:hideMark/>
          </w:tcPr>
          <w:p>
            <w:pPr>
              <w:spacing w:before="0" w:after="0"/>
              <w:jc w:val="center"/>
              <w:rPr>
                <w:noProof/>
                <w:color w:val="000000"/>
                <w:sz w:val="14"/>
                <w:szCs w:val="14"/>
              </w:rPr>
            </w:pPr>
            <w:r>
              <w:rPr>
                <w:noProof/>
                <w:color w:val="000000"/>
                <w:sz w:val="14"/>
              </w:rPr>
              <w:t>(2a)</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534"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300"/>
        </w:trPr>
        <w:tc>
          <w:tcPr>
            <w:tcW w:w="1522" w:type="pct"/>
            <w:vMerge w:val="restart"/>
            <w:tcBorders>
              <w:top w:val="nil"/>
              <w:left w:val="single" w:sz="8" w:space="0" w:color="auto"/>
              <w:bottom w:val="single" w:sz="8" w:space="0" w:color="000000"/>
              <w:right w:val="single" w:sz="8" w:space="0" w:color="auto"/>
            </w:tcBorders>
            <w:vAlign w:val="center"/>
            <w:hideMark/>
          </w:tcPr>
          <w:p>
            <w:pPr>
              <w:spacing w:before="0" w:after="0"/>
              <w:rPr>
                <w:noProof/>
                <w:color w:val="000000"/>
                <w:sz w:val="20"/>
                <w:szCs w:val="20"/>
              </w:rPr>
            </w:pPr>
            <w:r>
              <w:rPr>
                <w:noProof/>
                <w:color w:val="000000"/>
                <w:sz w:val="20"/>
              </w:rPr>
              <w:t>Linia bugetară</w:t>
            </w:r>
          </w:p>
        </w:tc>
        <w:tc>
          <w:tcPr>
            <w:tcW w:w="471" w:type="pct"/>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Angajamente</w:t>
            </w:r>
          </w:p>
        </w:tc>
        <w:tc>
          <w:tcPr>
            <w:tcW w:w="709" w:type="pct"/>
            <w:tcBorders>
              <w:top w:val="single" w:sz="8" w:space="0" w:color="auto"/>
              <w:left w:val="nil"/>
              <w:bottom w:val="single" w:sz="8" w:space="0" w:color="auto"/>
              <w:right w:val="single" w:sz="8" w:space="0" w:color="000000"/>
            </w:tcBorders>
            <w:vAlign w:val="center"/>
            <w:hideMark/>
          </w:tcPr>
          <w:p>
            <w:pPr>
              <w:spacing w:before="0" w:after="0"/>
              <w:jc w:val="center"/>
              <w:rPr>
                <w:noProof/>
                <w:color w:val="000000"/>
                <w:sz w:val="14"/>
                <w:szCs w:val="14"/>
              </w:rPr>
            </w:pPr>
            <w:r>
              <w:rPr>
                <w:noProof/>
                <w:color w:val="000000"/>
                <w:sz w:val="14"/>
              </w:rPr>
              <w:t>(1b)</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534"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300"/>
        </w:trPr>
        <w:tc>
          <w:tcPr>
            <w:tcW w:w="1522" w:type="pct"/>
            <w:vMerge/>
            <w:tcBorders>
              <w:top w:val="nil"/>
              <w:left w:val="single" w:sz="8" w:space="0" w:color="auto"/>
              <w:bottom w:val="single" w:sz="8" w:space="0" w:color="000000"/>
              <w:right w:val="single" w:sz="8" w:space="0" w:color="auto"/>
            </w:tcBorders>
            <w:vAlign w:val="center"/>
            <w:hideMark/>
          </w:tcPr>
          <w:p>
            <w:pPr>
              <w:spacing w:before="0" w:after="0"/>
              <w:jc w:val="left"/>
              <w:rPr>
                <w:noProof/>
                <w:color w:val="000000"/>
                <w:sz w:val="20"/>
                <w:szCs w:val="20"/>
                <w:lang w:eastAsia="en-IE"/>
              </w:rPr>
            </w:pPr>
          </w:p>
        </w:tc>
        <w:tc>
          <w:tcPr>
            <w:tcW w:w="471" w:type="pct"/>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Plăți</w:t>
            </w:r>
          </w:p>
        </w:tc>
        <w:tc>
          <w:tcPr>
            <w:tcW w:w="709" w:type="pct"/>
            <w:tcBorders>
              <w:top w:val="single" w:sz="8" w:space="0" w:color="auto"/>
              <w:left w:val="nil"/>
              <w:bottom w:val="single" w:sz="8" w:space="0" w:color="auto"/>
              <w:right w:val="single" w:sz="8" w:space="0" w:color="000000"/>
            </w:tcBorders>
            <w:vAlign w:val="center"/>
            <w:hideMark/>
          </w:tcPr>
          <w:p>
            <w:pPr>
              <w:spacing w:before="0" w:after="0"/>
              <w:jc w:val="center"/>
              <w:rPr>
                <w:noProof/>
                <w:color w:val="000000"/>
                <w:sz w:val="14"/>
                <w:szCs w:val="14"/>
              </w:rPr>
            </w:pPr>
            <w:r>
              <w:rPr>
                <w:noProof/>
                <w:color w:val="000000"/>
                <w:sz w:val="14"/>
              </w:rPr>
              <w:t>(2b)</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534"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300"/>
        </w:trPr>
        <w:tc>
          <w:tcPr>
            <w:tcW w:w="5000" w:type="pct"/>
            <w:gridSpan w:val="8"/>
            <w:tcBorders>
              <w:top w:val="single" w:sz="8" w:space="0" w:color="auto"/>
              <w:left w:val="single" w:sz="8" w:space="0" w:color="auto"/>
              <w:bottom w:val="single" w:sz="8" w:space="0" w:color="auto"/>
              <w:right w:val="nil"/>
            </w:tcBorders>
            <w:noWrap/>
            <w:vAlign w:val="bottom"/>
            <w:hideMark/>
          </w:tcPr>
          <w:p>
            <w:pPr>
              <w:spacing w:before="0" w:after="0"/>
              <w:jc w:val="left"/>
              <w:rPr>
                <w:noProof/>
                <w:color w:val="000000"/>
                <w:sz w:val="22"/>
              </w:rPr>
            </w:pPr>
            <w:r>
              <w:rPr>
                <w:noProof/>
                <w:color w:val="000000"/>
                <w:sz w:val="22"/>
              </w:rPr>
              <w:t>Credite cu caracter administrativ finanțate din bugetul unor programe specifice</w:t>
            </w:r>
            <w:r>
              <w:rPr>
                <w:noProof/>
              </w:rPr>
              <w:t xml:space="preserve"> </w:t>
            </w:r>
          </w:p>
        </w:tc>
      </w:tr>
      <w:tr>
        <w:trPr>
          <w:trHeight w:val="300"/>
        </w:trPr>
        <w:tc>
          <w:tcPr>
            <w:tcW w:w="1522" w:type="pct"/>
            <w:tcBorders>
              <w:top w:val="nil"/>
              <w:left w:val="single" w:sz="8" w:space="0" w:color="auto"/>
              <w:bottom w:val="single" w:sz="8" w:space="0" w:color="auto"/>
              <w:right w:val="single" w:sz="8" w:space="0" w:color="auto"/>
            </w:tcBorders>
            <w:vAlign w:val="center"/>
            <w:hideMark/>
          </w:tcPr>
          <w:p>
            <w:pPr>
              <w:spacing w:before="0" w:after="0"/>
              <w:rPr>
                <w:noProof/>
                <w:color w:val="000000"/>
                <w:sz w:val="20"/>
                <w:szCs w:val="20"/>
              </w:rPr>
            </w:pPr>
            <w:r>
              <w:rPr>
                <w:noProof/>
                <w:color w:val="000000"/>
                <w:sz w:val="20"/>
              </w:rPr>
              <w:t>Linia bugetară</w:t>
            </w:r>
          </w:p>
        </w:tc>
        <w:tc>
          <w:tcPr>
            <w:tcW w:w="471" w:type="pct"/>
            <w:tcBorders>
              <w:top w:val="nil"/>
              <w:left w:val="nil"/>
              <w:bottom w:val="single" w:sz="8" w:space="0" w:color="auto"/>
              <w:right w:val="single" w:sz="8" w:space="0" w:color="auto"/>
            </w:tcBorders>
            <w:vAlign w:val="center"/>
            <w:hideMark/>
          </w:tcPr>
          <w:p>
            <w:pPr>
              <w:spacing w:before="0" w:after="0"/>
              <w:jc w:val="right"/>
              <w:rPr>
                <w:noProof/>
                <w:color w:val="000000"/>
                <w:sz w:val="18"/>
                <w:szCs w:val="18"/>
              </w:rPr>
            </w:pPr>
            <w:r>
              <w:rPr>
                <w:noProof/>
                <w:color w:val="000000"/>
                <w:sz w:val="18"/>
              </w:rPr>
              <w:t xml:space="preserve"> </w:t>
            </w:r>
          </w:p>
        </w:tc>
        <w:tc>
          <w:tcPr>
            <w:tcW w:w="709" w:type="pct"/>
            <w:tcBorders>
              <w:top w:val="nil"/>
              <w:left w:val="nil"/>
              <w:bottom w:val="single" w:sz="8" w:space="0" w:color="auto"/>
              <w:right w:val="single" w:sz="8" w:space="0" w:color="000000"/>
            </w:tcBorders>
            <w:vAlign w:val="center"/>
            <w:hideMark/>
          </w:tcPr>
          <w:p>
            <w:pPr>
              <w:spacing w:before="0" w:after="0"/>
              <w:jc w:val="center"/>
              <w:rPr>
                <w:noProof/>
                <w:color w:val="000000"/>
                <w:sz w:val="14"/>
                <w:szCs w:val="14"/>
              </w:rPr>
            </w:pPr>
            <w:r>
              <w:rPr>
                <w:noProof/>
                <w:color w:val="000000"/>
                <w:sz w:val="14"/>
              </w:rPr>
              <w:t>(3)</w:t>
            </w:r>
          </w:p>
        </w:tc>
        <w:tc>
          <w:tcPr>
            <w:tcW w:w="441" w:type="pct"/>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rPr>
            </w:pPr>
            <w:r>
              <w:rPr>
                <w:b/>
                <w:noProof/>
                <w:color w:val="000000"/>
                <w:sz w:val="20"/>
              </w:rPr>
              <w:t xml:space="preserve"> </w:t>
            </w:r>
          </w:p>
        </w:tc>
        <w:tc>
          <w:tcPr>
            <w:tcW w:w="441" w:type="pct"/>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rPr>
            </w:pPr>
            <w:r>
              <w:rPr>
                <w:b/>
                <w:noProof/>
                <w:color w:val="000000"/>
                <w:sz w:val="20"/>
              </w:rPr>
              <w:t xml:space="preserve"> </w:t>
            </w:r>
          </w:p>
        </w:tc>
        <w:tc>
          <w:tcPr>
            <w:tcW w:w="441" w:type="pct"/>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rPr>
            </w:pPr>
            <w:r>
              <w:rPr>
                <w:b/>
                <w:noProof/>
                <w:color w:val="000000"/>
                <w:sz w:val="20"/>
              </w:rPr>
              <w:t xml:space="preserve"> </w:t>
            </w:r>
          </w:p>
        </w:tc>
        <w:tc>
          <w:tcPr>
            <w:tcW w:w="441" w:type="pct"/>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rPr>
            </w:pPr>
            <w:r>
              <w:rPr>
                <w:b/>
                <w:noProof/>
                <w:color w:val="000000"/>
                <w:sz w:val="20"/>
              </w:rPr>
              <w:t xml:space="preserve"> </w:t>
            </w:r>
          </w:p>
        </w:tc>
        <w:tc>
          <w:tcPr>
            <w:tcW w:w="534"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300"/>
        </w:trPr>
        <w:tc>
          <w:tcPr>
            <w:tcW w:w="1522" w:type="pct"/>
            <w:tcBorders>
              <w:top w:val="nil"/>
              <w:left w:val="single" w:sz="8" w:space="0" w:color="auto"/>
              <w:bottom w:val="nil"/>
              <w:right w:val="single" w:sz="8" w:space="0" w:color="auto"/>
            </w:tcBorders>
            <w:vAlign w:val="center"/>
            <w:hideMark/>
          </w:tcPr>
          <w:p>
            <w:pPr>
              <w:spacing w:before="0" w:after="0"/>
              <w:jc w:val="center"/>
              <w:rPr>
                <w:b/>
                <w:bCs/>
                <w:noProof/>
                <w:color w:val="000000"/>
                <w:sz w:val="22"/>
              </w:rPr>
            </w:pPr>
            <w:r>
              <w:rPr>
                <w:b/>
                <w:noProof/>
                <w:color w:val="000000"/>
                <w:sz w:val="22"/>
              </w:rPr>
              <w:t>TOTAL credite</w:t>
            </w:r>
          </w:p>
        </w:tc>
        <w:tc>
          <w:tcPr>
            <w:tcW w:w="471" w:type="pct"/>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Angajamente</w:t>
            </w:r>
          </w:p>
        </w:tc>
        <w:tc>
          <w:tcPr>
            <w:tcW w:w="709" w:type="pct"/>
            <w:tcBorders>
              <w:top w:val="single" w:sz="8" w:space="0" w:color="auto"/>
              <w:left w:val="nil"/>
              <w:bottom w:val="single" w:sz="8" w:space="0" w:color="auto"/>
              <w:right w:val="single" w:sz="8" w:space="0" w:color="000000"/>
            </w:tcBorders>
            <w:vAlign w:val="center"/>
            <w:hideMark/>
          </w:tcPr>
          <w:p>
            <w:pPr>
              <w:spacing w:before="0" w:after="0"/>
              <w:jc w:val="center"/>
              <w:rPr>
                <w:noProof/>
                <w:color w:val="000000"/>
                <w:sz w:val="14"/>
                <w:szCs w:val="14"/>
              </w:rPr>
            </w:pPr>
            <w:r>
              <w:rPr>
                <w:noProof/>
                <w:color w:val="000000"/>
                <w:sz w:val="14"/>
              </w:rPr>
              <w:t>=1a+1b +3</w:t>
            </w:r>
          </w:p>
        </w:tc>
        <w:tc>
          <w:tcPr>
            <w:tcW w:w="441"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41"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41"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41"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534"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300"/>
        </w:trPr>
        <w:tc>
          <w:tcPr>
            <w:tcW w:w="1522" w:type="pct"/>
            <w:tcBorders>
              <w:top w:val="nil"/>
              <w:left w:val="single" w:sz="8" w:space="0" w:color="auto"/>
              <w:bottom w:val="single" w:sz="8" w:space="0" w:color="auto"/>
              <w:right w:val="single" w:sz="8" w:space="0" w:color="auto"/>
            </w:tcBorders>
            <w:vAlign w:val="center"/>
            <w:hideMark/>
          </w:tcPr>
          <w:p>
            <w:pPr>
              <w:spacing w:before="0" w:after="0"/>
              <w:jc w:val="center"/>
              <w:rPr>
                <w:b/>
                <w:bCs/>
                <w:noProof/>
                <w:color w:val="000000"/>
                <w:sz w:val="22"/>
              </w:rPr>
            </w:pPr>
            <w:r>
              <w:rPr>
                <w:b/>
                <w:noProof/>
                <w:color w:val="000000"/>
                <w:sz w:val="22"/>
              </w:rPr>
              <w:t>pentru DG</w:t>
            </w:r>
            <w:r>
              <w:rPr>
                <w:noProof/>
                <w:color w:val="000000"/>
                <w:sz w:val="22"/>
              </w:rPr>
              <w:t xml:space="preserve"> &lt;….&gt;</w:t>
            </w:r>
          </w:p>
        </w:tc>
        <w:tc>
          <w:tcPr>
            <w:tcW w:w="471" w:type="pct"/>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Plăți</w:t>
            </w:r>
          </w:p>
        </w:tc>
        <w:tc>
          <w:tcPr>
            <w:tcW w:w="709" w:type="pct"/>
            <w:tcBorders>
              <w:top w:val="single" w:sz="8" w:space="0" w:color="auto"/>
              <w:left w:val="nil"/>
              <w:bottom w:val="single" w:sz="8" w:space="0" w:color="auto"/>
              <w:right w:val="single" w:sz="8" w:space="0" w:color="000000"/>
            </w:tcBorders>
            <w:vAlign w:val="center"/>
            <w:hideMark/>
          </w:tcPr>
          <w:p>
            <w:pPr>
              <w:spacing w:before="0" w:after="0"/>
              <w:jc w:val="center"/>
              <w:rPr>
                <w:noProof/>
                <w:color w:val="000000"/>
                <w:sz w:val="14"/>
                <w:szCs w:val="14"/>
              </w:rPr>
            </w:pPr>
            <w:r>
              <w:rPr>
                <w:noProof/>
                <w:color w:val="000000"/>
                <w:sz w:val="14"/>
              </w:rPr>
              <w:t>=2a+2b+3</w:t>
            </w:r>
          </w:p>
        </w:tc>
        <w:tc>
          <w:tcPr>
            <w:tcW w:w="441"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41"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41"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41"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534"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bl>
    <w:p>
      <w:pPr>
        <w:rPr>
          <w:noProof/>
        </w:rPr>
      </w:pPr>
    </w:p>
    <w:tbl>
      <w:tblPr>
        <w:tblW w:w="5000" w:type="pct"/>
        <w:tblLook w:val="04A0" w:firstRow="1" w:lastRow="0" w:firstColumn="1" w:lastColumn="0" w:noHBand="0" w:noVBand="1"/>
      </w:tblPr>
      <w:tblGrid>
        <w:gridCol w:w="4013"/>
        <w:gridCol w:w="316"/>
        <w:gridCol w:w="1189"/>
        <w:gridCol w:w="151"/>
        <w:gridCol w:w="1038"/>
        <w:gridCol w:w="210"/>
        <w:gridCol w:w="830"/>
        <w:gridCol w:w="572"/>
        <w:gridCol w:w="671"/>
        <w:gridCol w:w="731"/>
        <w:gridCol w:w="512"/>
        <w:gridCol w:w="890"/>
        <w:gridCol w:w="353"/>
        <w:gridCol w:w="1049"/>
        <w:gridCol w:w="193"/>
        <w:gridCol w:w="1502"/>
      </w:tblGrid>
      <w:tr>
        <w:trPr>
          <w:trHeight w:val="300"/>
        </w:trPr>
        <w:tc>
          <w:tcPr>
            <w:tcW w:w="2432" w:type="pct"/>
            <w:gridSpan w:val="6"/>
            <w:vMerge w:val="restart"/>
            <w:tcBorders>
              <w:top w:val="single" w:sz="8" w:space="0" w:color="auto"/>
              <w:left w:val="single" w:sz="8" w:space="0" w:color="auto"/>
              <w:bottom w:val="single" w:sz="8" w:space="0" w:color="000000"/>
              <w:right w:val="single" w:sz="8" w:space="0" w:color="000000"/>
            </w:tcBorders>
            <w:vAlign w:val="center"/>
            <w:hideMark/>
          </w:tcPr>
          <w:p>
            <w:pPr>
              <w:spacing w:before="0" w:after="0"/>
              <w:jc w:val="center"/>
              <w:rPr>
                <w:b/>
                <w:bCs/>
                <w:noProof/>
                <w:color w:val="000000"/>
                <w:sz w:val="22"/>
              </w:rPr>
            </w:pPr>
            <w:r>
              <w:rPr>
                <w:b/>
                <w:noProof/>
                <w:color w:val="000000"/>
                <w:sz w:val="22"/>
              </w:rPr>
              <w:t xml:space="preserve"> </w:t>
            </w:r>
          </w:p>
        </w:tc>
        <w:tc>
          <w:tcPr>
            <w:tcW w:w="493"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493"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493"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493"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596" w:type="pct"/>
            <w:gridSpan w:val="2"/>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TOTAL CFM 2021-2027</w:t>
            </w:r>
          </w:p>
        </w:tc>
      </w:tr>
      <w:tr>
        <w:trPr>
          <w:trHeight w:val="300"/>
        </w:trPr>
        <w:tc>
          <w:tcPr>
            <w:tcW w:w="2432" w:type="pct"/>
            <w:gridSpan w:val="6"/>
            <w:vMerge/>
            <w:tcBorders>
              <w:top w:val="single" w:sz="8" w:space="0" w:color="auto"/>
              <w:left w:val="single" w:sz="8" w:space="0" w:color="auto"/>
              <w:bottom w:val="single" w:sz="8" w:space="0" w:color="000000"/>
              <w:right w:val="single" w:sz="8" w:space="0" w:color="000000"/>
            </w:tcBorders>
            <w:vAlign w:val="center"/>
            <w:hideMark/>
          </w:tcPr>
          <w:p>
            <w:pPr>
              <w:spacing w:before="0" w:after="0"/>
              <w:jc w:val="left"/>
              <w:rPr>
                <w:b/>
                <w:bCs/>
                <w:noProof/>
                <w:color w:val="000000"/>
                <w:sz w:val="22"/>
                <w:lang w:eastAsia="en-IE"/>
              </w:rPr>
            </w:pPr>
          </w:p>
        </w:tc>
        <w:tc>
          <w:tcPr>
            <w:tcW w:w="493" w:type="pct"/>
            <w:gridSpan w:val="2"/>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2024</w:t>
            </w:r>
          </w:p>
        </w:tc>
        <w:tc>
          <w:tcPr>
            <w:tcW w:w="493" w:type="pct"/>
            <w:gridSpan w:val="2"/>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2025</w:t>
            </w:r>
          </w:p>
        </w:tc>
        <w:tc>
          <w:tcPr>
            <w:tcW w:w="493" w:type="pct"/>
            <w:gridSpan w:val="2"/>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2026</w:t>
            </w:r>
          </w:p>
        </w:tc>
        <w:tc>
          <w:tcPr>
            <w:tcW w:w="493" w:type="pct"/>
            <w:gridSpan w:val="2"/>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2027</w:t>
            </w:r>
          </w:p>
        </w:tc>
        <w:tc>
          <w:tcPr>
            <w:tcW w:w="596" w:type="pct"/>
            <w:gridSpan w:val="2"/>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b/>
                <w:bCs/>
                <w:noProof/>
                <w:color w:val="000000"/>
                <w:sz w:val="20"/>
                <w:szCs w:val="20"/>
                <w:lang w:eastAsia="en-IE"/>
              </w:rPr>
            </w:pPr>
          </w:p>
        </w:tc>
      </w:tr>
      <w:tr>
        <w:trPr>
          <w:trHeight w:val="432"/>
        </w:trPr>
        <w:tc>
          <w:tcPr>
            <w:tcW w:w="1411" w:type="pct"/>
            <w:vMerge w:val="restart"/>
            <w:tcBorders>
              <w:top w:val="nil"/>
              <w:left w:val="single" w:sz="8" w:space="0" w:color="auto"/>
              <w:bottom w:val="single" w:sz="8" w:space="0" w:color="auto"/>
              <w:right w:val="single" w:sz="8" w:space="0" w:color="auto"/>
            </w:tcBorders>
            <w:vAlign w:val="center"/>
            <w:hideMark/>
          </w:tcPr>
          <w:p>
            <w:pPr>
              <w:spacing w:before="0" w:after="0"/>
              <w:rPr>
                <w:noProof/>
                <w:color w:val="000000"/>
                <w:sz w:val="21"/>
                <w:szCs w:val="21"/>
              </w:rPr>
            </w:pPr>
            <w:r>
              <w:rPr>
                <w:noProof/>
                <w:color w:val="000000"/>
                <w:sz w:val="21"/>
              </w:rPr>
              <w:t xml:space="preserve">TOTAL credite operaționale </w:t>
            </w:r>
            <w:r>
              <w:rPr>
                <w:noProof/>
              </w:rPr>
              <w:t xml:space="preserve"> </w:t>
            </w:r>
            <w:r>
              <w:rPr>
                <w:noProof/>
              </w:rPr>
              <w:br/>
            </w:r>
          </w:p>
        </w:tc>
        <w:tc>
          <w:tcPr>
            <w:tcW w:w="529"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Angajamente</w:t>
            </w:r>
          </w:p>
        </w:tc>
        <w:tc>
          <w:tcPr>
            <w:tcW w:w="492"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(4)</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456"/>
        </w:trPr>
        <w:tc>
          <w:tcPr>
            <w:tcW w:w="1411" w:type="pct"/>
            <w:vMerge/>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21"/>
                <w:szCs w:val="21"/>
                <w:lang w:eastAsia="en-IE"/>
              </w:rPr>
            </w:pPr>
          </w:p>
        </w:tc>
        <w:tc>
          <w:tcPr>
            <w:tcW w:w="529"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Plăți</w:t>
            </w:r>
          </w:p>
        </w:tc>
        <w:tc>
          <w:tcPr>
            <w:tcW w:w="492"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(5)</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924"/>
        </w:trPr>
        <w:tc>
          <w:tcPr>
            <w:tcW w:w="1939" w:type="pct"/>
            <w:gridSpan w:val="3"/>
            <w:tcBorders>
              <w:top w:val="single" w:sz="8" w:space="0" w:color="auto"/>
              <w:left w:val="single" w:sz="8" w:space="0" w:color="auto"/>
              <w:bottom w:val="single" w:sz="8" w:space="0" w:color="auto"/>
              <w:right w:val="single" w:sz="8" w:space="0" w:color="auto"/>
            </w:tcBorders>
            <w:vAlign w:val="center"/>
            <w:hideMark/>
          </w:tcPr>
          <w:p>
            <w:pPr>
              <w:spacing w:before="0" w:after="0"/>
              <w:rPr>
                <w:noProof/>
                <w:color w:val="000000"/>
                <w:sz w:val="21"/>
                <w:szCs w:val="21"/>
              </w:rPr>
            </w:pPr>
            <w:r>
              <w:rPr>
                <w:noProof/>
                <w:color w:val="000000"/>
                <w:sz w:val="21"/>
              </w:rPr>
              <w:t xml:space="preserve">TOTAL credite cu caracter administrativ finanțate din bugetul unor programe specifice </w:t>
            </w:r>
          </w:p>
        </w:tc>
        <w:tc>
          <w:tcPr>
            <w:tcW w:w="492"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(6)</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564"/>
        </w:trPr>
        <w:tc>
          <w:tcPr>
            <w:tcW w:w="1411" w:type="pct"/>
            <w:tcBorders>
              <w:top w:val="nil"/>
              <w:left w:val="single" w:sz="8" w:space="0" w:color="auto"/>
              <w:bottom w:val="nil"/>
              <w:right w:val="single" w:sz="8" w:space="0" w:color="auto"/>
            </w:tcBorders>
            <w:shd w:val="thinDiagStripe" w:color="C0C0C0" w:fill="F1F1F1"/>
            <w:vAlign w:val="center"/>
            <w:hideMark/>
          </w:tcPr>
          <w:p>
            <w:pPr>
              <w:spacing w:before="0" w:after="0"/>
              <w:jc w:val="center"/>
              <w:rPr>
                <w:b/>
                <w:bCs/>
                <w:noProof/>
                <w:color w:val="000000"/>
                <w:sz w:val="22"/>
              </w:rPr>
            </w:pPr>
            <w:r>
              <w:rPr>
                <w:b/>
                <w:noProof/>
                <w:color w:val="000000"/>
                <w:sz w:val="22"/>
              </w:rPr>
              <w:t>TOTAL credite în cadrul RUBRICII &lt;….&gt;</w:t>
            </w:r>
          </w:p>
        </w:tc>
        <w:tc>
          <w:tcPr>
            <w:tcW w:w="529"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Angajamente</w:t>
            </w:r>
          </w:p>
        </w:tc>
        <w:tc>
          <w:tcPr>
            <w:tcW w:w="492"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=4+6</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528"/>
        </w:trPr>
        <w:tc>
          <w:tcPr>
            <w:tcW w:w="1411" w:type="pct"/>
            <w:tcBorders>
              <w:top w:val="nil"/>
              <w:left w:val="single" w:sz="8" w:space="0" w:color="auto"/>
              <w:bottom w:val="single" w:sz="8" w:space="0" w:color="auto"/>
              <w:right w:val="single" w:sz="8" w:space="0" w:color="auto"/>
            </w:tcBorders>
            <w:shd w:val="thinDiagStripe" w:color="C0C0C0" w:fill="F1F1F1"/>
            <w:vAlign w:val="center"/>
            <w:hideMark/>
          </w:tcPr>
          <w:p>
            <w:pPr>
              <w:spacing w:before="0" w:after="0"/>
              <w:jc w:val="center"/>
              <w:rPr>
                <w:noProof/>
                <w:color w:val="000000"/>
                <w:sz w:val="22"/>
              </w:rPr>
            </w:pPr>
            <w:r>
              <w:rPr>
                <w:noProof/>
                <w:color w:val="000000"/>
                <w:sz w:val="22"/>
              </w:rPr>
              <w:t>din cadrul financiar multianual</w:t>
            </w:r>
          </w:p>
        </w:tc>
        <w:tc>
          <w:tcPr>
            <w:tcW w:w="529"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Plăți</w:t>
            </w:r>
          </w:p>
        </w:tc>
        <w:tc>
          <w:tcPr>
            <w:tcW w:w="492"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=5+6</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288"/>
        </w:trPr>
        <w:tc>
          <w:tcPr>
            <w:tcW w:w="1522" w:type="pct"/>
            <w:gridSpan w:val="2"/>
            <w:tcBorders>
              <w:top w:val="nil"/>
              <w:left w:val="nil"/>
              <w:bottom w:val="nil"/>
              <w:right w:val="nil"/>
            </w:tcBorders>
            <w:noWrap/>
            <w:vAlign w:val="bottom"/>
            <w:hideMark/>
          </w:tcPr>
          <w:p>
            <w:pPr>
              <w:spacing w:before="0" w:after="0"/>
              <w:jc w:val="left"/>
              <w:rPr>
                <w:noProof/>
                <w:sz w:val="20"/>
                <w:szCs w:val="24"/>
                <w:lang w:eastAsia="en-IE"/>
              </w:rPr>
            </w:pPr>
          </w:p>
        </w:tc>
        <w:tc>
          <w:tcPr>
            <w:tcW w:w="471" w:type="pct"/>
            <w:gridSpan w:val="2"/>
            <w:tcBorders>
              <w:top w:val="nil"/>
              <w:left w:val="nil"/>
              <w:bottom w:val="nil"/>
              <w:right w:val="nil"/>
            </w:tcBorders>
            <w:noWrap/>
            <w:vAlign w:val="bottom"/>
            <w:hideMark/>
          </w:tcPr>
          <w:p>
            <w:pPr>
              <w:spacing w:before="0" w:after="0"/>
              <w:jc w:val="left"/>
              <w:rPr>
                <w:noProof/>
                <w:sz w:val="20"/>
                <w:szCs w:val="20"/>
                <w:lang w:eastAsia="en-IE"/>
              </w:rPr>
            </w:pPr>
          </w:p>
        </w:tc>
        <w:tc>
          <w:tcPr>
            <w:tcW w:w="365" w:type="pct"/>
            <w:tcBorders>
              <w:top w:val="nil"/>
              <w:left w:val="nil"/>
              <w:bottom w:val="nil"/>
              <w:right w:val="nil"/>
            </w:tcBorders>
            <w:noWrap/>
            <w:vAlign w:val="bottom"/>
            <w:hideMark/>
          </w:tcPr>
          <w:p>
            <w:pPr>
              <w:spacing w:before="0" w:after="0"/>
              <w:jc w:val="left"/>
              <w:rPr>
                <w:noProof/>
                <w:sz w:val="20"/>
                <w:szCs w:val="20"/>
                <w:lang w:eastAsia="en-IE"/>
              </w:rPr>
            </w:pPr>
          </w:p>
        </w:tc>
        <w:tc>
          <w:tcPr>
            <w:tcW w:w="365" w:type="pct"/>
            <w:gridSpan w:val="2"/>
            <w:tcBorders>
              <w:top w:val="nil"/>
              <w:left w:val="nil"/>
              <w:bottom w:val="nil"/>
              <w:right w:val="single" w:sz="4" w:space="0" w:color="auto"/>
            </w:tcBorders>
            <w:noWrap/>
            <w:vAlign w:val="bottom"/>
            <w:hideMark/>
          </w:tcPr>
          <w:p>
            <w:pPr>
              <w:spacing w:before="0" w:after="0"/>
              <w:jc w:val="left"/>
              <w:rPr>
                <w:noProof/>
                <w:sz w:val="20"/>
                <w:szCs w:val="20"/>
                <w:lang w:eastAsia="en-IE"/>
              </w:rPr>
            </w:pPr>
          </w:p>
        </w:tc>
        <w:tc>
          <w:tcPr>
            <w:tcW w:w="437" w:type="pct"/>
            <w:gridSpan w:val="2"/>
            <w:tcBorders>
              <w:top w:val="single" w:sz="8" w:space="0" w:color="auto"/>
              <w:left w:val="single" w:sz="4" w:space="0" w:color="auto"/>
              <w:bottom w:val="nil"/>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437" w:type="pct"/>
            <w:gridSpan w:val="2"/>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437" w:type="pct"/>
            <w:gridSpan w:val="2"/>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437" w:type="pct"/>
            <w:gridSpan w:val="2"/>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529"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b/>
                <w:bCs/>
                <w:noProof/>
                <w:color w:val="000000"/>
                <w:sz w:val="20"/>
                <w:szCs w:val="20"/>
              </w:rPr>
            </w:pPr>
            <w:r>
              <w:rPr>
                <w:b/>
                <w:noProof/>
                <w:color w:val="000000"/>
                <w:sz w:val="20"/>
              </w:rPr>
              <w:t>TOTAL CFM 2021-2027</w:t>
            </w:r>
          </w:p>
        </w:tc>
      </w:tr>
      <w:tr>
        <w:trPr>
          <w:trHeight w:val="300"/>
        </w:trPr>
        <w:tc>
          <w:tcPr>
            <w:tcW w:w="1522" w:type="pct"/>
            <w:gridSpan w:val="2"/>
            <w:tcBorders>
              <w:top w:val="nil"/>
              <w:left w:val="nil"/>
              <w:bottom w:val="nil"/>
              <w:right w:val="nil"/>
            </w:tcBorders>
            <w:noWrap/>
            <w:vAlign w:val="bottom"/>
            <w:hideMark/>
          </w:tcPr>
          <w:p>
            <w:pPr>
              <w:spacing w:before="0" w:after="0"/>
              <w:jc w:val="center"/>
              <w:rPr>
                <w:b/>
                <w:bCs/>
                <w:noProof/>
                <w:color w:val="000000"/>
                <w:sz w:val="20"/>
                <w:szCs w:val="20"/>
                <w:lang w:eastAsia="en-IE"/>
              </w:rPr>
            </w:pPr>
          </w:p>
        </w:tc>
        <w:tc>
          <w:tcPr>
            <w:tcW w:w="471" w:type="pct"/>
            <w:gridSpan w:val="2"/>
            <w:tcBorders>
              <w:top w:val="nil"/>
              <w:left w:val="nil"/>
              <w:bottom w:val="nil"/>
              <w:right w:val="nil"/>
            </w:tcBorders>
            <w:noWrap/>
            <w:vAlign w:val="bottom"/>
            <w:hideMark/>
          </w:tcPr>
          <w:p>
            <w:pPr>
              <w:spacing w:before="0" w:after="0"/>
              <w:jc w:val="left"/>
              <w:rPr>
                <w:noProof/>
                <w:sz w:val="20"/>
                <w:szCs w:val="20"/>
                <w:lang w:eastAsia="en-IE"/>
              </w:rPr>
            </w:pPr>
          </w:p>
        </w:tc>
        <w:tc>
          <w:tcPr>
            <w:tcW w:w="365" w:type="pct"/>
            <w:tcBorders>
              <w:top w:val="nil"/>
              <w:left w:val="nil"/>
              <w:bottom w:val="nil"/>
              <w:right w:val="nil"/>
            </w:tcBorders>
            <w:noWrap/>
            <w:vAlign w:val="bottom"/>
            <w:hideMark/>
          </w:tcPr>
          <w:p>
            <w:pPr>
              <w:spacing w:before="0" w:after="0"/>
              <w:jc w:val="left"/>
              <w:rPr>
                <w:noProof/>
                <w:sz w:val="20"/>
                <w:szCs w:val="20"/>
                <w:lang w:eastAsia="en-IE"/>
              </w:rPr>
            </w:pPr>
          </w:p>
        </w:tc>
        <w:tc>
          <w:tcPr>
            <w:tcW w:w="365" w:type="pct"/>
            <w:gridSpan w:val="2"/>
            <w:tcBorders>
              <w:top w:val="nil"/>
              <w:left w:val="nil"/>
              <w:bottom w:val="nil"/>
              <w:right w:val="single" w:sz="4" w:space="0" w:color="auto"/>
            </w:tcBorders>
            <w:noWrap/>
            <w:vAlign w:val="bottom"/>
            <w:hideMark/>
          </w:tcPr>
          <w:p>
            <w:pPr>
              <w:spacing w:before="0" w:after="0"/>
              <w:jc w:val="left"/>
              <w:rPr>
                <w:noProof/>
                <w:sz w:val="20"/>
                <w:szCs w:val="20"/>
                <w:lang w:eastAsia="en-IE"/>
              </w:rPr>
            </w:pPr>
          </w:p>
        </w:tc>
        <w:tc>
          <w:tcPr>
            <w:tcW w:w="437" w:type="pct"/>
            <w:gridSpan w:val="2"/>
            <w:tcBorders>
              <w:top w:val="nil"/>
              <w:left w:val="single" w:sz="4" w:space="0" w:color="auto"/>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2024</w:t>
            </w:r>
          </w:p>
        </w:tc>
        <w:tc>
          <w:tcPr>
            <w:tcW w:w="437" w:type="pct"/>
            <w:gridSpan w:val="2"/>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2025</w:t>
            </w:r>
          </w:p>
        </w:tc>
        <w:tc>
          <w:tcPr>
            <w:tcW w:w="437" w:type="pct"/>
            <w:gridSpan w:val="2"/>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2026</w:t>
            </w:r>
          </w:p>
        </w:tc>
        <w:tc>
          <w:tcPr>
            <w:tcW w:w="437" w:type="pct"/>
            <w:gridSpan w:val="2"/>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2027</w:t>
            </w:r>
          </w:p>
        </w:tc>
        <w:tc>
          <w:tcPr>
            <w:tcW w:w="529"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b/>
                <w:bCs/>
                <w:noProof/>
                <w:color w:val="000000"/>
                <w:sz w:val="20"/>
                <w:szCs w:val="20"/>
                <w:lang w:eastAsia="en-IE"/>
              </w:rPr>
            </w:pPr>
          </w:p>
        </w:tc>
      </w:tr>
      <w:tr>
        <w:trPr>
          <w:trHeight w:val="300"/>
        </w:trPr>
        <w:tc>
          <w:tcPr>
            <w:tcW w:w="1522" w:type="pct"/>
            <w:gridSpan w:val="2"/>
            <w:vMerge w:val="restart"/>
            <w:tcBorders>
              <w:top w:val="single" w:sz="8" w:space="0" w:color="auto"/>
              <w:left w:val="single" w:sz="8" w:space="0" w:color="auto"/>
              <w:bottom w:val="single" w:sz="8" w:space="0" w:color="auto"/>
              <w:right w:val="single" w:sz="8" w:space="0" w:color="auto"/>
            </w:tcBorders>
            <w:vAlign w:val="center"/>
            <w:hideMark/>
          </w:tcPr>
          <w:p>
            <w:pPr>
              <w:spacing w:before="0" w:after="0"/>
              <w:rPr>
                <w:noProof/>
                <w:color w:val="000000"/>
                <w:sz w:val="21"/>
                <w:szCs w:val="21"/>
              </w:rPr>
            </w:pPr>
            <w:r>
              <w:rPr>
                <w:rFonts w:ascii="Calibri" w:hAnsi="Calibri"/>
                <w:noProof/>
                <w:color w:val="000000"/>
                <w:sz w:val="21"/>
              </w:rPr>
              <w:t xml:space="preserve">• </w:t>
            </w:r>
            <w:r>
              <w:rPr>
                <w:noProof/>
                <w:color w:val="000000"/>
                <w:sz w:val="21"/>
              </w:rPr>
              <w:t>TOTAL credite operaționale (toate rubricile operaționale)</w:t>
            </w:r>
          </w:p>
        </w:tc>
        <w:tc>
          <w:tcPr>
            <w:tcW w:w="471" w:type="pct"/>
            <w:gridSpan w:val="2"/>
            <w:tcBorders>
              <w:top w:val="single" w:sz="8" w:space="0" w:color="auto"/>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Angajamente</w:t>
            </w:r>
          </w:p>
        </w:tc>
        <w:tc>
          <w:tcPr>
            <w:tcW w:w="731" w:type="pct"/>
            <w:gridSpan w:val="3"/>
            <w:tcBorders>
              <w:top w:val="single" w:sz="8" w:space="0" w:color="auto"/>
              <w:left w:val="nil"/>
              <w:bottom w:val="single" w:sz="8" w:space="0" w:color="auto"/>
              <w:right w:val="single" w:sz="8" w:space="0" w:color="000000"/>
            </w:tcBorders>
            <w:vAlign w:val="center"/>
            <w:hideMark/>
          </w:tcPr>
          <w:p>
            <w:pPr>
              <w:spacing w:before="0" w:after="0"/>
              <w:jc w:val="center"/>
              <w:rPr>
                <w:noProof/>
                <w:color w:val="000000"/>
                <w:sz w:val="14"/>
                <w:szCs w:val="14"/>
              </w:rPr>
            </w:pPr>
            <w:r>
              <w:rPr>
                <w:noProof/>
                <w:color w:val="000000"/>
                <w:sz w:val="14"/>
              </w:rPr>
              <w:t>(4)</w:t>
            </w:r>
          </w:p>
        </w:tc>
        <w:tc>
          <w:tcPr>
            <w:tcW w:w="43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529"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300"/>
        </w:trPr>
        <w:tc>
          <w:tcPr>
            <w:tcW w:w="1522" w:type="pct"/>
            <w:gridSpan w:val="2"/>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noProof/>
                <w:color w:val="000000"/>
                <w:sz w:val="21"/>
                <w:szCs w:val="21"/>
                <w:lang w:eastAsia="en-IE"/>
              </w:rPr>
            </w:pPr>
          </w:p>
        </w:tc>
        <w:tc>
          <w:tcPr>
            <w:tcW w:w="471"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Plăți</w:t>
            </w:r>
          </w:p>
        </w:tc>
        <w:tc>
          <w:tcPr>
            <w:tcW w:w="731" w:type="pct"/>
            <w:gridSpan w:val="3"/>
            <w:tcBorders>
              <w:top w:val="single" w:sz="8" w:space="0" w:color="auto"/>
              <w:left w:val="nil"/>
              <w:bottom w:val="single" w:sz="8" w:space="0" w:color="auto"/>
              <w:right w:val="single" w:sz="8" w:space="0" w:color="000000"/>
            </w:tcBorders>
            <w:vAlign w:val="center"/>
            <w:hideMark/>
          </w:tcPr>
          <w:p>
            <w:pPr>
              <w:spacing w:before="0" w:after="0"/>
              <w:jc w:val="center"/>
              <w:rPr>
                <w:noProof/>
                <w:color w:val="000000"/>
                <w:sz w:val="14"/>
                <w:szCs w:val="14"/>
              </w:rPr>
            </w:pPr>
            <w:r>
              <w:rPr>
                <w:noProof/>
                <w:color w:val="000000"/>
                <w:sz w:val="14"/>
              </w:rPr>
              <w:t>(5)</w:t>
            </w:r>
          </w:p>
        </w:tc>
        <w:tc>
          <w:tcPr>
            <w:tcW w:w="43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529"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990"/>
        </w:trPr>
        <w:tc>
          <w:tcPr>
            <w:tcW w:w="1993" w:type="pct"/>
            <w:gridSpan w:val="4"/>
            <w:tcBorders>
              <w:top w:val="single" w:sz="8" w:space="0" w:color="auto"/>
              <w:left w:val="single" w:sz="8" w:space="0" w:color="auto"/>
              <w:bottom w:val="single" w:sz="8" w:space="0" w:color="auto"/>
              <w:right w:val="single" w:sz="8" w:space="0" w:color="000000"/>
            </w:tcBorders>
            <w:vAlign w:val="center"/>
            <w:hideMark/>
          </w:tcPr>
          <w:p>
            <w:pPr>
              <w:spacing w:before="0" w:after="0"/>
              <w:rPr>
                <w:noProof/>
                <w:color w:val="000000"/>
                <w:sz w:val="21"/>
                <w:szCs w:val="21"/>
              </w:rPr>
            </w:pPr>
            <w:r>
              <w:rPr>
                <w:rFonts w:ascii="Calibri" w:hAnsi="Calibri"/>
                <w:noProof/>
                <w:color w:val="000000"/>
                <w:sz w:val="21"/>
              </w:rPr>
              <w:t xml:space="preserve">• </w:t>
            </w:r>
            <w:r>
              <w:rPr>
                <w:noProof/>
                <w:color w:val="000000"/>
                <w:sz w:val="21"/>
              </w:rPr>
              <w:t>TOTAL credite cu caracter administrativ finanțate din bugetul unor programe specifice (toate rubricile operaționale)</w:t>
            </w:r>
          </w:p>
        </w:tc>
        <w:tc>
          <w:tcPr>
            <w:tcW w:w="731" w:type="pct"/>
            <w:gridSpan w:val="3"/>
            <w:tcBorders>
              <w:top w:val="single" w:sz="8" w:space="0" w:color="auto"/>
              <w:left w:val="nil"/>
              <w:bottom w:val="single" w:sz="8" w:space="0" w:color="auto"/>
              <w:right w:val="single" w:sz="8" w:space="0" w:color="000000"/>
            </w:tcBorders>
            <w:vAlign w:val="center"/>
            <w:hideMark/>
          </w:tcPr>
          <w:p>
            <w:pPr>
              <w:spacing w:before="0" w:after="0"/>
              <w:jc w:val="center"/>
              <w:rPr>
                <w:noProof/>
                <w:color w:val="000000"/>
                <w:sz w:val="14"/>
                <w:szCs w:val="14"/>
              </w:rPr>
            </w:pPr>
            <w:r>
              <w:rPr>
                <w:noProof/>
                <w:color w:val="000000"/>
                <w:sz w:val="14"/>
              </w:rPr>
              <w:t>(6)</w:t>
            </w:r>
          </w:p>
        </w:tc>
        <w:tc>
          <w:tcPr>
            <w:tcW w:w="43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529"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564"/>
        </w:trPr>
        <w:tc>
          <w:tcPr>
            <w:tcW w:w="1522" w:type="pct"/>
            <w:gridSpan w:val="2"/>
            <w:tcBorders>
              <w:top w:val="nil"/>
              <w:left w:val="single" w:sz="8" w:space="0" w:color="auto"/>
              <w:bottom w:val="nil"/>
              <w:right w:val="single" w:sz="8" w:space="0" w:color="auto"/>
            </w:tcBorders>
            <w:shd w:val="thinDiagStripe" w:color="C0C0C0" w:fill="F1F1F1"/>
            <w:vAlign w:val="center"/>
            <w:hideMark/>
          </w:tcPr>
          <w:p>
            <w:pPr>
              <w:spacing w:before="0" w:after="0"/>
              <w:jc w:val="center"/>
              <w:rPr>
                <w:b/>
                <w:bCs/>
                <w:noProof/>
                <w:color w:val="000000"/>
                <w:sz w:val="22"/>
              </w:rPr>
            </w:pPr>
            <w:r>
              <w:rPr>
                <w:b/>
                <w:noProof/>
                <w:color w:val="000000"/>
                <w:sz w:val="22"/>
              </w:rPr>
              <w:t>TOTAL credite în cadrul RUBRICILOR 1-6</w:t>
            </w:r>
          </w:p>
        </w:tc>
        <w:tc>
          <w:tcPr>
            <w:tcW w:w="471" w:type="pct"/>
            <w:gridSpan w:val="2"/>
            <w:tcBorders>
              <w:top w:val="nil"/>
              <w:left w:val="nil"/>
              <w:bottom w:val="nil"/>
              <w:right w:val="single" w:sz="8" w:space="0" w:color="auto"/>
            </w:tcBorders>
            <w:vAlign w:val="center"/>
            <w:hideMark/>
          </w:tcPr>
          <w:p>
            <w:pPr>
              <w:spacing w:before="0" w:after="0"/>
              <w:rPr>
                <w:noProof/>
                <w:color w:val="000000"/>
                <w:sz w:val="18"/>
                <w:szCs w:val="18"/>
              </w:rPr>
            </w:pPr>
            <w:r>
              <w:rPr>
                <w:noProof/>
                <w:color w:val="000000"/>
                <w:sz w:val="18"/>
              </w:rPr>
              <w:t>Angajamente</w:t>
            </w:r>
          </w:p>
        </w:tc>
        <w:tc>
          <w:tcPr>
            <w:tcW w:w="731" w:type="pct"/>
            <w:gridSpan w:val="3"/>
            <w:tcBorders>
              <w:top w:val="single" w:sz="8" w:space="0" w:color="auto"/>
              <w:left w:val="nil"/>
              <w:bottom w:val="nil"/>
              <w:right w:val="single" w:sz="8" w:space="0" w:color="000000"/>
            </w:tcBorders>
            <w:vAlign w:val="center"/>
            <w:hideMark/>
          </w:tcPr>
          <w:p>
            <w:pPr>
              <w:spacing w:before="0" w:after="0"/>
              <w:jc w:val="center"/>
              <w:rPr>
                <w:noProof/>
                <w:color w:val="000000"/>
                <w:sz w:val="14"/>
                <w:szCs w:val="14"/>
              </w:rPr>
            </w:pPr>
            <w:r>
              <w:rPr>
                <w:noProof/>
                <w:color w:val="000000"/>
                <w:sz w:val="14"/>
              </w:rPr>
              <w:t>=4+6</w:t>
            </w:r>
          </w:p>
        </w:tc>
        <w:tc>
          <w:tcPr>
            <w:tcW w:w="43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529"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588"/>
        </w:trPr>
        <w:tc>
          <w:tcPr>
            <w:tcW w:w="1522" w:type="pct"/>
            <w:gridSpan w:val="2"/>
            <w:tcBorders>
              <w:top w:val="nil"/>
              <w:left w:val="single" w:sz="8" w:space="0" w:color="auto"/>
              <w:bottom w:val="single" w:sz="8" w:space="0" w:color="auto"/>
              <w:right w:val="single" w:sz="8" w:space="0" w:color="auto"/>
            </w:tcBorders>
            <w:shd w:val="thinDiagStripe" w:color="C0C0C0" w:fill="F1F1F1"/>
            <w:vAlign w:val="center"/>
            <w:hideMark/>
          </w:tcPr>
          <w:p>
            <w:pPr>
              <w:spacing w:before="0" w:after="0"/>
              <w:jc w:val="center"/>
              <w:rPr>
                <w:noProof/>
                <w:color w:val="000000"/>
                <w:sz w:val="20"/>
                <w:szCs w:val="20"/>
              </w:rPr>
            </w:pPr>
            <w:r>
              <w:rPr>
                <w:noProof/>
                <w:color w:val="000000"/>
                <w:sz w:val="20"/>
              </w:rPr>
              <w:t>din cadrul financiar multianual</w:t>
            </w:r>
            <w:r>
              <w:rPr>
                <w:noProof/>
              </w:rPr>
              <w:t xml:space="preserve"> </w:t>
            </w:r>
            <w:r>
              <w:rPr>
                <w:noProof/>
              </w:rPr>
              <w:br/>
            </w:r>
            <w:r>
              <w:rPr>
                <w:noProof/>
                <w:color w:val="000000"/>
                <w:sz w:val="20"/>
              </w:rPr>
              <w:t>(Suma de referință)</w:t>
            </w:r>
          </w:p>
        </w:tc>
        <w:tc>
          <w:tcPr>
            <w:tcW w:w="471"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Plăți</w:t>
            </w:r>
          </w:p>
        </w:tc>
        <w:tc>
          <w:tcPr>
            <w:tcW w:w="731" w:type="pct"/>
            <w:gridSpan w:val="3"/>
            <w:tcBorders>
              <w:top w:val="single" w:sz="8" w:space="0" w:color="auto"/>
              <w:left w:val="nil"/>
              <w:bottom w:val="single" w:sz="8" w:space="0" w:color="auto"/>
              <w:right w:val="single" w:sz="8" w:space="0" w:color="000000"/>
            </w:tcBorders>
            <w:vAlign w:val="center"/>
            <w:hideMark/>
          </w:tcPr>
          <w:p>
            <w:pPr>
              <w:spacing w:before="0" w:after="0"/>
              <w:jc w:val="center"/>
              <w:rPr>
                <w:noProof/>
                <w:color w:val="000000"/>
                <w:sz w:val="14"/>
                <w:szCs w:val="14"/>
              </w:rPr>
            </w:pPr>
            <w:r>
              <w:rPr>
                <w:noProof/>
                <w:color w:val="000000"/>
                <w:sz w:val="14"/>
              </w:rPr>
              <w:t>=5+6</w:t>
            </w:r>
          </w:p>
        </w:tc>
        <w:tc>
          <w:tcPr>
            <w:tcW w:w="43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529"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bl>
    <w:p>
      <w:pPr>
        <w:rPr>
          <w:noProof/>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54"/>
        <w:gridCol w:w="198"/>
        <w:gridCol w:w="1079"/>
        <w:gridCol w:w="1227"/>
        <w:gridCol w:w="847"/>
        <w:gridCol w:w="850"/>
        <w:gridCol w:w="1022"/>
        <w:gridCol w:w="1023"/>
        <w:gridCol w:w="1023"/>
        <w:gridCol w:w="1023"/>
        <w:gridCol w:w="1274"/>
      </w:tblGrid>
      <w:tr>
        <w:trPr>
          <w:jc w:val="center"/>
        </w:trPr>
        <w:tc>
          <w:tcPr>
            <w:tcW w:w="1739" w:type="pct"/>
            <w:gridSpan w:val="2"/>
            <w:shd w:val="thinDiagStripe" w:color="C0C0C0" w:fill="auto"/>
            <w:vAlign w:val="center"/>
          </w:tcPr>
          <w:p>
            <w:pPr>
              <w:spacing w:before="60" w:after="60"/>
              <w:jc w:val="center"/>
              <w:rPr>
                <w:b/>
                <w:noProof/>
              </w:rPr>
            </w:pPr>
            <w:r>
              <w:rPr>
                <w:noProof/>
              </w:rPr>
              <w:br w:type="page"/>
            </w:r>
            <w:r>
              <w:rPr>
                <w:b/>
                <w:noProof/>
                <w:sz w:val="22"/>
              </w:rPr>
              <w:t xml:space="preserve">Rubrica din cadrul financiar multianual </w:t>
            </w:r>
          </w:p>
        </w:tc>
        <w:tc>
          <w:tcPr>
            <w:tcW w:w="396" w:type="pct"/>
            <w:shd w:val="thinDiagStripe" w:color="C0C0C0" w:fill="auto"/>
            <w:vAlign w:val="center"/>
          </w:tcPr>
          <w:p>
            <w:pPr>
              <w:spacing w:before="60" w:after="60"/>
              <w:jc w:val="center"/>
              <w:rPr>
                <w:noProof/>
              </w:rPr>
            </w:pPr>
            <w:r>
              <w:rPr>
                <w:b/>
                <w:noProof/>
                <w:sz w:val="22"/>
              </w:rPr>
              <w:t>7</w:t>
            </w:r>
          </w:p>
        </w:tc>
        <w:tc>
          <w:tcPr>
            <w:tcW w:w="2865" w:type="pct"/>
            <w:gridSpan w:val="8"/>
            <w:vAlign w:val="center"/>
          </w:tcPr>
          <w:p>
            <w:pPr>
              <w:spacing w:before="60" w:after="60"/>
              <w:rPr>
                <w:noProof/>
              </w:rPr>
            </w:pPr>
            <w:r>
              <w:rPr>
                <w:noProof/>
                <w:sz w:val="22"/>
              </w:rPr>
              <w:t>„Cheltuieli administrative”</w:t>
            </w:r>
            <w:r>
              <w:rPr>
                <w:noProof/>
              </w:rPr>
              <w:t xml:space="preserve"> </w:t>
            </w:r>
          </w:p>
        </w:tc>
      </w:tr>
      <w:tr>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88"/>
        </w:trPr>
        <w:tc>
          <w:tcPr>
            <w:tcW w:w="3032" w:type="pct"/>
            <w:gridSpan w:val="6"/>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noProof/>
                <w:color w:val="000000"/>
                <w:szCs w:val="24"/>
              </w:rPr>
            </w:pPr>
            <w:r>
              <w:rPr>
                <w:noProof/>
                <w:color w:val="000000"/>
              </w:rPr>
              <w:t>DG: &lt;…….&gt;</w:t>
            </w:r>
          </w:p>
        </w:tc>
        <w:tc>
          <w:tcPr>
            <w:tcW w:w="376"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376"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376"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376"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465"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b/>
                <w:bCs/>
                <w:noProof/>
                <w:color w:val="000000"/>
                <w:sz w:val="20"/>
                <w:szCs w:val="20"/>
              </w:rPr>
            </w:pPr>
            <w:r>
              <w:rPr>
                <w:b/>
                <w:noProof/>
                <w:color w:val="000000"/>
                <w:sz w:val="20"/>
              </w:rPr>
              <w:t>TOTAL CFM 2021-2027</w:t>
            </w:r>
          </w:p>
        </w:tc>
      </w:tr>
      <w:tr>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3032" w:type="pct"/>
            <w:gridSpan w:val="6"/>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noProof/>
                <w:color w:val="000000"/>
                <w:szCs w:val="24"/>
                <w:lang w:eastAsia="en-IE"/>
              </w:rPr>
            </w:pPr>
          </w:p>
        </w:tc>
        <w:tc>
          <w:tcPr>
            <w:tcW w:w="376"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2024</w:t>
            </w:r>
          </w:p>
        </w:tc>
        <w:tc>
          <w:tcPr>
            <w:tcW w:w="376"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2025</w:t>
            </w:r>
          </w:p>
        </w:tc>
        <w:tc>
          <w:tcPr>
            <w:tcW w:w="376"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2026</w:t>
            </w:r>
          </w:p>
        </w:tc>
        <w:tc>
          <w:tcPr>
            <w:tcW w:w="376"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2027</w:t>
            </w:r>
          </w:p>
        </w:tc>
        <w:tc>
          <w:tcPr>
            <w:tcW w:w="465"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b/>
                <w:bCs/>
                <w:noProof/>
                <w:color w:val="000000"/>
                <w:sz w:val="20"/>
                <w:szCs w:val="20"/>
                <w:lang w:eastAsia="en-IE"/>
              </w:rPr>
            </w:pPr>
          </w:p>
        </w:tc>
      </w:tr>
      <w:tr>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3032" w:type="pct"/>
            <w:gridSpan w:val="6"/>
            <w:tcBorders>
              <w:top w:val="single" w:sz="8" w:space="0" w:color="auto"/>
              <w:left w:val="single" w:sz="8" w:space="0" w:color="auto"/>
              <w:bottom w:val="single" w:sz="8" w:space="0" w:color="auto"/>
              <w:right w:val="single" w:sz="8" w:space="0" w:color="auto"/>
            </w:tcBorders>
            <w:vAlign w:val="center"/>
            <w:hideMark/>
          </w:tcPr>
          <w:p>
            <w:pPr>
              <w:spacing w:before="0" w:after="0"/>
              <w:jc w:val="left"/>
              <w:rPr>
                <w:rFonts w:ascii="Wingdings" w:hAnsi="Wingdings" w:cs="Calibri"/>
                <w:noProof/>
                <w:color w:val="000000"/>
                <w:sz w:val="22"/>
              </w:rPr>
            </w:pPr>
            <w:r>
              <w:rPr>
                <w:rFonts w:ascii="Wingdings" w:hAnsi="Wingdings"/>
                <w:noProof/>
                <w:color w:val="000000"/>
                <w:sz w:val="22"/>
              </w:rPr>
              <w:t>Ÿ</w:t>
            </w:r>
            <w:r>
              <w:rPr>
                <w:noProof/>
              </w:rPr>
              <w:t xml:space="preserve"> </w:t>
            </w:r>
            <w:r>
              <w:rPr>
                <w:noProof/>
                <w:color w:val="000000"/>
                <w:sz w:val="22"/>
              </w:rPr>
              <w:t xml:space="preserve">Resurse umane </w:t>
            </w:r>
          </w:p>
        </w:tc>
        <w:tc>
          <w:tcPr>
            <w:tcW w:w="376"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65"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3032" w:type="pct"/>
            <w:gridSpan w:val="6"/>
            <w:tcBorders>
              <w:top w:val="single" w:sz="8" w:space="0" w:color="auto"/>
              <w:left w:val="single" w:sz="8" w:space="0" w:color="auto"/>
              <w:bottom w:val="single" w:sz="8" w:space="0" w:color="auto"/>
              <w:right w:val="single" w:sz="8" w:space="0" w:color="auto"/>
            </w:tcBorders>
            <w:vAlign w:val="center"/>
            <w:hideMark/>
          </w:tcPr>
          <w:p>
            <w:pPr>
              <w:spacing w:before="0" w:after="0"/>
              <w:jc w:val="left"/>
              <w:rPr>
                <w:rFonts w:ascii="Wingdings" w:hAnsi="Wingdings" w:cs="Calibri"/>
                <w:noProof/>
                <w:color w:val="000000"/>
                <w:sz w:val="22"/>
              </w:rPr>
            </w:pPr>
            <w:r>
              <w:rPr>
                <w:rFonts w:ascii="Wingdings" w:hAnsi="Wingdings"/>
                <w:noProof/>
                <w:color w:val="000000"/>
                <w:sz w:val="22"/>
              </w:rPr>
              <w:t>Ÿ</w:t>
            </w:r>
            <w:r>
              <w:rPr>
                <w:noProof/>
              </w:rPr>
              <w:t xml:space="preserve"> </w:t>
            </w:r>
            <w:r>
              <w:rPr>
                <w:noProof/>
                <w:color w:val="000000"/>
                <w:sz w:val="22"/>
              </w:rPr>
              <w:t xml:space="preserve">Alte cheltuieli administrative </w:t>
            </w:r>
          </w:p>
        </w:tc>
        <w:tc>
          <w:tcPr>
            <w:tcW w:w="376"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65"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653" w:type="pct"/>
            <w:tcBorders>
              <w:top w:val="nil"/>
              <w:left w:val="single" w:sz="8" w:space="0" w:color="auto"/>
              <w:bottom w:val="single" w:sz="8" w:space="0" w:color="auto"/>
              <w:right w:val="single" w:sz="8" w:space="0" w:color="auto"/>
            </w:tcBorders>
            <w:vAlign w:val="center"/>
            <w:hideMark/>
          </w:tcPr>
          <w:p>
            <w:pPr>
              <w:spacing w:before="0" w:after="0"/>
              <w:jc w:val="center"/>
              <w:rPr>
                <w:b/>
                <w:bCs/>
                <w:noProof/>
                <w:color w:val="000000"/>
                <w:sz w:val="22"/>
              </w:rPr>
            </w:pPr>
            <w:r>
              <w:rPr>
                <w:b/>
                <w:noProof/>
                <w:color w:val="000000"/>
                <w:sz w:val="22"/>
              </w:rPr>
              <w:t xml:space="preserve">TOTAL DG </w:t>
            </w:r>
            <w:r>
              <w:rPr>
                <w:noProof/>
                <w:color w:val="000000"/>
                <w:sz w:val="22"/>
              </w:rPr>
              <w:t>&lt;…….&gt;</w:t>
            </w:r>
          </w:p>
        </w:tc>
        <w:tc>
          <w:tcPr>
            <w:tcW w:w="1378" w:type="pct"/>
            <w:gridSpan w:val="5"/>
            <w:tcBorders>
              <w:top w:val="single" w:sz="8" w:space="0" w:color="auto"/>
              <w:left w:val="nil"/>
              <w:bottom w:val="single" w:sz="8" w:space="0" w:color="auto"/>
              <w:right w:val="single" w:sz="8" w:space="0" w:color="auto"/>
            </w:tcBorders>
            <w:vAlign w:val="center"/>
            <w:hideMark/>
          </w:tcPr>
          <w:p>
            <w:pPr>
              <w:spacing w:before="0" w:after="0"/>
              <w:jc w:val="left"/>
              <w:rPr>
                <w:noProof/>
                <w:color w:val="000000"/>
                <w:sz w:val="18"/>
                <w:szCs w:val="18"/>
              </w:rPr>
            </w:pPr>
            <w:r>
              <w:rPr>
                <w:noProof/>
                <w:color w:val="000000"/>
                <w:sz w:val="18"/>
              </w:rPr>
              <w:t xml:space="preserve">Credite </w:t>
            </w:r>
          </w:p>
        </w:tc>
        <w:tc>
          <w:tcPr>
            <w:tcW w:w="376"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65"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653" w:type="pct"/>
            <w:tcBorders>
              <w:top w:val="nil"/>
              <w:left w:val="nil"/>
              <w:bottom w:val="nil"/>
              <w:right w:val="nil"/>
            </w:tcBorders>
            <w:noWrap/>
            <w:vAlign w:val="bottom"/>
            <w:hideMark/>
          </w:tcPr>
          <w:p>
            <w:pPr>
              <w:spacing w:before="0" w:after="0"/>
              <w:jc w:val="right"/>
              <w:rPr>
                <w:b/>
                <w:bCs/>
                <w:noProof/>
                <w:color w:val="000000"/>
                <w:sz w:val="20"/>
                <w:szCs w:val="20"/>
                <w:lang w:eastAsia="en-IE"/>
              </w:rPr>
            </w:pPr>
          </w:p>
        </w:tc>
        <w:tc>
          <w:tcPr>
            <w:tcW w:w="929" w:type="pct"/>
            <w:gridSpan w:val="3"/>
            <w:tcBorders>
              <w:top w:val="nil"/>
              <w:left w:val="nil"/>
              <w:bottom w:val="nil"/>
              <w:right w:val="nil"/>
            </w:tcBorders>
            <w:noWrap/>
            <w:vAlign w:val="bottom"/>
            <w:hideMark/>
          </w:tcPr>
          <w:p>
            <w:pPr>
              <w:spacing w:before="0" w:after="0"/>
              <w:jc w:val="left"/>
              <w:rPr>
                <w:noProof/>
                <w:sz w:val="20"/>
                <w:szCs w:val="20"/>
                <w:lang w:eastAsia="en-IE"/>
              </w:rPr>
            </w:pPr>
          </w:p>
        </w:tc>
        <w:tc>
          <w:tcPr>
            <w:tcW w:w="224" w:type="pct"/>
            <w:tcBorders>
              <w:top w:val="nil"/>
              <w:left w:val="nil"/>
              <w:bottom w:val="nil"/>
              <w:right w:val="nil"/>
            </w:tcBorders>
            <w:noWrap/>
            <w:vAlign w:val="bottom"/>
            <w:hideMark/>
          </w:tcPr>
          <w:p>
            <w:pPr>
              <w:spacing w:before="0" w:after="0"/>
              <w:jc w:val="left"/>
              <w:rPr>
                <w:noProof/>
                <w:sz w:val="20"/>
                <w:szCs w:val="20"/>
                <w:lang w:eastAsia="en-IE"/>
              </w:rPr>
            </w:pPr>
          </w:p>
        </w:tc>
        <w:tc>
          <w:tcPr>
            <w:tcW w:w="225" w:type="pct"/>
            <w:tcBorders>
              <w:top w:val="nil"/>
              <w:left w:val="nil"/>
              <w:bottom w:val="nil"/>
              <w:right w:val="nil"/>
            </w:tcBorders>
            <w:noWrap/>
            <w:vAlign w:val="bottom"/>
            <w:hideMark/>
          </w:tcPr>
          <w:p>
            <w:pPr>
              <w:spacing w:before="0" w:after="0"/>
              <w:jc w:val="left"/>
              <w:rPr>
                <w:noProof/>
                <w:sz w:val="20"/>
                <w:szCs w:val="20"/>
                <w:lang w:eastAsia="en-IE"/>
              </w:rPr>
            </w:pPr>
          </w:p>
        </w:tc>
        <w:tc>
          <w:tcPr>
            <w:tcW w:w="376" w:type="pct"/>
            <w:tcBorders>
              <w:top w:val="nil"/>
              <w:left w:val="nil"/>
              <w:bottom w:val="nil"/>
              <w:right w:val="nil"/>
            </w:tcBorders>
            <w:noWrap/>
            <w:vAlign w:val="bottom"/>
            <w:hideMark/>
          </w:tcPr>
          <w:p>
            <w:pPr>
              <w:spacing w:before="0" w:after="0"/>
              <w:jc w:val="left"/>
              <w:rPr>
                <w:noProof/>
                <w:sz w:val="20"/>
                <w:szCs w:val="20"/>
                <w:lang w:eastAsia="en-IE"/>
              </w:rPr>
            </w:pPr>
          </w:p>
        </w:tc>
        <w:tc>
          <w:tcPr>
            <w:tcW w:w="376" w:type="pct"/>
            <w:tcBorders>
              <w:top w:val="nil"/>
              <w:left w:val="nil"/>
              <w:bottom w:val="nil"/>
              <w:right w:val="nil"/>
            </w:tcBorders>
            <w:noWrap/>
            <w:vAlign w:val="bottom"/>
            <w:hideMark/>
          </w:tcPr>
          <w:p>
            <w:pPr>
              <w:spacing w:before="0" w:after="0"/>
              <w:jc w:val="left"/>
              <w:rPr>
                <w:noProof/>
                <w:sz w:val="20"/>
                <w:szCs w:val="20"/>
                <w:lang w:eastAsia="en-IE"/>
              </w:rPr>
            </w:pPr>
          </w:p>
        </w:tc>
        <w:tc>
          <w:tcPr>
            <w:tcW w:w="376" w:type="pct"/>
            <w:tcBorders>
              <w:top w:val="nil"/>
              <w:left w:val="nil"/>
              <w:bottom w:val="nil"/>
              <w:right w:val="nil"/>
            </w:tcBorders>
            <w:noWrap/>
            <w:vAlign w:val="bottom"/>
            <w:hideMark/>
          </w:tcPr>
          <w:p>
            <w:pPr>
              <w:spacing w:before="0" w:after="0"/>
              <w:jc w:val="left"/>
              <w:rPr>
                <w:noProof/>
                <w:sz w:val="20"/>
                <w:szCs w:val="20"/>
                <w:lang w:eastAsia="en-IE"/>
              </w:rPr>
            </w:pPr>
          </w:p>
        </w:tc>
        <w:tc>
          <w:tcPr>
            <w:tcW w:w="376" w:type="pct"/>
            <w:tcBorders>
              <w:top w:val="nil"/>
              <w:left w:val="nil"/>
              <w:bottom w:val="nil"/>
              <w:right w:val="nil"/>
            </w:tcBorders>
            <w:noWrap/>
            <w:vAlign w:val="bottom"/>
            <w:hideMark/>
          </w:tcPr>
          <w:p>
            <w:pPr>
              <w:spacing w:before="0" w:after="0"/>
              <w:jc w:val="left"/>
              <w:rPr>
                <w:noProof/>
                <w:sz w:val="20"/>
                <w:szCs w:val="20"/>
                <w:lang w:eastAsia="en-IE"/>
              </w:rPr>
            </w:pPr>
          </w:p>
        </w:tc>
        <w:tc>
          <w:tcPr>
            <w:tcW w:w="465" w:type="pct"/>
            <w:tcBorders>
              <w:top w:val="nil"/>
              <w:left w:val="nil"/>
              <w:bottom w:val="nil"/>
              <w:right w:val="nil"/>
            </w:tcBorders>
            <w:noWrap/>
            <w:vAlign w:val="bottom"/>
            <w:hideMark/>
          </w:tcPr>
          <w:p>
            <w:pPr>
              <w:spacing w:before="0" w:after="0"/>
              <w:jc w:val="left"/>
              <w:rPr>
                <w:noProof/>
                <w:sz w:val="20"/>
                <w:szCs w:val="20"/>
                <w:lang w:eastAsia="en-IE"/>
              </w:rPr>
            </w:pPr>
          </w:p>
        </w:tc>
      </w:tr>
      <w:tr>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15"/>
        </w:trPr>
        <w:tc>
          <w:tcPr>
            <w:tcW w:w="3032" w:type="pct"/>
            <w:gridSpan w:val="6"/>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noProof/>
                <w:color w:val="000000"/>
                <w:szCs w:val="24"/>
              </w:rPr>
            </w:pPr>
            <w:r>
              <w:rPr>
                <w:noProof/>
                <w:color w:val="000000"/>
              </w:rPr>
              <w:t>DG: &lt;…….&gt;</w:t>
            </w:r>
          </w:p>
        </w:tc>
        <w:tc>
          <w:tcPr>
            <w:tcW w:w="376"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376"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376"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376"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465"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b/>
                <w:bCs/>
                <w:noProof/>
                <w:color w:val="000000"/>
                <w:sz w:val="20"/>
                <w:szCs w:val="20"/>
              </w:rPr>
            </w:pPr>
            <w:r>
              <w:rPr>
                <w:b/>
                <w:noProof/>
                <w:color w:val="000000"/>
                <w:sz w:val="20"/>
              </w:rPr>
              <w:t>TOTAL CFM 2021-2027</w:t>
            </w:r>
          </w:p>
        </w:tc>
      </w:tr>
      <w:tr>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3032" w:type="pct"/>
            <w:gridSpan w:val="6"/>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noProof/>
                <w:color w:val="000000"/>
                <w:szCs w:val="24"/>
                <w:lang w:eastAsia="en-IE"/>
              </w:rPr>
            </w:pPr>
          </w:p>
        </w:tc>
        <w:tc>
          <w:tcPr>
            <w:tcW w:w="376"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2024</w:t>
            </w:r>
          </w:p>
        </w:tc>
        <w:tc>
          <w:tcPr>
            <w:tcW w:w="376"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2025</w:t>
            </w:r>
          </w:p>
        </w:tc>
        <w:tc>
          <w:tcPr>
            <w:tcW w:w="376"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2026</w:t>
            </w:r>
          </w:p>
        </w:tc>
        <w:tc>
          <w:tcPr>
            <w:tcW w:w="376"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2027</w:t>
            </w:r>
          </w:p>
        </w:tc>
        <w:tc>
          <w:tcPr>
            <w:tcW w:w="465"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b/>
                <w:bCs/>
                <w:noProof/>
                <w:color w:val="000000"/>
                <w:sz w:val="20"/>
                <w:szCs w:val="20"/>
                <w:lang w:eastAsia="en-IE"/>
              </w:rPr>
            </w:pPr>
          </w:p>
        </w:tc>
      </w:tr>
      <w:tr>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3032" w:type="pct"/>
            <w:gridSpan w:val="6"/>
            <w:tcBorders>
              <w:top w:val="single" w:sz="8" w:space="0" w:color="auto"/>
              <w:left w:val="single" w:sz="8" w:space="0" w:color="auto"/>
              <w:bottom w:val="single" w:sz="8" w:space="0" w:color="auto"/>
              <w:right w:val="single" w:sz="8" w:space="0" w:color="auto"/>
            </w:tcBorders>
            <w:vAlign w:val="center"/>
            <w:hideMark/>
          </w:tcPr>
          <w:p>
            <w:pPr>
              <w:spacing w:before="0" w:after="0"/>
              <w:jc w:val="left"/>
              <w:rPr>
                <w:rFonts w:ascii="Wingdings" w:hAnsi="Wingdings" w:cs="Calibri"/>
                <w:noProof/>
                <w:color w:val="000000"/>
                <w:sz w:val="22"/>
              </w:rPr>
            </w:pPr>
            <w:r>
              <w:rPr>
                <w:rFonts w:ascii="Wingdings" w:hAnsi="Wingdings"/>
                <w:noProof/>
                <w:color w:val="000000"/>
                <w:sz w:val="22"/>
              </w:rPr>
              <w:t>Ÿ</w:t>
            </w:r>
            <w:r>
              <w:rPr>
                <w:noProof/>
              </w:rPr>
              <w:t xml:space="preserve"> </w:t>
            </w:r>
            <w:r>
              <w:rPr>
                <w:noProof/>
                <w:color w:val="000000"/>
                <w:sz w:val="22"/>
              </w:rPr>
              <w:t xml:space="preserve">Resurse umane </w:t>
            </w:r>
          </w:p>
        </w:tc>
        <w:tc>
          <w:tcPr>
            <w:tcW w:w="376"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65"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3032" w:type="pct"/>
            <w:gridSpan w:val="6"/>
            <w:tcBorders>
              <w:top w:val="single" w:sz="8" w:space="0" w:color="auto"/>
              <w:left w:val="single" w:sz="8" w:space="0" w:color="auto"/>
              <w:bottom w:val="single" w:sz="8" w:space="0" w:color="auto"/>
              <w:right w:val="single" w:sz="8" w:space="0" w:color="auto"/>
            </w:tcBorders>
            <w:vAlign w:val="center"/>
            <w:hideMark/>
          </w:tcPr>
          <w:p>
            <w:pPr>
              <w:spacing w:before="0" w:after="0"/>
              <w:jc w:val="left"/>
              <w:rPr>
                <w:rFonts w:ascii="Wingdings" w:hAnsi="Wingdings" w:cs="Calibri"/>
                <w:noProof/>
                <w:color w:val="000000"/>
                <w:sz w:val="22"/>
              </w:rPr>
            </w:pPr>
            <w:r>
              <w:rPr>
                <w:rFonts w:ascii="Wingdings" w:hAnsi="Wingdings"/>
                <w:noProof/>
                <w:color w:val="000000"/>
                <w:sz w:val="22"/>
              </w:rPr>
              <w:t>Ÿ</w:t>
            </w:r>
            <w:r>
              <w:rPr>
                <w:noProof/>
              </w:rPr>
              <w:t xml:space="preserve"> </w:t>
            </w:r>
            <w:r>
              <w:rPr>
                <w:noProof/>
                <w:color w:val="000000"/>
                <w:sz w:val="22"/>
              </w:rPr>
              <w:t xml:space="preserve">Alte cheltuieli administrative </w:t>
            </w:r>
          </w:p>
        </w:tc>
        <w:tc>
          <w:tcPr>
            <w:tcW w:w="376"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65"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653" w:type="pct"/>
            <w:tcBorders>
              <w:top w:val="nil"/>
              <w:left w:val="single" w:sz="8" w:space="0" w:color="auto"/>
              <w:bottom w:val="single" w:sz="8" w:space="0" w:color="auto"/>
              <w:right w:val="single" w:sz="8" w:space="0" w:color="auto"/>
            </w:tcBorders>
            <w:vAlign w:val="center"/>
            <w:hideMark/>
          </w:tcPr>
          <w:p>
            <w:pPr>
              <w:spacing w:before="0" w:after="0"/>
              <w:jc w:val="center"/>
              <w:rPr>
                <w:b/>
                <w:bCs/>
                <w:noProof/>
                <w:color w:val="000000"/>
                <w:sz w:val="22"/>
              </w:rPr>
            </w:pPr>
            <w:r>
              <w:rPr>
                <w:b/>
                <w:noProof/>
                <w:color w:val="000000"/>
                <w:sz w:val="22"/>
              </w:rPr>
              <w:t xml:space="preserve">TOTAL DG </w:t>
            </w:r>
            <w:r>
              <w:rPr>
                <w:noProof/>
                <w:color w:val="000000"/>
                <w:sz w:val="22"/>
              </w:rPr>
              <w:t>&lt;…….&gt;</w:t>
            </w:r>
          </w:p>
        </w:tc>
        <w:tc>
          <w:tcPr>
            <w:tcW w:w="1378" w:type="pct"/>
            <w:gridSpan w:val="5"/>
            <w:tcBorders>
              <w:top w:val="single" w:sz="8" w:space="0" w:color="auto"/>
              <w:left w:val="nil"/>
              <w:bottom w:val="single" w:sz="8" w:space="0" w:color="auto"/>
              <w:right w:val="single" w:sz="8" w:space="0" w:color="auto"/>
            </w:tcBorders>
            <w:vAlign w:val="center"/>
            <w:hideMark/>
          </w:tcPr>
          <w:p>
            <w:pPr>
              <w:spacing w:before="0" w:after="0"/>
              <w:jc w:val="left"/>
              <w:rPr>
                <w:noProof/>
                <w:color w:val="000000"/>
                <w:sz w:val="18"/>
                <w:szCs w:val="18"/>
              </w:rPr>
            </w:pPr>
            <w:r>
              <w:rPr>
                <w:noProof/>
                <w:color w:val="000000"/>
                <w:sz w:val="18"/>
              </w:rPr>
              <w:t xml:space="preserve">Credite </w:t>
            </w:r>
          </w:p>
        </w:tc>
        <w:tc>
          <w:tcPr>
            <w:tcW w:w="376"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65"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653" w:type="pct"/>
            <w:tcBorders>
              <w:top w:val="nil"/>
              <w:left w:val="nil"/>
              <w:bottom w:val="nil"/>
              <w:right w:val="nil"/>
            </w:tcBorders>
            <w:noWrap/>
            <w:vAlign w:val="bottom"/>
            <w:hideMark/>
          </w:tcPr>
          <w:p>
            <w:pPr>
              <w:spacing w:before="0" w:after="0"/>
              <w:jc w:val="right"/>
              <w:rPr>
                <w:b/>
                <w:bCs/>
                <w:noProof/>
                <w:color w:val="000000"/>
                <w:sz w:val="20"/>
                <w:szCs w:val="20"/>
                <w:lang w:eastAsia="en-IE"/>
              </w:rPr>
            </w:pPr>
          </w:p>
        </w:tc>
        <w:tc>
          <w:tcPr>
            <w:tcW w:w="929" w:type="pct"/>
            <w:gridSpan w:val="3"/>
            <w:tcBorders>
              <w:top w:val="nil"/>
              <w:left w:val="nil"/>
              <w:bottom w:val="nil"/>
              <w:right w:val="nil"/>
            </w:tcBorders>
            <w:noWrap/>
            <w:vAlign w:val="bottom"/>
            <w:hideMark/>
          </w:tcPr>
          <w:p>
            <w:pPr>
              <w:spacing w:before="0" w:after="0"/>
              <w:jc w:val="left"/>
              <w:rPr>
                <w:noProof/>
                <w:sz w:val="20"/>
                <w:szCs w:val="20"/>
                <w:lang w:eastAsia="en-IE"/>
              </w:rPr>
            </w:pPr>
          </w:p>
        </w:tc>
        <w:tc>
          <w:tcPr>
            <w:tcW w:w="224" w:type="pct"/>
            <w:tcBorders>
              <w:top w:val="nil"/>
              <w:left w:val="nil"/>
              <w:bottom w:val="nil"/>
              <w:right w:val="nil"/>
            </w:tcBorders>
            <w:noWrap/>
            <w:vAlign w:val="bottom"/>
            <w:hideMark/>
          </w:tcPr>
          <w:p>
            <w:pPr>
              <w:spacing w:before="0" w:after="0"/>
              <w:jc w:val="left"/>
              <w:rPr>
                <w:noProof/>
                <w:sz w:val="20"/>
                <w:szCs w:val="20"/>
                <w:lang w:eastAsia="en-IE"/>
              </w:rPr>
            </w:pPr>
          </w:p>
        </w:tc>
        <w:tc>
          <w:tcPr>
            <w:tcW w:w="225" w:type="pct"/>
            <w:tcBorders>
              <w:top w:val="nil"/>
              <w:left w:val="nil"/>
              <w:bottom w:val="nil"/>
              <w:right w:val="nil"/>
            </w:tcBorders>
            <w:noWrap/>
            <w:vAlign w:val="bottom"/>
            <w:hideMark/>
          </w:tcPr>
          <w:p>
            <w:pPr>
              <w:spacing w:before="0" w:after="0"/>
              <w:jc w:val="left"/>
              <w:rPr>
                <w:noProof/>
                <w:sz w:val="20"/>
                <w:szCs w:val="20"/>
                <w:lang w:eastAsia="en-IE"/>
              </w:rPr>
            </w:pPr>
          </w:p>
        </w:tc>
        <w:tc>
          <w:tcPr>
            <w:tcW w:w="376" w:type="pct"/>
            <w:tcBorders>
              <w:top w:val="nil"/>
              <w:left w:val="nil"/>
              <w:bottom w:val="nil"/>
              <w:right w:val="nil"/>
            </w:tcBorders>
            <w:noWrap/>
            <w:vAlign w:val="bottom"/>
            <w:hideMark/>
          </w:tcPr>
          <w:p>
            <w:pPr>
              <w:spacing w:before="0" w:after="0"/>
              <w:jc w:val="left"/>
              <w:rPr>
                <w:noProof/>
                <w:sz w:val="20"/>
                <w:szCs w:val="20"/>
                <w:lang w:eastAsia="en-IE"/>
              </w:rPr>
            </w:pPr>
          </w:p>
        </w:tc>
        <w:tc>
          <w:tcPr>
            <w:tcW w:w="376" w:type="pct"/>
            <w:tcBorders>
              <w:top w:val="nil"/>
              <w:left w:val="nil"/>
              <w:bottom w:val="nil"/>
              <w:right w:val="nil"/>
            </w:tcBorders>
            <w:noWrap/>
            <w:vAlign w:val="bottom"/>
            <w:hideMark/>
          </w:tcPr>
          <w:p>
            <w:pPr>
              <w:spacing w:before="0" w:after="0"/>
              <w:jc w:val="left"/>
              <w:rPr>
                <w:noProof/>
                <w:sz w:val="20"/>
                <w:szCs w:val="20"/>
                <w:lang w:eastAsia="en-IE"/>
              </w:rPr>
            </w:pPr>
          </w:p>
        </w:tc>
        <w:tc>
          <w:tcPr>
            <w:tcW w:w="376" w:type="pct"/>
            <w:tcBorders>
              <w:top w:val="nil"/>
              <w:left w:val="nil"/>
              <w:bottom w:val="nil"/>
              <w:right w:val="nil"/>
            </w:tcBorders>
            <w:noWrap/>
            <w:vAlign w:val="bottom"/>
            <w:hideMark/>
          </w:tcPr>
          <w:p>
            <w:pPr>
              <w:spacing w:before="0" w:after="0"/>
              <w:jc w:val="left"/>
              <w:rPr>
                <w:noProof/>
                <w:sz w:val="20"/>
                <w:szCs w:val="20"/>
                <w:lang w:eastAsia="en-IE"/>
              </w:rPr>
            </w:pPr>
          </w:p>
        </w:tc>
        <w:tc>
          <w:tcPr>
            <w:tcW w:w="376" w:type="pct"/>
            <w:tcBorders>
              <w:top w:val="nil"/>
              <w:left w:val="nil"/>
              <w:bottom w:val="nil"/>
              <w:right w:val="nil"/>
            </w:tcBorders>
            <w:noWrap/>
            <w:vAlign w:val="bottom"/>
            <w:hideMark/>
          </w:tcPr>
          <w:p>
            <w:pPr>
              <w:spacing w:before="0" w:after="0"/>
              <w:jc w:val="left"/>
              <w:rPr>
                <w:noProof/>
                <w:sz w:val="20"/>
                <w:szCs w:val="20"/>
                <w:lang w:eastAsia="en-IE"/>
              </w:rPr>
            </w:pPr>
          </w:p>
        </w:tc>
        <w:tc>
          <w:tcPr>
            <w:tcW w:w="465" w:type="pct"/>
            <w:tcBorders>
              <w:top w:val="nil"/>
              <w:left w:val="nil"/>
              <w:bottom w:val="nil"/>
              <w:right w:val="nil"/>
            </w:tcBorders>
            <w:noWrap/>
            <w:vAlign w:val="bottom"/>
            <w:hideMark/>
          </w:tcPr>
          <w:p>
            <w:pPr>
              <w:spacing w:before="0" w:after="0"/>
              <w:jc w:val="left"/>
              <w:rPr>
                <w:noProof/>
                <w:sz w:val="20"/>
                <w:szCs w:val="20"/>
                <w:lang w:eastAsia="en-IE"/>
              </w:rPr>
            </w:pPr>
          </w:p>
        </w:tc>
      </w:tr>
      <w:tr>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900"/>
        </w:trPr>
        <w:tc>
          <w:tcPr>
            <w:tcW w:w="2583" w:type="pct"/>
            <w:gridSpan w:val="4"/>
            <w:tcBorders>
              <w:top w:val="single" w:sz="8" w:space="0" w:color="auto"/>
              <w:left w:val="single" w:sz="8" w:space="0" w:color="auto"/>
              <w:bottom w:val="single" w:sz="8" w:space="0" w:color="auto"/>
              <w:right w:val="single" w:sz="8" w:space="0" w:color="auto"/>
            </w:tcBorders>
            <w:shd w:val="thinDiagStripe" w:color="C0C0C0" w:fill="F1F1F1"/>
            <w:vAlign w:val="center"/>
            <w:hideMark/>
          </w:tcPr>
          <w:p>
            <w:pPr>
              <w:spacing w:before="0" w:after="0"/>
              <w:jc w:val="center"/>
              <w:rPr>
                <w:b/>
                <w:bCs/>
                <w:noProof/>
                <w:color w:val="000000"/>
                <w:sz w:val="22"/>
              </w:rPr>
            </w:pPr>
            <w:r>
              <w:rPr>
                <w:b/>
                <w:noProof/>
                <w:color w:val="000000"/>
                <w:sz w:val="22"/>
              </w:rPr>
              <w:t xml:space="preserve">TOTAL credite în cadrul RUBRICII 7 din cadrul financiar multianual </w:t>
            </w:r>
          </w:p>
        </w:tc>
        <w:tc>
          <w:tcPr>
            <w:tcW w:w="449"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8"/>
                <w:szCs w:val="18"/>
              </w:rPr>
            </w:pPr>
            <w:r>
              <w:rPr>
                <w:noProof/>
                <w:color w:val="000000"/>
                <w:sz w:val="18"/>
              </w:rPr>
              <w:t>(Total angajamente = Total plăți)</w:t>
            </w:r>
          </w:p>
        </w:tc>
        <w:tc>
          <w:tcPr>
            <w:tcW w:w="376" w:type="pct"/>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376" w:type="pct"/>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376" w:type="pct"/>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376" w:type="pct"/>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65" w:type="pct"/>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bl>
    <w:p>
      <w:pPr>
        <w:jc w:val="right"/>
        <w:rPr>
          <w:noProof/>
          <w:sz w:val="20"/>
        </w:rPr>
      </w:pPr>
      <w:r>
        <w:rPr>
          <w:noProof/>
          <w:sz w:val="20"/>
        </w:rPr>
        <w:t>Milioane EUR (cu trei zecimale)</w:t>
      </w:r>
    </w:p>
    <w:tbl>
      <w:tblPr>
        <w:tblW w:w="5000" w:type="pct"/>
        <w:tblLook w:val="04A0" w:firstRow="1" w:lastRow="0" w:firstColumn="1" w:lastColumn="0" w:noHBand="0" w:noVBand="1"/>
      </w:tblPr>
      <w:tblGrid>
        <w:gridCol w:w="5607"/>
        <w:gridCol w:w="2080"/>
        <w:gridCol w:w="1255"/>
        <w:gridCol w:w="1254"/>
        <w:gridCol w:w="1254"/>
        <w:gridCol w:w="1254"/>
        <w:gridCol w:w="1516"/>
      </w:tblGrid>
      <w:tr>
        <w:trPr>
          <w:trHeight w:val="288"/>
        </w:trPr>
        <w:tc>
          <w:tcPr>
            <w:tcW w:w="2702" w:type="pct"/>
            <w:gridSpan w:val="2"/>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noProof/>
                <w:color w:val="000000"/>
                <w:szCs w:val="24"/>
              </w:rPr>
            </w:pPr>
            <w:r>
              <w:rPr>
                <w:noProof/>
                <w:color w:val="000000"/>
              </w:rPr>
              <w:t xml:space="preserve"> </w:t>
            </w:r>
          </w:p>
        </w:tc>
        <w:tc>
          <w:tcPr>
            <w:tcW w:w="441"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441"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441"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441"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533"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b/>
                <w:bCs/>
                <w:noProof/>
                <w:color w:val="000000"/>
                <w:sz w:val="20"/>
                <w:szCs w:val="20"/>
              </w:rPr>
            </w:pPr>
            <w:r>
              <w:rPr>
                <w:b/>
                <w:noProof/>
                <w:color w:val="000000"/>
                <w:sz w:val="20"/>
              </w:rPr>
              <w:t>TOTAL CFM 2021-2027</w:t>
            </w:r>
          </w:p>
        </w:tc>
      </w:tr>
      <w:tr>
        <w:trPr>
          <w:trHeight w:val="300"/>
        </w:trPr>
        <w:tc>
          <w:tcPr>
            <w:tcW w:w="2702" w:type="pct"/>
            <w:gridSpan w:val="2"/>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noProof/>
                <w:color w:val="000000"/>
                <w:szCs w:val="24"/>
                <w:lang w:eastAsia="en-IE"/>
              </w:rPr>
            </w:pPr>
          </w:p>
        </w:tc>
        <w:tc>
          <w:tcPr>
            <w:tcW w:w="441"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2024</w:t>
            </w:r>
          </w:p>
        </w:tc>
        <w:tc>
          <w:tcPr>
            <w:tcW w:w="441"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2025</w:t>
            </w:r>
          </w:p>
        </w:tc>
        <w:tc>
          <w:tcPr>
            <w:tcW w:w="441"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2026</w:t>
            </w:r>
          </w:p>
        </w:tc>
        <w:tc>
          <w:tcPr>
            <w:tcW w:w="441"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2027</w:t>
            </w:r>
          </w:p>
        </w:tc>
        <w:tc>
          <w:tcPr>
            <w:tcW w:w="533"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b/>
                <w:bCs/>
                <w:noProof/>
                <w:color w:val="000000"/>
                <w:sz w:val="20"/>
                <w:szCs w:val="20"/>
                <w:lang w:eastAsia="en-IE"/>
              </w:rPr>
            </w:pPr>
          </w:p>
        </w:tc>
      </w:tr>
      <w:tr>
        <w:trPr>
          <w:trHeight w:val="564"/>
        </w:trPr>
        <w:tc>
          <w:tcPr>
            <w:tcW w:w="1971" w:type="pct"/>
            <w:tcBorders>
              <w:top w:val="single" w:sz="8" w:space="0" w:color="auto"/>
              <w:left w:val="single" w:sz="8" w:space="0" w:color="auto"/>
              <w:bottom w:val="single" w:sz="8" w:space="0" w:color="auto"/>
              <w:right w:val="single" w:sz="8" w:space="0" w:color="000000"/>
            </w:tcBorders>
            <w:shd w:val="clear" w:color="000000" w:fill="C0C0C0"/>
            <w:vAlign w:val="center"/>
            <w:hideMark/>
          </w:tcPr>
          <w:p>
            <w:pPr>
              <w:spacing w:before="0" w:after="0"/>
              <w:jc w:val="center"/>
              <w:rPr>
                <w:b/>
                <w:bCs/>
                <w:noProof/>
                <w:color w:val="000000"/>
                <w:sz w:val="22"/>
              </w:rPr>
            </w:pPr>
            <w:r>
              <w:rPr>
                <w:b/>
                <w:noProof/>
                <w:color w:val="000000"/>
                <w:sz w:val="22"/>
              </w:rPr>
              <w:t>TOTAL credite în cadrul RUBRICILOR 1-7</w:t>
            </w:r>
          </w:p>
        </w:tc>
        <w:tc>
          <w:tcPr>
            <w:tcW w:w="731" w:type="pct"/>
            <w:tcBorders>
              <w:top w:val="single" w:sz="8" w:space="0" w:color="auto"/>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Angajamente</w:t>
            </w:r>
          </w:p>
        </w:tc>
        <w:tc>
          <w:tcPr>
            <w:tcW w:w="441"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Cs w:val="24"/>
              </w:rPr>
            </w:pPr>
            <w:r>
              <w:rPr>
                <w:b/>
                <w:noProof/>
                <w:color w:val="000000"/>
              </w:rPr>
              <w:t>0,000</w:t>
            </w:r>
          </w:p>
        </w:tc>
        <w:tc>
          <w:tcPr>
            <w:tcW w:w="441"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Cs w:val="24"/>
              </w:rPr>
            </w:pPr>
            <w:r>
              <w:rPr>
                <w:b/>
                <w:noProof/>
                <w:color w:val="000000"/>
              </w:rPr>
              <w:t>0,000</w:t>
            </w:r>
          </w:p>
        </w:tc>
        <w:tc>
          <w:tcPr>
            <w:tcW w:w="441"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Cs w:val="24"/>
              </w:rPr>
            </w:pPr>
            <w:r>
              <w:rPr>
                <w:b/>
                <w:noProof/>
                <w:color w:val="000000"/>
              </w:rPr>
              <w:t>0,000</w:t>
            </w:r>
          </w:p>
        </w:tc>
        <w:tc>
          <w:tcPr>
            <w:tcW w:w="441"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Cs w:val="24"/>
              </w:rPr>
            </w:pPr>
            <w:r>
              <w:rPr>
                <w:b/>
                <w:noProof/>
                <w:color w:val="000000"/>
              </w:rPr>
              <w:t>0,000</w:t>
            </w:r>
          </w:p>
        </w:tc>
        <w:tc>
          <w:tcPr>
            <w:tcW w:w="53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Cs w:val="24"/>
              </w:rPr>
            </w:pPr>
            <w:r>
              <w:rPr>
                <w:b/>
                <w:noProof/>
                <w:color w:val="000000"/>
              </w:rPr>
              <w:t>0,000</w:t>
            </w:r>
          </w:p>
        </w:tc>
      </w:tr>
      <w:tr>
        <w:trPr>
          <w:trHeight w:val="540"/>
        </w:trPr>
        <w:tc>
          <w:tcPr>
            <w:tcW w:w="1971" w:type="pct"/>
            <w:tcBorders>
              <w:top w:val="single" w:sz="8" w:space="0" w:color="auto"/>
              <w:left w:val="single" w:sz="8" w:space="0" w:color="auto"/>
              <w:bottom w:val="single" w:sz="8" w:space="0" w:color="auto"/>
              <w:right w:val="single" w:sz="8" w:space="0" w:color="000000"/>
            </w:tcBorders>
            <w:shd w:val="clear" w:color="000000" w:fill="C0C0C0"/>
            <w:vAlign w:val="center"/>
            <w:hideMark/>
          </w:tcPr>
          <w:p>
            <w:pPr>
              <w:spacing w:before="0" w:after="0"/>
              <w:jc w:val="center"/>
              <w:rPr>
                <w:noProof/>
                <w:color w:val="000000"/>
                <w:sz w:val="22"/>
              </w:rPr>
            </w:pPr>
            <w:r>
              <w:rPr>
                <w:noProof/>
                <w:color w:val="000000"/>
                <w:sz w:val="22"/>
              </w:rPr>
              <w:t>din cadrul financiar multianual</w:t>
            </w:r>
            <w:r>
              <w:rPr>
                <w:b/>
                <w:noProof/>
                <w:color w:val="000000"/>
                <w:sz w:val="22"/>
              </w:rPr>
              <w:t xml:space="preserve"> </w:t>
            </w:r>
          </w:p>
        </w:tc>
        <w:tc>
          <w:tcPr>
            <w:tcW w:w="731" w:type="pct"/>
            <w:tcBorders>
              <w:top w:val="single" w:sz="8" w:space="0" w:color="auto"/>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Plăți</w:t>
            </w:r>
          </w:p>
        </w:tc>
        <w:tc>
          <w:tcPr>
            <w:tcW w:w="441"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Cs w:val="24"/>
              </w:rPr>
            </w:pPr>
            <w:r>
              <w:rPr>
                <w:b/>
                <w:noProof/>
                <w:color w:val="000000"/>
              </w:rPr>
              <w:t>0,000</w:t>
            </w:r>
          </w:p>
        </w:tc>
        <w:tc>
          <w:tcPr>
            <w:tcW w:w="441"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Cs w:val="24"/>
              </w:rPr>
            </w:pPr>
            <w:r>
              <w:rPr>
                <w:b/>
                <w:noProof/>
                <w:color w:val="000000"/>
              </w:rPr>
              <w:t>0,000</w:t>
            </w:r>
          </w:p>
        </w:tc>
        <w:tc>
          <w:tcPr>
            <w:tcW w:w="441"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Cs w:val="24"/>
              </w:rPr>
            </w:pPr>
            <w:r>
              <w:rPr>
                <w:b/>
                <w:noProof/>
                <w:color w:val="000000"/>
              </w:rPr>
              <w:t>0,000</w:t>
            </w:r>
          </w:p>
        </w:tc>
        <w:tc>
          <w:tcPr>
            <w:tcW w:w="441"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Cs w:val="24"/>
              </w:rPr>
            </w:pPr>
            <w:r>
              <w:rPr>
                <w:b/>
                <w:noProof/>
                <w:color w:val="000000"/>
              </w:rPr>
              <w:t>0,000</w:t>
            </w:r>
          </w:p>
        </w:tc>
        <w:tc>
          <w:tcPr>
            <w:tcW w:w="53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Cs w:val="24"/>
              </w:rPr>
            </w:pPr>
            <w:r>
              <w:rPr>
                <w:b/>
                <w:noProof/>
                <w:color w:val="000000"/>
              </w:rPr>
              <w:t>0,000</w:t>
            </w:r>
          </w:p>
        </w:tc>
      </w:tr>
    </w:tbl>
    <w:p>
      <w:pPr>
        <w:pStyle w:val="ManualHeading3"/>
        <w:rPr>
          <w:noProof/>
        </w:rPr>
      </w:pPr>
      <w:bookmarkStart w:id="140" w:name="_Toc160804596"/>
      <w:bookmarkStart w:id="141" w:name="_Toc167220288"/>
      <w:bookmarkStart w:id="142" w:name="_Toc177549021"/>
      <w:r>
        <w:rPr>
          <w:noProof/>
        </w:rPr>
        <w:t>3.2.1.2.</w:t>
      </w:r>
      <w:r>
        <w:rPr>
          <w:noProof/>
        </w:rPr>
        <w:tab/>
        <w:t>Credite din venituri alocate externe</w:t>
      </w:r>
      <w:bookmarkEnd w:id="140"/>
      <w:bookmarkEnd w:id="141"/>
      <w:bookmarkEnd w:id="142"/>
    </w:p>
    <w:p>
      <w:pPr>
        <w:jc w:val="right"/>
        <w:rPr>
          <w:noProof/>
          <w:sz w:val="18"/>
          <w:szCs w:val="18"/>
        </w:rPr>
      </w:pPr>
      <w:r>
        <w:rPr>
          <w:noProof/>
          <w:sz w:val="18"/>
        </w:rPr>
        <w:t>Milioane EUR (cu trei zecimale)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trPr>
          <w:jc w:val="center"/>
        </w:trPr>
        <w:tc>
          <w:tcPr>
            <w:tcW w:w="1739" w:type="pct"/>
            <w:shd w:val="thinDiagStripe" w:color="C0C0C0" w:fill="auto"/>
            <w:vAlign w:val="center"/>
          </w:tcPr>
          <w:p>
            <w:pPr>
              <w:spacing w:before="60" w:after="60"/>
              <w:jc w:val="center"/>
              <w:rPr>
                <w:b/>
                <w:noProof/>
              </w:rPr>
            </w:pPr>
            <w:r>
              <w:rPr>
                <w:b/>
                <w:noProof/>
                <w:sz w:val="22"/>
              </w:rPr>
              <w:t xml:space="preserve">Rubrica din cadrul financiar multianual </w:t>
            </w:r>
          </w:p>
        </w:tc>
        <w:tc>
          <w:tcPr>
            <w:tcW w:w="396" w:type="pct"/>
            <w:vAlign w:val="center"/>
          </w:tcPr>
          <w:p>
            <w:pPr>
              <w:spacing w:before="60" w:after="60"/>
              <w:jc w:val="center"/>
              <w:rPr>
                <w:noProof/>
              </w:rPr>
            </w:pPr>
            <w:r>
              <w:rPr>
                <w:noProof/>
                <w:sz w:val="22"/>
              </w:rPr>
              <w:t>Numărul</w:t>
            </w:r>
          </w:p>
        </w:tc>
        <w:tc>
          <w:tcPr>
            <w:tcW w:w="2865" w:type="pct"/>
            <w:vAlign w:val="center"/>
          </w:tcPr>
          <w:p>
            <w:pPr>
              <w:spacing w:before="60" w:after="60"/>
              <w:rPr>
                <w:noProof/>
              </w:rPr>
            </w:pPr>
          </w:p>
        </w:tc>
      </w:tr>
    </w:tbl>
    <w:p>
      <w:pPr>
        <w:rPr>
          <w:noProof/>
          <w:sz w:val="16"/>
        </w:rPr>
      </w:pPr>
    </w:p>
    <w:tbl>
      <w:tblPr>
        <w:tblW w:w="5000" w:type="pct"/>
        <w:tblLook w:val="04A0" w:firstRow="1" w:lastRow="0" w:firstColumn="1" w:lastColumn="0" w:noHBand="0" w:noVBand="1"/>
      </w:tblPr>
      <w:tblGrid>
        <w:gridCol w:w="4012"/>
        <w:gridCol w:w="23"/>
        <w:gridCol w:w="910"/>
        <w:gridCol w:w="572"/>
        <w:gridCol w:w="23"/>
        <w:gridCol w:w="532"/>
        <w:gridCol w:w="845"/>
        <w:gridCol w:w="34"/>
        <w:gridCol w:w="1368"/>
        <w:gridCol w:w="43"/>
        <w:gridCol w:w="1359"/>
        <w:gridCol w:w="51"/>
        <w:gridCol w:w="1351"/>
        <w:gridCol w:w="60"/>
        <w:gridCol w:w="1342"/>
        <w:gridCol w:w="17"/>
        <w:gridCol w:w="1678"/>
      </w:tblGrid>
      <w:tr>
        <w:trPr>
          <w:trHeight w:val="420"/>
        </w:trPr>
        <w:tc>
          <w:tcPr>
            <w:tcW w:w="2444" w:type="pct"/>
            <w:gridSpan w:val="8"/>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noProof/>
                <w:color w:val="000000"/>
                <w:sz w:val="22"/>
              </w:rPr>
            </w:pPr>
            <w:r>
              <w:rPr>
                <w:noProof/>
                <w:color w:val="000000"/>
                <w:sz w:val="22"/>
              </w:rPr>
              <w:t>DG: &lt;…….&gt;</w:t>
            </w:r>
          </w:p>
        </w:tc>
        <w:tc>
          <w:tcPr>
            <w:tcW w:w="496"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496"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496"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478"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590" w:type="pct"/>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TOTAL CFM 2021-2027</w:t>
            </w:r>
          </w:p>
        </w:tc>
      </w:tr>
      <w:tr>
        <w:trPr>
          <w:trHeight w:val="288"/>
        </w:trPr>
        <w:tc>
          <w:tcPr>
            <w:tcW w:w="2444" w:type="pct"/>
            <w:gridSpan w:val="8"/>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noProof/>
                <w:color w:val="000000"/>
                <w:sz w:val="22"/>
                <w:lang w:eastAsia="en-IE"/>
              </w:rPr>
            </w:pPr>
          </w:p>
        </w:tc>
        <w:tc>
          <w:tcPr>
            <w:tcW w:w="496" w:type="pct"/>
            <w:gridSpan w:val="2"/>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2024</w:t>
            </w:r>
          </w:p>
        </w:tc>
        <w:tc>
          <w:tcPr>
            <w:tcW w:w="496" w:type="pct"/>
            <w:gridSpan w:val="2"/>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2025</w:t>
            </w:r>
          </w:p>
        </w:tc>
        <w:tc>
          <w:tcPr>
            <w:tcW w:w="496" w:type="pct"/>
            <w:gridSpan w:val="2"/>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2026</w:t>
            </w:r>
          </w:p>
        </w:tc>
        <w:tc>
          <w:tcPr>
            <w:tcW w:w="478" w:type="pct"/>
            <w:gridSpan w:val="2"/>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2027</w:t>
            </w:r>
          </w:p>
        </w:tc>
        <w:tc>
          <w:tcPr>
            <w:tcW w:w="590" w:type="pct"/>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b/>
                <w:bCs/>
                <w:noProof/>
                <w:color w:val="000000"/>
                <w:sz w:val="20"/>
                <w:szCs w:val="20"/>
                <w:lang w:eastAsia="en-IE"/>
              </w:rPr>
            </w:pPr>
          </w:p>
        </w:tc>
      </w:tr>
      <w:tr>
        <w:trPr>
          <w:trHeight w:val="300"/>
        </w:trPr>
        <w:tc>
          <w:tcPr>
            <w:tcW w:w="5000" w:type="pct"/>
            <w:gridSpan w:val="17"/>
            <w:tcBorders>
              <w:top w:val="single" w:sz="8" w:space="0" w:color="auto"/>
              <w:left w:val="single" w:sz="8" w:space="0" w:color="auto"/>
              <w:bottom w:val="single" w:sz="8" w:space="0" w:color="auto"/>
              <w:right w:val="single" w:sz="8" w:space="0" w:color="auto"/>
            </w:tcBorders>
            <w:vAlign w:val="center"/>
            <w:hideMark/>
          </w:tcPr>
          <w:p>
            <w:pPr>
              <w:spacing w:before="0" w:after="0"/>
              <w:jc w:val="left"/>
              <w:rPr>
                <w:noProof/>
                <w:color w:val="000000"/>
                <w:sz w:val="21"/>
                <w:szCs w:val="21"/>
              </w:rPr>
            </w:pPr>
            <w:r>
              <w:rPr>
                <w:noProof/>
                <w:color w:val="000000"/>
                <w:sz w:val="21"/>
              </w:rPr>
              <w:t xml:space="preserve">Credite operaționale </w:t>
            </w:r>
          </w:p>
        </w:tc>
      </w:tr>
      <w:tr>
        <w:trPr>
          <w:trHeight w:val="288"/>
        </w:trPr>
        <w:tc>
          <w:tcPr>
            <w:tcW w:w="1419" w:type="pct"/>
            <w:gridSpan w:val="2"/>
            <w:vMerge w:val="restart"/>
            <w:tcBorders>
              <w:top w:val="nil"/>
              <w:left w:val="single" w:sz="8" w:space="0" w:color="auto"/>
              <w:bottom w:val="single" w:sz="8" w:space="0" w:color="auto"/>
              <w:right w:val="single" w:sz="8" w:space="0" w:color="auto"/>
            </w:tcBorders>
            <w:noWrap/>
            <w:vAlign w:val="center"/>
            <w:hideMark/>
          </w:tcPr>
          <w:p>
            <w:pPr>
              <w:spacing w:before="0" w:after="0"/>
              <w:jc w:val="left"/>
              <w:rPr>
                <w:noProof/>
                <w:color w:val="000000"/>
                <w:sz w:val="22"/>
              </w:rPr>
            </w:pPr>
            <w:r>
              <w:rPr>
                <w:noProof/>
                <w:color w:val="000000"/>
                <w:sz w:val="22"/>
              </w:rPr>
              <w:t>Linia bugetară</w:t>
            </w:r>
          </w:p>
        </w:tc>
        <w:tc>
          <w:tcPr>
            <w:tcW w:w="529" w:type="pct"/>
            <w:gridSpan w:val="3"/>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Angajamente</w:t>
            </w:r>
          </w:p>
        </w:tc>
        <w:tc>
          <w:tcPr>
            <w:tcW w:w="496"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(1a)</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78"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590"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315"/>
        </w:trPr>
        <w:tc>
          <w:tcPr>
            <w:tcW w:w="1419" w:type="pct"/>
            <w:gridSpan w:val="2"/>
            <w:vMerge/>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22"/>
                <w:lang w:eastAsia="en-IE"/>
              </w:rPr>
            </w:pPr>
          </w:p>
        </w:tc>
        <w:tc>
          <w:tcPr>
            <w:tcW w:w="529" w:type="pct"/>
            <w:gridSpan w:val="3"/>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Plăți</w:t>
            </w:r>
          </w:p>
        </w:tc>
        <w:tc>
          <w:tcPr>
            <w:tcW w:w="496"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(2a)</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78"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590"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315"/>
        </w:trPr>
        <w:tc>
          <w:tcPr>
            <w:tcW w:w="1419" w:type="pct"/>
            <w:gridSpan w:val="2"/>
            <w:vMerge w:val="restart"/>
            <w:tcBorders>
              <w:top w:val="nil"/>
              <w:left w:val="single" w:sz="8" w:space="0" w:color="auto"/>
              <w:bottom w:val="single" w:sz="8" w:space="0" w:color="auto"/>
              <w:right w:val="single" w:sz="8" w:space="0" w:color="auto"/>
            </w:tcBorders>
            <w:vAlign w:val="center"/>
            <w:hideMark/>
          </w:tcPr>
          <w:p>
            <w:pPr>
              <w:spacing w:before="0" w:after="0"/>
              <w:rPr>
                <w:noProof/>
                <w:color w:val="000000"/>
                <w:sz w:val="20"/>
                <w:szCs w:val="20"/>
              </w:rPr>
            </w:pPr>
            <w:r>
              <w:rPr>
                <w:noProof/>
                <w:color w:val="000000"/>
                <w:sz w:val="20"/>
              </w:rPr>
              <w:t>Linia bugetară</w:t>
            </w:r>
          </w:p>
        </w:tc>
        <w:tc>
          <w:tcPr>
            <w:tcW w:w="529" w:type="pct"/>
            <w:gridSpan w:val="3"/>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Angajamente</w:t>
            </w:r>
          </w:p>
        </w:tc>
        <w:tc>
          <w:tcPr>
            <w:tcW w:w="496"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(1b)</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78"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590"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315"/>
        </w:trPr>
        <w:tc>
          <w:tcPr>
            <w:tcW w:w="1419" w:type="pct"/>
            <w:gridSpan w:val="2"/>
            <w:vMerge/>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20"/>
                <w:szCs w:val="20"/>
                <w:lang w:eastAsia="en-IE"/>
              </w:rPr>
            </w:pPr>
          </w:p>
        </w:tc>
        <w:tc>
          <w:tcPr>
            <w:tcW w:w="529" w:type="pct"/>
            <w:gridSpan w:val="3"/>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Plăți</w:t>
            </w:r>
          </w:p>
        </w:tc>
        <w:tc>
          <w:tcPr>
            <w:tcW w:w="496"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(2b)</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78"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590"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288"/>
        </w:trPr>
        <w:tc>
          <w:tcPr>
            <w:tcW w:w="5000" w:type="pct"/>
            <w:gridSpan w:val="17"/>
            <w:tcBorders>
              <w:top w:val="single" w:sz="8" w:space="0" w:color="auto"/>
              <w:left w:val="single" w:sz="8" w:space="0" w:color="auto"/>
              <w:bottom w:val="single" w:sz="8" w:space="0" w:color="auto"/>
              <w:right w:val="single" w:sz="8" w:space="0" w:color="auto"/>
            </w:tcBorders>
            <w:noWrap/>
            <w:vAlign w:val="bottom"/>
            <w:hideMark/>
          </w:tcPr>
          <w:p>
            <w:pPr>
              <w:spacing w:before="0" w:after="0"/>
              <w:jc w:val="left"/>
              <w:rPr>
                <w:noProof/>
                <w:color w:val="000000"/>
                <w:sz w:val="22"/>
              </w:rPr>
            </w:pPr>
            <w:r>
              <w:rPr>
                <w:noProof/>
                <w:color w:val="000000"/>
                <w:sz w:val="22"/>
              </w:rPr>
              <w:t>Credite cu caracter administrativ finanțate din bugetul unor programe specifice</w:t>
            </w:r>
            <w:r>
              <w:rPr>
                <w:noProof/>
              </w:rPr>
              <w:t xml:space="preserve"> </w:t>
            </w:r>
          </w:p>
        </w:tc>
      </w:tr>
      <w:tr>
        <w:trPr>
          <w:trHeight w:val="288"/>
        </w:trPr>
        <w:tc>
          <w:tcPr>
            <w:tcW w:w="1419" w:type="pct"/>
            <w:gridSpan w:val="2"/>
            <w:tcBorders>
              <w:top w:val="nil"/>
              <w:left w:val="single" w:sz="8" w:space="0" w:color="auto"/>
              <w:bottom w:val="single" w:sz="8" w:space="0" w:color="auto"/>
              <w:right w:val="single" w:sz="8" w:space="0" w:color="auto"/>
            </w:tcBorders>
            <w:vAlign w:val="center"/>
            <w:hideMark/>
          </w:tcPr>
          <w:p>
            <w:pPr>
              <w:spacing w:before="0" w:after="0"/>
              <w:rPr>
                <w:noProof/>
                <w:color w:val="000000"/>
                <w:sz w:val="20"/>
                <w:szCs w:val="20"/>
              </w:rPr>
            </w:pPr>
            <w:r>
              <w:rPr>
                <w:noProof/>
                <w:color w:val="000000"/>
                <w:sz w:val="20"/>
              </w:rPr>
              <w:t>Linia bugetară</w:t>
            </w:r>
          </w:p>
        </w:tc>
        <w:tc>
          <w:tcPr>
            <w:tcW w:w="529" w:type="pct"/>
            <w:gridSpan w:val="3"/>
            <w:tcBorders>
              <w:top w:val="nil"/>
              <w:left w:val="nil"/>
              <w:bottom w:val="single" w:sz="8" w:space="0" w:color="auto"/>
              <w:right w:val="single" w:sz="8" w:space="0" w:color="auto"/>
            </w:tcBorders>
            <w:vAlign w:val="center"/>
            <w:hideMark/>
          </w:tcPr>
          <w:p>
            <w:pPr>
              <w:spacing w:before="0" w:after="0"/>
              <w:jc w:val="right"/>
              <w:rPr>
                <w:noProof/>
                <w:color w:val="000000"/>
                <w:sz w:val="18"/>
                <w:szCs w:val="18"/>
              </w:rPr>
            </w:pPr>
            <w:r>
              <w:rPr>
                <w:noProof/>
                <w:color w:val="000000"/>
                <w:sz w:val="18"/>
              </w:rPr>
              <w:t xml:space="preserve"> </w:t>
            </w:r>
          </w:p>
        </w:tc>
        <w:tc>
          <w:tcPr>
            <w:tcW w:w="496"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(3)</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rPr>
            </w:pPr>
            <w:r>
              <w:rPr>
                <w:b/>
                <w:noProof/>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rPr>
            </w:pPr>
            <w:r>
              <w:rPr>
                <w:b/>
                <w:noProof/>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rPr>
            </w:pPr>
            <w:r>
              <w:rPr>
                <w:b/>
                <w:noProof/>
                <w:color w:val="000000"/>
                <w:sz w:val="20"/>
              </w:rPr>
              <w:t xml:space="preserve"> </w:t>
            </w:r>
          </w:p>
        </w:tc>
        <w:tc>
          <w:tcPr>
            <w:tcW w:w="478" w:type="pct"/>
            <w:gridSpan w:val="2"/>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rPr>
            </w:pPr>
            <w:r>
              <w:rPr>
                <w:b/>
                <w:noProof/>
                <w:color w:val="000000"/>
                <w:sz w:val="20"/>
              </w:rPr>
              <w:t xml:space="preserve"> </w:t>
            </w:r>
          </w:p>
        </w:tc>
        <w:tc>
          <w:tcPr>
            <w:tcW w:w="590"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288"/>
        </w:trPr>
        <w:tc>
          <w:tcPr>
            <w:tcW w:w="1419" w:type="pct"/>
            <w:gridSpan w:val="2"/>
            <w:vMerge w:val="restart"/>
            <w:tcBorders>
              <w:top w:val="nil"/>
              <w:left w:val="single" w:sz="8" w:space="0" w:color="auto"/>
              <w:right w:val="single" w:sz="8" w:space="0" w:color="auto"/>
            </w:tcBorders>
            <w:vAlign w:val="center"/>
            <w:hideMark/>
          </w:tcPr>
          <w:p>
            <w:pPr>
              <w:spacing w:before="0" w:after="0"/>
              <w:jc w:val="center"/>
              <w:rPr>
                <w:b/>
                <w:bCs/>
                <w:noProof/>
                <w:color w:val="000000"/>
                <w:sz w:val="22"/>
              </w:rPr>
            </w:pPr>
            <w:r>
              <w:rPr>
                <w:b/>
                <w:noProof/>
                <w:color w:val="000000"/>
                <w:sz w:val="22"/>
              </w:rPr>
              <w:t>TOTAL credite</w:t>
            </w:r>
          </w:p>
          <w:p>
            <w:pPr>
              <w:spacing w:before="0" w:after="0"/>
              <w:jc w:val="center"/>
              <w:rPr>
                <w:b/>
                <w:bCs/>
                <w:noProof/>
                <w:color w:val="000000"/>
                <w:sz w:val="22"/>
              </w:rPr>
            </w:pPr>
            <w:r>
              <w:rPr>
                <w:b/>
                <w:noProof/>
                <w:color w:val="000000"/>
                <w:sz w:val="22"/>
              </w:rPr>
              <w:t>pentru DG</w:t>
            </w:r>
            <w:r>
              <w:rPr>
                <w:noProof/>
                <w:color w:val="000000"/>
                <w:sz w:val="22"/>
              </w:rPr>
              <w:t xml:space="preserve"> &lt;….&gt;</w:t>
            </w:r>
          </w:p>
        </w:tc>
        <w:tc>
          <w:tcPr>
            <w:tcW w:w="529" w:type="pct"/>
            <w:gridSpan w:val="3"/>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Angajamente</w:t>
            </w:r>
          </w:p>
        </w:tc>
        <w:tc>
          <w:tcPr>
            <w:tcW w:w="496"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=1a+1b+3</w:t>
            </w:r>
          </w:p>
        </w:tc>
        <w:tc>
          <w:tcPr>
            <w:tcW w:w="496"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78"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590"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288"/>
        </w:trPr>
        <w:tc>
          <w:tcPr>
            <w:tcW w:w="1419" w:type="pct"/>
            <w:gridSpan w:val="2"/>
            <w:vMerge/>
            <w:tcBorders>
              <w:left w:val="single" w:sz="8" w:space="0" w:color="auto"/>
              <w:bottom w:val="single" w:sz="8" w:space="0" w:color="auto"/>
              <w:right w:val="single" w:sz="8" w:space="0" w:color="auto"/>
            </w:tcBorders>
            <w:vAlign w:val="center"/>
            <w:hideMark/>
          </w:tcPr>
          <w:p>
            <w:pPr>
              <w:spacing w:before="0" w:after="0"/>
              <w:jc w:val="center"/>
              <w:rPr>
                <w:b/>
                <w:bCs/>
                <w:noProof/>
                <w:color w:val="000000"/>
                <w:sz w:val="22"/>
                <w:lang w:eastAsia="en-IE"/>
              </w:rPr>
            </w:pPr>
          </w:p>
        </w:tc>
        <w:tc>
          <w:tcPr>
            <w:tcW w:w="529" w:type="pct"/>
            <w:gridSpan w:val="3"/>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Plăți</w:t>
            </w:r>
          </w:p>
        </w:tc>
        <w:tc>
          <w:tcPr>
            <w:tcW w:w="496"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=2a+2b+3</w:t>
            </w:r>
          </w:p>
        </w:tc>
        <w:tc>
          <w:tcPr>
            <w:tcW w:w="496"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78"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590"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420"/>
        </w:trPr>
        <w:tc>
          <w:tcPr>
            <w:tcW w:w="2444" w:type="pct"/>
            <w:gridSpan w:val="8"/>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noProof/>
                <w:color w:val="000000"/>
                <w:sz w:val="22"/>
              </w:rPr>
            </w:pPr>
            <w:r>
              <w:rPr>
                <w:noProof/>
                <w:color w:val="000000"/>
                <w:sz w:val="22"/>
              </w:rPr>
              <w:t>DG: &lt;…….&gt;</w:t>
            </w:r>
          </w:p>
        </w:tc>
        <w:tc>
          <w:tcPr>
            <w:tcW w:w="496"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496"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496"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478"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590" w:type="pct"/>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TOTAL CFM 2021-2027</w:t>
            </w:r>
          </w:p>
        </w:tc>
      </w:tr>
      <w:tr>
        <w:trPr>
          <w:trHeight w:val="288"/>
        </w:trPr>
        <w:tc>
          <w:tcPr>
            <w:tcW w:w="2444" w:type="pct"/>
            <w:gridSpan w:val="8"/>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noProof/>
                <w:color w:val="000000"/>
                <w:sz w:val="22"/>
                <w:lang w:eastAsia="en-IE"/>
              </w:rPr>
            </w:pPr>
          </w:p>
        </w:tc>
        <w:tc>
          <w:tcPr>
            <w:tcW w:w="496" w:type="pct"/>
            <w:gridSpan w:val="2"/>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2024</w:t>
            </w:r>
          </w:p>
        </w:tc>
        <w:tc>
          <w:tcPr>
            <w:tcW w:w="496" w:type="pct"/>
            <w:gridSpan w:val="2"/>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2025</w:t>
            </w:r>
          </w:p>
        </w:tc>
        <w:tc>
          <w:tcPr>
            <w:tcW w:w="496" w:type="pct"/>
            <w:gridSpan w:val="2"/>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2026</w:t>
            </w:r>
          </w:p>
        </w:tc>
        <w:tc>
          <w:tcPr>
            <w:tcW w:w="478" w:type="pct"/>
            <w:gridSpan w:val="2"/>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2027</w:t>
            </w:r>
          </w:p>
        </w:tc>
        <w:tc>
          <w:tcPr>
            <w:tcW w:w="590" w:type="pct"/>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b/>
                <w:bCs/>
                <w:noProof/>
                <w:color w:val="000000"/>
                <w:sz w:val="20"/>
                <w:szCs w:val="20"/>
                <w:lang w:eastAsia="en-IE"/>
              </w:rPr>
            </w:pPr>
          </w:p>
        </w:tc>
      </w:tr>
      <w:tr>
        <w:trPr>
          <w:trHeight w:val="300"/>
        </w:trPr>
        <w:tc>
          <w:tcPr>
            <w:tcW w:w="5000" w:type="pct"/>
            <w:gridSpan w:val="17"/>
            <w:tcBorders>
              <w:top w:val="single" w:sz="8" w:space="0" w:color="auto"/>
              <w:left w:val="single" w:sz="8" w:space="0" w:color="auto"/>
              <w:bottom w:val="single" w:sz="8" w:space="0" w:color="auto"/>
              <w:right w:val="single" w:sz="8" w:space="0" w:color="auto"/>
            </w:tcBorders>
            <w:vAlign w:val="center"/>
            <w:hideMark/>
          </w:tcPr>
          <w:p>
            <w:pPr>
              <w:spacing w:before="0" w:after="0"/>
              <w:jc w:val="left"/>
              <w:rPr>
                <w:noProof/>
                <w:color w:val="000000"/>
                <w:sz w:val="21"/>
                <w:szCs w:val="21"/>
              </w:rPr>
            </w:pPr>
            <w:r>
              <w:rPr>
                <w:noProof/>
                <w:color w:val="000000"/>
                <w:sz w:val="21"/>
              </w:rPr>
              <w:t xml:space="preserve">Credite operaționale </w:t>
            </w:r>
          </w:p>
        </w:tc>
      </w:tr>
      <w:tr>
        <w:trPr>
          <w:trHeight w:val="288"/>
        </w:trPr>
        <w:tc>
          <w:tcPr>
            <w:tcW w:w="1419" w:type="pct"/>
            <w:gridSpan w:val="2"/>
            <w:vMerge w:val="restart"/>
            <w:tcBorders>
              <w:top w:val="nil"/>
              <w:left w:val="single" w:sz="8" w:space="0" w:color="auto"/>
              <w:bottom w:val="single" w:sz="8" w:space="0" w:color="auto"/>
              <w:right w:val="single" w:sz="8" w:space="0" w:color="auto"/>
            </w:tcBorders>
            <w:noWrap/>
            <w:vAlign w:val="center"/>
            <w:hideMark/>
          </w:tcPr>
          <w:p>
            <w:pPr>
              <w:spacing w:before="0" w:after="0"/>
              <w:jc w:val="left"/>
              <w:rPr>
                <w:noProof/>
                <w:color w:val="000000"/>
                <w:sz w:val="22"/>
              </w:rPr>
            </w:pPr>
            <w:r>
              <w:rPr>
                <w:noProof/>
                <w:color w:val="000000"/>
                <w:sz w:val="22"/>
              </w:rPr>
              <w:t>Linia bugetară</w:t>
            </w:r>
          </w:p>
        </w:tc>
        <w:tc>
          <w:tcPr>
            <w:tcW w:w="529" w:type="pct"/>
            <w:gridSpan w:val="3"/>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Angajamente</w:t>
            </w:r>
          </w:p>
        </w:tc>
        <w:tc>
          <w:tcPr>
            <w:tcW w:w="496"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(1a)</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78"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590"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315"/>
        </w:trPr>
        <w:tc>
          <w:tcPr>
            <w:tcW w:w="1419" w:type="pct"/>
            <w:gridSpan w:val="2"/>
            <w:vMerge/>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22"/>
                <w:lang w:eastAsia="en-IE"/>
              </w:rPr>
            </w:pPr>
          </w:p>
        </w:tc>
        <w:tc>
          <w:tcPr>
            <w:tcW w:w="529" w:type="pct"/>
            <w:gridSpan w:val="3"/>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Plăți</w:t>
            </w:r>
          </w:p>
        </w:tc>
        <w:tc>
          <w:tcPr>
            <w:tcW w:w="496"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(2a)</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78"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590"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315"/>
        </w:trPr>
        <w:tc>
          <w:tcPr>
            <w:tcW w:w="1419" w:type="pct"/>
            <w:gridSpan w:val="2"/>
            <w:vMerge w:val="restart"/>
            <w:tcBorders>
              <w:top w:val="nil"/>
              <w:left w:val="single" w:sz="8" w:space="0" w:color="auto"/>
              <w:bottom w:val="single" w:sz="8" w:space="0" w:color="auto"/>
              <w:right w:val="single" w:sz="8" w:space="0" w:color="auto"/>
            </w:tcBorders>
            <w:vAlign w:val="center"/>
            <w:hideMark/>
          </w:tcPr>
          <w:p>
            <w:pPr>
              <w:spacing w:before="0" w:after="0"/>
              <w:rPr>
                <w:noProof/>
                <w:color w:val="000000"/>
                <w:sz w:val="20"/>
                <w:szCs w:val="20"/>
              </w:rPr>
            </w:pPr>
            <w:r>
              <w:rPr>
                <w:noProof/>
                <w:color w:val="000000"/>
                <w:sz w:val="20"/>
              </w:rPr>
              <w:t>Linia bugetară</w:t>
            </w:r>
          </w:p>
        </w:tc>
        <w:tc>
          <w:tcPr>
            <w:tcW w:w="529" w:type="pct"/>
            <w:gridSpan w:val="3"/>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Angajamente</w:t>
            </w:r>
          </w:p>
        </w:tc>
        <w:tc>
          <w:tcPr>
            <w:tcW w:w="496"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(1b)</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78"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590"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315"/>
        </w:trPr>
        <w:tc>
          <w:tcPr>
            <w:tcW w:w="1419" w:type="pct"/>
            <w:gridSpan w:val="2"/>
            <w:vMerge/>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20"/>
                <w:szCs w:val="20"/>
                <w:lang w:eastAsia="en-IE"/>
              </w:rPr>
            </w:pPr>
          </w:p>
        </w:tc>
        <w:tc>
          <w:tcPr>
            <w:tcW w:w="529" w:type="pct"/>
            <w:gridSpan w:val="3"/>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Plăți</w:t>
            </w:r>
          </w:p>
        </w:tc>
        <w:tc>
          <w:tcPr>
            <w:tcW w:w="496"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(2b)</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78"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590"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288"/>
        </w:trPr>
        <w:tc>
          <w:tcPr>
            <w:tcW w:w="5000" w:type="pct"/>
            <w:gridSpan w:val="17"/>
            <w:tcBorders>
              <w:top w:val="single" w:sz="8" w:space="0" w:color="auto"/>
              <w:left w:val="single" w:sz="8" w:space="0" w:color="auto"/>
              <w:bottom w:val="single" w:sz="8" w:space="0" w:color="auto"/>
              <w:right w:val="single" w:sz="8" w:space="0" w:color="auto"/>
            </w:tcBorders>
            <w:noWrap/>
            <w:vAlign w:val="bottom"/>
            <w:hideMark/>
          </w:tcPr>
          <w:p>
            <w:pPr>
              <w:spacing w:before="0" w:after="0"/>
              <w:jc w:val="left"/>
              <w:rPr>
                <w:noProof/>
                <w:color w:val="000000"/>
                <w:sz w:val="22"/>
              </w:rPr>
            </w:pPr>
            <w:r>
              <w:rPr>
                <w:noProof/>
                <w:color w:val="000000"/>
                <w:sz w:val="22"/>
              </w:rPr>
              <w:t>Credite cu caracter administrativ finanțate din bugetul unor programe specifice</w:t>
            </w:r>
            <w:r>
              <w:rPr>
                <w:noProof/>
              </w:rPr>
              <w:t xml:space="preserve"> </w:t>
            </w:r>
          </w:p>
        </w:tc>
      </w:tr>
      <w:tr>
        <w:trPr>
          <w:trHeight w:val="288"/>
        </w:trPr>
        <w:tc>
          <w:tcPr>
            <w:tcW w:w="1419" w:type="pct"/>
            <w:gridSpan w:val="2"/>
            <w:tcBorders>
              <w:top w:val="nil"/>
              <w:left w:val="single" w:sz="8" w:space="0" w:color="auto"/>
              <w:bottom w:val="single" w:sz="8" w:space="0" w:color="auto"/>
              <w:right w:val="single" w:sz="8" w:space="0" w:color="auto"/>
            </w:tcBorders>
            <w:vAlign w:val="center"/>
            <w:hideMark/>
          </w:tcPr>
          <w:p>
            <w:pPr>
              <w:spacing w:before="0" w:after="0"/>
              <w:rPr>
                <w:noProof/>
                <w:color w:val="000000"/>
                <w:sz w:val="20"/>
                <w:szCs w:val="20"/>
              </w:rPr>
            </w:pPr>
            <w:r>
              <w:rPr>
                <w:noProof/>
                <w:color w:val="000000"/>
                <w:sz w:val="20"/>
              </w:rPr>
              <w:t>Linia bugetară</w:t>
            </w:r>
          </w:p>
        </w:tc>
        <w:tc>
          <w:tcPr>
            <w:tcW w:w="529" w:type="pct"/>
            <w:gridSpan w:val="3"/>
            <w:tcBorders>
              <w:top w:val="nil"/>
              <w:left w:val="nil"/>
              <w:bottom w:val="single" w:sz="8" w:space="0" w:color="auto"/>
              <w:right w:val="single" w:sz="8" w:space="0" w:color="auto"/>
            </w:tcBorders>
            <w:vAlign w:val="center"/>
            <w:hideMark/>
          </w:tcPr>
          <w:p>
            <w:pPr>
              <w:spacing w:before="0" w:after="0"/>
              <w:jc w:val="right"/>
              <w:rPr>
                <w:noProof/>
                <w:color w:val="000000"/>
                <w:sz w:val="18"/>
                <w:szCs w:val="18"/>
              </w:rPr>
            </w:pPr>
            <w:r>
              <w:rPr>
                <w:noProof/>
                <w:color w:val="000000"/>
                <w:sz w:val="18"/>
              </w:rPr>
              <w:t xml:space="preserve"> </w:t>
            </w:r>
          </w:p>
        </w:tc>
        <w:tc>
          <w:tcPr>
            <w:tcW w:w="496"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(3)</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rPr>
            </w:pPr>
            <w:r>
              <w:rPr>
                <w:b/>
                <w:noProof/>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rPr>
            </w:pPr>
            <w:r>
              <w:rPr>
                <w:b/>
                <w:noProof/>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rPr>
            </w:pPr>
            <w:r>
              <w:rPr>
                <w:b/>
                <w:noProof/>
                <w:color w:val="000000"/>
                <w:sz w:val="20"/>
              </w:rPr>
              <w:t xml:space="preserve"> </w:t>
            </w:r>
          </w:p>
        </w:tc>
        <w:tc>
          <w:tcPr>
            <w:tcW w:w="478" w:type="pct"/>
            <w:gridSpan w:val="2"/>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rPr>
            </w:pPr>
            <w:r>
              <w:rPr>
                <w:b/>
                <w:noProof/>
                <w:color w:val="000000"/>
                <w:sz w:val="20"/>
              </w:rPr>
              <w:t xml:space="preserve"> </w:t>
            </w:r>
          </w:p>
        </w:tc>
        <w:tc>
          <w:tcPr>
            <w:tcW w:w="590"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288"/>
        </w:trPr>
        <w:tc>
          <w:tcPr>
            <w:tcW w:w="1419" w:type="pct"/>
            <w:gridSpan w:val="2"/>
            <w:vMerge w:val="restart"/>
            <w:tcBorders>
              <w:top w:val="nil"/>
              <w:left w:val="single" w:sz="8" w:space="0" w:color="auto"/>
              <w:right w:val="single" w:sz="8" w:space="0" w:color="auto"/>
            </w:tcBorders>
            <w:vAlign w:val="center"/>
            <w:hideMark/>
          </w:tcPr>
          <w:p>
            <w:pPr>
              <w:spacing w:before="0" w:after="0"/>
              <w:jc w:val="center"/>
              <w:rPr>
                <w:b/>
                <w:bCs/>
                <w:noProof/>
                <w:color w:val="000000"/>
                <w:sz w:val="22"/>
              </w:rPr>
            </w:pPr>
            <w:r>
              <w:rPr>
                <w:b/>
                <w:noProof/>
                <w:color w:val="000000"/>
                <w:sz w:val="22"/>
              </w:rPr>
              <w:t>TOTAL credite</w:t>
            </w:r>
          </w:p>
          <w:p>
            <w:pPr>
              <w:spacing w:before="0" w:after="0"/>
              <w:jc w:val="center"/>
              <w:rPr>
                <w:b/>
                <w:bCs/>
                <w:noProof/>
                <w:color w:val="000000"/>
                <w:sz w:val="22"/>
              </w:rPr>
            </w:pPr>
            <w:r>
              <w:rPr>
                <w:b/>
                <w:noProof/>
                <w:color w:val="000000"/>
                <w:sz w:val="22"/>
              </w:rPr>
              <w:t>pentru DG</w:t>
            </w:r>
            <w:r>
              <w:rPr>
                <w:noProof/>
                <w:color w:val="000000"/>
                <w:sz w:val="22"/>
              </w:rPr>
              <w:t xml:space="preserve"> &lt;….&gt;</w:t>
            </w:r>
          </w:p>
        </w:tc>
        <w:tc>
          <w:tcPr>
            <w:tcW w:w="529" w:type="pct"/>
            <w:gridSpan w:val="3"/>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Angajamente</w:t>
            </w:r>
          </w:p>
        </w:tc>
        <w:tc>
          <w:tcPr>
            <w:tcW w:w="496"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=1a+1b+3</w:t>
            </w:r>
          </w:p>
        </w:tc>
        <w:tc>
          <w:tcPr>
            <w:tcW w:w="496"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78"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590"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288"/>
        </w:trPr>
        <w:tc>
          <w:tcPr>
            <w:tcW w:w="1419" w:type="pct"/>
            <w:gridSpan w:val="2"/>
            <w:vMerge/>
            <w:tcBorders>
              <w:left w:val="single" w:sz="8" w:space="0" w:color="auto"/>
              <w:bottom w:val="single" w:sz="8" w:space="0" w:color="auto"/>
              <w:right w:val="single" w:sz="8" w:space="0" w:color="auto"/>
            </w:tcBorders>
            <w:vAlign w:val="center"/>
            <w:hideMark/>
          </w:tcPr>
          <w:p>
            <w:pPr>
              <w:spacing w:before="0" w:after="0"/>
              <w:jc w:val="center"/>
              <w:rPr>
                <w:b/>
                <w:bCs/>
                <w:noProof/>
                <w:color w:val="000000"/>
                <w:sz w:val="22"/>
                <w:lang w:eastAsia="en-IE"/>
              </w:rPr>
            </w:pPr>
          </w:p>
        </w:tc>
        <w:tc>
          <w:tcPr>
            <w:tcW w:w="529" w:type="pct"/>
            <w:gridSpan w:val="3"/>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Plăți</w:t>
            </w:r>
          </w:p>
        </w:tc>
        <w:tc>
          <w:tcPr>
            <w:tcW w:w="496"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=2a+2b+3</w:t>
            </w:r>
          </w:p>
        </w:tc>
        <w:tc>
          <w:tcPr>
            <w:tcW w:w="496"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78"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590"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300"/>
        </w:trPr>
        <w:tc>
          <w:tcPr>
            <w:tcW w:w="2432" w:type="pct"/>
            <w:gridSpan w:val="7"/>
            <w:vMerge w:val="restart"/>
            <w:tcBorders>
              <w:top w:val="single" w:sz="8" w:space="0" w:color="auto"/>
              <w:left w:val="single" w:sz="8" w:space="0" w:color="auto"/>
              <w:bottom w:val="single" w:sz="8" w:space="0" w:color="000000"/>
              <w:right w:val="single" w:sz="8" w:space="0" w:color="000000"/>
            </w:tcBorders>
            <w:vAlign w:val="center"/>
            <w:hideMark/>
          </w:tcPr>
          <w:p>
            <w:pPr>
              <w:spacing w:before="0" w:after="0"/>
              <w:jc w:val="center"/>
              <w:rPr>
                <w:b/>
                <w:bCs/>
                <w:noProof/>
                <w:color w:val="000000"/>
                <w:sz w:val="22"/>
              </w:rPr>
            </w:pPr>
            <w:r>
              <w:rPr>
                <w:b/>
                <w:noProof/>
                <w:color w:val="000000"/>
                <w:sz w:val="22"/>
              </w:rPr>
              <w:t xml:space="preserve"> </w:t>
            </w:r>
          </w:p>
        </w:tc>
        <w:tc>
          <w:tcPr>
            <w:tcW w:w="493"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493"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493"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493"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596" w:type="pct"/>
            <w:gridSpan w:val="2"/>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TOTAL CFM 2021-2027</w:t>
            </w:r>
          </w:p>
        </w:tc>
      </w:tr>
      <w:tr>
        <w:trPr>
          <w:trHeight w:val="300"/>
        </w:trPr>
        <w:tc>
          <w:tcPr>
            <w:tcW w:w="2432" w:type="pct"/>
            <w:gridSpan w:val="7"/>
            <w:vMerge/>
            <w:tcBorders>
              <w:top w:val="single" w:sz="8" w:space="0" w:color="auto"/>
              <w:left w:val="single" w:sz="8" w:space="0" w:color="auto"/>
              <w:bottom w:val="single" w:sz="8" w:space="0" w:color="000000"/>
              <w:right w:val="single" w:sz="8" w:space="0" w:color="000000"/>
            </w:tcBorders>
            <w:vAlign w:val="center"/>
            <w:hideMark/>
          </w:tcPr>
          <w:p>
            <w:pPr>
              <w:spacing w:before="0" w:after="0"/>
              <w:jc w:val="left"/>
              <w:rPr>
                <w:b/>
                <w:bCs/>
                <w:noProof/>
                <w:color w:val="000000"/>
                <w:sz w:val="22"/>
                <w:lang w:eastAsia="en-IE"/>
              </w:rPr>
            </w:pPr>
          </w:p>
        </w:tc>
        <w:tc>
          <w:tcPr>
            <w:tcW w:w="493" w:type="pct"/>
            <w:gridSpan w:val="2"/>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2024</w:t>
            </w:r>
          </w:p>
        </w:tc>
        <w:tc>
          <w:tcPr>
            <w:tcW w:w="493" w:type="pct"/>
            <w:gridSpan w:val="2"/>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2025</w:t>
            </w:r>
          </w:p>
        </w:tc>
        <w:tc>
          <w:tcPr>
            <w:tcW w:w="493" w:type="pct"/>
            <w:gridSpan w:val="2"/>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2026</w:t>
            </w:r>
          </w:p>
        </w:tc>
        <w:tc>
          <w:tcPr>
            <w:tcW w:w="493" w:type="pct"/>
            <w:gridSpan w:val="2"/>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2027</w:t>
            </w:r>
          </w:p>
        </w:tc>
        <w:tc>
          <w:tcPr>
            <w:tcW w:w="596" w:type="pct"/>
            <w:gridSpan w:val="2"/>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b/>
                <w:bCs/>
                <w:noProof/>
                <w:color w:val="000000"/>
                <w:sz w:val="20"/>
                <w:szCs w:val="20"/>
                <w:lang w:eastAsia="en-IE"/>
              </w:rPr>
            </w:pPr>
          </w:p>
        </w:tc>
      </w:tr>
      <w:tr>
        <w:trPr>
          <w:trHeight w:val="432"/>
        </w:trPr>
        <w:tc>
          <w:tcPr>
            <w:tcW w:w="1411" w:type="pct"/>
            <w:vMerge w:val="restart"/>
            <w:tcBorders>
              <w:top w:val="nil"/>
              <w:left w:val="single" w:sz="8" w:space="0" w:color="auto"/>
              <w:bottom w:val="single" w:sz="8" w:space="0" w:color="auto"/>
              <w:right w:val="single" w:sz="8" w:space="0" w:color="auto"/>
            </w:tcBorders>
            <w:vAlign w:val="center"/>
            <w:hideMark/>
          </w:tcPr>
          <w:p>
            <w:pPr>
              <w:spacing w:before="0" w:after="0"/>
              <w:rPr>
                <w:noProof/>
                <w:color w:val="000000"/>
                <w:sz w:val="21"/>
                <w:szCs w:val="21"/>
              </w:rPr>
            </w:pPr>
            <w:r>
              <w:rPr>
                <w:noProof/>
                <w:color w:val="000000"/>
                <w:sz w:val="21"/>
              </w:rPr>
              <w:t xml:space="preserve">TOTAL credite operaționale </w:t>
            </w:r>
            <w:r>
              <w:rPr>
                <w:noProof/>
              </w:rPr>
              <w:t xml:space="preserve"> </w:t>
            </w:r>
            <w:r>
              <w:rPr>
                <w:noProof/>
              </w:rPr>
              <w:br/>
            </w:r>
          </w:p>
        </w:tc>
        <w:tc>
          <w:tcPr>
            <w:tcW w:w="529" w:type="pct"/>
            <w:gridSpan w:val="3"/>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Angajamente</w:t>
            </w:r>
          </w:p>
        </w:tc>
        <w:tc>
          <w:tcPr>
            <w:tcW w:w="492"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(4)</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456"/>
        </w:trPr>
        <w:tc>
          <w:tcPr>
            <w:tcW w:w="1411" w:type="pct"/>
            <w:vMerge/>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21"/>
                <w:szCs w:val="21"/>
                <w:lang w:eastAsia="en-IE"/>
              </w:rPr>
            </w:pPr>
          </w:p>
        </w:tc>
        <w:tc>
          <w:tcPr>
            <w:tcW w:w="529" w:type="pct"/>
            <w:gridSpan w:val="3"/>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Plăți</w:t>
            </w:r>
          </w:p>
        </w:tc>
        <w:tc>
          <w:tcPr>
            <w:tcW w:w="492"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(5)</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924"/>
        </w:trPr>
        <w:tc>
          <w:tcPr>
            <w:tcW w:w="1939" w:type="pct"/>
            <w:gridSpan w:val="4"/>
            <w:tcBorders>
              <w:top w:val="single" w:sz="8" w:space="0" w:color="auto"/>
              <w:left w:val="single" w:sz="8" w:space="0" w:color="auto"/>
              <w:bottom w:val="single" w:sz="8" w:space="0" w:color="auto"/>
              <w:right w:val="single" w:sz="8" w:space="0" w:color="auto"/>
            </w:tcBorders>
            <w:vAlign w:val="center"/>
            <w:hideMark/>
          </w:tcPr>
          <w:p>
            <w:pPr>
              <w:spacing w:before="0" w:after="0"/>
              <w:rPr>
                <w:noProof/>
                <w:color w:val="000000"/>
                <w:sz w:val="21"/>
                <w:szCs w:val="21"/>
              </w:rPr>
            </w:pPr>
            <w:r>
              <w:rPr>
                <w:noProof/>
                <w:color w:val="000000"/>
                <w:sz w:val="21"/>
              </w:rPr>
              <w:t xml:space="preserve">TOTAL credite cu caracter administrativ finanțate din bugetul unor programe specifice </w:t>
            </w:r>
          </w:p>
        </w:tc>
        <w:tc>
          <w:tcPr>
            <w:tcW w:w="492"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(6)</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564"/>
        </w:trPr>
        <w:tc>
          <w:tcPr>
            <w:tcW w:w="1411" w:type="pct"/>
            <w:tcBorders>
              <w:top w:val="nil"/>
              <w:left w:val="single" w:sz="8" w:space="0" w:color="auto"/>
              <w:bottom w:val="nil"/>
              <w:right w:val="single" w:sz="8" w:space="0" w:color="auto"/>
            </w:tcBorders>
            <w:shd w:val="thinDiagStripe" w:color="C0C0C0" w:fill="F1F1F1"/>
            <w:vAlign w:val="center"/>
            <w:hideMark/>
          </w:tcPr>
          <w:p>
            <w:pPr>
              <w:spacing w:before="0" w:after="0"/>
              <w:jc w:val="center"/>
              <w:rPr>
                <w:b/>
                <w:bCs/>
                <w:noProof/>
                <w:color w:val="000000"/>
                <w:sz w:val="22"/>
              </w:rPr>
            </w:pPr>
            <w:r>
              <w:rPr>
                <w:b/>
                <w:noProof/>
                <w:color w:val="000000"/>
                <w:sz w:val="22"/>
              </w:rPr>
              <w:t>TOTAL credite în cadrul RUBRICII &lt;….&gt;</w:t>
            </w:r>
          </w:p>
        </w:tc>
        <w:tc>
          <w:tcPr>
            <w:tcW w:w="529" w:type="pct"/>
            <w:gridSpan w:val="3"/>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Angajamente</w:t>
            </w:r>
          </w:p>
        </w:tc>
        <w:tc>
          <w:tcPr>
            <w:tcW w:w="492"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=4+6</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528"/>
        </w:trPr>
        <w:tc>
          <w:tcPr>
            <w:tcW w:w="1411" w:type="pct"/>
            <w:tcBorders>
              <w:top w:val="nil"/>
              <w:left w:val="single" w:sz="8" w:space="0" w:color="auto"/>
              <w:bottom w:val="single" w:sz="8" w:space="0" w:color="auto"/>
              <w:right w:val="single" w:sz="8" w:space="0" w:color="auto"/>
            </w:tcBorders>
            <w:shd w:val="thinDiagStripe" w:color="C0C0C0" w:fill="F1F1F1"/>
            <w:vAlign w:val="center"/>
            <w:hideMark/>
          </w:tcPr>
          <w:p>
            <w:pPr>
              <w:spacing w:before="0" w:after="0"/>
              <w:jc w:val="center"/>
              <w:rPr>
                <w:noProof/>
                <w:color w:val="000000"/>
                <w:sz w:val="22"/>
              </w:rPr>
            </w:pPr>
            <w:r>
              <w:rPr>
                <w:noProof/>
                <w:color w:val="000000"/>
                <w:sz w:val="22"/>
              </w:rPr>
              <w:t>din cadrul financiar multianual</w:t>
            </w:r>
          </w:p>
        </w:tc>
        <w:tc>
          <w:tcPr>
            <w:tcW w:w="529" w:type="pct"/>
            <w:gridSpan w:val="3"/>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Plăți</w:t>
            </w:r>
          </w:p>
        </w:tc>
        <w:tc>
          <w:tcPr>
            <w:tcW w:w="492"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=5+6</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jc w:val="center"/>
        </w:trPr>
        <w:tc>
          <w:tcPr>
            <w:tcW w:w="1739" w:type="pct"/>
            <w:gridSpan w:val="3"/>
            <w:shd w:val="thinDiagStripe" w:color="C0C0C0" w:fill="auto"/>
            <w:vAlign w:val="center"/>
          </w:tcPr>
          <w:p>
            <w:pPr>
              <w:spacing w:before="60" w:after="60"/>
              <w:jc w:val="center"/>
              <w:rPr>
                <w:b/>
                <w:noProof/>
              </w:rPr>
            </w:pPr>
            <w:r>
              <w:rPr>
                <w:b/>
                <w:noProof/>
                <w:sz w:val="22"/>
              </w:rPr>
              <w:t xml:space="preserve">Rubrica din cadrul financiar multianual </w:t>
            </w:r>
          </w:p>
        </w:tc>
        <w:tc>
          <w:tcPr>
            <w:tcW w:w="396" w:type="pct"/>
            <w:gridSpan w:val="3"/>
            <w:vAlign w:val="center"/>
          </w:tcPr>
          <w:p>
            <w:pPr>
              <w:spacing w:before="60" w:after="60"/>
              <w:jc w:val="center"/>
              <w:rPr>
                <w:noProof/>
              </w:rPr>
            </w:pPr>
            <w:r>
              <w:rPr>
                <w:noProof/>
                <w:sz w:val="22"/>
              </w:rPr>
              <w:t>Numărul</w:t>
            </w:r>
          </w:p>
        </w:tc>
        <w:tc>
          <w:tcPr>
            <w:tcW w:w="2865" w:type="pct"/>
            <w:gridSpan w:val="11"/>
            <w:vAlign w:val="center"/>
          </w:tcPr>
          <w:p>
            <w:pPr>
              <w:spacing w:before="60" w:after="60"/>
              <w:rPr>
                <w:noProof/>
              </w:rPr>
            </w:pPr>
          </w:p>
        </w:tc>
      </w:tr>
    </w:tbl>
    <w:p>
      <w:pPr>
        <w:spacing w:before="0" w:after="200" w:line="276" w:lineRule="auto"/>
        <w:jc w:val="left"/>
        <w:rPr>
          <w:noProof/>
          <w:sz w:val="16"/>
        </w:rPr>
      </w:pPr>
    </w:p>
    <w:tbl>
      <w:tblPr>
        <w:tblW w:w="5000" w:type="pct"/>
        <w:tblLook w:val="04A0" w:firstRow="1" w:lastRow="0" w:firstColumn="1" w:lastColumn="0" w:noHBand="0" w:noVBand="1"/>
      </w:tblPr>
      <w:tblGrid>
        <w:gridCol w:w="4012"/>
        <w:gridCol w:w="23"/>
        <w:gridCol w:w="293"/>
        <w:gridCol w:w="1189"/>
        <w:gridCol w:w="23"/>
        <w:gridCol w:w="128"/>
        <w:gridCol w:w="1038"/>
        <w:gridCol w:w="210"/>
        <w:gridCol w:w="34"/>
        <w:gridCol w:w="796"/>
        <w:gridCol w:w="572"/>
        <w:gridCol w:w="43"/>
        <w:gridCol w:w="629"/>
        <w:gridCol w:w="731"/>
        <w:gridCol w:w="51"/>
        <w:gridCol w:w="461"/>
        <w:gridCol w:w="890"/>
        <w:gridCol w:w="60"/>
        <w:gridCol w:w="293"/>
        <w:gridCol w:w="1049"/>
        <w:gridCol w:w="17"/>
        <w:gridCol w:w="176"/>
        <w:gridCol w:w="1502"/>
      </w:tblGrid>
      <w:tr>
        <w:trPr>
          <w:trHeight w:val="420"/>
        </w:trPr>
        <w:tc>
          <w:tcPr>
            <w:tcW w:w="2444" w:type="pct"/>
            <w:gridSpan w:val="9"/>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noProof/>
                <w:color w:val="000000"/>
                <w:sz w:val="22"/>
              </w:rPr>
            </w:pPr>
            <w:r>
              <w:rPr>
                <w:noProof/>
                <w:color w:val="000000"/>
                <w:sz w:val="22"/>
              </w:rPr>
              <w:t>DG: &lt;…….&gt;</w:t>
            </w:r>
          </w:p>
        </w:tc>
        <w:tc>
          <w:tcPr>
            <w:tcW w:w="496"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496"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496"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478"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590" w:type="pct"/>
            <w:gridSpan w:val="2"/>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TOTAL CFM 2021-2027</w:t>
            </w:r>
          </w:p>
        </w:tc>
      </w:tr>
      <w:tr>
        <w:trPr>
          <w:trHeight w:val="288"/>
        </w:trPr>
        <w:tc>
          <w:tcPr>
            <w:tcW w:w="2444" w:type="pct"/>
            <w:gridSpan w:val="9"/>
            <w:vMerge/>
            <w:vAlign w:val="center"/>
            <w:hideMark/>
          </w:tcPr>
          <w:p>
            <w:pPr>
              <w:spacing w:before="0" w:after="0"/>
              <w:jc w:val="left"/>
              <w:rPr>
                <w:noProof/>
                <w:color w:val="000000"/>
                <w:sz w:val="22"/>
                <w:lang w:eastAsia="en-IE"/>
              </w:rPr>
            </w:pPr>
          </w:p>
        </w:tc>
        <w:tc>
          <w:tcPr>
            <w:tcW w:w="496" w:type="pct"/>
            <w:gridSpan w:val="3"/>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2024</w:t>
            </w:r>
          </w:p>
        </w:tc>
        <w:tc>
          <w:tcPr>
            <w:tcW w:w="496" w:type="pct"/>
            <w:gridSpan w:val="3"/>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2025</w:t>
            </w:r>
          </w:p>
        </w:tc>
        <w:tc>
          <w:tcPr>
            <w:tcW w:w="496" w:type="pct"/>
            <w:gridSpan w:val="3"/>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2026</w:t>
            </w:r>
          </w:p>
        </w:tc>
        <w:tc>
          <w:tcPr>
            <w:tcW w:w="478" w:type="pct"/>
            <w:gridSpan w:val="3"/>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2027</w:t>
            </w:r>
          </w:p>
        </w:tc>
        <w:tc>
          <w:tcPr>
            <w:tcW w:w="590" w:type="pct"/>
            <w:gridSpan w:val="2"/>
            <w:vMerge/>
            <w:vAlign w:val="center"/>
            <w:hideMark/>
          </w:tcPr>
          <w:p>
            <w:pPr>
              <w:spacing w:before="0" w:after="0"/>
              <w:jc w:val="left"/>
              <w:rPr>
                <w:b/>
                <w:bCs/>
                <w:noProof/>
                <w:color w:val="000000"/>
                <w:sz w:val="20"/>
                <w:szCs w:val="20"/>
                <w:lang w:eastAsia="en-IE"/>
              </w:rPr>
            </w:pPr>
          </w:p>
        </w:tc>
      </w:tr>
      <w:tr>
        <w:trPr>
          <w:trHeight w:val="300"/>
        </w:trPr>
        <w:tc>
          <w:tcPr>
            <w:tcW w:w="5000" w:type="pct"/>
            <w:gridSpan w:val="23"/>
            <w:tcBorders>
              <w:top w:val="single" w:sz="8" w:space="0" w:color="auto"/>
              <w:left w:val="single" w:sz="8" w:space="0" w:color="auto"/>
              <w:bottom w:val="single" w:sz="8" w:space="0" w:color="auto"/>
              <w:right w:val="single" w:sz="8" w:space="0" w:color="auto"/>
            </w:tcBorders>
            <w:vAlign w:val="center"/>
            <w:hideMark/>
          </w:tcPr>
          <w:p>
            <w:pPr>
              <w:spacing w:before="0" w:after="0"/>
              <w:jc w:val="left"/>
              <w:rPr>
                <w:noProof/>
                <w:color w:val="000000"/>
                <w:sz w:val="21"/>
                <w:szCs w:val="21"/>
              </w:rPr>
            </w:pPr>
            <w:r>
              <w:rPr>
                <w:noProof/>
                <w:color w:val="000000"/>
                <w:sz w:val="21"/>
              </w:rPr>
              <w:t xml:space="preserve">Credite operaționale </w:t>
            </w:r>
          </w:p>
        </w:tc>
      </w:tr>
      <w:tr>
        <w:trPr>
          <w:trHeight w:val="288"/>
        </w:trPr>
        <w:tc>
          <w:tcPr>
            <w:tcW w:w="1419" w:type="pct"/>
            <w:gridSpan w:val="2"/>
            <w:vMerge w:val="restart"/>
            <w:tcBorders>
              <w:top w:val="nil"/>
              <w:left w:val="single" w:sz="8" w:space="0" w:color="auto"/>
              <w:bottom w:val="single" w:sz="8" w:space="0" w:color="auto"/>
              <w:right w:val="single" w:sz="8" w:space="0" w:color="auto"/>
            </w:tcBorders>
            <w:noWrap/>
            <w:vAlign w:val="center"/>
            <w:hideMark/>
          </w:tcPr>
          <w:p>
            <w:pPr>
              <w:spacing w:before="0" w:after="0"/>
              <w:jc w:val="left"/>
              <w:rPr>
                <w:noProof/>
                <w:color w:val="000000"/>
                <w:sz w:val="22"/>
              </w:rPr>
            </w:pPr>
            <w:r>
              <w:rPr>
                <w:noProof/>
                <w:color w:val="000000"/>
                <w:sz w:val="22"/>
              </w:rPr>
              <w:t>Linia bugetară</w:t>
            </w:r>
          </w:p>
        </w:tc>
        <w:tc>
          <w:tcPr>
            <w:tcW w:w="529" w:type="pct"/>
            <w:gridSpan w:val="3"/>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Angajamente</w:t>
            </w:r>
          </w:p>
        </w:tc>
        <w:tc>
          <w:tcPr>
            <w:tcW w:w="496" w:type="pct"/>
            <w:gridSpan w:val="4"/>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(1a)</w:t>
            </w:r>
          </w:p>
        </w:tc>
        <w:tc>
          <w:tcPr>
            <w:tcW w:w="496" w:type="pct"/>
            <w:gridSpan w:val="3"/>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96" w:type="pct"/>
            <w:gridSpan w:val="3"/>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96" w:type="pct"/>
            <w:gridSpan w:val="3"/>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78" w:type="pct"/>
            <w:gridSpan w:val="3"/>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590" w:type="pct"/>
            <w:gridSpan w:val="2"/>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bCs/>
                <w:noProof/>
                <w:color w:val="000000"/>
                <w:sz w:val="20"/>
                <w:szCs w:val="20"/>
              </w:rPr>
            </w:pPr>
            <w:r>
              <w:rPr>
                <w:b/>
                <w:noProof/>
                <w:color w:val="000000"/>
                <w:sz w:val="20"/>
              </w:rPr>
              <w:t>0,000</w:t>
            </w:r>
          </w:p>
        </w:tc>
      </w:tr>
      <w:tr>
        <w:trPr>
          <w:trHeight w:val="315"/>
        </w:trPr>
        <w:tc>
          <w:tcPr>
            <w:tcW w:w="1419" w:type="pct"/>
            <w:gridSpan w:val="2"/>
            <w:vMerge/>
            <w:vAlign w:val="center"/>
            <w:hideMark/>
          </w:tcPr>
          <w:p>
            <w:pPr>
              <w:spacing w:before="0" w:after="0"/>
              <w:jc w:val="left"/>
              <w:rPr>
                <w:noProof/>
                <w:color w:val="000000"/>
                <w:sz w:val="22"/>
                <w:lang w:eastAsia="en-IE"/>
              </w:rPr>
            </w:pPr>
          </w:p>
        </w:tc>
        <w:tc>
          <w:tcPr>
            <w:tcW w:w="529" w:type="pct"/>
            <w:gridSpan w:val="3"/>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Plăți</w:t>
            </w:r>
          </w:p>
        </w:tc>
        <w:tc>
          <w:tcPr>
            <w:tcW w:w="496" w:type="pct"/>
            <w:gridSpan w:val="4"/>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(2a)</w:t>
            </w:r>
          </w:p>
        </w:tc>
        <w:tc>
          <w:tcPr>
            <w:tcW w:w="496" w:type="pct"/>
            <w:gridSpan w:val="3"/>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96" w:type="pct"/>
            <w:gridSpan w:val="3"/>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96" w:type="pct"/>
            <w:gridSpan w:val="3"/>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78" w:type="pct"/>
            <w:gridSpan w:val="3"/>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590" w:type="pct"/>
            <w:gridSpan w:val="2"/>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bCs/>
                <w:noProof/>
                <w:color w:val="000000"/>
                <w:sz w:val="20"/>
                <w:szCs w:val="20"/>
              </w:rPr>
            </w:pPr>
            <w:r>
              <w:rPr>
                <w:b/>
                <w:noProof/>
                <w:color w:val="000000"/>
                <w:sz w:val="20"/>
              </w:rPr>
              <w:t>0,000</w:t>
            </w:r>
          </w:p>
        </w:tc>
      </w:tr>
      <w:tr>
        <w:trPr>
          <w:trHeight w:val="315"/>
        </w:trPr>
        <w:tc>
          <w:tcPr>
            <w:tcW w:w="1419" w:type="pct"/>
            <w:gridSpan w:val="2"/>
            <w:vMerge w:val="restart"/>
            <w:tcBorders>
              <w:top w:val="nil"/>
              <w:left w:val="single" w:sz="8" w:space="0" w:color="auto"/>
              <w:bottom w:val="single" w:sz="8" w:space="0" w:color="auto"/>
              <w:right w:val="single" w:sz="8" w:space="0" w:color="auto"/>
            </w:tcBorders>
            <w:vAlign w:val="center"/>
            <w:hideMark/>
          </w:tcPr>
          <w:p>
            <w:pPr>
              <w:spacing w:before="0" w:after="0"/>
              <w:rPr>
                <w:noProof/>
                <w:color w:val="000000"/>
                <w:sz w:val="20"/>
                <w:szCs w:val="20"/>
              </w:rPr>
            </w:pPr>
            <w:r>
              <w:rPr>
                <w:noProof/>
                <w:color w:val="000000"/>
                <w:sz w:val="20"/>
              </w:rPr>
              <w:t>Linia bugetară</w:t>
            </w:r>
          </w:p>
        </w:tc>
        <w:tc>
          <w:tcPr>
            <w:tcW w:w="529" w:type="pct"/>
            <w:gridSpan w:val="3"/>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Angajamente</w:t>
            </w:r>
          </w:p>
        </w:tc>
        <w:tc>
          <w:tcPr>
            <w:tcW w:w="496" w:type="pct"/>
            <w:gridSpan w:val="4"/>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(1b)</w:t>
            </w:r>
          </w:p>
        </w:tc>
        <w:tc>
          <w:tcPr>
            <w:tcW w:w="496" w:type="pct"/>
            <w:gridSpan w:val="3"/>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96" w:type="pct"/>
            <w:gridSpan w:val="3"/>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96" w:type="pct"/>
            <w:gridSpan w:val="3"/>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78" w:type="pct"/>
            <w:gridSpan w:val="3"/>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590" w:type="pct"/>
            <w:gridSpan w:val="2"/>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bCs/>
                <w:noProof/>
                <w:color w:val="000000"/>
                <w:sz w:val="20"/>
                <w:szCs w:val="20"/>
              </w:rPr>
            </w:pPr>
            <w:r>
              <w:rPr>
                <w:b/>
                <w:noProof/>
                <w:color w:val="000000"/>
                <w:sz w:val="20"/>
              </w:rPr>
              <w:t>0,000</w:t>
            </w:r>
          </w:p>
        </w:tc>
      </w:tr>
      <w:tr>
        <w:trPr>
          <w:trHeight w:val="315"/>
        </w:trPr>
        <w:tc>
          <w:tcPr>
            <w:tcW w:w="1419" w:type="pct"/>
            <w:gridSpan w:val="2"/>
            <w:vMerge/>
            <w:vAlign w:val="center"/>
            <w:hideMark/>
          </w:tcPr>
          <w:p>
            <w:pPr>
              <w:spacing w:before="0" w:after="0"/>
              <w:jc w:val="left"/>
              <w:rPr>
                <w:noProof/>
                <w:color w:val="000000"/>
                <w:sz w:val="20"/>
                <w:szCs w:val="20"/>
                <w:lang w:eastAsia="en-IE"/>
              </w:rPr>
            </w:pPr>
          </w:p>
        </w:tc>
        <w:tc>
          <w:tcPr>
            <w:tcW w:w="529" w:type="pct"/>
            <w:gridSpan w:val="3"/>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Plăți</w:t>
            </w:r>
          </w:p>
        </w:tc>
        <w:tc>
          <w:tcPr>
            <w:tcW w:w="496" w:type="pct"/>
            <w:gridSpan w:val="4"/>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(2b)</w:t>
            </w:r>
          </w:p>
        </w:tc>
        <w:tc>
          <w:tcPr>
            <w:tcW w:w="496" w:type="pct"/>
            <w:gridSpan w:val="3"/>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96" w:type="pct"/>
            <w:gridSpan w:val="3"/>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96" w:type="pct"/>
            <w:gridSpan w:val="3"/>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78" w:type="pct"/>
            <w:gridSpan w:val="3"/>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590" w:type="pct"/>
            <w:gridSpan w:val="2"/>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bCs/>
                <w:noProof/>
                <w:color w:val="000000"/>
                <w:sz w:val="20"/>
                <w:szCs w:val="20"/>
              </w:rPr>
            </w:pPr>
            <w:r>
              <w:rPr>
                <w:b/>
                <w:noProof/>
                <w:color w:val="000000"/>
                <w:sz w:val="20"/>
              </w:rPr>
              <w:t>0,000</w:t>
            </w:r>
          </w:p>
        </w:tc>
      </w:tr>
      <w:tr>
        <w:trPr>
          <w:trHeight w:val="288"/>
        </w:trPr>
        <w:tc>
          <w:tcPr>
            <w:tcW w:w="5000" w:type="pct"/>
            <w:gridSpan w:val="23"/>
            <w:tcBorders>
              <w:top w:val="single" w:sz="8" w:space="0" w:color="auto"/>
              <w:left w:val="single" w:sz="8" w:space="0" w:color="auto"/>
              <w:bottom w:val="single" w:sz="8" w:space="0" w:color="auto"/>
              <w:right w:val="single" w:sz="8" w:space="0" w:color="auto"/>
            </w:tcBorders>
            <w:noWrap/>
            <w:vAlign w:val="bottom"/>
            <w:hideMark/>
          </w:tcPr>
          <w:p>
            <w:pPr>
              <w:spacing w:before="0" w:after="0"/>
              <w:jc w:val="left"/>
              <w:rPr>
                <w:noProof/>
                <w:color w:val="000000"/>
                <w:sz w:val="22"/>
              </w:rPr>
            </w:pPr>
            <w:r>
              <w:rPr>
                <w:noProof/>
                <w:color w:val="000000"/>
                <w:sz w:val="22"/>
              </w:rPr>
              <w:t>Credite cu caracter administrativ finanțate din bugetul unor programe specifice</w:t>
            </w:r>
            <w:r>
              <w:rPr>
                <w:noProof/>
              </w:rPr>
              <w:t xml:space="preserve"> </w:t>
            </w:r>
          </w:p>
        </w:tc>
      </w:tr>
      <w:tr>
        <w:trPr>
          <w:trHeight w:val="288"/>
        </w:trPr>
        <w:tc>
          <w:tcPr>
            <w:tcW w:w="1419" w:type="pct"/>
            <w:gridSpan w:val="2"/>
            <w:tcBorders>
              <w:top w:val="nil"/>
              <w:left w:val="single" w:sz="8" w:space="0" w:color="auto"/>
              <w:bottom w:val="single" w:sz="8" w:space="0" w:color="auto"/>
              <w:right w:val="single" w:sz="8" w:space="0" w:color="auto"/>
            </w:tcBorders>
            <w:vAlign w:val="center"/>
            <w:hideMark/>
          </w:tcPr>
          <w:p>
            <w:pPr>
              <w:spacing w:before="0" w:after="0"/>
              <w:rPr>
                <w:noProof/>
                <w:color w:val="000000"/>
                <w:sz w:val="20"/>
                <w:szCs w:val="20"/>
              </w:rPr>
            </w:pPr>
            <w:r>
              <w:rPr>
                <w:noProof/>
                <w:color w:val="000000"/>
                <w:sz w:val="20"/>
              </w:rPr>
              <w:t>Linia bugetară</w:t>
            </w:r>
          </w:p>
        </w:tc>
        <w:tc>
          <w:tcPr>
            <w:tcW w:w="529" w:type="pct"/>
            <w:gridSpan w:val="3"/>
            <w:tcBorders>
              <w:top w:val="nil"/>
              <w:left w:val="nil"/>
              <w:bottom w:val="single" w:sz="8" w:space="0" w:color="auto"/>
              <w:right w:val="single" w:sz="8" w:space="0" w:color="auto"/>
            </w:tcBorders>
            <w:vAlign w:val="center"/>
            <w:hideMark/>
          </w:tcPr>
          <w:p>
            <w:pPr>
              <w:spacing w:before="0" w:after="0"/>
              <w:jc w:val="right"/>
              <w:rPr>
                <w:noProof/>
                <w:color w:val="000000"/>
                <w:sz w:val="18"/>
                <w:szCs w:val="18"/>
              </w:rPr>
            </w:pPr>
            <w:r>
              <w:rPr>
                <w:noProof/>
                <w:color w:val="000000"/>
                <w:sz w:val="18"/>
              </w:rPr>
              <w:t xml:space="preserve"> </w:t>
            </w:r>
          </w:p>
        </w:tc>
        <w:tc>
          <w:tcPr>
            <w:tcW w:w="496" w:type="pct"/>
            <w:gridSpan w:val="4"/>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(3)</w:t>
            </w:r>
          </w:p>
        </w:tc>
        <w:tc>
          <w:tcPr>
            <w:tcW w:w="496" w:type="pct"/>
            <w:gridSpan w:val="3"/>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rPr>
            </w:pPr>
            <w:r>
              <w:rPr>
                <w:b/>
                <w:noProof/>
                <w:color w:val="000000"/>
                <w:sz w:val="20"/>
              </w:rPr>
              <w:t xml:space="preserve"> </w:t>
            </w:r>
          </w:p>
        </w:tc>
        <w:tc>
          <w:tcPr>
            <w:tcW w:w="496" w:type="pct"/>
            <w:gridSpan w:val="3"/>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rPr>
            </w:pPr>
            <w:r>
              <w:rPr>
                <w:b/>
                <w:noProof/>
                <w:color w:val="000000"/>
                <w:sz w:val="20"/>
              </w:rPr>
              <w:t xml:space="preserve"> </w:t>
            </w:r>
          </w:p>
        </w:tc>
        <w:tc>
          <w:tcPr>
            <w:tcW w:w="496" w:type="pct"/>
            <w:gridSpan w:val="3"/>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rPr>
            </w:pPr>
            <w:r>
              <w:rPr>
                <w:b/>
                <w:noProof/>
                <w:color w:val="000000"/>
                <w:sz w:val="20"/>
              </w:rPr>
              <w:t xml:space="preserve"> </w:t>
            </w:r>
          </w:p>
        </w:tc>
        <w:tc>
          <w:tcPr>
            <w:tcW w:w="478" w:type="pct"/>
            <w:gridSpan w:val="3"/>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rPr>
            </w:pPr>
            <w:r>
              <w:rPr>
                <w:b/>
                <w:noProof/>
                <w:color w:val="000000"/>
                <w:sz w:val="20"/>
              </w:rPr>
              <w:t xml:space="preserve"> </w:t>
            </w:r>
          </w:p>
        </w:tc>
        <w:tc>
          <w:tcPr>
            <w:tcW w:w="590" w:type="pct"/>
            <w:gridSpan w:val="2"/>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bCs/>
                <w:noProof/>
                <w:color w:val="000000"/>
                <w:sz w:val="20"/>
                <w:szCs w:val="20"/>
              </w:rPr>
            </w:pPr>
            <w:r>
              <w:rPr>
                <w:b/>
                <w:noProof/>
                <w:color w:val="000000"/>
                <w:sz w:val="20"/>
              </w:rPr>
              <w:t>0,000</w:t>
            </w:r>
          </w:p>
        </w:tc>
      </w:tr>
      <w:tr>
        <w:trPr>
          <w:trHeight w:val="288"/>
        </w:trPr>
        <w:tc>
          <w:tcPr>
            <w:tcW w:w="1419" w:type="pct"/>
            <w:gridSpan w:val="2"/>
            <w:vMerge w:val="restart"/>
            <w:tcBorders>
              <w:top w:val="nil"/>
              <w:left w:val="single" w:sz="8" w:space="0" w:color="auto"/>
              <w:right w:val="single" w:sz="8" w:space="0" w:color="auto"/>
            </w:tcBorders>
            <w:vAlign w:val="center"/>
            <w:hideMark/>
          </w:tcPr>
          <w:p>
            <w:pPr>
              <w:spacing w:before="0" w:after="0"/>
              <w:jc w:val="center"/>
              <w:rPr>
                <w:b/>
                <w:bCs/>
                <w:noProof/>
                <w:color w:val="000000"/>
                <w:sz w:val="22"/>
              </w:rPr>
            </w:pPr>
            <w:r>
              <w:rPr>
                <w:b/>
                <w:noProof/>
                <w:color w:val="000000"/>
                <w:sz w:val="22"/>
              </w:rPr>
              <w:t>TOTAL credite</w:t>
            </w:r>
          </w:p>
          <w:p>
            <w:pPr>
              <w:spacing w:before="0" w:after="0"/>
              <w:jc w:val="center"/>
              <w:rPr>
                <w:b/>
                <w:bCs/>
                <w:noProof/>
                <w:color w:val="000000"/>
                <w:sz w:val="22"/>
              </w:rPr>
            </w:pPr>
            <w:r>
              <w:rPr>
                <w:b/>
                <w:noProof/>
                <w:color w:val="000000"/>
                <w:sz w:val="22"/>
              </w:rPr>
              <w:t>pentru DG</w:t>
            </w:r>
            <w:r>
              <w:rPr>
                <w:noProof/>
                <w:color w:val="000000"/>
                <w:sz w:val="22"/>
              </w:rPr>
              <w:t xml:space="preserve"> &lt;….&gt;</w:t>
            </w:r>
          </w:p>
        </w:tc>
        <w:tc>
          <w:tcPr>
            <w:tcW w:w="529" w:type="pct"/>
            <w:gridSpan w:val="3"/>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Angajamente</w:t>
            </w:r>
          </w:p>
        </w:tc>
        <w:tc>
          <w:tcPr>
            <w:tcW w:w="496" w:type="pct"/>
            <w:gridSpan w:val="4"/>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=1a+1b+3</w:t>
            </w:r>
          </w:p>
        </w:tc>
        <w:tc>
          <w:tcPr>
            <w:tcW w:w="496" w:type="pct"/>
            <w:gridSpan w:val="3"/>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bCs/>
                <w:noProof/>
                <w:color w:val="000000"/>
                <w:sz w:val="20"/>
                <w:szCs w:val="20"/>
              </w:rPr>
            </w:pPr>
            <w:r>
              <w:rPr>
                <w:b/>
                <w:noProof/>
                <w:color w:val="000000"/>
                <w:sz w:val="20"/>
              </w:rPr>
              <w:t>0,000</w:t>
            </w:r>
          </w:p>
        </w:tc>
        <w:tc>
          <w:tcPr>
            <w:tcW w:w="496" w:type="pct"/>
            <w:gridSpan w:val="3"/>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bCs/>
                <w:noProof/>
                <w:color w:val="000000"/>
                <w:sz w:val="20"/>
                <w:szCs w:val="20"/>
              </w:rPr>
            </w:pPr>
            <w:r>
              <w:rPr>
                <w:b/>
                <w:noProof/>
                <w:color w:val="000000"/>
                <w:sz w:val="20"/>
              </w:rPr>
              <w:t>0,000</w:t>
            </w:r>
          </w:p>
        </w:tc>
        <w:tc>
          <w:tcPr>
            <w:tcW w:w="496" w:type="pct"/>
            <w:gridSpan w:val="3"/>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bCs/>
                <w:noProof/>
                <w:color w:val="000000"/>
                <w:sz w:val="20"/>
                <w:szCs w:val="20"/>
              </w:rPr>
            </w:pPr>
            <w:r>
              <w:rPr>
                <w:b/>
                <w:noProof/>
                <w:color w:val="000000"/>
                <w:sz w:val="20"/>
              </w:rPr>
              <w:t>0,000</w:t>
            </w:r>
          </w:p>
        </w:tc>
        <w:tc>
          <w:tcPr>
            <w:tcW w:w="478" w:type="pct"/>
            <w:gridSpan w:val="3"/>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bCs/>
                <w:noProof/>
                <w:color w:val="000000"/>
                <w:sz w:val="20"/>
                <w:szCs w:val="20"/>
              </w:rPr>
            </w:pPr>
            <w:r>
              <w:rPr>
                <w:b/>
                <w:noProof/>
                <w:color w:val="000000"/>
                <w:sz w:val="20"/>
              </w:rPr>
              <w:t>0,000</w:t>
            </w:r>
          </w:p>
        </w:tc>
        <w:tc>
          <w:tcPr>
            <w:tcW w:w="590" w:type="pct"/>
            <w:gridSpan w:val="2"/>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bCs/>
                <w:noProof/>
                <w:color w:val="000000"/>
                <w:sz w:val="20"/>
                <w:szCs w:val="20"/>
              </w:rPr>
            </w:pPr>
            <w:r>
              <w:rPr>
                <w:b/>
                <w:noProof/>
                <w:color w:val="000000"/>
                <w:sz w:val="20"/>
              </w:rPr>
              <w:t>0,000</w:t>
            </w:r>
          </w:p>
        </w:tc>
      </w:tr>
      <w:tr>
        <w:trPr>
          <w:trHeight w:val="288"/>
        </w:trPr>
        <w:tc>
          <w:tcPr>
            <w:tcW w:w="1419" w:type="pct"/>
            <w:gridSpan w:val="2"/>
            <w:vMerge/>
            <w:vAlign w:val="center"/>
            <w:hideMark/>
          </w:tcPr>
          <w:p>
            <w:pPr>
              <w:spacing w:before="0" w:after="0"/>
              <w:jc w:val="center"/>
              <w:rPr>
                <w:b/>
                <w:bCs/>
                <w:noProof/>
                <w:color w:val="000000"/>
                <w:sz w:val="22"/>
                <w:lang w:eastAsia="en-IE"/>
              </w:rPr>
            </w:pPr>
          </w:p>
        </w:tc>
        <w:tc>
          <w:tcPr>
            <w:tcW w:w="529" w:type="pct"/>
            <w:gridSpan w:val="3"/>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Plăți</w:t>
            </w:r>
          </w:p>
        </w:tc>
        <w:tc>
          <w:tcPr>
            <w:tcW w:w="496" w:type="pct"/>
            <w:gridSpan w:val="4"/>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=2a+2b+3</w:t>
            </w:r>
          </w:p>
        </w:tc>
        <w:tc>
          <w:tcPr>
            <w:tcW w:w="496" w:type="pct"/>
            <w:gridSpan w:val="3"/>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bCs/>
                <w:noProof/>
                <w:color w:val="000000"/>
                <w:sz w:val="20"/>
                <w:szCs w:val="20"/>
              </w:rPr>
            </w:pPr>
            <w:r>
              <w:rPr>
                <w:b/>
                <w:noProof/>
                <w:color w:val="000000"/>
                <w:sz w:val="20"/>
              </w:rPr>
              <w:t>0,000</w:t>
            </w:r>
          </w:p>
        </w:tc>
        <w:tc>
          <w:tcPr>
            <w:tcW w:w="496" w:type="pct"/>
            <w:gridSpan w:val="3"/>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bCs/>
                <w:noProof/>
                <w:color w:val="000000"/>
                <w:sz w:val="20"/>
                <w:szCs w:val="20"/>
              </w:rPr>
            </w:pPr>
            <w:r>
              <w:rPr>
                <w:b/>
                <w:noProof/>
                <w:color w:val="000000"/>
                <w:sz w:val="20"/>
              </w:rPr>
              <w:t>0,000</w:t>
            </w:r>
          </w:p>
        </w:tc>
        <w:tc>
          <w:tcPr>
            <w:tcW w:w="496" w:type="pct"/>
            <w:gridSpan w:val="3"/>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bCs/>
                <w:noProof/>
                <w:color w:val="000000"/>
                <w:sz w:val="20"/>
                <w:szCs w:val="20"/>
              </w:rPr>
            </w:pPr>
            <w:r>
              <w:rPr>
                <w:b/>
                <w:noProof/>
                <w:color w:val="000000"/>
                <w:sz w:val="20"/>
              </w:rPr>
              <w:t>0,000</w:t>
            </w:r>
          </w:p>
        </w:tc>
        <w:tc>
          <w:tcPr>
            <w:tcW w:w="478" w:type="pct"/>
            <w:gridSpan w:val="3"/>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bCs/>
                <w:noProof/>
                <w:color w:val="000000"/>
                <w:sz w:val="20"/>
                <w:szCs w:val="20"/>
              </w:rPr>
            </w:pPr>
            <w:r>
              <w:rPr>
                <w:b/>
                <w:noProof/>
                <w:color w:val="000000"/>
                <w:sz w:val="20"/>
              </w:rPr>
              <w:t>0,000</w:t>
            </w:r>
          </w:p>
        </w:tc>
        <w:tc>
          <w:tcPr>
            <w:tcW w:w="590" w:type="pct"/>
            <w:gridSpan w:val="2"/>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bCs/>
                <w:noProof/>
                <w:color w:val="000000"/>
                <w:sz w:val="20"/>
                <w:szCs w:val="20"/>
              </w:rPr>
            </w:pPr>
            <w:r>
              <w:rPr>
                <w:b/>
                <w:noProof/>
                <w:color w:val="000000"/>
                <w:sz w:val="20"/>
              </w:rPr>
              <w:t>0,000</w:t>
            </w:r>
          </w:p>
        </w:tc>
      </w:tr>
      <w:tr>
        <w:trPr>
          <w:trHeight w:val="420"/>
        </w:trPr>
        <w:tc>
          <w:tcPr>
            <w:tcW w:w="2444" w:type="pct"/>
            <w:gridSpan w:val="9"/>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noProof/>
                <w:color w:val="000000"/>
                <w:sz w:val="22"/>
              </w:rPr>
            </w:pPr>
            <w:r>
              <w:rPr>
                <w:noProof/>
                <w:color w:val="000000"/>
                <w:sz w:val="22"/>
              </w:rPr>
              <w:t>DG: &lt;…….&gt;</w:t>
            </w:r>
          </w:p>
        </w:tc>
        <w:tc>
          <w:tcPr>
            <w:tcW w:w="496"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496"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496"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478"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590" w:type="pct"/>
            <w:gridSpan w:val="2"/>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TOTAL CFM 2021-2027</w:t>
            </w:r>
          </w:p>
        </w:tc>
      </w:tr>
      <w:tr>
        <w:trPr>
          <w:trHeight w:val="288"/>
        </w:trPr>
        <w:tc>
          <w:tcPr>
            <w:tcW w:w="2444" w:type="pct"/>
            <w:gridSpan w:val="9"/>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noProof/>
                <w:color w:val="000000"/>
                <w:sz w:val="22"/>
                <w:lang w:eastAsia="en-IE"/>
              </w:rPr>
            </w:pPr>
          </w:p>
        </w:tc>
        <w:tc>
          <w:tcPr>
            <w:tcW w:w="496" w:type="pct"/>
            <w:gridSpan w:val="3"/>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2024</w:t>
            </w:r>
          </w:p>
        </w:tc>
        <w:tc>
          <w:tcPr>
            <w:tcW w:w="496" w:type="pct"/>
            <w:gridSpan w:val="3"/>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2025</w:t>
            </w:r>
          </w:p>
        </w:tc>
        <w:tc>
          <w:tcPr>
            <w:tcW w:w="496" w:type="pct"/>
            <w:gridSpan w:val="3"/>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2026</w:t>
            </w:r>
          </w:p>
        </w:tc>
        <w:tc>
          <w:tcPr>
            <w:tcW w:w="478" w:type="pct"/>
            <w:gridSpan w:val="3"/>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2027</w:t>
            </w:r>
          </w:p>
        </w:tc>
        <w:tc>
          <w:tcPr>
            <w:tcW w:w="590" w:type="pct"/>
            <w:gridSpan w:val="2"/>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b/>
                <w:bCs/>
                <w:noProof/>
                <w:color w:val="000000"/>
                <w:sz w:val="20"/>
                <w:szCs w:val="20"/>
                <w:lang w:eastAsia="en-IE"/>
              </w:rPr>
            </w:pPr>
          </w:p>
        </w:tc>
      </w:tr>
      <w:tr>
        <w:trPr>
          <w:trHeight w:val="300"/>
        </w:trPr>
        <w:tc>
          <w:tcPr>
            <w:tcW w:w="5000" w:type="pct"/>
            <w:gridSpan w:val="23"/>
            <w:tcBorders>
              <w:top w:val="single" w:sz="8" w:space="0" w:color="auto"/>
              <w:left w:val="single" w:sz="8" w:space="0" w:color="auto"/>
              <w:bottom w:val="single" w:sz="8" w:space="0" w:color="auto"/>
              <w:right w:val="single" w:sz="8" w:space="0" w:color="auto"/>
            </w:tcBorders>
            <w:vAlign w:val="center"/>
            <w:hideMark/>
          </w:tcPr>
          <w:p>
            <w:pPr>
              <w:spacing w:before="0" w:after="0"/>
              <w:jc w:val="left"/>
              <w:rPr>
                <w:noProof/>
                <w:color w:val="000000"/>
                <w:sz w:val="21"/>
                <w:szCs w:val="21"/>
              </w:rPr>
            </w:pPr>
            <w:r>
              <w:rPr>
                <w:noProof/>
                <w:color w:val="000000"/>
                <w:sz w:val="21"/>
              </w:rPr>
              <w:t xml:space="preserve">Credite operaționale </w:t>
            </w:r>
          </w:p>
        </w:tc>
      </w:tr>
      <w:tr>
        <w:trPr>
          <w:trHeight w:val="288"/>
        </w:trPr>
        <w:tc>
          <w:tcPr>
            <w:tcW w:w="1419" w:type="pct"/>
            <w:gridSpan w:val="2"/>
            <w:vMerge w:val="restart"/>
            <w:tcBorders>
              <w:top w:val="nil"/>
              <w:left w:val="single" w:sz="8" w:space="0" w:color="auto"/>
              <w:bottom w:val="single" w:sz="8" w:space="0" w:color="auto"/>
              <w:right w:val="single" w:sz="8" w:space="0" w:color="auto"/>
            </w:tcBorders>
            <w:noWrap/>
            <w:vAlign w:val="center"/>
            <w:hideMark/>
          </w:tcPr>
          <w:p>
            <w:pPr>
              <w:spacing w:before="0" w:after="0"/>
              <w:jc w:val="left"/>
              <w:rPr>
                <w:noProof/>
                <w:color w:val="000000"/>
                <w:sz w:val="22"/>
              </w:rPr>
            </w:pPr>
            <w:r>
              <w:rPr>
                <w:noProof/>
                <w:color w:val="000000"/>
                <w:sz w:val="22"/>
              </w:rPr>
              <w:t>Linia bugetară</w:t>
            </w:r>
          </w:p>
        </w:tc>
        <w:tc>
          <w:tcPr>
            <w:tcW w:w="529" w:type="pct"/>
            <w:gridSpan w:val="3"/>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Angajamente</w:t>
            </w:r>
          </w:p>
        </w:tc>
        <w:tc>
          <w:tcPr>
            <w:tcW w:w="496" w:type="pct"/>
            <w:gridSpan w:val="4"/>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(1a)</w:t>
            </w:r>
          </w:p>
        </w:tc>
        <w:tc>
          <w:tcPr>
            <w:tcW w:w="496" w:type="pct"/>
            <w:gridSpan w:val="3"/>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96" w:type="pct"/>
            <w:gridSpan w:val="3"/>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96" w:type="pct"/>
            <w:gridSpan w:val="3"/>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78" w:type="pct"/>
            <w:gridSpan w:val="3"/>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590"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315"/>
        </w:trPr>
        <w:tc>
          <w:tcPr>
            <w:tcW w:w="1419" w:type="pct"/>
            <w:gridSpan w:val="2"/>
            <w:vMerge/>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22"/>
                <w:lang w:eastAsia="en-IE"/>
              </w:rPr>
            </w:pPr>
          </w:p>
        </w:tc>
        <w:tc>
          <w:tcPr>
            <w:tcW w:w="529" w:type="pct"/>
            <w:gridSpan w:val="3"/>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Plăți</w:t>
            </w:r>
          </w:p>
        </w:tc>
        <w:tc>
          <w:tcPr>
            <w:tcW w:w="496" w:type="pct"/>
            <w:gridSpan w:val="4"/>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(2a)</w:t>
            </w:r>
          </w:p>
        </w:tc>
        <w:tc>
          <w:tcPr>
            <w:tcW w:w="496" w:type="pct"/>
            <w:gridSpan w:val="3"/>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96" w:type="pct"/>
            <w:gridSpan w:val="3"/>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96" w:type="pct"/>
            <w:gridSpan w:val="3"/>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78" w:type="pct"/>
            <w:gridSpan w:val="3"/>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590"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315"/>
        </w:trPr>
        <w:tc>
          <w:tcPr>
            <w:tcW w:w="1419" w:type="pct"/>
            <w:gridSpan w:val="2"/>
            <w:vMerge w:val="restart"/>
            <w:tcBorders>
              <w:top w:val="nil"/>
              <w:left w:val="single" w:sz="8" w:space="0" w:color="auto"/>
              <w:bottom w:val="single" w:sz="8" w:space="0" w:color="auto"/>
              <w:right w:val="single" w:sz="8" w:space="0" w:color="auto"/>
            </w:tcBorders>
            <w:vAlign w:val="center"/>
            <w:hideMark/>
          </w:tcPr>
          <w:p>
            <w:pPr>
              <w:spacing w:before="0" w:after="0"/>
              <w:rPr>
                <w:noProof/>
                <w:color w:val="000000"/>
                <w:sz w:val="20"/>
                <w:szCs w:val="20"/>
              </w:rPr>
            </w:pPr>
            <w:r>
              <w:rPr>
                <w:noProof/>
                <w:color w:val="000000"/>
                <w:sz w:val="20"/>
              </w:rPr>
              <w:t>Linia bugetară</w:t>
            </w:r>
          </w:p>
        </w:tc>
        <w:tc>
          <w:tcPr>
            <w:tcW w:w="529" w:type="pct"/>
            <w:gridSpan w:val="3"/>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Angajamente</w:t>
            </w:r>
          </w:p>
        </w:tc>
        <w:tc>
          <w:tcPr>
            <w:tcW w:w="496" w:type="pct"/>
            <w:gridSpan w:val="4"/>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(1b)</w:t>
            </w:r>
          </w:p>
        </w:tc>
        <w:tc>
          <w:tcPr>
            <w:tcW w:w="496" w:type="pct"/>
            <w:gridSpan w:val="3"/>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96" w:type="pct"/>
            <w:gridSpan w:val="3"/>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96" w:type="pct"/>
            <w:gridSpan w:val="3"/>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78" w:type="pct"/>
            <w:gridSpan w:val="3"/>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590"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315"/>
        </w:trPr>
        <w:tc>
          <w:tcPr>
            <w:tcW w:w="1419" w:type="pct"/>
            <w:gridSpan w:val="2"/>
            <w:vMerge/>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20"/>
                <w:szCs w:val="20"/>
                <w:lang w:eastAsia="en-IE"/>
              </w:rPr>
            </w:pPr>
          </w:p>
        </w:tc>
        <w:tc>
          <w:tcPr>
            <w:tcW w:w="529" w:type="pct"/>
            <w:gridSpan w:val="3"/>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Plăți</w:t>
            </w:r>
          </w:p>
        </w:tc>
        <w:tc>
          <w:tcPr>
            <w:tcW w:w="496" w:type="pct"/>
            <w:gridSpan w:val="4"/>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(2b)</w:t>
            </w:r>
          </w:p>
        </w:tc>
        <w:tc>
          <w:tcPr>
            <w:tcW w:w="496" w:type="pct"/>
            <w:gridSpan w:val="3"/>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96" w:type="pct"/>
            <w:gridSpan w:val="3"/>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96" w:type="pct"/>
            <w:gridSpan w:val="3"/>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78" w:type="pct"/>
            <w:gridSpan w:val="3"/>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590"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288"/>
        </w:trPr>
        <w:tc>
          <w:tcPr>
            <w:tcW w:w="5000" w:type="pct"/>
            <w:gridSpan w:val="23"/>
            <w:tcBorders>
              <w:top w:val="single" w:sz="8" w:space="0" w:color="auto"/>
              <w:left w:val="single" w:sz="8" w:space="0" w:color="auto"/>
              <w:bottom w:val="single" w:sz="8" w:space="0" w:color="auto"/>
              <w:right w:val="single" w:sz="8" w:space="0" w:color="auto"/>
            </w:tcBorders>
            <w:noWrap/>
            <w:vAlign w:val="bottom"/>
            <w:hideMark/>
          </w:tcPr>
          <w:p>
            <w:pPr>
              <w:spacing w:before="0" w:after="0"/>
              <w:jc w:val="left"/>
              <w:rPr>
                <w:noProof/>
                <w:color w:val="000000"/>
                <w:sz w:val="22"/>
              </w:rPr>
            </w:pPr>
            <w:r>
              <w:rPr>
                <w:noProof/>
                <w:color w:val="000000"/>
                <w:sz w:val="22"/>
              </w:rPr>
              <w:t>Credite cu caracter administrativ finanțate din bugetul unor programe specifice</w:t>
            </w:r>
            <w:r>
              <w:rPr>
                <w:noProof/>
              </w:rPr>
              <w:t xml:space="preserve"> </w:t>
            </w:r>
          </w:p>
        </w:tc>
      </w:tr>
      <w:tr>
        <w:trPr>
          <w:trHeight w:val="288"/>
        </w:trPr>
        <w:tc>
          <w:tcPr>
            <w:tcW w:w="1419" w:type="pct"/>
            <w:gridSpan w:val="2"/>
            <w:tcBorders>
              <w:top w:val="nil"/>
              <w:left w:val="single" w:sz="8" w:space="0" w:color="auto"/>
              <w:bottom w:val="single" w:sz="8" w:space="0" w:color="auto"/>
              <w:right w:val="single" w:sz="8" w:space="0" w:color="auto"/>
            </w:tcBorders>
            <w:vAlign w:val="center"/>
            <w:hideMark/>
          </w:tcPr>
          <w:p>
            <w:pPr>
              <w:spacing w:before="0" w:after="0"/>
              <w:rPr>
                <w:noProof/>
                <w:color w:val="000000"/>
                <w:sz w:val="20"/>
                <w:szCs w:val="20"/>
              </w:rPr>
            </w:pPr>
            <w:r>
              <w:rPr>
                <w:noProof/>
                <w:color w:val="000000"/>
                <w:sz w:val="20"/>
              </w:rPr>
              <w:t>Linia bugetară</w:t>
            </w:r>
          </w:p>
        </w:tc>
        <w:tc>
          <w:tcPr>
            <w:tcW w:w="529" w:type="pct"/>
            <w:gridSpan w:val="3"/>
            <w:tcBorders>
              <w:top w:val="nil"/>
              <w:left w:val="nil"/>
              <w:bottom w:val="single" w:sz="8" w:space="0" w:color="auto"/>
              <w:right w:val="single" w:sz="8" w:space="0" w:color="auto"/>
            </w:tcBorders>
            <w:vAlign w:val="center"/>
            <w:hideMark/>
          </w:tcPr>
          <w:p>
            <w:pPr>
              <w:spacing w:before="0" w:after="0"/>
              <w:jc w:val="right"/>
              <w:rPr>
                <w:noProof/>
                <w:color w:val="000000"/>
                <w:sz w:val="18"/>
                <w:szCs w:val="18"/>
              </w:rPr>
            </w:pPr>
            <w:r>
              <w:rPr>
                <w:noProof/>
                <w:color w:val="000000"/>
                <w:sz w:val="18"/>
              </w:rPr>
              <w:t xml:space="preserve"> </w:t>
            </w:r>
          </w:p>
        </w:tc>
        <w:tc>
          <w:tcPr>
            <w:tcW w:w="496" w:type="pct"/>
            <w:gridSpan w:val="4"/>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(3)</w:t>
            </w:r>
          </w:p>
        </w:tc>
        <w:tc>
          <w:tcPr>
            <w:tcW w:w="496" w:type="pct"/>
            <w:gridSpan w:val="3"/>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rPr>
            </w:pPr>
            <w:r>
              <w:rPr>
                <w:b/>
                <w:noProof/>
                <w:color w:val="000000"/>
                <w:sz w:val="20"/>
              </w:rPr>
              <w:t xml:space="preserve"> </w:t>
            </w:r>
          </w:p>
        </w:tc>
        <w:tc>
          <w:tcPr>
            <w:tcW w:w="496" w:type="pct"/>
            <w:gridSpan w:val="3"/>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rPr>
            </w:pPr>
            <w:r>
              <w:rPr>
                <w:b/>
                <w:noProof/>
                <w:color w:val="000000"/>
                <w:sz w:val="20"/>
              </w:rPr>
              <w:t xml:space="preserve"> </w:t>
            </w:r>
          </w:p>
        </w:tc>
        <w:tc>
          <w:tcPr>
            <w:tcW w:w="496" w:type="pct"/>
            <w:gridSpan w:val="3"/>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rPr>
            </w:pPr>
            <w:r>
              <w:rPr>
                <w:b/>
                <w:noProof/>
                <w:color w:val="000000"/>
                <w:sz w:val="20"/>
              </w:rPr>
              <w:t xml:space="preserve"> </w:t>
            </w:r>
          </w:p>
        </w:tc>
        <w:tc>
          <w:tcPr>
            <w:tcW w:w="478" w:type="pct"/>
            <w:gridSpan w:val="3"/>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rPr>
            </w:pPr>
            <w:r>
              <w:rPr>
                <w:b/>
                <w:noProof/>
                <w:color w:val="000000"/>
                <w:sz w:val="20"/>
              </w:rPr>
              <w:t xml:space="preserve"> </w:t>
            </w:r>
          </w:p>
        </w:tc>
        <w:tc>
          <w:tcPr>
            <w:tcW w:w="590"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288"/>
        </w:trPr>
        <w:tc>
          <w:tcPr>
            <w:tcW w:w="1419" w:type="pct"/>
            <w:gridSpan w:val="2"/>
            <w:vMerge w:val="restart"/>
            <w:tcBorders>
              <w:top w:val="nil"/>
              <w:left w:val="single" w:sz="8" w:space="0" w:color="auto"/>
              <w:right w:val="single" w:sz="8" w:space="0" w:color="auto"/>
            </w:tcBorders>
            <w:vAlign w:val="center"/>
            <w:hideMark/>
          </w:tcPr>
          <w:p>
            <w:pPr>
              <w:spacing w:before="0" w:after="0"/>
              <w:jc w:val="center"/>
              <w:rPr>
                <w:b/>
                <w:bCs/>
                <w:noProof/>
                <w:color w:val="000000"/>
                <w:sz w:val="22"/>
              </w:rPr>
            </w:pPr>
            <w:r>
              <w:rPr>
                <w:b/>
                <w:noProof/>
                <w:color w:val="000000"/>
                <w:sz w:val="22"/>
              </w:rPr>
              <w:t>TOTAL credite</w:t>
            </w:r>
          </w:p>
          <w:p>
            <w:pPr>
              <w:spacing w:before="0" w:after="0"/>
              <w:jc w:val="center"/>
              <w:rPr>
                <w:b/>
                <w:bCs/>
                <w:noProof/>
                <w:color w:val="000000"/>
                <w:sz w:val="22"/>
              </w:rPr>
            </w:pPr>
            <w:r>
              <w:rPr>
                <w:b/>
                <w:noProof/>
                <w:color w:val="000000"/>
                <w:sz w:val="22"/>
              </w:rPr>
              <w:t>pentru DG</w:t>
            </w:r>
            <w:r>
              <w:rPr>
                <w:noProof/>
                <w:color w:val="000000"/>
                <w:sz w:val="22"/>
              </w:rPr>
              <w:t xml:space="preserve"> &lt;….&gt;</w:t>
            </w:r>
          </w:p>
        </w:tc>
        <w:tc>
          <w:tcPr>
            <w:tcW w:w="529" w:type="pct"/>
            <w:gridSpan w:val="3"/>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Angajamente</w:t>
            </w:r>
          </w:p>
        </w:tc>
        <w:tc>
          <w:tcPr>
            <w:tcW w:w="496" w:type="pct"/>
            <w:gridSpan w:val="4"/>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=1a+1b+3</w:t>
            </w:r>
          </w:p>
        </w:tc>
        <w:tc>
          <w:tcPr>
            <w:tcW w:w="496"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6"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6"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78"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590"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288"/>
        </w:trPr>
        <w:tc>
          <w:tcPr>
            <w:tcW w:w="1419" w:type="pct"/>
            <w:gridSpan w:val="2"/>
            <w:vMerge/>
            <w:tcBorders>
              <w:left w:val="single" w:sz="8" w:space="0" w:color="auto"/>
              <w:bottom w:val="single" w:sz="8" w:space="0" w:color="auto"/>
              <w:right w:val="single" w:sz="8" w:space="0" w:color="auto"/>
            </w:tcBorders>
            <w:vAlign w:val="center"/>
            <w:hideMark/>
          </w:tcPr>
          <w:p>
            <w:pPr>
              <w:spacing w:before="0" w:after="0"/>
              <w:jc w:val="center"/>
              <w:rPr>
                <w:b/>
                <w:bCs/>
                <w:noProof/>
                <w:color w:val="000000"/>
                <w:sz w:val="22"/>
                <w:lang w:eastAsia="en-IE"/>
              </w:rPr>
            </w:pPr>
          </w:p>
        </w:tc>
        <w:tc>
          <w:tcPr>
            <w:tcW w:w="529" w:type="pct"/>
            <w:gridSpan w:val="3"/>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Plăți</w:t>
            </w:r>
          </w:p>
        </w:tc>
        <w:tc>
          <w:tcPr>
            <w:tcW w:w="496" w:type="pct"/>
            <w:gridSpan w:val="4"/>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=2a+2b+3</w:t>
            </w:r>
          </w:p>
        </w:tc>
        <w:tc>
          <w:tcPr>
            <w:tcW w:w="496"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6"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6"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78"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590"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300"/>
        </w:trPr>
        <w:tc>
          <w:tcPr>
            <w:tcW w:w="2432" w:type="pct"/>
            <w:gridSpan w:val="8"/>
            <w:vMerge w:val="restart"/>
            <w:tcBorders>
              <w:top w:val="single" w:sz="8" w:space="0" w:color="auto"/>
              <w:left w:val="single" w:sz="8" w:space="0" w:color="auto"/>
              <w:bottom w:val="single" w:sz="8" w:space="0" w:color="000000"/>
              <w:right w:val="single" w:sz="8" w:space="0" w:color="000000"/>
            </w:tcBorders>
            <w:vAlign w:val="center"/>
            <w:hideMark/>
          </w:tcPr>
          <w:p>
            <w:pPr>
              <w:spacing w:before="0" w:after="0"/>
              <w:jc w:val="center"/>
              <w:rPr>
                <w:b/>
                <w:bCs/>
                <w:noProof/>
                <w:color w:val="000000"/>
                <w:sz w:val="22"/>
              </w:rPr>
            </w:pPr>
            <w:r>
              <w:rPr>
                <w:b/>
                <w:noProof/>
                <w:color w:val="000000"/>
                <w:sz w:val="22"/>
              </w:rPr>
              <w:t xml:space="preserve"> </w:t>
            </w:r>
          </w:p>
        </w:tc>
        <w:tc>
          <w:tcPr>
            <w:tcW w:w="493"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493"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493"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493"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596" w:type="pct"/>
            <w:gridSpan w:val="3"/>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TOTAL CFM 2021-2027</w:t>
            </w:r>
          </w:p>
        </w:tc>
      </w:tr>
      <w:tr>
        <w:trPr>
          <w:trHeight w:val="300"/>
        </w:trPr>
        <w:tc>
          <w:tcPr>
            <w:tcW w:w="2432" w:type="pct"/>
            <w:gridSpan w:val="8"/>
            <w:vMerge/>
            <w:tcBorders>
              <w:top w:val="single" w:sz="8" w:space="0" w:color="auto"/>
              <w:left w:val="single" w:sz="8" w:space="0" w:color="auto"/>
              <w:bottom w:val="single" w:sz="8" w:space="0" w:color="000000"/>
              <w:right w:val="single" w:sz="8" w:space="0" w:color="000000"/>
            </w:tcBorders>
            <w:vAlign w:val="center"/>
            <w:hideMark/>
          </w:tcPr>
          <w:p>
            <w:pPr>
              <w:spacing w:before="0" w:after="0"/>
              <w:jc w:val="left"/>
              <w:rPr>
                <w:b/>
                <w:bCs/>
                <w:noProof/>
                <w:color w:val="000000"/>
                <w:sz w:val="22"/>
                <w:lang w:eastAsia="en-IE"/>
              </w:rPr>
            </w:pPr>
          </w:p>
        </w:tc>
        <w:tc>
          <w:tcPr>
            <w:tcW w:w="493" w:type="pct"/>
            <w:gridSpan w:val="3"/>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2024</w:t>
            </w:r>
          </w:p>
        </w:tc>
        <w:tc>
          <w:tcPr>
            <w:tcW w:w="493" w:type="pct"/>
            <w:gridSpan w:val="3"/>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2025</w:t>
            </w:r>
          </w:p>
        </w:tc>
        <w:tc>
          <w:tcPr>
            <w:tcW w:w="493" w:type="pct"/>
            <w:gridSpan w:val="3"/>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2026</w:t>
            </w:r>
          </w:p>
        </w:tc>
        <w:tc>
          <w:tcPr>
            <w:tcW w:w="493" w:type="pct"/>
            <w:gridSpan w:val="3"/>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2027</w:t>
            </w:r>
          </w:p>
        </w:tc>
        <w:tc>
          <w:tcPr>
            <w:tcW w:w="596" w:type="pct"/>
            <w:gridSpan w:val="3"/>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b/>
                <w:bCs/>
                <w:noProof/>
                <w:color w:val="000000"/>
                <w:sz w:val="20"/>
                <w:szCs w:val="20"/>
                <w:lang w:eastAsia="en-IE"/>
              </w:rPr>
            </w:pPr>
          </w:p>
        </w:tc>
      </w:tr>
      <w:tr>
        <w:trPr>
          <w:trHeight w:val="432"/>
        </w:trPr>
        <w:tc>
          <w:tcPr>
            <w:tcW w:w="1411" w:type="pct"/>
            <w:vMerge w:val="restart"/>
            <w:tcBorders>
              <w:top w:val="nil"/>
              <w:left w:val="single" w:sz="8" w:space="0" w:color="auto"/>
              <w:bottom w:val="single" w:sz="8" w:space="0" w:color="auto"/>
              <w:right w:val="single" w:sz="8" w:space="0" w:color="auto"/>
            </w:tcBorders>
            <w:vAlign w:val="center"/>
            <w:hideMark/>
          </w:tcPr>
          <w:p>
            <w:pPr>
              <w:spacing w:before="0" w:after="0"/>
              <w:rPr>
                <w:noProof/>
                <w:color w:val="000000"/>
                <w:sz w:val="21"/>
                <w:szCs w:val="21"/>
              </w:rPr>
            </w:pPr>
            <w:r>
              <w:rPr>
                <w:noProof/>
                <w:color w:val="000000"/>
                <w:sz w:val="21"/>
              </w:rPr>
              <w:t xml:space="preserve">TOTAL credite operaționale </w:t>
            </w:r>
            <w:r>
              <w:rPr>
                <w:noProof/>
              </w:rPr>
              <w:t xml:space="preserve"> </w:t>
            </w:r>
            <w:r>
              <w:rPr>
                <w:noProof/>
              </w:rPr>
              <w:br/>
            </w:r>
          </w:p>
        </w:tc>
        <w:tc>
          <w:tcPr>
            <w:tcW w:w="529" w:type="pct"/>
            <w:gridSpan w:val="3"/>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Angajamente</w:t>
            </w:r>
          </w:p>
        </w:tc>
        <w:tc>
          <w:tcPr>
            <w:tcW w:w="492" w:type="pct"/>
            <w:gridSpan w:val="4"/>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(4)</w:t>
            </w:r>
          </w:p>
        </w:tc>
        <w:tc>
          <w:tcPr>
            <w:tcW w:w="493"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93"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93"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93"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596"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456"/>
        </w:trPr>
        <w:tc>
          <w:tcPr>
            <w:tcW w:w="1411" w:type="pct"/>
            <w:vMerge/>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21"/>
                <w:szCs w:val="21"/>
                <w:lang w:eastAsia="en-IE"/>
              </w:rPr>
            </w:pPr>
          </w:p>
        </w:tc>
        <w:tc>
          <w:tcPr>
            <w:tcW w:w="529" w:type="pct"/>
            <w:gridSpan w:val="3"/>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Plăți</w:t>
            </w:r>
          </w:p>
        </w:tc>
        <w:tc>
          <w:tcPr>
            <w:tcW w:w="492" w:type="pct"/>
            <w:gridSpan w:val="4"/>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(5)</w:t>
            </w:r>
          </w:p>
        </w:tc>
        <w:tc>
          <w:tcPr>
            <w:tcW w:w="493"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93"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93"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93"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596"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924"/>
        </w:trPr>
        <w:tc>
          <w:tcPr>
            <w:tcW w:w="1939" w:type="pct"/>
            <w:gridSpan w:val="4"/>
            <w:tcBorders>
              <w:top w:val="single" w:sz="8" w:space="0" w:color="auto"/>
              <w:left w:val="single" w:sz="8" w:space="0" w:color="auto"/>
              <w:bottom w:val="single" w:sz="8" w:space="0" w:color="auto"/>
              <w:right w:val="single" w:sz="8" w:space="0" w:color="auto"/>
            </w:tcBorders>
            <w:vAlign w:val="center"/>
            <w:hideMark/>
          </w:tcPr>
          <w:p>
            <w:pPr>
              <w:spacing w:before="0" w:after="0"/>
              <w:rPr>
                <w:noProof/>
                <w:color w:val="000000"/>
                <w:sz w:val="21"/>
                <w:szCs w:val="21"/>
              </w:rPr>
            </w:pPr>
            <w:r>
              <w:rPr>
                <w:noProof/>
                <w:color w:val="000000"/>
                <w:sz w:val="21"/>
              </w:rPr>
              <w:t xml:space="preserve">TOTAL credite cu caracter administrativ finanțate din bugetul unor programe specifice </w:t>
            </w:r>
          </w:p>
        </w:tc>
        <w:tc>
          <w:tcPr>
            <w:tcW w:w="492" w:type="pct"/>
            <w:gridSpan w:val="4"/>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(6)</w:t>
            </w:r>
          </w:p>
        </w:tc>
        <w:tc>
          <w:tcPr>
            <w:tcW w:w="493"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93"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93"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93"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596"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564"/>
        </w:trPr>
        <w:tc>
          <w:tcPr>
            <w:tcW w:w="1411" w:type="pct"/>
            <w:tcBorders>
              <w:top w:val="nil"/>
              <w:left w:val="single" w:sz="8" w:space="0" w:color="auto"/>
              <w:bottom w:val="nil"/>
              <w:right w:val="single" w:sz="8" w:space="0" w:color="auto"/>
            </w:tcBorders>
            <w:shd w:val="thinDiagStripe" w:color="C0C0C0" w:fill="F1F1F1"/>
            <w:vAlign w:val="center"/>
            <w:hideMark/>
          </w:tcPr>
          <w:p>
            <w:pPr>
              <w:spacing w:before="0" w:after="0"/>
              <w:jc w:val="center"/>
              <w:rPr>
                <w:b/>
                <w:bCs/>
                <w:noProof/>
                <w:color w:val="000000"/>
                <w:sz w:val="22"/>
              </w:rPr>
            </w:pPr>
            <w:r>
              <w:rPr>
                <w:b/>
                <w:noProof/>
                <w:color w:val="000000"/>
                <w:sz w:val="22"/>
              </w:rPr>
              <w:t>TOTAL credite în cadrul RUBRICII &lt;….&gt;</w:t>
            </w:r>
          </w:p>
        </w:tc>
        <w:tc>
          <w:tcPr>
            <w:tcW w:w="529" w:type="pct"/>
            <w:gridSpan w:val="3"/>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Angajamente</w:t>
            </w:r>
          </w:p>
        </w:tc>
        <w:tc>
          <w:tcPr>
            <w:tcW w:w="492" w:type="pct"/>
            <w:gridSpan w:val="4"/>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=4+6</w:t>
            </w:r>
          </w:p>
        </w:tc>
        <w:tc>
          <w:tcPr>
            <w:tcW w:w="493"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3"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3"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3"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596"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528"/>
        </w:trPr>
        <w:tc>
          <w:tcPr>
            <w:tcW w:w="1411" w:type="pct"/>
            <w:tcBorders>
              <w:top w:val="nil"/>
              <w:left w:val="single" w:sz="8" w:space="0" w:color="auto"/>
              <w:bottom w:val="single" w:sz="8" w:space="0" w:color="auto"/>
              <w:right w:val="single" w:sz="8" w:space="0" w:color="auto"/>
            </w:tcBorders>
            <w:shd w:val="thinDiagStripe" w:color="C0C0C0" w:fill="F1F1F1"/>
            <w:vAlign w:val="center"/>
            <w:hideMark/>
          </w:tcPr>
          <w:p>
            <w:pPr>
              <w:spacing w:before="0" w:after="0"/>
              <w:jc w:val="center"/>
              <w:rPr>
                <w:noProof/>
                <w:color w:val="000000"/>
                <w:sz w:val="22"/>
              </w:rPr>
            </w:pPr>
            <w:r>
              <w:rPr>
                <w:noProof/>
                <w:color w:val="000000"/>
                <w:sz w:val="22"/>
              </w:rPr>
              <w:t>din cadrul financiar multianual</w:t>
            </w:r>
          </w:p>
        </w:tc>
        <w:tc>
          <w:tcPr>
            <w:tcW w:w="529" w:type="pct"/>
            <w:gridSpan w:val="3"/>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Plăți</w:t>
            </w:r>
          </w:p>
        </w:tc>
        <w:tc>
          <w:tcPr>
            <w:tcW w:w="492" w:type="pct"/>
            <w:gridSpan w:val="4"/>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=5+6</w:t>
            </w:r>
          </w:p>
        </w:tc>
        <w:tc>
          <w:tcPr>
            <w:tcW w:w="493"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3"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3"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3"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596"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288"/>
        </w:trPr>
        <w:tc>
          <w:tcPr>
            <w:tcW w:w="1522" w:type="pct"/>
            <w:gridSpan w:val="3"/>
            <w:tcBorders>
              <w:top w:val="nil"/>
              <w:left w:val="nil"/>
              <w:bottom w:val="nil"/>
              <w:right w:val="nil"/>
            </w:tcBorders>
            <w:noWrap/>
            <w:vAlign w:val="bottom"/>
            <w:hideMark/>
          </w:tcPr>
          <w:p>
            <w:pPr>
              <w:spacing w:before="0" w:after="0"/>
              <w:jc w:val="left"/>
              <w:rPr>
                <w:noProof/>
                <w:sz w:val="20"/>
                <w:szCs w:val="24"/>
                <w:lang w:eastAsia="en-IE"/>
              </w:rPr>
            </w:pPr>
          </w:p>
        </w:tc>
        <w:tc>
          <w:tcPr>
            <w:tcW w:w="471" w:type="pct"/>
            <w:gridSpan w:val="3"/>
            <w:tcBorders>
              <w:top w:val="nil"/>
              <w:left w:val="nil"/>
              <w:bottom w:val="nil"/>
              <w:right w:val="nil"/>
            </w:tcBorders>
            <w:noWrap/>
            <w:vAlign w:val="bottom"/>
            <w:hideMark/>
          </w:tcPr>
          <w:p>
            <w:pPr>
              <w:spacing w:before="0" w:after="0"/>
              <w:jc w:val="left"/>
              <w:rPr>
                <w:noProof/>
                <w:sz w:val="20"/>
                <w:szCs w:val="20"/>
                <w:lang w:eastAsia="en-IE"/>
              </w:rPr>
            </w:pPr>
          </w:p>
        </w:tc>
        <w:tc>
          <w:tcPr>
            <w:tcW w:w="365" w:type="pct"/>
            <w:tcBorders>
              <w:top w:val="nil"/>
              <w:left w:val="nil"/>
              <w:bottom w:val="nil"/>
              <w:right w:val="nil"/>
            </w:tcBorders>
            <w:noWrap/>
            <w:vAlign w:val="bottom"/>
            <w:hideMark/>
          </w:tcPr>
          <w:p>
            <w:pPr>
              <w:spacing w:before="0" w:after="0"/>
              <w:jc w:val="left"/>
              <w:rPr>
                <w:noProof/>
                <w:sz w:val="20"/>
                <w:szCs w:val="20"/>
                <w:lang w:eastAsia="en-IE"/>
              </w:rPr>
            </w:pPr>
          </w:p>
        </w:tc>
        <w:tc>
          <w:tcPr>
            <w:tcW w:w="366" w:type="pct"/>
            <w:gridSpan w:val="3"/>
            <w:tcBorders>
              <w:top w:val="nil"/>
              <w:left w:val="nil"/>
              <w:bottom w:val="nil"/>
              <w:right w:val="single" w:sz="4" w:space="0" w:color="auto"/>
            </w:tcBorders>
            <w:noWrap/>
            <w:vAlign w:val="bottom"/>
            <w:hideMark/>
          </w:tcPr>
          <w:p>
            <w:pPr>
              <w:spacing w:before="0" w:after="0"/>
              <w:jc w:val="left"/>
              <w:rPr>
                <w:noProof/>
                <w:sz w:val="20"/>
                <w:szCs w:val="20"/>
                <w:lang w:eastAsia="en-IE"/>
              </w:rPr>
            </w:pPr>
          </w:p>
        </w:tc>
        <w:tc>
          <w:tcPr>
            <w:tcW w:w="437" w:type="pct"/>
            <w:gridSpan w:val="3"/>
            <w:tcBorders>
              <w:top w:val="single" w:sz="8" w:space="0" w:color="auto"/>
              <w:left w:val="single" w:sz="4" w:space="0" w:color="auto"/>
              <w:bottom w:val="nil"/>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437" w:type="pct"/>
            <w:gridSpan w:val="3"/>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437" w:type="pct"/>
            <w:gridSpan w:val="3"/>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437" w:type="pct"/>
            <w:gridSpan w:val="3"/>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528"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b/>
                <w:bCs/>
                <w:noProof/>
                <w:color w:val="000000"/>
                <w:sz w:val="20"/>
                <w:szCs w:val="20"/>
              </w:rPr>
            </w:pPr>
            <w:r>
              <w:rPr>
                <w:b/>
                <w:noProof/>
                <w:color w:val="000000"/>
                <w:sz w:val="20"/>
              </w:rPr>
              <w:t>TOTAL CFM 2021-2027</w:t>
            </w:r>
          </w:p>
        </w:tc>
      </w:tr>
      <w:tr>
        <w:trPr>
          <w:trHeight w:val="300"/>
        </w:trPr>
        <w:tc>
          <w:tcPr>
            <w:tcW w:w="1522" w:type="pct"/>
            <w:gridSpan w:val="3"/>
            <w:tcBorders>
              <w:top w:val="nil"/>
              <w:left w:val="nil"/>
              <w:bottom w:val="nil"/>
              <w:right w:val="nil"/>
            </w:tcBorders>
            <w:noWrap/>
            <w:vAlign w:val="bottom"/>
            <w:hideMark/>
          </w:tcPr>
          <w:p>
            <w:pPr>
              <w:spacing w:before="0" w:after="0"/>
              <w:jc w:val="center"/>
              <w:rPr>
                <w:b/>
                <w:bCs/>
                <w:noProof/>
                <w:color w:val="000000"/>
                <w:sz w:val="20"/>
                <w:szCs w:val="20"/>
                <w:lang w:eastAsia="en-IE"/>
              </w:rPr>
            </w:pPr>
          </w:p>
        </w:tc>
        <w:tc>
          <w:tcPr>
            <w:tcW w:w="471" w:type="pct"/>
            <w:gridSpan w:val="3"/>
            <w:tcBorders>
              <w:top w:val="nil"/>
              <w:left w:val="nil"/>
              <w:bottom w:val="nil"/>
              <w:right w:val="nil"/>
            </w:tcBorders>
            <w:noWrap/>
            <w:vAlign w:val="bottom"/>
            <w:hideMark/>
          </w:tcPr>
          <w:p>
            <w:pPr>
              <w:spacing w:before="0" w:after="0"/>
              <w:jc w:val="left"/>
              <w:rPr>
                <w:noProof/>
                <w:sz w:val="20"/>
                <w:szCs w:val="20"/>
                <w:lang w:eastAsia="en-IE"/>
              </w:rPr>
            </w:pPr>
          </w:p>
        </w:tc>
        <w:tc>
          <w:tcPr>
            <w:tcW w:w="365" w:type="pct"/>
            <w:tcBorders>
              <w:top w:val="nil"/>
              <w:left w:val="nil"/>
              <w:bottom w:val="nil"/>
              <w:right w:val="nil"/>
            </w:tcBorders>
            <w:noWrap/>
            <w:vAlign w:val="bottom"/>
            <w:hideMark/>
          </w:tcPr>
          <w:p>
            <w:pPr>
              <w:spacing w:before="0" w:after="0"/>
              <w:jc w:val="left"/>
              <w:rPr>
                <w:noProof/>
                <w:sz w:val="20"/>
                <w:szCs w:val="20"/>
                <w:lang w:eastAsia="en-IE"/>
              </w:rPr>
            </w:pPr>
          </w:p>
        </w:tc>
        <w:tc>
          <w:tcPr>
            <w:tcW w:w="366" w:type="pct"/>
            <w:gridSpan w:val="3"/>
            <w:tcBorders>
              <w:top w:val="nil"/>
              <w:left w:val="nil"/>
              <w:bottom w:val="nil"/>
              <w:right w:val="single" w:sz="4" w:space="0" w:color="auto"/>
            </w:tcBorders>
            <w:noWrap/>
            <w:vAlign w:val="bottom"/>
            <w:hideMark/>
          </w:tcPr>
          <w:p>
            <w:pPr>
              <w:spacing w:before="0" w:after="0"/>
              <w:jc w:val="left"/>
              <w:rPr>
                <w:noProof/>
                <w:sz w:val="20"/>
                <w:szCs w:val="20"/>
                <w:lang w:eastAsia="en-IE"/>
              </w:rPr>
            </w:pPr>
          </w:p>
        </w:tc>
        <w:tc>
          <w:tcPr>
            <w:tcW w:w="437" w:type="pct"/>
            <w:gridSpan w:val="3"/>
            <w:tcBorders>
              <w:top w:val="nil"/>
              <w:left w:val="single" w:sz="4" w:space="0" w:color="auto"/>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2024</w:t>
            </w:r>
          </w:p>
        </w:tc>
        <w:tc>
          <w:tcPr>
            <w:tcW w:w="437" w:type="pct"/>
            <w:gridSpan w:val="3"/>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2025</w:t>
            </w:r>
          </w:p>
        </w:tc>
        <w:tc>
          <w:tcPr>
            <w:tcW w:w="437" w:type="pct"/>
            <w:gridSpan w:val="3"/>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2026</w:t>
            </w:r>
          </w:p>
        </w:tc>
        <w:tc>
          <w:tcPr>
            <w:tcW w:w="437" w:type="pct"/>
            <w:gridSpan w:val="3"/>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2027</w:t>
            </w:r>
          </w:p>
        </w:tc>
        <w:tc>
          <w:tcPr>
            <w:tcW w:w="528"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b/>
                <w:bCs/>
                <w:noProof/>
                <w:color w:val="000000"/>
                <w:sz w:val="20"/>
                <w:szCs w:val="20"/>
                <w:lang w:eastAsia="en-IE"/>
              </w:rPr>
            </w:pPr>
          </w:p>
        </w:tc>
      </w:tr>
      <w:tr>
        <w:trPr>
          <w:trHeight w:val="300"/>
        </w:trPr>
        <w:tc>
          <w:tcPr>
            <w:tcW w:w="1522" w:type="pct"/>
            <w:gridSpan w:val="3"/>
            <w:vMerge w:val="restart"/>
            <w:tcBorders>
              <w:top w:val="single" w:sz="8" w:space="0" w:color="auto"/>
              <w:left w:val="single" w:sz="8" w:space="0" w:color="auto"/>
              <w:bottom w:val="single" w:sz="8" w:space="0" w:color="auto"/>
              <w:right w:val="single" w:sz="8" w:space="0" w:color="auto"/>
            </w:tcBorders>
            <w:vAlign w:val="center"/>
            <w:hideMark/>
          </w:tcPr>
          <w:p>
            <w:pPr>
              <w:spacing w:before="0" w:after="0"/>
              <w:rPr>
                <w:noProof/>
                <w:color w:val="000000"/>
                <w:sz w:val="21"/>
                <w:szCs w:val="21"/>
              </w:rPr>
            </w:pPr>
            <w:r>
              <w:rPr>
                <w:rFonts w:ascii="Calibri" w:hAnsi="Calibri"/>
                <w:noProof/>
                <w:color w:val="000000"/>
                <w:sz w:val="21"/>
              </w:rPr>
              <w:t xml:space="preserve">• </w:t>
            </w:r>
            <w:r>
              <w:rPr>
                <w:noProof/>
                <w:color w:val="000000"/>
                <w:sz w:val="21"/>
              </w:rPr>
              <w:t>TOTAL credite operaționale (toate rubricile operaționale)</w:t>
            </w:r>
          </w:p>
        </w:tc>
        <w:tc>
          <w:tcPr>
            <w:tcW w:w="471" w:type="pct"/>
            <w:gridSpan w:val="3"/>
            <w:tcBorders>
              <w:top w:val="single" w:sz="8" w:space="0" w:color="auto"/>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Angajamente</w:t>
            </w:r>
          </w:p>
        </w:tc>
        <w:tc>
          <w:tcPr>
            <w:tcW w:w="731" w:type="pct"/>
            <w:gridSpan w:val="4"/>
            <w:tcBorders>
              <w:top w:val="single" w:sz="8" w:space="0" w:color="auto"/>
              <w:left w:val="nil"/>
              <w:bottom w:val="single" w:sz="8" w:space="0" w:color="auto"/>
              <w:right w:val="single" w:sz="8" w:space="0" w:color="000000"/>
            </w:tcBorders>
            <w:vAlign w:val="center"/>
            <w:hideMark/>
          </w:tcPr>
          <w:p>
            <w:pPr>
              <w:spacing w:before="0" w:after="0"/>
              <w:jc w:val="center"/>
              <w:rPr>
                <w:noProof/>
                <w:color w:val="000000"/>
                <w:sz w:val="14"/>
                <w:szCs w:val="14"/>
              </w:rPr>
            </w:pPr>
            <w:r>
              <w:rPr>
                <w:noProof/>
                <w:color w:val="000000"/>
                <w:sz w:val="14"/>
              </w:rPr>
              <w:t>(4)</w:t>
            </w:r>
          </w:p>
        </w:tc>
        <w:tc>
          <w:tcPr>
            <w:tcW w:w="437"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37"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37"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37"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528"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300"/>
        </w:trPr>
        <w:tc>
          <w:tcPr>
            <w:tcW w:w="1522" w:type="pct"/>
            <w:gridSpan w:val="3"/>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noProof/>
                <w:color w:val="000000"/>
                <w:sz w:val="21"/>
                <w:szCs w:val="21"/>
                <w:lang w:eastAsia="en-IE"/>
              </w:rPr>
            </w:pPr>
          </w:p>
        </w:tc>
        <w:tc>
          <w:tcPr>
            <w:tcW w:w="471" w:type="pct"/>
            <w:gridSpan w:val="3"/>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Plăți</w:t>
            </w:r>
          </w:p>
        </w:tc>
        <w:tc>
          <w:tcPr>
            <w:tcW w:w="731" w:type="pct"/>
            <w:gridSpan w:val="4"/>
            <w:tcBorders>
              <w:top w:val="single" w:sz="8" w:space="0" w:color="auto"/>
              <w:left w:val="nil"/>
              <w:bottom w:val="single" w:sz="8" w:space="0" w:color="auto"/>
              <w:right w:val="single" w:sz="8" w:space="0" w:color="000000"/>
            </w:tcBorders>
            <w:vAlign w:val="center"/>
            <w:hideMark/>
          </w:tcPr>
          <w:p>
            <w:pPr>
              <w:spacing w:before="0" w:after="0"/>
              <w:jc w:val="center"/>
              <w:rPr>
                <w:noProof/>
                <w:color w:val="000000"/>
                <w:sz w:val="14"/>
                <w:szCs w:val="14"/>
              </w:rPr>
            </w:pPr>
            <w:r>
              <w:rPr>
                <w:noProof/>
                <w:color w:val="000000"/>
                <w:sz w:val="14"/>
              </w:rPr>
              <w:t>(5)</w:t>
            </w:r>
          </w:p>
        </w:tc>
        <w:tc>
          <w:tcPr>
            <w:tcW w:w="437"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37"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37"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37"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528"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990"/>
        </w:trPr>
        <w:tc>
          <w:tcPr>
            <w:tcW w:w="1993" w:type="pct"/>
            <w:gridSpan w:val="6"/>
            <w:tcBorders>
              <w:top w:val="single" w:sz="8" w:space="0" w:color="auto"/>
              <w:left w:val="single" w:sz="8" w:space="0" w:color="auto"/>
              <w:bottom w:val="single" w:sz="8" w:space="0" w:color="auto"/>
              <w:right w:val="single" w:sz="8" w:space="0" w:color="000000"/>
            </w:tcBorders>
            <w:vAlign w:val="center"/>
            <w:hideMark/>
          </w:tcPr>
          <w:p>
            <w:pPr>
              <w:spacing w:before="0" w:after="0"/>
              <w:rPr>
                <w:noProof/>
                <w:color w:val="000000"/>
                <w:sz w:val="21"/>
                <w:szCs w:val="21"/>
              </w:rPr>
            </w:pPr>
            <w:r>
              <w:rPr>
                <w:rFonts w:ascii="Calibri" w:hAnsi="Calibri"/>
                <w:noProof/>
                <w:color w:val="000000"/>
                <w:sz w:val="21"/>
              </w:rPr>
              <w:t xml:space="preserve">• </w:t>
            </w:r>
            <w:r>
              <w:rPr>
                <w:noProof/>
                <w:color w:val="000000"/>
                <w:sz w:val="21"/>
              </w:rPr>
              <w:t>TOTAL credite cu caracter administrativ finanțate din bugetul unor programe specifice (toate rubricile operaționale)</w:t>
            </w:r>
          </w:p>
        </w:tc>
        <w:tc>
          <w:tcPr>
            <w:tcW w:w="731" w:type="pct"/>
            <w:gridSpan w:val="4"/>
            <w:tcBorders>
              <w:top w:val="single" w:sz="8" w:space="0" w:color="auto"/>
              <w:left w:val="nil"/>
              <w:bottom w:val="single" w:sz="8" w:space="0" w:color="auto"/>
              <w:right w:val="single" w:sz="8" w:space="0" w:color="000000"/>
            </w:tcBorders>
            <w:vAlign w:val="center"/>
            <w:hideMark/>
          </w:tcPr>
          <w:p>
            <w:pPr>
              <w:spacing w:before="0" w:after="0"/>
              <w:jc w:val="center"/>
              <w:rPr>
                <w:noProof/>
                <w:color w:val="000000"/>
                <w:sz w:val="14"/>
                <w:szCs w:val="14"/>
              </w:rPr>
            </w:pPr>
            <w:r>
              <w:rPr>
                <w:noProof/>
                <w:color w:val="000000"/>
                <w:sz w:val="14"/>
              </w:rPr>
              <w:t>(6)</w:t>
            </w:r>
          </w:p>
        </w:tc>
        <w:tc>
          <w:tcPr>
            <w:tcW w:w="437"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37"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37"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37"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528"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564"/>
        </w:trPr>
        <w:tc>
          <w:tcPr>
            <w:tcW w:w="1522" w:type="pct"/>
            <w:gridSpan w:val="3"/>
            <w:tcBorders>
              <w:top w:val="nil"/>
              <w:left w:val="single" w:sz="8" w:space="0" w:color="auto"/>
              <w:bottom w:val="nil"/>
              <w:right w:val="single" w:sz="8" w:space="0" w:color="auto"/>
            </w:tcBorders>
            <w:shd w:val="thinDiagStripe" w:color="C0C0C0" w:fill="F1F1F1"/>
            <w:vAlign w:val="center"/>
            <w:hideMark/>
          </w:tcPr>
          <w:p>
            <w:pPr>
              <w:spacing w:before="0" w:after="0"/>
              <w:jc w:val="center"/>
              <w:rPr>
                <w:b/>
                <w:bCs/>
                <w:noProof/>
                <w:color w:val="000000"/>
                <w:sz w:val="22"/>
              </w:rPr>
            </w:pPr>
            <w:r>
              <w:rPr>
                <w:b/>
                <w:noProof/>
                <w:color w:val="000000"/>
                <w:sz w:val="22"/>
              </w:rPr>
              <w:t>TOTAL credite în cadrul RUBRICILOR 1-6</w:t>
            </w:r>
          </w:p>
        </w:tc>
        <w:tc>
          <w:tcPr>
            <w:tcW w:w="471" w:type="pct"/>
            <w:gridSpan w:val="3"/>
            <w:tcBorders>
              <w:top w:val="nil"/>
              <w:left w:val="nil"/>
              <w:bottom w:val="nil"/>
              <w:right w:val="single" w:sz="8" w:space="0" w:color="auto"/>
            </w:tcBorders>
            <w:vAlign w:val="center"/>
            <w:hideMark/>
          </w:tcPr>
          <w:p>
            <w:pPr>
              <w:spacing w:before="0" w:after="0"/>
              <w:rPr>
                <w:noProof/>
                <w:color w:val="000000"/>
                <w:sz w:val="18"/>
                <w:szCs w:val="18"/>
              </w:rPr>
            </w:pPr>
            <w:r>
              <w:rPr>
                <w:noProof/>
                <w:color w:val="000000"/>
                <w:sz w:val="18"/>
              </w:rPr>
              <w:t>Angajamente</w:t>
            </w:r>
          </w:p>
        </w:tc>
        <w:tc>
          <w:tcPr>
            <w:tcW w:w="731" w:type="pct"/>
            <w:gridSpan w:val="4"/>
            <w:tcBorders>
              <w:top w:val="single" w:sz="8" w:space="0" w:color="auto"/>
              <w:left w:val="nil"/>
              <w:bottom w:val="nil"/>
              <w:right w:val="single" w:sz="8" w:space="0" w:color="000000"/>
            </w:tcBorders>
            <w:vAlign w:val="center"/>
            <w:hideMark/>
          </w:tcPr>
          <w:p>
            <w:pPr>
              <w:spacing w:before="0" w:after="0"/>
              <w:jc w:val="center"/>
              <w:rPr>
                <w:noProof/>
                <w:color w:val="000000"/>
                <w:sz w:val="14"/>
                <w:szCs w:val="14"/>
              </w:rPr>
            </w:pPr>
            <w:r>
              <w:rPr>
                <w:noProof/>
                <w:color w:val="000000"/>
                <w:sz w:val="14"/>
              </w:rPr>
              <w:t>=4+6</w:t>
            </w:r>
          </w:p>
        </w:tc>
        <w:tc>
          <w:tcPr>
            <w:tcW w:w="437"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37"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37"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37"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528"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588"/>
        </w:trPr>
        <w:tc>
          <w:tcPr>
            <w:tcW w:w="1522" w:type="pct"/>
            <w:gridSpan w:val="3"/>
            <w:tcBorders>
              <w:top w:val="nil"/>
              <w:left w:val="single" w:sz="8" w:space="0" w:color="auto"/>
              <w:bottom w:val="single" w:sz="8" w:space="0" w:color="auto"/>
              <w:right w:val="single" w:sz="8" w:space="0" w:color="auto"/>
            </w:tcBorders>
            <w:shd w:val="thinDiagStripe" w:color="C0C0C0" w:fill="F1F1F1"/>
            <w:vAlign w:val="center"/>
            <w:hideMark/>
          </w:tcPr>
          <w:p>
            <w:pPr>
              <w:spacing w:before="0" w:after="0"/>
              <w:jc w:val="center"/>
              <w:rPr>
                <w:noProof/>
                <w:color w:val="000000"/>
                <w:sz w:val="20"/>
                <w:szCs w:val="20"/>
              </w:rPr>
            </w:pPr>
            <w:r>
              <w:rPr>
                <w:noProof/>
                <w:color w:val="000000"/>
                <w:sz w:val="20"/>
              </w:rPr>
              <w:t>din cadrul financiar multianual (Suma de referință)</w:t>
            </w:r>
          </w:p>
        </w:tc>
        <w:tc>
          <w:tcPr>
            <w:tcW w:w="471" w:type="pct"/>
            <w:gridSpan w:val="3"/>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Plăți</w:t>
            </w:r>
          </w:p>
        </w:tc>
        <w:tc>
          <w:tcPr>
            <w:tcW w:w="731" w:type="pct"/>
            <w:gridSpan w:val="4"/>
            <w:tcBorders>
              <w:top w:val="single" w:sz="8" w:space="0" w:color="auto"/>
              <w:left w:val="nil"/>
              <w:bottom w:val="single" w:sz="8" w:space="0" w:color="auto"/>
              <w:right w:val="single" w:sz="8" w:space="0" w:color="000000"/>
            </w:tcBorders>
            <w:vAlign w:val="center"/>
            <w:hideMark/>
          </w:tcPr>
          <w:p>
            <w:pPr>
              <w:spacing w:before="0" w:after="0"/>
              <w:jc w:val="center"/>
              <w:rPr>
                <w:noProof/>
                <w:color w:val="000000"/>
                <w:sz w:val="14"/>
                <w:szCs w:val="14"/>
              </w:rPr>
            </w:pPr>
            <w:r>
              <w:rPr>
                <w:noProof/>
                <w:color w:val="000000"/>
                <w:sz w:val="14"/>
              </w:rPr>
              <w:t>=5+6</w:t>
            </w:r>
          </w:p>
        </w:tc>
        <w:tc>
          <w:tcPr>
            <w:tcW w:w="437"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37"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37"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37"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528"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bl>
    <w:p>
      <w:pPr>
        <w:rPr>
          <w:noProof/>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trPr>
          <w:jc w:val="center"/>
        </w:trPr>
        <w:tc>
          <w:tcPr>
            <w:tcW w:w="1668" w:type="pct"/>
            <w:shd w:val="thinDiagStripe" w:color="C0C0C0" w:fill="auto"/>
            <w:vAlign w:val="center"/>
          </w:tcPr>
          <w:p>
            <w:pPr>
              <w:spacing w:before="60" w:after="60"/>
              <w:jc w:val="center"/>
              <w:rPr>
                <w:b/>
                <w:noProof/>
              </w:rPr>
            </w:pPr>
            <w:r>
              <w:rPr>
                <w:noProof/>
              </w:rPr>
              <w:br w:type="page"/>
            </w:r>
            <w:r>
              <w:rPr>
                <w:b/>
                <w:noProof/>
                <w:sz w:val="22"/>
              </w:rPr>
              <w:t xml:space="preserve">Rubrica din cadrul financiar multianual </w:t>
            </w:r>
          </w:p>
        </w:tc>
        <w:tc>
          <w:tcPr>
            <w:tcW w:w="380" w:type="pct"/>
            <w:shd w:val="thinDiagStripe" w:color="C0C0C0" w:fill="auto"/>
            <w:vAlign w:val="center"/>
          </w:tcPr>
          <w:p>
            <w:pPr>
              <w:spacing w:before="60" w:after="60"/>
              <w:jc w:val="center"/>
              <w:rPr>
                <w:noProof/>
              </w:rPr>
            </w:pPr>
            <w:r>
              <w:rPr>
                <w:b/>
                <w:noProof/>
                <w:sz w:val="22"/>
              </w:rPr>
              <w:t>7</w:t>
            </w:r>
          </w:p>
        </w:tc>
        <w:tc>
          <w:tcPr>
            <w:tcW w:w="2749" w:type="pct"/>
            <w:vAlign w:val="center"/>
          </w:tcPr>
          <w:p>
            <w:pPr>
              <w:spacing w:before="60" w:after="60"/>
              <w:rPr>
                <w:noProof/>
              </w:rPr>
            </w:pPr>
            <w:r>
              <w:rPr>
                <w:noProof/>
                <w:sz w:val="22"/>
              </w:rPr>
              <w:t>„Cheltuieli administrative”</w:t>
            </w:r>
            <w:r>
              <w:rPr>
                <w:noProof/>
              </w:rPr>
              <w:t xml:space="preserve"> </w:t>
            </w:r>
          </w:p>
        </w:tc>
      </w:tr>
    </w:tbl>
    <w:p>
      <w:pPr>
        <w:jc w:val="right"/>
        <w:rPr>
          <w:noProof/>
          <w:sz w:val="20"/>
        </w:rPr>
      </w:pPr>
      <w:r>
        <w:rPr>
          <w:noProof/>
          <w:sz w:val="20"/>
        </w:rPr>
        <w:t>Milioane EUR (cu trei zecimale)</w:t>
      </w:r>
    </w:p>
    <w:tbl>
      <w:tblPr>
        <w:tblW w:w="13140" w:type="dxa"/>
        <w:tblInd w:w="118" w:type="dxa"/>
        <w:tblLook w:val="04A0" w:firstRow="1" w:lastRow="0" w:firstColumn="1" w:lastColumn="0" w:noHBand="0" w:noVBand="1"/>
      </w:tblPr>
      <w:tblGrid>
        <w:gridCol w:w="4405"/>
        <w:gridCol w:w="2477"/>
        <w:gridCol w:w="849"/>
        <w:gridCol w:w="849"/>
        <w:gridCol w:w="1001"/>
        <w:gridCol w:w="1001"/>
        <w:gridCol w:w="1001"/>
        <w:gridCol w:w="1001"/>
        <w:gridCol w:w="1244"/>
      </w:tblGrid>
      <w:tr>
        <w:trPr>
          <w:trHeight w:val="288"/>
        </w:trPr>
        <w:tc>
          <w:tcPr>
            <w:tcW w:w="7892" w:type="dxa"/>
            <w:gridSpan w:val="4"/>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noProof/>
                <w:color w:val="000000"/>
                <w:szCs w:val="24"/>
              </w:rPr>
            </w:pPr>
            <w:r>
              <w:rPr>
                <w:noProof/>
                <w:color w:val="000000"/>
              </w:rPr>
              <w:t>DG: &lt;…….&gt;</w:t>
            </w:r>
          </w:p>
        </w:tc>
        <w:tc>
          <w:tcPr>
            <w:tcW w:w="1001" w:type="dxa"/>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1001" w:type="dxa"/>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1001" w:type="dxa"/>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1001" w:type="dxa"/>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1244" w:type="dxa"/>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b/>
                <w:bCs/>
                <w:noProof/>
                <w:color w:val="000000"/>
                <w:sz w:val="20"/>
                <w:szCs w:val="20"/>
              </w:rPr>
            </w:pPr>
            <w:r>
              <w:rPr>
                <w:b/>
                <w:noProof/>
                <w:color w:val="000000"/>
                <w:sz w:val="20"/>
              </w:rPr>
              <w:t>TOTAL CFM 2021-2027</w:t>
            </w:r>
          </w:p>
        </w:tc>
      </w:tr>
      <w:tr>
        <w:trPr>
          <w:trHeight w:val="300"/>
        </w:trPr>
        <w:tc>
          <w:tcPr>
            <w:tcW w:w="7892" w:type="dxa"/>
            <w:gridSpan w:val="4"/>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noProof/>
                <w:color w:val="000000"/>
                <w:szCs w:val="24"/>
                <w:lang w:eastAsia="en-IE"/>
              </w:rPr>
            </w:pPr>
          </w:p>
        </w:tc>
        <w:tc>
          <w:tcPr>
            <w:tcW w:w="1001" w:type="dxa"/>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2024</w:t>
            </w:r>
          </w:p>
        </w:tc>
        <w:tc>
          <w:tcPr>
            <w:tcW w:w="1001" w:type="dxa"/>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2025</w:t>
            </w:r>
          </w:p>
        </w:tc>
        <w:tc>
          <w:tcPr>
            <w:tcW w:w="1001" w:type="dxa"/>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2026</w:t>
            </w:r>
          </w:p>
        </w:tc>
        <w:tc>
          <w:tcPr>
            <w:tcW w:w="1001" w:type="dxa"/>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2027</w:t>
            </w:r>
          </w:p>
        </w:tc>
        <w:tc>
          <w:tcPr>
            <w:tcW w:w="1244" w:type="dxa"/>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b/>
                <w:bCs/>
                <w:noProof/>
                <w:color w:val="000000"/>
                <w:sz w:val="20"/>
                <w:szCs w:val="20"/>
                <w:lang w:eastAsia="en-IE"/>
              </w:rPr>
            </w:pPr>
          </w:p>
        </w:tc>
      </w:tr>
      <w:tr>
        <w:trPr>
          <w:trHeight w:val="300"/>
        </w:trPr>
        <w:tc>
          <w:tcPr>
            <w:tcW w:w="7892" w:type="dxa"/>
            <w:gridSpan w:val="4"/>
            <w:tcBorders>
              <w:top w:val="single" w:sz="8" w:space="0" w:color="auto"/>
              <w:left w:val="single" w:sz="8" w:space="0" w:color="auto"/>
              <w:bottom w:val="single" w:sz="8" w:space="0" w:color="auto"/>
              <w:right w:val="single" w:sz="8" w:space="0" w:color="auto"/>
            </w:tcBorders>
            <w:vAlign w:val="center"/>
            <w:hideMark/>
          </w:tcPr>
          <w:p>
            <w:pPr>
              <w:spacing w:before="0" w:after="0"/>
              <w:jc w:val="left"/>
              <w:rPr>
                <w:rFonts w:ascii="Wingdings" w:hAnsi="Wingdings" w:cs="Calibri"/>
                <w:noProof/>
                <w:color w:val="000000"/>
                <w:sz w:val="22"/>
              </w:rPr>
            </w:pPr>
            <w:r>
              <w:rPr>
                <w:rFonts w:ascii="Wingdings" w:hAnsi="Wingdings"/>
                <w:noProof/>
                <w:color w:val="000000"/>
                <w:sz w:val="22"/>
              </w:rPr>
              <w:t>Ÿ</w:t>
            </w:r>
            <w:r>
              <w:rPr>
                <w:noProof/>
              </w:rPr>
              <w:t xml:space="preserve"> </w:t>
            </w:r>
            <w:r>
              <w:rPr>
                <w:noProof/>
                <w:color w:val="000000"/>
                <w:sz w:val="22"/>
              </w:rPr>
              <w:t xml:space="preserve">Resurse umane </w:t>
            </w:r>
          </w:p>
        </w:tc>
        <w:tc>
          <w:tcPr>
            <w:tcW w:w="1001"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1244"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300"/>
        </w:trPr>
        <w:tc>
          <w:tcPr>
            <w:tcW w:w="7892" w:type="dxa"/>
            <w:gridSpan w:val="4"/>
            <w:tcBorders>
              <w:top w:val="single" w:sz="8" w:space="0" w:color="auto"/>
              <w:left w:val="single" w:sz="8" w:space="0" w:color="auto"/>
              <w:bottom w:val="single" w:sz="8" w:space="0" w:color="auto"/>
              <w:right w:val="single" w:sz="8" w:space="0" w:color="auto"/>
            </w:tcBorders>
            <w:vAlign w:val="center"/>
            <w:hideMark/>
          </w:tcPr>
          <w:p>
            <w:pPr>
              <w:spacing w:before="0" w:after="0"/>
              <w:jc w:val="left"/>
              <w:rPr>
                <w:rFonts w:ascii="Wingdings" w:hAnsi="Wingdings" w:cs="Calibri"/>
                <w:noProof/>
                <w:color w:val="000000"/>
                <w:sz w:val="22"/>
              </w:rPr>
            </w:pPr>
            <w:r>
              <w:rPr>
                <w:rFonts w:ascii="Wingdings" w:hAnsi="Wingdings"/>
                <w:noProof/>
                <w:color w:val="000000"/>
                <w:sz w:val="22"/>
              </w:rPr>
              <w:t>Ÿ</w:t>
            </w:r>
            <w:r>
              <w:rPr>
                <w:noProof/>
              </w:rPr>
              <w:t xml:space="preserve"> </w:t>
            </w:r>
            <w:r>
              <w:rPr>
                <w:noProof/>
                <w:color w:val="000000"/>
                <w:sz w:val="22"/>
              </w:rPr>
              <w:t xml:space="preserve">Alte cheltuieli administrative </w:t>
            </w:r>
          </w:p>
        </w:tc>
        <w:tc>
          <w:tcPr>
            <w:tcW w:w="1001"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1244"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300"/>
        </w:trPr>
        <w:tc>
          <w:tcPr>
            <w:tcW w:w="4405" w:type="dxa"/>
            <w:tcBorders>
              <w:top w:val="nil"/>
              <w:left w:val="single" w:sz="8" w:space="0" w:color="auto"/>
              <w:bottom w:val="single" w:sz="8" w:space="0" w:color="auto"/>
              <w:right w:val="single" w:sz="8" w:space="0" w:color="auto"/>
            </w:tcBorders>
            <w:vAlign w:val="center"/>
            <w:hideMark/>
          </w:tcPr>
          <w:p>
            <w:pPr>
              <w:spacing w:before="0" w:after="0"/>
              <w:jc w:val="center"/>
              <w:rPr>
                <w:b/>
                <w:bCs/>
                <w:noProof/>
                <w:color w:val="000000"/>
                <w:sz w:val="22"/>
              </w:rPr>
            </w:pPr>
            <w:r>
              <w:rPr>
                <w:b/>
                <w:noProof/>
                <w:color w:val="000000"/>
                <w:sz w:val="22"/>
              </w:rPr>
              <w:t xml:space="preserve">TOTAL DG </w:t>
            </w:r>
            <w:r>
              <w:rPr>
                <w:noProof/>
                <w:color w:val="000000"/>
                <w:sz w:val="22"/>
              </w:rPr>
              <w:t>&lt;…….&gt;</w:t>
            </w:r>
          </w:p>
        </w:tc>
        <w:tc>
          <w:tcPr>
            <w:tcW w:w="3487" w:type="dxa"/>
            <w:gridSpan w:val="3"/>
            <w:tcBorders>
              <w:top w:val="single" w:sz="8" w:space="0" w:color="auto"/>
              <w:left w:val="nil"/>
              <w:bottom w:val="single" w:sz="8" w:space="0" w:color="auto"/>
              <w:right w:val="single" w:sz="8" w:space="0" w:color="auto"/>
            </w:tcBorders>
            <w:vAlign w:val="center"/>
            <w:hideMark/>
          </w:tcPr>
          <w:p>
            <w:pPr>
              <w:spacing w:before="0" w:after="0"/>
              <w:jc w:val="left"/>
              <w:rPr>
                <w:noProof/>
                <w:color w:val="000000"/>
                <w:sz w:val="18"/>
                <w:szCs w:val="18"/>
              </w:rPr>
            </w:pPr>
            <w:r>
              <w:rPr>
                <w:noProof/>
                <w:color w:val="000000"/>
                <w:sz w:val="18"/>
              </w:rPr>
              <w:t xml:space="preserve">Credite </w:t>
            </w:r>
          </w:p>
        </w:tc>
        <w:tc>
          <w:tcPr>
            <w:tcW w:w="1001"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1244"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300"/>
        </w:trPr>
        <w:tc>
          <w:tcPr>
            <w:tcW w:w="4405" w:type="dxa"/>
            <w:tcBorders>
              <w:top w:val="nil"/>
              <w:left w:val="nil"/>
              <w:bottom w:val="nil"/>
              <w:right w:val="nil"/>
            </w:tcBorders>
            <w:noWrap/>
            <w:vAlign w:val="bottom"/>
            <w:hideMark/>
          </w:tcPr>
          <w:p>
            <w:pPr>
              <w:spacing w:before="0" w:after="0"/>
              <w:jc w:val="right"/>
              <w:rPr>
                <w:b/>
                <w:bCs/>
                <w:noProof/>
                <w:color w:val="000000"/>
                <w:sz w:val="20"/>
                <w:szCs w:val="20"/>
                <w:lang w:eastAsia="en-IE"/>
              </w:rPr>
            </w:pPr>
          </w:p>
        </w:tc>
        <w:tc>
          <w:tcPr>
            <w:tcW w:w="2477" w:type="dxa"/>
            <w:tcBorders>
              <w:top w:val="nil"/>
              <w:left w:val="nil"/>
              <w:bottom w:val="nil"/>
              <w:right w:val="nil"/>
            </w:tcBorders>
            <w:noWrap/>
            <w:vAlign w:val="bottom"/>
            <w:hideMark/>
          </w:tcPr>
          <w:p>
            <w:pPr>
              <w:spacing w:before="0" w:after="0"/>
              <w:jc w:val="left"/>
              <w:rPr>
                <w:noProof/>
                <w:sz w:val="20"/>
                <w:szCs w:val="20"/>
                <w:lang w:eastAsia="en-IE"/>
              </w:rPr>
            </w:pPr>
          </w:p>
        </w:tc>
        <w:tc>
          <w:tcPr>
            <w:tcW w:w="505" w:type="dxa"/>
            <w:tcBorders>
              <w:top w:val="nil"/>
              <w:left w:val="nil"/>
              <w:bottom w:val="nil"/>
              <w:right w:val="nil"/>
            </w:tcBorders>
            <w:noWrap/>
            <w:vAlign w:val="bottom"/>
            <w:hideMark/>
          </w:tcPr>
          <w:p>
            <w:pPr>
              <w:spacing w:before="0" w:after="0"/>
              <w:jc w:val="left"/>
              <w:rPr>
                <w:noProof/>
                <w:sz w:val="20"/>
                <w:szCs w:val="20"/>
                <w:lang w:eastAsia="en-IE"/>
              </w:rPr>
            </w:pPr>
          </w:p>
        </w:tc>
        <w:tc>
          <w:tcPr>
            <w:tcW w:w="505" w:type="dxa"/>
            <w:tcBorders>
              <w:top w:val="nil"/>
              <w:left w:val="nil"/>
              <w:bottom w:val="nil"/>
              <w:right w:val="nil"/>
            </w:tcBorders>
            <w:noWrap/>
            <w:vAlign w:val="bottom"/>
            <w:hideMark/>
          </w:tcPr>
          <w:p>
            <w:pPr>
              <w:spacing w:before="0" w:after="0"/>
              <w:jc w:val="left"/>
              <w:rPr>
                <w:noProof/>
                <w:sz w:val="20"/>
                <w:szCs w:val="20"/>
                <w:lang w:eastAsia="en-IE"/>
              </w:rPr>
            </w:pPr>
          </w:p>
        </w:tc>
        <w:tc>
          <w:tcPr>
            <w:tcW w:w="1001" w:type="dxa"/>
            <w:tcBorders>
              <w:top w:val="nil"/>
              <w:left w:val="nil"/>
              <w:bottom w:val="nil"/>
              <w:right w:val="nil"/>
            </w:tcBorders>
            <w:noWrap/>
            <w:vAlign w:val="bottom"/>
            <w:hideMark/>
          </w:tcPr>
          <w:p>
            <w:pPr>
              <w:spacing w:before="0" w:after="0"/>
              <w:jc w:val="left"/>
              <w:rPr>
                <w:noProof/>
                <w:sz w:val="20"/>
                <w:szCs w:val="20"/>
                <w:lang w:eastAsia="en-IE"/>
              </w:rPr>
            </w:pPr>
          </w:p>
        </w:tc>
        <w:tc>
          <w:tcPr>
            <w:tcW w:w="1001" w:type="dxa"/>
            <w:tcBorders>
              <w:top w:val="nil"/>
              <w:left w:val="nil"/>
              <w:bottom w:val="nil"/>
              <w:right w:val="nil"/>
            </w:tcBorders>
            <w:noWrap/>
            <w:vAlign w:val="bottom"/>
            <w:hideMark/>
          </w:tcPr>
          <w:p>
            <w:pPr>
              <w:spacing w:before="0" w:after="0"/>
              <w:jc w:val="left"/>
              <w:rPr>
                <w:noProof/>
                <w:sz w:val="20"/>
                <w:szCs w:val="20"/>
                <w:lang w:eastAsia="en-IE"/>
              </w:rPr>
            </w:pPr>
          </w:p>
        </w:tc>
        <w:tc>
          <w:tcPr>
            <w:tcW w:w="1001" w:type="dxa"/>
            <w:tcBorders>
              <w:top w:val="nil"/>
              <w:left w:val="nil"/>
              <w:bottom w:val="nil"/>
              <w:right w:val="nil"/>
            </w:tcBorders>
            <w:noWrap/>
            <w:vAlign w:val="bottom"/>
            <w:hideMark/>
          </w:tcPr>
          <w:p>
            <w:pPr>
              <w:spacing w:before="0" w:after="0"/>
              <w:jc w:val="left"/>
              <w:rPr>
                <w:noProof/>
                <w:sz w:val="20"/>
                <w:szCs w:val="20"/>
                <w:lang w:eastAsia="en-IE"/>
              </w:rPr>
            </w:pPr>
          </w:p>
        </w:tc>
        <w:tc>
          <w:tcPr>
            <w:tcW w:w="1001" w:type="dxa"/>
            <w:tcBorders>
              <w:top w:val="nil"/>
              <w:left w:val="nil"/>
              <w:bottom w:val="nil"/>
              <w:right w:val="nil"/>
            </w:tcBorders>
            <w:noWrap/>
            <w:vAlign w:val="bottom"/>
            <w:hideMark/>
          </w:tcPr>
          <w:p>
            <w:pPr>
              <w:spacing w:before="0" w:after="0"/>
              <w:jc w:val="left"/>
              <w:rPr>
                <w:noProof/>
                <w:sz w:val="20"/>
                <w:szCs w:val="20"/>
                <w:lang w:eastAsia="en-IE"/>
              </w:rPr>
            </w:pPr>
          </w:p>
        </w:tc>
        <w:tc>
          <w:tcPr>
            <w:tcW w:w="1244" w:type="dxa"/>
            <w:tcBorders>
              <w:top w:val="nil"/>
              <w:left w:val="nil"/>
              <w:bottom w:val="nil"/>
              <w:right w:val="nil"/>
            </w:tcBorders>
            <w:noWrap/>
            <w:vAlign w:val="bottom"/>
            <w:hideMark/>
          </w:tcPr>
          <w:p>
            <w:pPr>
              <w:spacing w:before="0" w:after="0"/>
              <w:jc w:val="left"/>
              <w:rPr>
                <w:noProof/>
                <w:sz w:val="20"/>
                <w:szCs w:val="20"/>
                <w:lang w:eastAsia="en-IE"/>
              </w:rPr>
            </w:pPr>
          </w:p>
        </w:tc>
      </w:tr>
      <w:tr>
        <w:trPr>
          <w:trHeight w:val="315"/>
        </w:trPr>
        <w:tc>
          <w:tcPr>
            <w:tcW w:w="7892" w:type="dxa"/>
            <w:gridSpan w:val="4"/>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noProof/>
                <w:color w:val="000000"/>
                <w:szCs w:val="24"/>
              </w:rPr>
            </w:pPr>
            <w:r>
              <w:rPr>
                <w:noProof/>
                <w:color w:val="000000"/>
              </w:rPr>
              <w:t>DG: &lt;…….&gt;</w:t>
            </w:r>
          </w:p>
        </w:tc>
        <w:tc>
          <w:tcPr>
            <w:tcW w:w="1001" w:type="dxa"/>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1001" w:type="dxa"/>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1001" w:type="dxa"/>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1001" w:type="dxa"/>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1244" w:type="dxa"/>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b/>
                <w:bCs/>
                <w:noProof/>
                <w:color w:val="000000"/>
                <w:sz w:val="20"/>
                <w:szCs w:val="20"/>
              </w:rPr>
            </w:pPr>
            <w:r>
              <w:rPr>
                <w:b/>
                <w:noProof/>
                <w:color w:val="000000"/>
                <w:sz w:val="20"/>
              </w:rPr>
              <w:t>TOTAL CFM 2021-2027</w:t>
            </w:r>
          </w:p>
        </w:tc>
      </w:tr>
      <w:tr>
        <w:trPr>
          <w:trHeight w:val="300"/>
        </w:trPr>
        <w:tc>
          <w:tcPr>
            <w:tcW w:w="7892" w:type="dxa"/>
            <w:gridSpan w:val="4"/>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noProof/>
                <w:color w:val="000000"/>
                <w:szCs w:val="24"/>
                <w:lang w:eastAsia="en-IE"/>
              </w:rPr>
            </w:pPr>
          </w:p>
        </w:tc>
        <w:tc>
          <w:tcPr>
            <w:tcW w:w="1001" w:type="dxa"/>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2024</w:t>
            </w:r>
          </w:p>
        </w:tc>
        <w:tc>
          <w:tcPr>
            <w:tcW w:w="1001" w:type="dxa"/>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2025</w:t>
            </w:r>
          </w:p>
        </w:tc>
        <w:tc>
          <w:tcPr>
            <w:tcW w:w="1001" w:type="dxa"/>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2026</w:t>
            </w:r>
          </w:p>
        </w:tc>
        <w:tc>
          <w:tcPr>
            <w:tcW w:w="1001" w:type="dxa"/>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2027</w:t>
            </w:r>
          </w:p>
        </w:tc>
        <w:tc>
          <w:tcPr>
            <w:tcW w:w="1244" w:type="dxa"/>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b/>
                <w:bCs/>
                <w:noProof/>
                <w:color w:val="000000"/>
                <w:sz w:val="20"/>
                <w:szCs w:val="20"/>
                <w:lang w:eastAsia="en-IE"/>
              </w:rPr>
            </w:pPr>
          </w:p>
        </w:tc>
      </w:tr>
      <w:tr>
        <w:trPr>
          <w:trHeight w:val="300"/>
        </w:trPr>
        <w:tc>
          <w:tcPr>
            <w:tcW w:w="7892" w:type="dxa"/>
            <w:gridSpan w:val="4"/>
            <w:tcBorders>
              <w:top w:val="single" w:sz="8" w:space="0" w:color="auto"/>
              <w:left w:val="single" w:sz="8" w:space="0" w:color="auto"/>
              <w:bottom w:val="single" w:sz="8" w:space="0" w:color="auto"/>
              <w:right w:val="single" w:sz="8" w:space="0" w:color="auto"/>
            </w:tcBorders>
            <w:vAlign w:val="center"/>
            <w:hideMark/>
          </w:tcPr>
          <w:p>
            <w:pPr>
              <w:spacing w:before="0" w:after="0"/>
              <w:jc w:val="left"/>
              <w:rPr>
                <w:rFonts w:ascii="Wingdings" w:hAnsi="Wingdings" w:cs="Calibri"/>
                <w:noProof/>
                <w:color w:val="000000"/>
                <w:sz w:val="22"/>
              </w:rPr>
            </w:pPr>
            <w:r>
              <w:rPr>
                <w:rFonts w:ascii="Wingdings" w:hAnsi="Wingdings"/>
                <w:noProof/>
                <w:color w:val="000000"/>
                <w:sz w:val="22"/>
              </w:rPr>
              <w:t>Ÿ</w:t>
            </w:r>
            <w:r>
              <w:rPr>
                <w:noProof/>
              </w:rPr>
              <w:t xml:space="preserve"> </w:t>
            </w:r>
            <w:r>
              <w:rPr>
                <w:noProof/>
                <w:color w:val="000000"/>
                <w:sz w:val="22"/>
              </w:rPr>
              <w:t xml:space="preserve">Resurse umane </w:t>
            </w:r>
          </w:p>
        </w:tc>
        <w:tc>
          <w:tcPr>
            <w:tcW w:w="1001"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1244"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300"/>
        </w:trPr>
        <w:tc>
          <w:tcPr>
            <w:tcW w:w="7892" w:type="dxa"/>
            <w:gridSpan w:val="4"/>
            <w:tcBorders>
              <w:top w:val="single" w:sz="8" w:space="0" w:color="auto"/>
              <w:left w:val="single" w:sz="8" w:space="0" w:color="auto"/>
              <w:bottom w:val="single" w:sz="8" w:space="0" w:color="auto"/>
              <w:right w:val="single" w:sz="8" w:space="0" w:color="auto"/>
            </w:tcBorders>
            <w:vAlign w:val="center"/>
            <w:hideMark/>
          </w:tcPr>
          <w:p>
            <w:pPr>
              <w:spacing w:before="0" w:after="0"/>
              <w:jc w:val="left"/>
              <w:rPr>
                <w:rFonts w:ascii="Wingdings" w:hAnsi="Wingdings" w:cs="Calibri"/>
                <w:noProof/>
                <w:color w:val="000000"/>
                <w:sz w:val="22"/>
              </w:rPr>
            </w:pPr>
            <w:r>
              <w:rPr>
                <w:rFonts w:ascii="Wingdings" w:hAnsi="Wingdings"/>
                <w:noProof/>
                <w:color w:val="000000"/>
                <w:sz w:val="22"/>
              </w:rPr>
              <w:t>Ÿ</w:t>
            </w:r>
            <w:r>
              <w:rPr>
                <w:noProof/>
              </w:rPr>
              <w:t xml:space="preserve"> </w:t>
            </w:r>
            <w:r>
              <w:rPr>
                <w:noProof/>
                <w:color w:val="000000"/>
                <w:sz w:val="22"/>
              </w:rPr>
              <w:t xml:space="preserve">Alte cheltuieli administrative </w:t>
            </w:r>
          </w:p>
        </w:tc>
        <w:tc>
          <w:tcPr>
            <w:tcW w:w="1001"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1244"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300"/>
        </w:trPr>
        <w:tc>
          <w:tcPr>
            <w:tcW w:w="4405" w:type="dxa"/>
            <w:tcBorders>
              <w:top w:val="nil"/>
              <w:left w:val="single" w:sz="8" w:space="0" w:color="auto"/>
              <w:bottom w:val="single" w:sz="8" w:space="0" w:color="auto"/>
              <w:right w:val="single" w:sz="8" w:space="0" w:color="auto"/>
            </w:tcBorders>
            <w:vAlign w:val="center"/>
            <w:hideMark/>
          </w:tcPr>
          <w:p>
            <w:pPr>
              <w:spacing w:before="0" w:after="0"/>
              <w:jc w:val="center"/>
              <w:rPr>
                <w:b/>
                <w:bCs/>
                <w:noProof/>
                <w:color w:val="000000"/>
                <w:sz w:val="22"/>
              </w:rPr>
            </w:pPr>
            <w:r>
              <w:rPr>
                <w:b/>
                <w:noProof/>
                <w:color w:val="000000"/>
                <w:sz w:val="22"/>
              </w:rPr>
              <w:t xml:space="preserve">TOTAL DG </w:t>
            </w:r>
            <w:r>
              <w:rPr>
                <w:noProof/>
                <w:color w:val="000000"/>
                <w:sz w:val="22"/>
              </w:rPr>
              <w:t>&lt;…….&gt;</w:t>
            </w:r>
          </w:p>
        </w:tc>
        <w:tc>
          <w:tcPr>
            <w:tcW w:w="3487" w:type="dxa"/>
            <w:gridSpan w:val="3"/>
            <w:tcBorders>
              <w:top w:val="single" w:sz="8" w:space="0" w:color="auto"/>
              <w:left w:val="nil"/>
              <w:bottom w:val="single" w:sz="8" w:space="0" w:color="auto"/>
              <w:right w:val="single" w:sz="8" w:space="0" w:color="auto"/>
            </w:tcBorders>
            <w:vAlign w:val="center"/>
            <w:hideMark/>
          </w:tcPr>
          <w:p>
            <w:pPr>
              <w:spacing w:before="0" w:after="0"/>
              <w:jc w:val="left"/>
              <w:rPr>
                <w:noProof/>
                <w:color w:val="000000"/>
                <w:sz w:val="18"/>
                <w:szCs w:val="18"/>
              </w:rPr>
            </w:pPr>
            <w:r>
              <w:rPr>
                <w:noProof/>
                <w:color w:val="000000"/>
                <w:sz w:val="18"/>
              </w:rPr>
              <w:t xml:space="preserve">Credite </w:t>
            </w:r>
          </w:p>
        </w:tc>
        <w:tc>
          <w:tcPr>
            <w:tcW w:w="1001"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1244"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300"/>
        </w:trPr>
        <w:tc>
          <w:tcPr>
            <w:tcW w:w="4405" w:type="dxa"/>
            <w:tcBorders>
              <w:top w:val="nil"/>
              <w:left w:val="nil"/>
              <w:bottom w:val="nil"/>
              <w:right w:val="nil"/>
            </w:tcBorders>
            <w:noWrap/>
            <w:vAlign w:val="bottom"/>
            <w:hideMark/>
          </w:tcPr>
          <w:p>
            <w:pPr>
              <w:spacing w:before="0" w:after="0"/>
              <w:jc w:val="right"/>
              <w:rPr>
                <w:b/>
                <w:bCs/>
                <w:noProof/>
                <w:color w:val="000000"/>
                <w:sz w:val="20"/>
                <w:szCs w:val="20"/>
                <w:lang w:eastAsia="en-IE"/>
              </w:rPr>
            </w:pPr>
          </w:p>
        </w:tc>
        <w:tc>
          <w:tcPr>
            <w:tcW w:w="2477" w:type="dxa"/>
            <w:tcBorders>
              <w:top w:val="nil"/>
              <w:left w:val="nil"/>
              <w:bottom w:val="nil"/>
              <w:right w:val="nil"/>
            </w:tcBorders>
            <w:noWrap/>
            <w:vAlign w:val="bottom"/>
            <w:hideMark/>
          </w:tcPr>
          <w:p>
            <w:pPr>
              <w:spacing w:before="0" w:after="0"/>
              <w:jc w:val="left"/>
              <w:rPr>
                <w:noProof/>
                <w:sz w:val="20"/>
                <w:szCs w:val="20"/>
                <w:lang w:eastAsia="en-IE"/>
              </w:rPr>
            </w:pPr>
          </w:p>
        </w:tc>
        <w:tc>
          <w:tcPr>
            <w:tcW w:w="505" w:type="dxa"/>
            <w:tcBorders>
              <w:top w:val="nil"/>
              <w:left w:val="nil"/>
              <w:bottom w:val="nil"/>
              <w:right w:val="nil"/>
            </w:tcBorders>
            <w:noWrap/>
            <w:vAlign w:val="bottom"/>
            <w:hideMark/>
          </w:tcPr>
          <w:p>
            <w:pPr>
              <w:spacing w:before="0" w:after="0"/>
              <w:jc w:val="left"/>
              <w:rPr>
                <w:noProof/>
                <w:sz w:val="20"/>
                <w:szCs w:val="20"/>
                <w:lang w:eastAsia="en-IE"/>
              </w:rPr>
            </w:pPr>
          </w:p>
        </w:tc>
        <w:tc>
          <w:tcPr>
            <w:tcW w:w="505" w:type="dxa"/>
            <w:tcBorders>
              <w:top w:val="nil"/>
              <w:left w:val="nil"/>
              <w:bottom w:val="nil"/>
              <w:right w:val="nil"/>
            </w:tcBorders>
            <w:noWrap/>
            <w:vAlign w:val="bottom"/>
            <w:hideMark/>
          </w:tcPr>
          <w:p>
            <w:pPr>
              <w:spacing w:before="0" w:after="0"/>
              <w:jc w:val="left"/>
              <w:rPr>
                <w:noProof/>
                <w:sz w:val="20"/>
                <w:szCs w:val="20"/>
                <w:lang w:eastAsia="en-IE"/>
              </w:rPr>
            </w:pPr>
          </w:p>
        </w:tc>
        <w:tc>
          <w:tcPr>
            <w:tcW w:w="1001" w:type="dxa"/>
            <w:tcBorders>
              <w:top w:val="nil"/>
              <w:left w:val="nil"/>
              <w:bottom w:val="nil"/>
              <w:right w:val="nil"/>
            </w:tcBorders>
            <w:noWrap/>
            <w:vAlign w:val="bottom"/>
            <w:hideMark/>
          </w:tcPr>
          <w:p>
            <w:pPr>
              <w:spacing w:before="0" w:after="0"/>
              <w:jc w:val="left"/>
              <w:rPr>
                <w:noProof/>
                <w:sz w:val="20"/>
                <w:szCs w:val="20"/>
                <w:lang w:eastAsia="en-IE"/>
              </w:rPr>
            </w:pPr>
          </w:p>
        </w:tc>
        <w:tc>
          <w:tcPr>
            <w:tcW w:w="1001" w:type="dxa"/>
            <w:tcBorders>
              <w:top w:val="nil"/>
              <w:left w:val="nil"/>
              <w:bottom w:val="nil"/>
              <w:right w:val="nil"/>
            </w:tcBorders>
            <w:noWrap/>
            <w:vAlign w:val="bottom"/>
            <w:hideMark/>
          </w:tcPr>
          <w:p>
            <w:pPr>
              <w:spacing w:before="0" w:after="0"/>
              <w:jc w:val="left"/>
              <w:rPr>
                <w:noProof/>
                <w:sz w:val="20"/>
                <w:szCs w:val="20"/>
                <w:lang w:eastAsia="en-IE"/>
              </w:rPr>
            </w:pPr>
          </w:p>
        </w:tc>
        <w:tc>
          <w:tcPr>
            <w:tcW w:w="1001" w:type="dxa"/>
            <w:tcBorders>
              <w:top w:val="nil"/>
              <w:left w:val="nil"/>
              <w:bottom w:val="nil"/>
              <w:right w:val="nil"/>
            </w:tcBorders>
            <w:noWrap/>
            <w:vAlign w:val="bottom"/>
            <w:hideMark/>
          </w:tcPr>
          <w:p>
            <w:pPr>
              <w:spacing w:before="0" w:after="0"/>
              <w:jc w:val="left"/>
              <w:rPr>
                <w:noProof/>
                <w:sz w:val="20"/>
                <w:szCs w:val="20"/>
                <w:lang w:eastAsia="en-IE"/>
              </w:rPr>
            </w:pPr>
          </w:p>
        </w:tc>
        <w:tc>
          <w:tcPr>
            <w:tcW w:w="1001" w:type="dxa"/>
            <w:tcBorders>
              <w:top w:val="nil"/>
              <w:left w:val="nil"/>
              <w:bottom w:val="nil"/>
              <w:right w:val="nil"/>
            </w:tcBorders>
            <w:noWrap/>
            <w:vAlign w:val="bottom"/>
            <w:hideMark/>
          </w:tcPr>
          <w:p>
            <w:pPr>
              <w:spacing w:before="0" w:after="0"/>
              <w:jc w:val="left"/>
              <w:rPr>
                <w:noProof/>
                <w:sz w:val="20"/>
                <w:szCs w:val="20"/>
                <w:lang w:eastAsia="en-IE"/>
              </w:rPr>
            </w:pPr>
          </w:p>
        </w:tc>
        <w:tc>
          <w:tcPr>
            <w:tcW w:w="1244" w:type="dxa"/>
            <w:tcBorders>
              <w:top w:val="nil"/>
              <w:left w:val="nil"/>
              <w:bottom w:val="nil"/>
              <w:right w:val="nil"/>
            </w:tcBorders>
            <w:noWrap/>
            <w:vAlign w:val="bottom"/>
            <w:hideMark/>
          </w:tcPr>
          <w:p>
            <w:pPr>
              <w:spacing w:before="0" w:after="0"/>
              <w:jc w:val="left"/>
              <w:rPr>
                <w:noProof/>
                <w:sz w:val="20"/>
                <w:szCs w:val="20"/>
                <w:lang w:eastAsia="en-IE"/>
              </w:rPr>
            </w:pPr>
          </w:p>
        </w:tc>
      </w:tr>
      <w:tr>
        <w:trPr>
          <w:trHeight w:val="900"/>
        </w:trPr>
        <w:tc>
          <w:tcPr>
            <w:tcW w:w="6882" w:type="dxa"/>
            <w:gridSpan w:val="2"/>
            <w:tcBorders>
              <w:top w:val="single" w:sz="8" w:space="0" w:color="auto"/>
              <w:left w:val="single" w:sz="8" w:space="0" w:color="auto"/>
              <w:bottom w:val="single" w:sz="8" w:space="0" w:color="auto"/>
              <w:right w:val="single" w:sz="8" w:space="0" w:color="auto"/>
            </w:tcBorders>
            <w:shd w:val="thinDiagStripe" w:color="C0C0C0" w:fill="F1F1F1"/>
            <w:vAlign w:val="center"/>
            <w:hideMark/>
          </w:tcPr>
          <w:p>
            <w:pPr>
              <w:spacing w:before="0" w:after="0"/>
              <w:jc w:val="center"/>
              <w:rPr>
                <w:b/>
                <w:bCs/>
                <w:noProof/>
                <w:color w:val="000000"/>
                <w:sz w:val="22"/>
              </w:rPr>
            </w:pPr>
            <w:r>
              <w:rPr>
                <w:b/>
                <w:noProof/>
                <w:color w:val="000000"/>
                <w:sz w:val="22"/>
              </w:rPr>
              <w:t xml:space="preserve">TOTAL credite în cadrul RUBRICII 7 din cadrul financiar multianual </w:t>
            </w:r>
          </w:p>
        </w:tc>
        <w:tc>
          <w:tcPr>
            <w:tcW w:w="1010" w:type="dxa"/>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8"/>
                <w:szCs w:val="18"/>
              </w:rPr>
            </w:pPr>
            <w:r>
              <w:rPr>
                <w:noProof/>
                <w:color w:val="000000"/>
                <w:sz w:val="18"/>
              </w:rPr>
              <w:t>(Total angajamente = Total plăți)</w:t>
            </w:r>
          </w:p>
        </w:tc>
        <w:tc>
          <w:tcPr>
            <w:tcW w:w="1001" w:type="dxa"/>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1001" w:type="dxa"/>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1001" w:type="dxa"/>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1001" w:type="dxa"/>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1244" w:type="dxa"/>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bl>
    <w:p>
      <w:pPr>
        <w:jc w:val="right"/>
        <w:rPr>
          <w:noProof/>
          <w:sz w:val="20"/>
        </w:rPr>
      </w:pPr>
      <w:r>
        <w:rPr>
          <w:noProof/>
          <w:sz w:val="20"/>
        </w:rPr>
        <w:t>Milioane EUR (cu trei zecimale)</w:t>
      </w:r>
    </w:p>
    <w:tbl>
      <w:tblPr>
        <w:tblW w:w="13140" w:type="dxa"/>
        <w:tblInd w:w="118" w:type="dxa"/>
        <w:tblLook w:val="04A0" w:firstRow="1" w:lastRow="0" w:firstColumn="1" w:lastColumn="0" w:noHBand="0" w:noVBand="1"/>
      </w:tblPr>
      <w:tblGrid>
        <w:gridCol w:w="5180"/>
        <w:gridCol w:w="1920"/>
        <w:gridCol w:w="1160"/>
        <w:gridCol w:w="1160"/>
        <w:gridCol w:w="1160"/>
        <w:gridCol w:w="1160"/>
        <w:gridCol w:w="1400"/>
      </w:tblGrid>
      <w:tr>
        <w:trPr>
          <w:trHeight w:val="288"/>
        </w:trPr>
        <w:tc>
          <w:tcPr>
            <w:tcW w:w="7100" w:type="dxa"/>
            <w:gridSpan w:val="2"/>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noProof/>
                <w:color w:val="000000"/>
                <w:szCs w:val="24"/>
              </w:rPr>
            </w:pPr>
            <w:r>
              <w:rPr>
                <w:noProof/>
                <w:color w:val="000000"/>
              </w:rPr>
              <w:t xml:space="preserve"> </w:t>
            </w:r>
          </w:p>
        </w:tc>
        <w:tc>
          <w:tcPr>
            <w:tcW w:w="1160" w:type="dxa"/>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1160" w:type="dxa"/>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1160" w:type="dxa"/>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1160" w:type="dxa"/>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1400" w:type="dxa"/>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b/>
                <w:bCs/>
                <w:noProof/>
                <w:color w:val="000000"/>
                <w:sz w:val="20"/>
                <w:szCs w:val="20"/>
              </w:rPr>
            </w:pPr>
            <w:r>
              <w:rPr>
                <w:b/>
                <w:noProof/>
                <w:color w:val="000000"/>
                <w:sz w:val="20"/>
              </w:rPr>
              <w:t>TOTAL CFM 2021-2027</w:t>
            </w:r>
          </w:p>
        </w:tc>
      </w:tr>
      <w:tr>
        <w:trPr>
          <w:trHeight w:val="300"/>
        </w:trPr>
        <w:tc>
          <w:tcPr>
            <w:tcW w:w="7100" w:type="dxa"/>
            <w:gridSpan w:val="2"/>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noProof/>
                <w:color w:val="000000"/>
                <w:szCs w:val="24"/>
                <w:lang w:eastAsia="en-IE"/>
              </w:rPr>
            </w:pPr>
          </w:p>
        </w:tc>
        <w:tc>
          <w:tcPr>
            <w:tcW w:w="1160" w:type="dxa"/>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2024</w:t>
            </w:r>
          </w:p>
        </w:tc>
        <w:tc>
          <w:tcPr>
            <w:tcW w:w="1160" w:type="dxa"/>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2025</w:t>
            </w:r>
          </w:p>
        </w:tc>
        <w:tc>
          <w:tcPr>
            <w:tcW w:w="1160" w:type="dxa"/>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2026</w:t>
            </w:r>
          </w:p>
        </w:tc>
        <w:tc>
          <w:tcPr>
            <w:tcW w:w="1160" w:type="dxa"/>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2027</w:t>
            </w:r>
          </w:p>
        </w:tc>
        <w:tc>
          <w:tcPr>
            <w:tcW w:w="1400" w:type="dxa"/>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b/>
                <w:bCs/>
                <w:noProof/>
                <w:color w:val="000000"/>
                <w:sz w:val="20"/>
                <w:szCs w:val="20"/>
                <w:lang w:eastAsia="en-IE"/>
              </w:rPr>
            </w:pPr>
          </w:p>
        </w:tc>
      </w:tr>
      <w:tr>
        <w:trPr>
          <w:trHeight w:val="564"/>
        </w:trPr>
        <w:tc>
          <w:tcPr>
            <w:tcW w:w="5180" w:type="dxa"/>
            <w:tcBorders>
              <w:top w:val="single" w:sz="8" w:space="0" w:color="auto"/>
              <w:left w:val="single" w:sz="8" w:space="0" w:color="auto"/>
              <w:bottom w:val="single" w:sz="8" w:space="0" w:color="auto"/>
              <w:right w:val="single" w:sz="8" w:space="0" w:color="000000"/>
            </w:tcBorders>
            <w:shd w:val="clear" w:color="000000" w:fill="C0C0C0"/>
            <w:vAlign w:val="center"/>
            <w:hideMark/>
          </w:tcPr>
          <w:p>
            <w:pPr>
              <w:spacing w:before="0" w:after="0"/>
              <w:jc w:val="center"/>
              <w:rPr>
                <w:b/>
                <w:bCs/>
                <w:noProof/>
                <w:color w:val="000000"/>
                <w:sz w:val="22"/>
              </w:rPr>
            </w:pPr>
            <w:r>
              <w:rPr>
                <w:b/>
                <w:noProof/>
                <w:color w:val="000000"/>
                <w:sz w:val="22"/>
              </w:rPr>
              <w:t>TOTAL credite în cadrul RUBRICILOR 1-7</w:t>
            </w:r>
          </w:p>
        </w:tc>
        <w:tc>
          <w:tcPr>
            <w:tcW w:w="1920" w:type="dxa"/>
            <w:tcBorders>
              <w:top w:val="single" w:sz="8" w:space="0" w:color="auto"/>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Angajamente</w:t>
            </w:r>
          </w:p>
        </w:tc>
        <w:tc>
          <w:tcPr>
            <w:tcW w:w="1160"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Cs w:val="24"/>
              </w:rPr>
            </w:pPr>
            <w:r>
              <w:rPr>
                <w:b/>
                <w:noProof/>
                <w:color w:val="000000"/>
              </w:rPr>
              <w:t>0,000</w:t>
            </w:r>
          </w:p>
        </w:tc>
        <w:tc>
          <w:tcPr>
            <w:tcW w:w="1160"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Cs w:val="24"/>
              </w:rPr>
            </w:pPr>
            <w:r>
              <w:rPr>
                <w:b/>
                <w:noProof/>
                <w:color w:val="000000"/>
              </w:rPr>
              <w:t>0,000</w:t>
            </w:r>
          </w:p>
        </w:tc>
        <w:tc>
          <w:tcPr>
            <w:tcW w:w="1160"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Cs w:val="24"/>
              </w:rPr>
            </w:pPr>
            <w:r>
              <w:rPr>
                <w:b/>
                <w:noProof/>
                <w:color w:val="000000"/>
              </w:rPr>
              <w:t>0,000</w:t>
            </w:r>
          </w:p>
        </w:tc>
        <w:tc>
          <w:tcPr>
            <w:tcW w:w="1160"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Cs w:val="24"/>
              </w:rPr>
            </w:pPr>
            <w:r>
              <w:rPr>
                <w:b/>
                <w:noProof/>
                <w:color w:val="000000"/>
              </w:rPr>
              <w:t>0,000</w:t>
            </w:r>
          </w:p>
        </w:tc>
        <w:tc>
          <w:tcPr>
            <w:tcW w:w="1400"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Cs w:val="24"/>
              </w:rPr>
            </w:pPr>
            <w:r>
              <w:rPr>
                <w:b/>
                <w:noProof/>
                <w:color w:val="000000"/>
              </w:rPr>
              <w:t>0,000</w:t>
            </w:r>
          </w:p>
        </w:tc>
      </w:tr>
      <w:tr>
        <w:trPr>
          <w:trHeight w:val="540"/>
        </w:trPr>
        <w:tc>
          <w:tcPr>
            <w:tcW w:w="5180" w:type="dxa"/>
            <w:tcBorders>
              <w:top w:val="single" w:sz="8" w:space="0" w:color="auto"/>
              <w:left w:val="single" w:sz="8" w:space="0" w:color="auto"/>
              <w:bottom w:val="single" w:sz="8" w:space="0" w:color="auto"/>
              <w:right w:val="single" w:sz="8" w:space="0" w:color="000000"/>
            </w:tcBorders>
            <w:shd w:val="clear" w:color="000000" w:fill="C0C0C0"/>
            <w:vAlign w:val="center"/>
            <w:hideMark/>
          </w:tcPr>
          <w:p>
            <w:pPr>
              <w:spacing w:before="0" w:after="0"/>
              <w:jc w:val="center"/>
              <w:rPr>
                <w:noProof/>
                <w:color w:val="000000"/>
                <w:sz w:val="22"/>
              </w:rPr>
            </w:pPr>
            <w:r>
              <w:rPr>
                <w:noProof/>
                <w:color w:val="000000"/>
                <w:sz w:val="22"/>
              </w:rPr>
              <w:t>din cadrul financiar multianual</w:t>
            </w:r>
            <w:r>
              <w:rPr>
                <w:b/>
                <w:noProof/>
                <w:color w:val="000000"/>
                <w:sz w:val="22"/>
              </w:rPr>
              <w:t xml:space="preserve"> </w:t>
            </w:r>
          </w:p>
        </w:tc>
        <w:tc>
          <w:tcPr>
            <w:tcW w:w="1920" w:type="dxa"/>
            <w:tcBorders>
              <w:top w:val="single" w:sz="8" w:space="0" w:color="auto"/>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Plăți</w:t>
            </w:r>
          </w:p>
        </w:tc>
        <w:tc>
          <w:tcPr>
            <w:tcW w:w="1160"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Cs w:val="24"/>
              </w:rPr>
            </w:pPr>
            <w:r>
              <w:rPr>
                <w:b/>
                <w:noProof/>
                <w:color w:val="000000"/>
              </w:rPr>
              <w:t>0,000</w:t>
            </w:r>
          </w:p>
        </w:tc>
        <w:tc>
          <w:tcPr>
            <w:tcW w:w="1160"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Cs w:val="24"/>
              </w:rPr>
            </w:pPr>
            <w:r>
              <w:rPr>
                <w:b/>
                <w:noProof/>
                <w:color w:val="000000"/>
              </w:rPr>
              <w:t>0,000</w:t>
            </w:r>
          </w:p>
        </w:tc>
        <w:tc>
          <w:tcPr>
            <w:tcW w:w="1160"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Cs w:val="24"/>
              </w:rPr>
            </w:pPr>
            <w:r>
              <w:rPr>
                <w:b/>
                <w:noProof/>
                <w:color w:val="000000"/>
              </w:rPr>
              <w:t>0,000</w:t>
            </w:r>
          </w:p>
        </w:tc>
        <w:tc>
          <w:tcPr>
            <w:tcW w:w="1160"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Cs w:val="24"/>
              </w:rPr>
            </w:pPr>
            <w:r>
              <w:rPr>
                <w:b/>
                <w:noProof/>
                <w:color w:val="000000"/>
              </w:rPr>
              <w:t>0,000</w:t>
            </w:r>
          </w:p>
        </w:tc>
        <w:tc>
          <w:tcPr>
            <w:tcW w:w="1400"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Cs w:val="24"/>
              </w:rPr>
            </w:pPr>
            <w:r>
              <w:rPr>
                <w:b/>
                <w:noProof/>
                <w:color w:val="000000"/>
              </w:rPr>
              <w:t>0,000</w:t>
            </w:r>
          </w:p>
        </w:tc>
      </w:tr>
    </w:tbl>
    <w:p>
      <w:pPr>
        <w:pStyle w:val="ManualHeading3"/>
        <w:rPr>
          <w:bCs/>
          <w:noProof/>
          <w:szCs w:val="24"/>
        </w:rPr>
      </w:pPr>
      <w:bookmarkStart w:id="143" w:name="_Toc514938054"/>
      <w:bookmarkStart w:id="144" w:name="_Toc520485053"/>
      <w:bookmarkStart w:id="145" w:name="_Toc160804597"/>
      <w:bookmarkStart w:id="146" w:name="_Toc167220289"/>
      <w:bookmarkStart w:id="147" w:name="_Toc177549022"/>
      <w:r>
        <w:rPr>
          <w:noProof/>
        </w:rPr>
        <w:t>3.2.2.</w:t>
      </w:r>
      <w:r>
        <w:rPr>
          <w:noProof/>
        </w:rPr>
        <w:tab/>
        <w:t xml:space="preserve">Realizările preconizate finanțate din credite operaționale </w:t>
      </w:r>
      <w:bookmarkEnd w:id="143"/>
      <w:bookmarkEnd w:id="144"/>
      <w:r>
        <w:rPr>
          <w:noProof/>
        </w:rPr>
        <w:t>(nu se completează pentru agențiile descentralizate)</w:t>
      </w:r>
      <w:bookmarkEnd w:id="145"/>
      <w:bookmarkEnd w:id="146"/>
      <w:bookmarkEnd w:id="147"/>
    </w:p>
    <w:p>
      <w:pPr>
        <w:jc w:val="right"/>
        <w:rPr>
          <w:noProof/>
          <w:sz w:val="20"/>
        </w:rPr>
      </w:pPr>
      <w:r>
        <w:rPr>
          <w:noProof/>
          <w:sz w:val="20"/>
        </w:rPr>
        <w:t>Credite de angajament în milioane EUR (cu trei zecimale)</w:t>
      </w:r>
    </w:p>
    <w:tbl>
      <w:tblPr>
        <w:tblW w:w="136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3"/>
        <w:gridCol w:w="720"/>
        <w:gridCol w:w="701"/>
        <w:gridCol w:w="504"/>
        <w:gridCol w:w="720"/>
        <w:gridCol w:w="540"/>
        <w:gridCol w:w="720"/>
        <w:gridCol w:w="720"/>
        <w:gridCol w:w="720"/>
        <w:gridCol w:w="900"/>
        <w:gridCol w:w="51"/>
        <w:gridCol w:w="669"/>
        <w:gridCol w:w="540"/>
        <w:gridCol w:w="648"/>
        <w:gridCol w:w="432"/>
        <w:gridCol w:w="720"/>
        <w:gridCol w:w="540"/>
        <w:gridCol w:w="720"/>
        <w:gridCol w:w="720"/>
        <w:gridCol w:w="900"/>
      </w:tblGrid>
      <w:tr>
        <w:trPr>
          <w:jc w:val="center"/>
        </w:trPr>
        <w:tc>
          <w:tcPr>
            <w:tcW w:w="1423" w:type="dxa"/>
            <w:vMerge w:val="restart"/>
            <w:vAlign w:val="center"/>
          </w:tcPr>
          <w:p>
            <w:pPr>
              <w:ind w:right="-29"/>
              <w:jc w:val="center"/>
              <w:rPr>
                <w:b/>
                <w:noProof/>
                <w:sz w:val="18"/>
                <w:szCs w:val="18"/>
              </w:rPr>
            </w:pPr>
            <w:r>
              <w:rPr>
                <w:b/>
                <w:noProof/>
                <w:sz w:val="18"/>
              </w:rPr>
              <w:t xml:space="preserve">A se indica obiectivele și realizările </w:t>
            </w:r>
          </w:p>
          <w:p>
            <w:pPr>
              <w:ind w:right="-29"/>
              <w:jc w:val="center"/>
              <w:rPr>
                <w:b/>
                <w:noProof/>
                <w:sz w:val="18"/>
                <w:szCs w:val="18"/>
              </w:rPr>
            </w:pPr>
          </w:p>
          <w:p>
            <w:pPr>
              <w:ind w:right="-29"/>
              <w:jc w:val="center"/>
              <w:rPr>
                <w:noProof/>
                <w:sz w:val="18"/>
                <w:szCs w:val="18"/>
              </w:rPr>
            </w:pPr>
            <w:r>
              <w:rPr>
                <w:rFonts w:ascii="Wingdings" w:hAnsi="Wingdings"/>
                <w:noProof/>
                <w:sz w:val="18"/>
              </w:rPr>
              <w:t>ò</w:t>
            </w:r>
          </w:p>
        </w:tc>
        <w:tc>
          <w:tcPr>
            <w:tcW w:w="720" w:type="dxa"/>
            <w:vAlign w:val="center"/>
          </w:tcPr>
          <w:p>
            <w:pPr>
              <w:ind w:right="-29"/>
              <w:jc w:val="center"/>
              <w:rPr>
                <w:noProof/>
                <w:sz w:val="18"/>
                <w:szCs w:val="18"/>
              </w:rPr>
            </w:pPr>
          </w:p>
        </w:tc>
        <w:tc>
          <w:tcPr>
            <w:tcW w:w="701" w:type="dxa"/>
            <w:vAlign w:val="center"/>
          </w:tcPr>
          <w:p>
            <w:pPr>
              <w:ind w:right="-29"/>
              <w:jc w:val="center"/>
              <w:rPr>
                <w:noProof/>
                <w:sz w:val="18"/>
                <w:szCs w:val="18"/>
              </w:rPr>
            </w:pPr>
          </w:p>
        </w:tc>
        <w:tc>
          <w:tcPr>
            <w:tcW w:w="1224" w:type="dxa"/>
            <w:gridSpan w:val="2"/>
            <w:tcBorders>
              <w:left w:val="nil"/>
            </w:tcBorders>
            <w:vAlign w:val="center"/>
          </w:tcPr>
          <w:p>
            <w:pPr>
              <w:ind w:right="-29"/>
              <w:jc w:val="center"/>
              <w:rPr>
                <w:noProof/>
                <w:sz w:val="18"/>
                <w:szCs w:val="18"/>
              </w:rPr>
            </w:pPr>
            <w:r>
              <w:rPr>
                <w:noProof/>
                <w:sz w:val="18"/>
              </w:rPr>
              <w:t xml:space="preserve">Anul </w:t>
            </w:r>
            <w:r>
              <w:rPr>
                <w:noProof/>
              </w:rPr>
              <w:t xml:space="preserve"> </w:t>
            </w:r>
            <w:r>
              <w:rPr>
                <w:noProof/>
              </w:rPr>
              <w:br/>
            </w:r>
            <w:r>
              <w:rPr>
                <w:b/>
                <w:noProof/>
                <w:sz w:val="18"/>
              </w:rPr>
              <w:t>2024</w:t>
            </w:r>
          </w:p>
        </w:tc>
        <w:tc>
          <w:tcPr>
            <w:tcW w:w="1260" w:type="dxa"/>
            <w:gridSpan w:val="2"/>
            <w:vAlign w:val="center"/>
          </w:tcPr>
          <w:p>
            <w:pPr>
              <w:ind w:right="-29"/>
              <w:jc w:val="center"/>
              <w:rPr>
                <w:noProof/>
                <w:sz w:val="18"/>
                <w:szCs w:val="18"/>
              </w:rPr>
            </w:pPr>
            <w:r>
              <w:rPr>
                <w:noProof/>
                <w:sz w:val="18"/>
              </w:rPr>
              <w:t xml:space="preserve">Anul </w:t>
            </w:r>
            <w:r>
              <w:rPr>
                <w:noProof/>
              </w:rPr>
              <w:t xml:space="preserve"> </w:t>
            </w:r>
            <w:r>
              <w:rPr>
                <w:noProof/>
              </w:rPr>
              <w:br/>
            </w:r>
            <w:r>
              <w:rPr>
                <w:b/>
                <w:noProof/>
                <w:sz w:val="18"/>
              </w:rPr>
              <w:t>2025</w:t>
            </w:r>
          </w:p>
        </w:tc>
        <w:tc>
          <w:tcPr>
            <w:tcW w:w="1440" w:type="dxa"/>
            <w:gridSpan w:val="2"/>
            <w:vAlign w:val="center"/>
          </w:tcPr>
          <w:p>
            <w:pPr>
              <w:ind w:right="-29"/>
              <w:jc w:val="center"/>
              <w:rPr>
                <w:noProof/>
                <w:sz w:val="18"/>
                <w:szCs w:val="18"/>
              </w:rPr>
            </w:pPr>
            <w:r>
              <w:rPr>
                <w:noProof/>
                <w:sz w:val="18"/>
              </w:rPr>
              <w:t xml:space="preserve">Anul </w:t>
            </w:r>
            <w:r>
              <w:rPr>
                <w:noProof/>
              </w:rPr>
              <w:t xml:space="preserve"> </w:t>
            </w:r>
            <w:r>
              <w:rPr>
                <w:noProof/>
              </w:rPr>
              <w:br/>
            </w:r>
            <w:r>
              <w:rPr>
                <w:b/>
                <w:noProof/>
                <w:sz w:val="18"/>
              </w:rPr>
              <w:t>2026</w:t>
            </w:r>
          </w:p>
        </w:tc>
        <w:tc>
          <w:tcPr>
            <w:tcW w:w="1620" w:type="dxa"/>
            <w:gridSpan w:val="3"/>
            <w:vAlign w:val="center"/>
          </w:tcPr>
          <w:p>
            <w:pPr>
              <w:ind w:right="-29"/>
              <w:jc w:val="center"/>
              <w:rPr>
                <w:noProof/>
                <w:sz w:val="18"/>
                <w:szCs w:val="18"/>
              </w:rPr>
            </w:pPr>
            <w:r>
              <w:rPr>
                <w:noProof/>
                <w:sz w:val="18"/>
              </w:rPr>
              <w:t xml:space="preserve">Anul </w:t>
            </w:r>
            <w:r>
              <w:rPr>
                <w:noProof/>
              </w:rPr>
              <w:t xml:space="preserve"> </w:t>
            </w:r>
            <w:r>
              <w:rPr>
                <w:noProof/>
              </w:rPr>
              <w:br/>
            </w:r>
            <w:r>
              <w:rPr>
                <w:b/>
                <w:noProof/>
                <w:sz w:val="18"/>
              </w:rPr>
              <w:t>2027</w:t>
            </w:r>
          </w:p>
        </w:tc>
        <w:tc>
          <w:tcPr>
            <w:tcW w:w="3600" w:type="dxa"/>
            <w:gridSpan w:val="6"/>
            <w:vAlign w:val="center"/>
          </w:tcPr>
          <w:p>
            <w:pPr>
              <w:jc w:val="center"/>
              <w:rPr>
                <w:noProof/>
                <w:sz w:val="18"/>
                <w:szCs w:val="18"/>
              </w:rPr>
            </w:pPr>
            <w:r>
              <w:rPr>
                <w:noProof/>
                <w:sz w:val="18"/>
              </w:rPr>
              <w:t>A se introduce atâția ani câți sunt considerați necesari pentru a reflecta durata impactului (a se vedea secțiunea 1.6)</w:t>
            </w:r>
          </w:p>
        </w:tc>
        <w:tc>
          <w:tcPr>
            <w:tcW w:w="1620" w:type="dxa"/>
            <w:gridSpan w:val="2"/>
            <w:tcBorders>
              <w:left w:val="nil"/>
              <w:bottom w:val="nil"/>
            </w:tcBorders>
            <w:vAlign w:val="center"/>
          </w:tcPr>
          <w:p>
            <w:pPr>
              <w:ind w:right="-29"/>
              <w:jc w:val="center"/>
              <w:rPr>
                <w:noProof/>
                <w:sz w:val="18"/>
                <w:szCs w:val="18"/>
              </w:rPr>
            </w:pPr>
            <w:r>
              <w:rPr>
                <w:b/>
                <w:noProof/>
                <w:sz w:val="18"/>
              </w:rPr>
              <w:t>TOTAL</w:t>
            </w:r>
          </w:p>
        </w:tc>
      </w:tr>
      <w:tr>
        <w:trPr>
          <w:jc w:val="center"/>
        </w:trPr>
        <w:tc>
          <w:tcPr>
            <w:tcW w:w="1423" w:type="dxa"/>
            <w:vMerge/>
            <w:vAlign w:val="center"/>
          </w:tcPr>
          <w:p>
            <w:pPr>
              <w:ind w:right="-29"/>
              <w:jc w:val="center"/>
              <w:rPr>
                <w:noProof/>
                <w:sz w:val="18"/>
                <w:szCs w:val="18"/>
              </w:rPr>
            </w:pPr>
          </w:p>
        </w:tc>
        <w:tc>
          <w:tcPr>
            <w:tcW w:w="12185" w:type="dxa"/>
            <w:gridSpan w:val="19"/>
            <w:vAlign w:val="center"/>
          </w:tcPr>
          <w:p>
            <w:pPr>
              <w:spacing w:before="60" w:after="60"/>
              <w:ind w:right="-29"/>
              <w:jc w:val="center"/>
              <w:rPr>
                <w:noProof/>
                <w:sz w:val="18"/>
                <w:szCs w:val="18"/>
              </w:rPr>
            </w:pPr>
            <w:r>
              <w:rPr>
                <w:b/>
                <w:noProof/>
                <w:sz w:val="18"/>
              </w:rPr>
              <w:t>REALIZĂRI</w:t>
            </w:r>
          </w:p>
        </w:tc>
      </w:tr>
      <w:tr>
        <w:trPr>
          <w:cantSplit/>
          <w:trHeight w:val="1134"/>
          <w:jc w:val="center"/>
        </w:trPr>
        <w:tc>
          <w:tcPr>
            <w:tcW w:w="1423" w:type="dxa"/>
            <w:vMerge/>
            <w:vAlign w:val="center"/>
          </w:tcPr>
          <w:p>
            <w:pPr>
              <w:rPr>
                <w:noProof/>
                <w:sz w:val="18"/>
                <w:szCs w:val="18"/>
              </w:rPr>
            </w:pPr>
          </w:p>
        </w:tc>
        <w:tc>
          <w:tcPr>
            <w:tcW w:w="720" w:type="dxa"/>
            <w:vAlign w:val="center"/>
          </w:tcPr>
          <w:p>
            <w:pPr>
              <w:jc w:val="center"/>
              <w:rPr>
                <w:noProof/>
                <w:sz w:val="18"/>
                <w:szCs w:val="18"/>
              </w:rPr>
            </w:pPr>
            <w:r>
              <w:rPr>
                <w:noProof/>
                <w:sz w:val="18"/>
              </w:rPr>
              <w:t>Tipul</w:t>
            </w:r>
            <w:r>
              <w:rPr>
                <w:rStyle w:val="FootnoteReference"/>
                <w:noProof/>
                <w:sz w:val="18"/>
              </w:rPr>
              <w:footnoteReference w:id="16"/>
            </w:r>
          </w:p>
          <w:p>
            <w:pPr>
              <w:spacing w:before="0" w:after="0"/>
              <w:jc w:val="center"/>
              <w:rPr>
                <w:noProof/>
                <w:sz w:val="18"/>
                <w:szCs w:val="18"/>
              </w:rPr>
            </w:pPr>
          </w:p>
        </w:tc>
        <w:tc>
          <w:tcPr>
            <w:tcW w:w="701" w:type="dxa"/>
            <w:vAlign w:val="center"/>
          </w:tcPr>
          <w:p>
            <w:pPr>
              <w:jc w:val="center"/>
              <w:rPr>
                <w:noProof/>
                <w:sz w:val="18"/>
                <w:szCs w:val="18"/>
              </w:rPr>
            </w:pPr>
            <w:r>
              <w:rPr>
                <w:noProof/>
                <w:sz w:val="18"/>
              </w:rPr>
              <w:t>Costuri medii</w:t>
            </w:r>
          </w:p>
        </w:tc>
        <w:tc>
          <w:tcPr>
            <w:tcW w:w="504" w:type="dxa"/>
            <w:tcBorders>
              <w:left w:val="nil"/>
              <w:right w:val="dashSmallGap" w:sz="4" w:space="0" w:color="auto"/>
            </w:tcBorders>
            <w:shd w:val="pct10" w:color="auto" w:fill="auto"/>
            <w:textDirection w:val="btLr"/>
            <w:vAlign w:val="center"/>
          </w:tcPr>
          <w:p>
            <w:pPr>
              <w:ind w:left="113" w:right="113"/>
              <w:jc w:val="center"/>
              <w:rPr>
                <w:noProof/>
                <w:sz w:val="18"/>
                <w:szCs w:val="18"/>
              </w:rPr>
            </w:pPr>
            <w:r>
              <w:rPr>
                <w:noProof/>
                <w:sz w:val="18"/>
              </w:rPr>
              <w:t>Nu</w:t>
            </w:r>
          </w:p>
        </w:tc>
        <w:tc>
          <w:tcPr>
            <w:tcW w:w="720" w:type="dxa"/>
            <w:tcBorders>
              <w:left w:val="dashSmallGap" w:sz="4" w:space="0" w:color="auto"/>
            </w:tcBorders>
            <w:shd w:val="pct10" w:color="auto" w:fill="auto"/>
            <w:vAlign w:val="center"/>
          </w:tcPr>
          <w:p>
            <w:pPr>
              <w:jc w:val="center"/>
              <w:rPr>
                <w:noProof/>
                <w:sz w:val="18"/>
                <w:szCs w:val="18"/>
              </w:rPr>
            </w:pPr>
            <w:r>
              <w:rPr>
                <w:noProof/>
                <w:sz w:val="18"/>
              </w:rPr>
              <w:t>Costuri</w:t>
            </w:r>
          </w:p>
        </w:tc>
        <w:tc>
          <w:tcPr>
            <w:tcW w:w="540"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Nu</w:t>
            </w:r>
          </w:p>
        </w:tc>
        <w:tc>
          <w:tcPr>
            <w:tcW w:w="720" w:type="dxa"/>
            <w:tcBorders>
              <w:left w:val="dashSmallGap" w:sz="4" w:space="0" w:color="auto"/>
            </w:tcBorders>
            <w:shd w:val="pct10" w:color="auto" w:fill="auto"/>
            <w:vAlign w:val="center"/>
          </w:tcPr>
          <w:p>
            <w:pPr>
              <w:jc w:val="center"/>
              <w:rPr>
                <w:noProof/>
                <w:sz w:val="18"/>
                <w:szCs w:val="18"/>
              </w:rPr>
            </w:pPr>
            <w:r>
              <w:rPr>
                <w:noProof/>
                <w:sz w:val="18"/>
              </w:rPr>
              <w:t>Costuri</w:t>
            </w:r>
          </w:p>
        </w:tc>
        <w:tc>
          <w:tcPr>
            <w:tcW w:w="720"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Nu</w:t>
            </w:r>
          </w:p>
        </w:tc>
        <w:tc>
          <w:tcPr>
            <w:tcW w:w="720" w:type="dxa"/>
            <w:tcBorders>
              <w:left w:val="dashSmallGap" w:sz="4" w:space="0" w:color="auto"/>
            </w:tcBorders>
            <w:shd w:val="pct10" w:color="auto" w:fill="auto"/>
            <w:vAlign w:val="center"/>
          </w:tcPr>
          <w:p>
            <w:pPr>
              <w:jc w:val="center"/>
              <w:rPr>
                <w:noProof/>
                <w:sz w:val="18"/>
                <w:szCs w:val="18"/>
              </w:rPr>
            </w:pPr>
            <w:r>
              <w:rPr>
                <w:noProof/>
                <w:sz w:val="18"/>
              </w:rPr>
              <w:t>Costuri</w:t>
            </w:r>
          </w:p>
        </w:tc>
        <w:tc>
          <w:tcPr>
            <w:tcW w:w="900"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Nu</w:t>
            </w:r>
          </w:p>
        </w:tc>
        <w:tc>
          <w:tcPr>
            <w:tcW w:w="720" w:type="dxa"/>
            <w:gridSpan w:val="2"/>
            <w:tcBorders>
              <w:left w:val="dashSmallGap" w:sz="4" w:space="0" w:color="auto"/>
            </w:tcBorders>
            <w:shd w:val="pct10" w:color="auto" w:fill="auto"/>
            <w:vAlign w:val="center"/>
          </w:tcPr>
          <w:p>
            <w:pPr>
              <w:jc w:val="center"/>
              <w:rPr>
                <w:noProof/>
                <w:sz w:val="18"/>
                <w:szCs w:val="18"/>
              </w:rPr>
            </w:pPr>
            <w:r>
              <w:rPr>
                <w:noProof/>
                <w:sz w:val="18"/>
              </w:rPr>
              <w:t>Costuri</w:t>
            </w:r>
          </w:p>
        </w:tc>
        <w:tc>
          <w:tcPr>
            <w:tcW w:w="540"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Nu</w:t>
            </w:r>
          </w:p>
        </w:tc>
        <w:tc>
          <w:tcPr>
            <w:tcW w:w="648" w:type="dxa"/>
            <w:tcBorders>
              <w:left w:val="dashSmallGap" w:sz="4" w:space="0" w:color="auto"/>
            </w:tcBorders>
            <w:shd w:val="pct10" w:color="auto" w:fill="auto"/>
            <w:vAlign w:val="center"/>
          </w:tcPr>
          <w:p>
            <w:pPr>
              <w:jc w:val="center"/>
              <w:rPr>
                <w:noProof/>
                <w:sz w:val="18"/>
                <w:szCs w:val="18"/>
              </w:rPr>
            </w:pPr>
            <w:r>
              <w:rPr>
                <w:noProof/>
                <w:sz w:val="18"/>
              </w:rPr>
              <w:t>Costuri</w:t>
            </w:r>
          </w:p>
        </w:tc>
        <w:tc>
          <w:tcPr>
            <w:tcW w:w="432"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Nu</w:t>
            </w:r>
          </w:p>
        </w:tc>
        <w:tc>
          <w:tcPr>
            <w:tcW w:w="720" w:type="dxa"/>
            <w:tcBorders>
              <w:left w:val="dashSmallGap" w:sz="4" w:space="0" w:color="auto"/>
            </w:tcBorders>
            <w:shd w:val="pct10" w:color="auto" w:fill="auto"/>
            <w:vAlign w:val="center"/>
          </w:tcPr>
          <w:p>
            <w:pPr>
              <w:jc w:val="center"/>
              <w:rPr>
                <w:noProof/>
                <w:sz w:val="18"/>
                <w:szCs w:val="18"/>
              </w:rPr>
            </w:pPr>
            <w:r>
              <w:rPr>
                <w:noProof/>
                <w:sz w:val="18"/>
              </w:rPr>
              <w:t>Costuri</w:t>
            </w:r>
          </w:p>
        </w:tc>
        <w:tc>
          <w:tcPr>
            <w:tcW w:w="540"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Nu</w:t>
            </w:r>
          </w:p>
        </w:tc>
        <w:tc>
          <w:tcPr>
            <w:tcW w:w="720" w:type="dxa"/>
            <w:tcBorders>
              <w:left w:val="dashSmallGap" w:sz="4" w:space="0" w:color="auto"/>
            </w:tcBorders>
            <w:shd w:val="pct10" w:color="auto" w:fill="auto"/>
            <w:vAlign w:val="center"/>
          </w:tcPr>
          <w:p>
            <w:pPr>
              <w:jc w:val="center"/>
              <w:rPr>
                <w:noProof/>
                <w:sz w:val="18"/>
                <w:szCs w:val="18"/>
              </w:rPr>
            </w:pPr>
            <w:r>
              <w:rPr>
                <w:noProof/>
                <w:sz w:val="18"/>
              </w:rPr>
              <w:t>Costuri</w:t>
            </w:r>
          </w:p>
        </w:tc>
        <w:tc>
          <w:tcPr>
            <w:tcW w:w="720" w:type="dxa"/>
            <w:tcBorders>
              <w:right w:val="dashSmallGap" w:sz="4" w:space="0" w:color="auto"/>
            </w:tcBorders>
            <w:shd w:val="pct10" w:color="auto" w:fill="auto"/>
            <w:vAlign w:val="center"/>
          </w:tcPr>
          <w:p>
            <w:pPr>
              <w:jc w:val="center"/>
              <w:rPr>
                <w:noProof/>
                <w:sz w:val="18"/>
                <w:szCs w:val="18"/>
              </w:rPr>
            </w:pPr>
            <w:r>
              <w:rPr>
                <w:noProof/>
                <w:sz w:val="18"/>
              </w:rPr>
              <w:t>Total nr.</w:t>
            </w:r>
          </w:p>
        </w:tc>
        <w:tc>
          <w:tcPr>
            <w:tcW w:w="900" w:type="dxa"/>
            <w:tcBorders>
              <w:left w:val="dashSmallGap" w:sz="4" w:space="0" w:color="auto"/>
            </w:tcBorders>
            <w:shd w:val="pct10" w:color="auto" w:fill="auto"/>
            <w:vAlign w:val="center"/>
          </w:tcPr>
          <w:p>
            <w:pPr>
              <w:jc w:val="center"/>
              <w:rPr>
                <w:noProof/>
                <w:sz w:val="18"/>
                <w:szCs w:val="18"/>
              </w:rPr>
            </w:pPr>
            <w:r>
              <w:rPr>
                <w:noProof/>
                <w:sz w:val="18"/>
              </w:rPr>
              <w:t>Total costuri</w:t>
            </w:r>
          </w:p>
        </w:tc>
      </w:tr>
      <w:tr>
        <w:trPr>
          <w:jc w:val="center"/>
        </w:trPr>
        <w:tc>
          <w:tcPr>
            <w:tcW w:w="2844" w:type="dxa"/>
            <w:gridSpan w:val="3"/>
            <w:vAlign w:val="center"/>
          </w:tcPr>
          <w:p>
            <w:pPr>
              <w:spacing w:before="60" w:after="60"/>
              <w:ind w:right="-29"/>
              <w:jc w:val="center"/>
              <w:rPr>
                <w:noProof/>
                <w:sz w:val="18"/>
                <w:szCs w:val="18"/>
              </w:rPr>
            </w:pPr>
            <w:r>
              <w:rPr>
                <w:noProof/>
                <w:sz w:val="18"/>
              </w:rPr>
              <w:t>OBIECTIVUL SPECIFIC NR. 1</w:t>
            </w:r>
            <w:r>
              <w:rPr>
                <w:rStyle w:val="FootnoteReference"/>
                <w:noProof/>
                <w:sz w:val="18"/>
              </w:rPr>
              <w:footnoteReference w:id="17"/>
            </w:r>
            <w:r>
              <w:rPr>
                <w:noProof/>
                <w:sz w:val="18"/>
              </w:rPr>
              <w:t>…</w:t>
            </w:r>
          </w:p>
        </w:tc>
        <w:tc>
          <w:tcPr>
            <w:tcW w:w="504"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54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900" w:type="dxa"/>
            <w:tcBorders>
              <w:top w:val="nil"/>
              <w:left w:val="nil"/>
              <w:bottom w:val="nil"/>
              <w:right w:val="nil"/>
            </w:tcBorders>
          </w:tcPr>
          <w:p>
            <w:pPr>
              <w:spacing w:before="60" w:after="60"/>
              <w:ind w:right="-29"/>
              <w:jc w:val="center"/>
              <w:rPr>
                <w:noProof/>
                <w:sz w:val="18"/>
                <w:szCs w:val="18"/>
              </w:rPr>
            </w:pPr>
          </w:p>
        </w:tc>
        <w:tc>
          <w:tcPr>
            <w:tcW w:w="720" w:type="dxa"/>
            <w:gridSpan w:val="2"/>
            <w:tcBorders>
              <w:top w:val="nil"/>
              <w:left w:val="nil"/>
              <w:bottom w:val="nil"/>
              <w:right w:val="nil"/>
            </w:tcBorders>
          </w:tcPr>
          <w:p>
            <w:pPr>
              <w:spacing w:before="60" w:after="60"/>
              <w:ind w:right="-29"/>
              <w:jc w:val="center"/>
              <w:rPr>
                <w:noProof/>
                <w:sz w:val="18"/>
                <w:szCs w:val="18"/>
              </w:rPr>
            </w:pPr>
          </w:p>
        </w:tc>
        <w:tc>
          <w:tcPr>
            <w:tcW w:w="540" w:type="dxa"/>
            <w:tcBorders>
              <w:top w:val="nil"/>
              <w:left w:val="nil"/>
              <w:bottom w:val="nil"/>
              <w:right w:val="nil"/>
            </w:tcBorders>
          </w:tcPr>
          <w:p>
            <w:pPr>
              <w:spacing w:before="60" w:after="60"/>
              <w:ind w:right="-29"/>
              <w:jc w:val="center"/>
              <w:rPr>
                <w:noProof/>
                <w:sz w:val="18"/>
                <w:szCs w:val="18"/>
              </w:rPr>
            </w:pPr>
          </w:p>
        </w:tc>
        <w:tc>
          <w:tcPr>
            <w:tcW w:w="648" w:type="dxa"/>
            <w:tcBorders>
              <w:top w:val="nil"/>
              <w:left w:val="nil"/>
              <w:bottom w:val="nil"/>
              <w:right w:val="nil"/>
            </w:tcBorders>
          </w:tcPr>
          <w:p>
            <w:pPr>
              <w:spacing w:before="60" w:after="60"/>
              <w:ind w:right="-29"/>
              <w:jc w:val="center"/>
              <w:rPr>
                <w:noProof/>
                <w:sz w:val="18"/>
                <w:szCs w:val="18"/>
              </w:rPr>
            </w:pPr>
          </w:p>
        </w:tc>
        <w:tc>
          <w:tcPr>
            <w:tcW w:w="432"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54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900" w:type="dxa"/>
            <w:tcBorders>
              <w:top w:val="nil"/>
              <w:left w:val="nil"/>
              <w:bottom w:val="nil"/>
              <w:right w:val="nil"/>
            </w:tcBorders>
          </w:tcPr>
          <w:p>
            <w:pPr>
              <w:spacing w:before="60" w:after="60"/>
              <w:ind w:right="-29"/>
              <w:jc w:val="center"/>
              <w:rPr>
                <w:noProof/>
                <w:sz w:val="18"/>
                <w:szCs w:val="18"/>
              </w:rPr>
            </w:pPr>
          </w:p>
        </w:tc>
      </w:tr>
      <w:tr>
        <w:trPr>
          <w:trHeight w:hRule="exact" w:val="369"/>
          <w:jc w:val="center"/>
        </w:trPr>
        <w:tc>
          <w:tcPr>
            <w:tcW w:w="1423" w:type="dxa"/>
          </w:tcPr>
          <w:p>
            <w:pPr>
              <w:ind w:right="-29"/>
              <w:jc w:val="center"/>
              <w:rPr>
                <w:noProof/>
                <w:sz w:val="18"/>
                <w:szCs w:val="18"/>
              </w:rPr>
            </w:pPr>
            <w:r>
              <w:rPr>
                <w:noProof/>
                <w:sz w:val="18"/>
              </w:rPr>
              <w:t>- Realizare</w:t>
            </w:r>
          </w:p>
        </w:tc>
        <w:tc>
          <w:tcPr>
            <w:tcW w:w="720" w:type="dxa"/>
          </w:tcPr>
          <w:p>
            <w:pPr>
              <w:ind w:right="-29"/>
              <w:jc w:val="center"/>
              <w:rPr>
                <w:noProof/>
                <w:sz w:val="18"/>
                <w:szCs w:val="18"/>
              </w:rPr>
            </w:pPr>
          </w:p>
        </w:tc>
        <w:tc>
          <w:tcPr>
            <w:tcW w:w="701" w:type="dxa"/>
          </w:tcPr>
          <w:p>
            <w:pPr>
              <w:ind w:right="-29"/>
              <w:jc w:val="center"/>
              <w:rPr>
                <w:noProof/>
                <w:sz w:val="18"/>
                <w:szCs w:val="18"/>
              </w:rPr>
            </w:pPr>
          </w:p>
        </w:tc>
        <w:tc>
          <w:tcPr>
            <w:tcW w:w="504"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540"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720"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900" w:type="dxa"/>
            <w:tcBorders>
              <w:right w:val="dashSmallGap" w:sz="4" w:space="0" w:color="auto"/>
            </w:tcBorders>
          </w:tcPr>
          <w:p>
            <w:pPr>
              <w:ind w:right="-29"/>
              <w:jc w:val="center"/>
              <w:rPr>
                <w:noProof/>
                <w:sz w:val="18"/>
                <w:szCs w:val="18"/>
              </w:rPr>
            </w:pPr>
          </w:p>
        </w:tc>
        <w:tc>
          <w:tcPr>
            <w:tcW w:w="720" w:type="dxa"/>
            <w:gridSpan w:val="2"/>
            <w:tcBorders>
              <w:left w:val="dashSmallGap" w:sz="4" w:space="0" w:color="auto"/>
            </w:tcBorders>
          </w:tcPr>
          <w:p>
            <w:pPr>
              <w:ind w:right="-29"/>
              <w:jc w:val="center"/>
              <w:rPr>
                <w:noProof/>
                <w:sz w:val="18"/>
                <w:szCs w:val="18"/>
              </w:rPr>
            </w:pPr>
          </w:p>
        </w:tc>
        <w:tc>
          <w:tcPr>
            <w:tcW w:w="540" w:type="dxa"/>
            <w:tcBorders>
              <w:right w:val="dashSmallGap" w:sz="4" w:space="0" w:color="auto"/>
            </w:tcBorders>
          </w:tcPr>
          <w:p>
            <w:pPr>
              <w:ind w:right="-29"/>
              <w:jc w:val="center"/>
              <w:rPr>
                <w:noProof/>
                <w:sz w:val="18"/>
                <w:szCs w:val="18"/>
              </w:rPr>
            </w:pPr>
          </w:p>
        </w:tc>
        <w:tc>
          <w:tcPr>
            <w:tcW w:w="648" w:type="dxa"/>
            <w:tcBorders>
              <w:left w:val="dashSmallGap" w:sz="4" w:space="0" w:color="auto"/>
            </w:tcBorders>
          </w:tcPr>
          <w:p>
            <w:pPr>
              <w:ind w:right="-29"/>
              <w:jc w:val="center"/>
              <w:rPr>
                <w:noProof/>
                <w:sz w:val="18"/>
                <w:szCs w:val="18"/>
              </w:rPr>
            </w:pPr>
          </w:p>
        </w:tc>
        <w:tc>
          <w:tcPr>
            <w:tcW w:w="432"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540"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720" w:type="dxa"/>
          </w:tcPr>
          <w:p>
            <w:pPr>
              <w:ind w:right="-29"/>
              <w:jc w:val="center"/>
              <w:rPr>
                <w:noProof/>
                <w:sz w:val="18"/>
                <w:szCs w:val="18"/>
              </w:rPr>
            </w:pPr>
          </w:p>
        </w:tc>
        <w:tc>
          <w:tcPr>
            <w:tcW w:w="900" w:type="dxa"/>
          </w:tcPr>
          <w:p>
            <w:pPr>
              <w:ind w:right="-29"/>
              <w:jc w:val="center"/>
              <w:rPr>
                <w:noProof/>
                <w:sz w:val="18"/>
                <w:szCs w:val="18"/>
              </w:rPr>
            </w:pPr>
          </w:p>
        </w:tc>
      </w:tr>
      <w:tr>
        <w:trPr>
          <w:trHeight w:hRule="exact" w:val="369"/>
          <w:jc w:val="center"/>
        </w:trPr>
        <w:tc>
          <w:tcPr>
            <w:tcW w:w="1423" w:type="dxa"/>
          </w:tcPr>
          <w:p>
            <w:pPr>
              <w:ind w:right="-29"/>
              <w:jc w:val="center"/>
              <w:rPr>
                <w:noProof/>
                <w:sz w:val="18"/>
                <w:szCs w:val="18"/>
              </w:rPr>
            </w:pPr>
            <w:r>
              <w:rPr>
                <w:noProof/>
                <w:sz w:val="18"/>
              </w:rPr>
              <w:t>- Realizare</w:t>
            </w:r>
          </w:p>
        </w:tc>
        <w:tc>
          <w:tcPr>
            <w:tcW w:w="720" w:type="dxa"/>
          </w:tcPr>
          <w:p>
            <w:pPr>
              <w:ind w:right="-29"/>
              <w:jc w:val="center"/>
              <w:rPr>
                <w:noProof/>
                <w:sz w:val="18"/>
                <w:szCs w:val="18"/>
              </w:rPr>
            </w:pPr>
          </w:p>
        </w:tc>
        <w:tc>
          <w:tcPr>
            <w:tcW w:w="701" w:type="dxa"/>
          </w:tcPr>
          <w:p>
            <w:pPr>
              <w:ind w:right="-29"/>
              <w:jc w:val="center"/>
              <w:rPr>
                <w:noProof/>
                <w:sz w:val="18"/>
                <w:szCs w:val="18"/>
              </w:rPr>
            </w:pPr>
          </w:p>
        </w:tc>
        <w:tc>
          <w:tcPr>
            <w:tcW w:w="504"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540"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720"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900" w:type="dxa"/>
            <w:tcBorders>
              <w:right w:val="dashSmallGap" w:sz="4" w:space="0" w:color="auto"/>
            </w:tcBorders>
          </w:tcPr>
          <w:p>
            <w:pPr>
              <w:ind w:right="-29"/>
              <w:jc w:val="center"/>
              <w:rPr>
                <w:noProof/>
                <w:sz w:val="18"/>
                <w:szCs w:val="18"/>
              </w:rPr>
            </w:pPr>
          </w:p>
        </w:tc>
        <w:tc>
          <w:tcPr>
            <w:tcW w:w="720" w:type="dxa"/>
            <w:gridSpan w:val="2"/>
            <w:tcBorders>
              <w:left w:val="dashSmallGap" w:sz="4" w:space="0" w:color="auto"/>
            </w:tcBorders>
          </w:tcPr>
          <w:p>
            <w:pPr>
              <w:ind w:right="-29"/>
              <w:jc w:val="center"/>
              <w:rPr>
                <w:noProof/>
                <w:sz w:val="18"/>
                <w:szCs w:val="18"/>
              </w:rPr>
            </w:pPr>
          </w:p>
        </w:tc>
        <w:tc>
          <w:tcPr>
            <w:tcW w:w="540" w:type="dxa"/>
            <w:tcBorders>
              <w:right w:val="dashSmallGap" w:sz="4" w:space="0" w:color="auto"/>
            </w:tcBorders>
          </w:tcPr>
          <w:p>
            <w:pPr>
              <w:ind w:right="-29"/>
              <w:jc w:val="center"/>
              <w:rPr>
                <w:noProof/>
                <w:sz w:val="18"/>
                <w:szCs w:val="18"/>
              </w:rPr>
            </w:pPr>
          </w:p>
        </w:tc>
        <w:tc>
          <w:tcPr>
            <w:tcW w:w="648" w:type="dxa"/>
            <w:tcBorders>
              <w:left w:val="dashSmallGap" w:sz="4" w:space="0" w:color="auto"/>
            </w:tcBorders>
          </w:tcPr>
          <w:p>
            <w:pPr>
              <w:ind w:right="-29"/>
              <w:jc w:val="center"/>
              <w:rPr>
                <w:noProof/>
                <w:sz w:val="18"/>
                <w:szCs w:val="18"/>
              </w:rPr>
            </w:pPr>
          </w:p>
        </w:tc>
        <w:tc>
          <w:tcPr>
            <w:tcW w:w="432"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540"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720" w:type="dxa"/>
          </w:tcPr>
          <w:p>
            <w:pPr>
              <w:ind w:right="-29"/>
              <w:jc w:val="center"/>
              <w:rPr>
                <w:noProof/>
                <w:sz w:val="18"/>
                <w:szCs w:val="18"/>
              </w:rPr>
            </w:pPr>
          </w:p>
        </w:tc>
        <w:tc>
          <w:tcPr>
            <w:tcW w:w="900" w:type="dxa"/>
          </w:tcPr>
          <w:p>
            <w:pPr>
              <w:ind w:right="-29"/>
              <w:jc w:val="center"/>
              <w:rPr>
                <w:noProof/>
                <w:sz w:val="18"/>
                <w:szCs w:val="18"/>
              </w:rPr>
            </w:pPr>
          </w:p>
        </w:tc>
      </w:tr>
      <w:tr>
        <w:trPr>
          <w:trHeight w:hRule="exact" w:val="369"/>
          <w:jc w:val="center"/>
        </w:trPr>
        <w:tc>
          <w:tcPr>
            <w:tcW w:w="1423" w:type="dxa"/>
          </w:tcPr>
          <w:p>
            <w:pPr>
              <w:ind w:right="-29"/>
              <w:jc w:val="center"/>
              <w:rPr>
                <w:noProof/>
                <w:sz w:val="18"/>
                <w:szCs w:val="18"/>
              </w:rPr>
            </w:pPr>
            <w:r>
              <w:rPr>
                <w:noProof/>
                <w:sz w:val="18"/>
              </w:rPr>
              <w:t>- Realizare</w:t>
            </w:r>
          </w:p>
        </w:tc>
        <w:tc>
          <w:tcPr>
            <w:tcW w:w="720" w:type="dxa"/>
          </w:tcPr>
          <w:p>
            <w:pPr>
              <w:ind w:right="-29"/>
              <w:jc w:val="center"/>
              <w:rPr>
                <w:noProof/>
                <w:sz w:val="18"/>
                <w:szCs w:val="18"/>
              </w:rPr>
            </w:pPr>
          </w:p>
        </w:tc>
        <w:tc>
          <w:tcPr>
            <w:tcW w:w="701" w:type="dxa"/>
          </w:tcPr>
          <w:p>
            <w:pPr>
              <w:ind w:right="-29"/>
              <w:jc w:val="center"/>
              <w:rPr>
                <w:noProof/>
                <w:sz w:val="18"/>
                <w:szCs w:val="18"/>
              </w:rPr>
            </w:pPr>
          </w:p>
        </w:tc>
        <w:tc>
          <w:tcPr>
            <w:tcW w:w="504" w:type="dxa"/>
          </w:tcPr>
          <w:p>
            <w:pPr>
              <w:ind w:right="-29"/>
              <w:jc w:val="center"/>
              <w:rPr>
                <w:noProof/>
                <w:sz w:val="18"/>
                <w:szCs w:val="18"/>
              </w:rPr>
            </w:pPr>
          </w:p>
        </w:tc>
        <w:tc>
          <w:tcPr>
            <w:tcW w:w="720" w:type="dxa"/>
          </w:tcPr>
          <w:p>
            <w:pPr>
              <w:ind w:right="-29"/>
              <w:jc w:val="center"/>
              <w:rPr>
                <w:noProof/>
                <w:sz w:val="18"/>
                <w:szCs w:val="18"/>
              </w:rPr>
            </w:pPr>
          </w:p>
        </w:tc>
        <w:tc>
          <w:tcPr>
            <w:tcW w:w="540" w:type="dxa"/>
          </w:tcPr>
          <w:p>
            <w:pPr>
              <w:ind w:right="-29"/>
              <w:jc w:val="center"/>
              <w:rPr>
                <w:noProof/>
                <w:sz w:val="18"/>
                <w:szCs w:val="18"/>
              </w:rPr>
            </w:pPr>
          </w:p>
        </w:tc>
        <w:tc>
          <w:tcPr>
            <w:tcW w:w="720" w:type="dxa"/>
          </w:tcPr>
          <w:p>
            <w:pPr>
              <w:ind w:right="-29"/>
              <w:jc w:val="center"/>
              <w:rPr>
                <w:noProof/>
                <w:sz w:val="18"/>
                <w:szCs w:val="18"/>
              </w:rPr>
            </w:pPr>
          </w:p>
        </w:tc>
        <w:tc>
          <w:tcPr>
            <w:tcW w:w="720" w:type="dxa"/>
          </w:tcPr>
          <w:p>
            <w:pPr>
              <w:ind w:right="-29"/>
              <w:jc w:val="center"/>
              <w:rPr>
                <w:noProof/>
                <w:sz w:val="18"/>
                <w:szCs w:val="18"/>
              </w:rPr>
            </w:pPr>
          </w:p>
        </w:tc>
        <w:tc>
          <w:tcPr>
            <w:tcW w:w="720" w:type="dxa"/>
          </w:tcPr>
          <w:p>
            <w:pPr>
              <w:ind w:right="-29"/>
              <w:jc w:val="center"/>
              <w:rPr>
                <w:noProof/>
                <w:sz w:val="18"/>
                <w:szCs w:val="18"/>
              </w:rPr>
            </w:pPr>
          </w:p>
        </w:tc>
        <w:tc>
          <w:tcPr>
            <w:tcW w:w="900" w:type="dxa"/>
          </w:tcPr>
          <w:p>
            <w:pPr>
              <w:ind w:right="-29"/>
              <w:jc w:val="center"/>
              <w:rPr>
                <w:noProof/>
                <w:sz w:val="18"/>
                <w:szCs w:val="18"/>
              </w:rPr>
            </w:pPr>
          </w:p>
        </w:tc>
        <w:tc>
          <w:tcPr>
            <w:tcW w:w="720" w:type="dxa"/>
            <w:gridSpan w:val="2"/>
          </w:tcPr>
          <w:p>
            <w:pPr>
              <w:ind w:right="-29"/>
              <w:jc w:val="center"/>
              <w:rPr>
                <w:noProof/>
                <w:sz w:val="18"/>
                <w:szCs w:val="18"/>
              </w:rPr>
            </w:pPr>
          </w:p>
        </w:tc>
        <w:tc>
          <w:tcPr>
            <w:tcW w:w="540" w:type="dxa"/>
          </w:tcPr>
          <w:p>
            <w:pPr>
              <w:ind w:right="-29"/>
              <w:jc w:val="center"/>
              <w:rPr>
                <w:noProof/>
                <w:sz w:val="18"/>
                <w:szCs w:val="18"/>
              </w:rPr>
            </w:pPr>
          </w:p>
        </w:tc>
        <w:tc>
          <w:tcPr>
            <w:tcW w:w="648" w:type="dxa"/>
          </w:tcPr>
          <w:p>
            <w:pPr>
              <w:ind w:right="-29"/>
              <w:jc w:val="center"/>
              <w:rPr>
                <w:noProof/>
                <w:sz w:val="18"/>
                <w:szCs w:val="18"/>
              </w:rPr>
            </w:pPr>
          </w:p>
        </w:tc>
        <w:tc>
          <w:tcPr>
            <w:tcW w:w="432" w:type="dxa"/>
          </w:tcPr>
          <w:p>
            <w:pPr>
              <w:ind w:right="-29"/>
              <w:jc w:val="center"/>
              <w:rPr>
                <w:noProof/>
                <w:sz w:val="18"/>
                <w:szCs w:val="18"/>
              </w:rPr>
            </w:pPr>
          </w:p>
        </w:tc>
        <w:tc>
          <w:tcPr>
            <w:tcW w:w="720" w:type="dxa"/>
          </w:tcPr>
          <w:p>
            <w:pPr>
              <w:ind w:right="-29"/>
              <w:jc w:val="center"/>
              <w:rPr>
                <w:noProof/>
                <w:sz w:val="18"/>
                <w:szCs w:val="18"/>
              </w:rPr>
            </w:pPr>
          </w:p>
        </w:tc>
        <w:tc>
          <w:tcPr>
            <w:tcW w:w="540" w:type="dxa"/>
          </w:tcPr>
          <w:p>
            <w:pPr>
              <w:ind w:right="-29"/>
              <w:jc w:val="center"/>
              <w:rPr>
                <w:noProof/>
                <w:sz w:val="18"/>
                <w:szCs w:val="18"/>
              </w:rPr>
            </w:pPr>
          </w:p>
        </w:tc>
        <w:tc>
          <w:tcPr>
            <w:tcW w:w="720" w:type="dxa"/>
          </w:tcPr>
          <w:p>
            <w:pPr>
              <w:ind w:right="-29"/>
              <w:jc w:val="center"/>
              <w:rPr>
                <w:noProof/>
                <w:sz w:val="18"/>
                <w:szCs w:val="18"/>
              </w:rPr>
            </w:pPr>
          </w:p>
        </w:tc>
        <w:tc>
          <w:tcPr>
            <w:tcW w:w="720" w:type="dxa"/>
          </w:tcPr>
          <w:p>
            <w:pPr>
              <w:ind w:right="-29"/>
              <w:jc w:val="center"/>
              <w:rPr>
                <w:noProof/>
                <w:sz w:val="18"/>
                <w:szCs w:val="18"/>
              </w:rPr>
            </w:pPr>
          </w:p>
        </w:tc>
        <w:tc>
          <w:tcPr>
            <w:tcW w:w="900" w:type="dxa"/>
          </w:tcPr>
          <w:p>
            <w:pPr>
              <w:ind w:right="-29"/>
              <w:jc w:val="center"/>
              <w:rPr>
                <w:noProof/>
                <w:sz w:val="18"/>
                <w:szCs w:val="18"/>
              </w:rPr>
            </w:pPr>
          </w:p>
        </w:tc>
      </w:tr>
      <w:tr>
        <w:trPr>
          <w:trHeight w:val="77"/>
          <w:jc w:val="center"/>
        </w:trPr>
        <w:tc>
          <w:tcPr>
            <w:tcW w:w="2844" w:type="dxa"/>
            <w:gridSpan w:val="3"/>
            <w:tcBorders>
              <w:bottom w:val="single" w:sz="12" w:space="0" w:color="auto"/>
            </w:tcBorders>
            <w:vAlign w:val="center"/>
          </w:tcPr>
          <w:p>
            <w:pPr>
              <w:ind w:right="-29"/>
              <w:jc w:val="center"/>
              <w:rPr>
                <w:noProof/>
                <w:sz w:val="18"/>
                <w:szCs w:val="18"/>
              </w:rPr>
            </w:pPr>
            <w:r>
              <w:rPr>
                <w:noProof/>
                <w:sz w:val="18"/>
              </w:rPr>
              <w:t>Subtotal pentru obiectivul specific nr. 1</w:t>
            </w:r>
          </w:p>
        </w:tc>
        <w:tc>
          <w:tcPr>
            <w:tcW w:w="504"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540"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900" w:type="dxa"/>
            <w:tcBorders>
              <w:bottom w:val="single" w:sz="12" w:space="0" w:color="auto"/>
            </w:tcBorders>
          </w:tcPr>
          <w:p>
            <w:pPr>
              <w:ind w:right="-29"/>
              <w:jc w:val="center"/>
              <w:rPr>
                <w:noProof/>
                <w:sz w:val="18"/>
                <w:szCs w:val="18"/>
              </w:rPr>
            </w:pPr>
          </w:p>
        </w:tc>
        <w:tc>
          <w:tcPr>
            <w:tcW w:w="720" w:type="dxa"/>
            <w:gridSpan w:val="2"/>
            <w:tcBorders>
              <w:bottom w:val="single" w:sz="12" w:space="0" w:color="auto"/>
            </w:tcBorders>
          </w:tcPr>
          <w:p>
            <w:pPr>
              <w:ind w:right="-29"/>
              <w:jc w:val="center"/>
              <w:rPr>
                <w:noProof/>
                <w:sz w:val="18"/>
                <w:szCs w:val="18"/>
              </w:rPr>
            </w:pPr>
          </w:p>
        </w:tc>
        <w:tc>
          <w:tcPr>
            <w:tcW w:w="540" w:type="dxa"/>
            <w:tcBorders>
              <w:bottom w:val="single" w:sz="12" w:space="0" w:color="auto"/>
            </w:tcBorders>
          </w:tcPr>
          <w:p>
            <w:pPr>
              <w:ind w:right="-29"/>
              <w:jc w:val="center"/>
              <w:rPr>
                <w:noProof/>
                <w:sz w:val="18"/>
                <w:szCs w:val="18"/>
              </w:rPr>
            </w:pPr>
          </w:p>
        </w:tc>
        <w:tc>
          <w:tcPr>
            <w:tcW w:w="648" w:type="dxa"/>
            <w:tcBorders>
              <w:bottom w:val="single" w:sz="12" w:space="0" w:color="auto"/>
            </w:tcBorders>
          </w:tcPr>
          <w:p>
            <w:pPr>
              <w:ind w:right="-29"/>
              <w:jc w:val="center"/>
              <w:rPr>
                <w:noProof/>
                <w:sz w:val="18"/>
                <w:szCs w:val="18"/>
              </w:rPr>
            </w:pPr>
          </w:p>
        </w:tc>
        <w:tc>
          <w:tcPr>
            <w:tcW w:w="432"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540"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900" w:type="dxa"/>
            <w:tcBorders>
              <w:bottom w:val="single" w:sz="12" w:space="0" w:color="auto"/>
            </w:tcBorders>
          </w:tcPr>
          <w:p>
            <w:pPr>
              <w:ind w:right="-29"/>
              <w:jc w:val="center"/>
              <w:rPr>
                <w:noProof/>
                <w:sz w:val="18"/>
                <w:szCs w:val="18"/>
              </w:rPr>
            </w:pPr>
          </w:p>
        </w:tc>
      </w:tr>
      <w:tr>
        <w:trPr>
          <w:jc w:val="center"/>
        </w:trPr>
        <w:tc>
          <w:tcPr>
            <w:tcW w:w="2844" w:type="dxa"/>
            <w:gridSpan w:val="3"/>
            <w:vAlign w:val="center"/>
          </w:tcPr>
          <w:p>
            <w:pPr>
              <w:spacing w:before="60" w:after="60"/>
              <w:ind w:right="-29"/>
              <w:jc w:val="center"/>
              <w:rPr>
                <w:noProof/>
                <w:sz w:val="18"/>
                <w:szCs w:val="18"/>
              </w:rPr>
            </w:pPr>
            <w:r>
              <w:rPr>
                <w:noProof/>
                <w:sz w:val="18"/>
              </w:rPr>
              <w:t>OBIECTIVUL SPECIFIC NR. 2 ...</w:t>
            </w:r>
          </w:p>
        </w:tc>
        <w:tc>
          <w:tcPr>
            <w:tcW w:w="504"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54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900" w:type="dxa"/>
            <w:tcBorders>
              <w:top w:val="nil"/>
              <w:left w:val="nil"/>
              <w:bottom w:val="nil"/>
              <w:right w:val="nil"/>
            </w:tcBorders>
          </w:tcPr>
          <w:p>
            <w:pPr>
              <w:spacing w:before="60" w:after="60"/>
              <w:ind w:right="-29"/>
              <w:jc w:val="center"/>
              <w:rPr>
                <w:noProof/>
                <w:sz w:val="18"/>
                <w:szCs w:val="18"/>
              </w:rPr>
            </w:pPr>
          </w:p>
        </w:tc>
        <w:tc>
          <w:tcPr>
            <w:tcW w:w="720" w:type="dxa"/>
            <w:gridSpan w:val="2"/>
            <w:tcBorders>
              <w:top w:val="nil"/>
              <w:left w:val="nil"/>
              <w:bottom w:val="nil"/>
              <w:right w:val="nil"/>
            </w:tcBorders>
          </w:tcPr>
          <w:p>
            <w:pPr>
              <w:spacing w:before="60" w:after="60"/>
              <w:ind w:right="-29"/>
              <w:jc w:val="center"/>
              <w:rPr>
                <w:noProof/>
                <w:sz w:val="18"/>
                <w:szCs w:val="18"/>
              </w:rPr>
            </w:pPr>
          </w:p>
        </w:tc>
        <w:tc>
          <w:tcPr>
            <w:tcW w:w="540" w:type="dxa"/>
            <w:tcBorders>
              <w:top w:val="nil"/>
              <w:left w:val="nil"/>
              <w:bottom w:val="nil"/>
              <w:right w:val="nil"/>
            </w:tcBorders>
          </w:tcPr>
          <w:p>
            <w:pPr>
              <w:spacing w:before="60" w:after="60"/>
              <w:ind w:right="-29"/>
              <w:jc w:val="center"/>
              <w:rPr>
                <w:noProof/>
                <w:sz w:val="18"/>
                <w:szCs w:val="18"/>
              </w:rPr>
            </w:pPr>
          </w:p>
        </w:tc>
        <w:tc>
          <w:tcPr>
            <w:tcW w:w="648" w:type="dxa"/>
            <w:tcBorders>
              <w:top w:val="nil"/>
              <w:left w:val="nil"/>
              <w:bottom w:val="nil"/>
              <w:right w:val="nil"/>
            </w:tcBorders>
          </w:tcPr>
          <w:p>
            <w:pPr>
              <w:spacing w:before="60" w:after="60"/>
              <w:ind w:right="-29"/>
              <w:jc w:val="center"/>
              <w:rPr>
                <w:noProof/>
                <w:sz w:val="18"/>
                <w:szCs w:val="18"/>
              </w:rPr>
            </w:pPr>
          </w:p>
        </w:tc>
        <w:tc>
          <w:tcPr>
            <w:tcW w:w="432"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54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900" w:type="dxa"/>
            <w:tcBorders>
              <w:top w:val="nil"/>
              <w:left w:val="nil"/>
              <w:bottom w:val="nil"/>
              <w:right w:val="nil"/>
            </w:tcBorders>
          </w:tcPr>
          <w:p>
            <w:pPr>
              <w:spacing w:before="60" w:after="60"/>
              <w:ind w:right="-29"/>
              <w:jc w:val="center"/>
              <w:rPr>
                <w:noProof/>
                <w:sz w:val="18"/>
                <w:szCs w:val="18"/>
              </w:rPr>
            </w:pPr>
          </w:p>
        </w:tc>
      </w:tr>
      <w:tr>
        <w:trPr>
          <w:trHeight w:hRule="exact" w:val="369"/>
          <w:jc w:val="center"/>
        </w:trPr>
        <w:tc>
          <w:tcPr>
            <w:tcW w:w="1423" w:type="dxa"/>
          </w:tcPr>
          <w:p>
            <w:pPr>
              <w:ind w:right="-29"/>
              <w:jc w:val="center"/>
              <w:rPr>
                <w:noProof/>
                <w:sz w:val="18"/>
                <w:szCs w:val="18"/>
              </w:rPr>
            </w:pPr>
            <w:r>
              <w:rPr>
                <w:noProof/>
                <w:sz w:val="18"/>
              </w:rPr>
              <w:t>- Realizare</w:t>
            </w:r>
          </w:p>
        </w:tc>
        <w:tc>
          <w:tcPr>
            <w:tcW w:w="720" w:type="dxa"/>
          </w:tcPr>
          <w:p>
            <w:pPr>
              <w:ind w:right="-29"/>
              <w:jc w:val="center"/>
              <w:rPr>
                <w:noProof/>
                <w:sz w:val="18"/>
                <w:szCs w:val="18"/>
              </w:rPr>
            </w:pPr>
          </w:p>
        </w:tc>
        <w:tc>
          <w:tcPr>
            <w:tcW w:w="701" w:type="dxa"/>
          </w:tcPr>
          <w:p>
            <w:pPr>
              <w:ind w:right="-29"/>
              <w:jc w:val="center"/>
              <w:rPr>
                <w:noProof/>
                <w:sz w:val="18"/>
                <w:szCs w:val="18"/>
              </w:rPr>
            </w:pPr>
          </w:p>
        </w:tc>
        <w:tc>
          <w:tcPr>
            <w:tcW w:w="504" w:type="dxa"/>
          </w:tcPr>
          <w:p>
            <w:pPr>
              <w:ind w:right="-29"/>
              <w:jc w:val="center"/>
              <w:rPr>
                <w:noProof/>
                <w:sz w:val="18"/>
                <w:szCs w:val="18"/>
              </w:rPr>
            </w:pPr>
          </w:p>
        </w:tc>
        <w:tc>
          <w:tcPr>
            <w:tcW w:w="720" w:type="dxa"/>
          </w:tcPr>
          <w:p>
            <w:pPr>
              <w:ind w:right="-29"/>
              <w:jc w:val="center"/>
              <w:rPr>
                <w:noProof/>
                <w:sz w:val="18"/>
                <w:szCs w:val="18"/>
              </w:rPr>
            </w:pPr>
          </w:p>
        </w:tc>
        <w:tc>
          <w:tcPr>
            <w:tcW w:w="540" w:type="dxa"/>
          </w:tcPr>
          <w:p>
            <w:pPr>
              <w:ind w:right="-29"/>
              <w:jc w:val="center"/>
              <w:rPr>
                <w:noProof/>
                <w:sz w:val="18"/>
                <w:szCs w:val="18"/>
              </w:rPr>
            </w:pPr>
          </w:p>
        </w:tc>
        <w:tc>
          <w:tcPr>
            <w:tcW w:w="720" w:type="dxa"/>
          </w:tcPr>
          <w:p>
            <w:pPr>
              <w:ind w:right="-29"/>
              <w:jc w:val="center"/>
              <w:rPr>
                <w:noProof/>
                <w:sz w:val="18"/>
                <w:szCs w:val="18"/>
              </w:rPr>
            </w:pPr>
          </w:p>
        </w:tc>
        <w:tc>
          <w:tcPr>
            <w:tcW w:w="720" w:type="dxa"/>
          </w:tcPr>
          <w:p>
            <w:pPr>
              <w:ind w:right="-29"/>
              <w:jc w:val="center"/>
              <w:rPr>
                <w:noProof/>
                <w:sz w:val="18"/>
                <w:szCs w:val="18"/>
              </w:rPr>
            </w:pPr>
          </w:p>
        </w:tc>
        <w:tc>
          <w:tcPr>
            <w:tcW w:w="720" w:type="dxa"/>
          </w:tcPr>
          <w:p>
            <w:pPr>
              <w:ind w:right="-29"/>
              <w:jc w:val="center"/>
              <w:rPr>
                <w:noProof/>
                <w:sz w:val="18"/>
                <w:szCs w:val="18"/>
              </w:rPr>
            </w:pPr>
          </w:p>
        </w:tc>
        <w:tc>
          <w:tcPr>
            <w:tcW w:w="900" w:type="dxa"/>
          </w:tcPr>
          <w:p>
            <w:pPr>
              <w:ind w:right="-29"/>
              <w:jc w:val="center"/>
              <w:rPr>
                <w:noProof/>
                <w:sz w:val="18"/>
                <w:szCs w:val="18"/>
              </w:rPr>
            </w:pPr>
          </w:p>
        </w:tc>
        <w:tc>
          <w:tcPr>
            <w:tcW w:w="720" w:type="dxa"/>
            <w:gridSpan w:val="2"/>
          </w:tcPr>
          <w:p>
            <w:pPr>
              <w:ind w:right="-29"/>
              <w:jc w:val="center"/>
              <w:rPr>
                <w:noProof/>
                <w:sz w:val="18"/>
                <w:szCs w:val="18"/>
              </w:rPr>
            </w:pPr>
          </w:p>
        </w:tc>
        <w:tc>
          <w:tcPr>
            <w:tcW w:w="540" w:type="dxa"/>
          </w:tcPr>
          <w:p>
            <w:pPr>
              <w:ind w:right="-29"/>
              <w:jc w:val="center"/>
              <w:rPr>
                <w:noProof/>
                <w:sz w:val="18"/>
                <w:szCs w:val="18"/>
              </w:rPr>
            </w:pPr>
          </w:p>
        </w:tc>
        <w:tc>
          <w:tcPr>
            <w:tcW w:w="648" w:type="dxa"/>
          </w:tcPr>
          <w:p>
            <w:pPr>
              <w:ind w:right="-29"/>
              <w:jc w:val="center"/>
              <w:rPr>
                <w:noProof/>
                <w:sz w:val="18"/>
                <w:szCs w:val="18"/>
              </w:rPr>
            </w:pPr>
          </w:p>
        </w:tc>
        <w:tc>
          <w:tcPr>
            <w:tcW w:w="432" w:type="dxa"/>
          </w:tcPr>
          <w:p>
            <w:pPr>
              <w:ind w:right="-29"/>
              <w:jc w:val="center"/>
              <w:rPr>
                <w:noProof/>
                <w:sz w:val="18"/>
                <w:szCs w:val="18"/>
              </w:rPr>
            </w:pPr>
          </w:p>
        </w:tc>
        <w:tc>
          <w:tcPr>
            <w:tcW w:w="720" w:type="dxa"/>
          </w:tcPr>
          <w:p>
            <w:pPr>
              <w:ind w:right="-29"/>
              <w:jc w:val="center"/>
              <w:rPr>
                <w:noProof/>
                <w:sz w:val="18"/>
                <w:szCs w:val="18"/>
              </w:rPr>
            </w:pPr>
          </w:p>
        </w:tc>
        <w:tc>
          <w:tcPr>
            <w:tcW w:w="540" w:type="dxa"/>
          </w:tcPr>
          <w:p>
            <w:pPr>
              <w:ind w:right="-29"/>
              <w:jc w:val="center"/>
              <w:rPr>
                <w:noProof/>
                <w:sz w:val="18"/>
                <w:szCs w:val="18"/>
              </w:rPr>
            </w:pPr>
          </w:p>
        </w:tc>
        <w:tc>
          <w:tcPr>
            <w:tcW w:w="720" w:type="dxa"/>
          </w:tcPr>
          <w:p>
            <w:pPr>
              <w:ind w:right="-29"/>
              <w:jc w:val="center"/>
              <w:rPr>
                <w:noProof/>
                <w:sz w:val="18"/>
                <w:szCs w:val="18"/>
              </w:rPr>
            </w:pPr>
          </w:p>
        </w:tc>
        <w:tc>
          <w:tcPr>
            <w:tcW w:w="720" w:type="dxa"/>
          </w:tcPr>
          <w:p>
            <w:pPr>
              <w:ind w:right="-29"/>
              <w:jc w:val="center"/>
              <w:rPr>
                <w:noProof/>
                <w:sz w:val="18"/>
                <w:szCs w:val="18"/>
              </w:rPr>
            </w:pPr>
          </w:p>
        </w:tc>
        <w:tc>
          <w:tcPr>
            <w:tcW w:w="900" w:type="dxa"/>
          </w:tcPr>
          <w:p>
            <w:pPr>
              <w:ind w:right="-29"/>
              <w:jc w:val="center"/>
              <w:rPr>
                <w:noProof/>
                <w:sz w:val="18"/>
                <w:szCs w:val="18"/>
              </w:rPr>
            </w:pPr>
          </w:p>
        </w:tc>
      </w:tr>
      <w:tr>
        <w:trPr>
          <w:jc w:val="center"/>
        </w:trPr>
        <w:tc>
          <w:tcPr>
            <w:tcW w:w="2844" w:type="dxa"/>
            <w:gridSpan w:val="3"/>
            <w:tcBorders>
              <w:bottom w:val="single" w:sz="12" w:space="0" w:color="auto"/>
            </w:tcBorders>
            <w:vAlign w:val="center"/>
          </w:tcPr>
          <w:p>
            <w:pPr>
              <w:jc w:val="center"/>
              <w:rPr>
                <w:noProof/>
                <w:sz w:val="18"/>
                <w:szCs w:val="18"/>
              </w:rPr>
            </w:pPr>
            <w:r>
              <w:rPr>
                <w:noProof/>
                <w:sz w:val="18"/>
              </w:rPr>
              <w:t>Subtotal pentru obiectivul specific nr. 2</w:t>
            </w:r>
          </w:p>
        </w:tc>
        <w:tc>
          <w:tcPr>
            <w:tcW w:w="504"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540"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951" w:type="dxa"/>
            <w:gridSpan w:val="2"/>
            <w:tcBorders>
              <w:bottom w:val="single" w:sz="12" w:space="0" w:color="auto"/>
            </w:tcBorders>
          </w:tcPr>
          <w:p>
            <w:pPr>
              <w:ind w:right="-29"/>
              <w:jc w:val="center"/>
              <w:rPr>
                <w:noProof/>
                <w:sz w:val="18"/>
                <w:szCs w:val="18"/>
              </w:rPr>
            </w:pPr>
          </w:p>
        </w:tc>
        <w:tc>
          <w:tcPr>
            <w:tcW w:w="669" w:type="dxa"/>
            <w:tcBorders>
              <w:bottom w:val="single" w:sz="12" w:space="0" w:color="auto"/>
            </w:tcBorders>
          </w:tcPr>
          <w:p>
            <w:pPr>
              <w:ind w:right="-29"/>
              <w:jc w:val="center"/>
              <w:rPr>
                <w:noProof/>
                <w:sz w:val="18"/>
                <w:szCs w:val="18"/>
              </w:rPr>
            </w:pPr>
          </w:p>
        </w:tc>
        <w:tc>
          <w:tcPr>
            <w:tcW w:w="540" w:type="dxa"/>
            <w:tcBorders>
              <w:bottom w:val="single" w:sz="12" w:space="0" w:color="auto"/>
            </w:tcBorders>
          </w:tcPr>
          <w:p>
            <w:pPr>
              <w:ind w:right="-29"/>
              <w:jc w:val="center"/>
              <w:rPr>
                <w:noProof/>
                <w:sz w:val="18"/>
                <w:szCs w:val="18"/>
              </w:rPr>
            </w:pPr>
          </w:p>
        </w:tc>
        <w:tc>
          <w:tcPr>
            <w:tcW w:w="648" w:type="dxa"/>
            <w:tcBorders>
              <w:bottom w:val="single" w:sz="12" w:space="0" w:color="auto"/>
            </w:tcBorders>
          </w:tcPr>
          <w:p>
            <w:pPr>
              <w:ind w:right="-29"/>
              <w:jc w:val="center"/>
              <w:rPr>
                <w:noProof/>
                <w:sz w:val="18"/>
                <w:szCs w:val="18"/>
              </w:rPr>
            </w:pPr>
          </w:p>
        </w:tc>
        <w:tc>
          <w:tcPr>
            <w:tcW w:w="432"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540"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900" w:type="dxa"/>
            <w:tcBorders>
              <w:bottom w:val="single" w:sz="12" w:space="0" w:color="auto"/>
            </w:tcBorders>
          </w:tcPr>
          <w:p>
            <w:pPr>
              <w:ind w:right="-29"/>
              <w:jc w:val="center"/>
              <w:rPr>
                <w:noProof/>
                <w:sz w:val="18"/>
                <w:szCs w:val="18"/>
              </w:rPr>
            </w:pPr>
          </w:p>
        </w:tc>
      </w:tr>
      <w:tr>
        <w:trPr>
          <w:jc w:val="center"/>
        </w:trPr>
        <w:tc>
          <w:tcPr>
            <w:tcW w:w="2844" w:type="dxa"/>
            <w:gridSpan w:val="3"/>
            <w:tcBorders>
              <w:top w:val="single" w:sz="12" w:space="0" w:color="auto"/>
              <w:left w:val="single" w:sz="12" w:space="0" w:color="auto"/>
              <w:bottom w:val="single" w:sz="12" w:space="0" w:color="auto"/>
            </w:tcBorders>
            <w:vAlign w:val="center"/>
          </w:tcPr>
          <w:p>
            <w:pPr>
              <w:ind w:right="-29"/>
              <w:jc w:val="center"/>
              <w:rPr>
                <w:noProof/>
                <w:sz w:val="18"/>
                <w:szCs w:val="18"/>
              </w:rPr>
            </w:pPr>
            <w:r>
              <w:rPr>
                <w:b/>
                <w:noProof/>
                <w:sz w:val="18"/>
              </w:rPr>
              <w:t>TOTALURI</w:t>
            </w:r>
          </w:p>
        </w:tc>
        <w:tc>
          <w:tcPr>
            <w:tcW w:w="504" w:type="dxa"/>
            <w:tcBorders>
              <w:top w:val="single" w:sz="12" w:space="0" w:color="auto"/>
              <w:bottom w:val="single" w:sz="12" w:space="0" w:color="auto"/>
            </w:tcBorders>
          </w:tcPr>
          <w:p>
            <w:pPr>
              <w:spacing w:before="180" w:after="180"/>
              <w:ind w:right="-29"/>
              <w:jc w:val="center"/>
              <w:rPr>
                <w:noProof/>
                <w:sz w:val="18"/>
                <w:szCs w:val="18"/>
              </w:rPr>
            </w:pPr>
          </w:p>
        </w:tc>
        <w:tc>
          <w:tcPr>
            <w:tcW w:w="720" w:type="dxa"/>
            <w:tcBorders>
              <w:top w:val="single" w:sz="12" w:space="0" w:color="auto"/>
              <w:bottom w:val="single" w:sz="12" w:space="0" w:color="auto"/>
            </w:tcBorders>
          </w:tcPr>
          <w:p>
            <w:pPr>
              <w:spacing w:before="180" w:after="180"/>
              <w:ind w:right="-29"/>
              <w:jc w:val="center"/>
              <w:rPr>
                <w:noProof/>
                <w:sz w:val="18"/>
                <w:szCs w:val="18"/>
              </w:rPr>
            </w:pPr>
          </w:p>
        </w:tc>
        <w:tc>
          <w:tcPr>
            <w:tcW w:w="540" w:type="dxa"/>
            <w:tcBorders>
              <w:top w:val="single" w:sz="12" w:space="0" w:color="auto"/>
              <w:bottom w:val="single" w:sz="12" w:space="0" w:color="auto"/>
            </w:tcBorders>
          </w:tcPr>
          <w:p>
            <w:pPr>
              <w:spacing w:before="180" w:after="180"/>
              <w:ind w:right="-29"/>
              <w:jc w:val="center"/>
              <w:rPr>
                <w:noProof/>
                <w:sz w:val="18"/>
                <w:szCs w:val="18"/>
              </w:rPr>
            </w:pPr>
          </w:p>
        </w:tc>
        <w:tc>
          <w:tcPr>
            <w:tcW w:w="720" w:type="dxa"/>
            <w:tcBorders>
              <w:top w:val="single" w:sz="12" w:space="0" w:color="auto"/>
              <w:bottom w:val="single" w:sz="12" w:space="0" w:color="auto"/>
            </w:tcBorders>
          </w:tcPr>
          <w:p>
            <w:pPr>
              <w:spacing w:before="180" w:after="180"/>
              <w:ind w:right="-29"/>
              <w:jc w:val="center"/>
              <w:rPr>
                <w:noProof/>
                <w:sz w:val="18"/>
                <w:szCs w:val="18"/>
              </w:rPr>
            </w:pPr>
          </w:p>
        </w:tc>
        <w:tc>
          <w:tcPr>
            <w:tcW w:w="720" w:type="dxa"/>
            <w:tcBorders>
              <w:top w:val="single" w:sz="12" w:space="0" w:color="auto"/>
              <w:bottom w:val="single" w:sz="12" w:space="0" w:color="auto"/>
            </w:tcBorders>
          </w:tcPr>
          <w:p>
            <w:pPr>
              <w:spacing w:before="180" w:after="180"/>
              <w:ind w:right="-29"/>
              <w:jc w:val="center"/>
              <w:rPr>
                <w:noProof/>
                <w:sz w:val="18"/>
                <w:szCs w:val="18"/>
              </w:rPr>
            </w:pPr>
          </w:p>
        </w:tc>
        <w:tc>
          <w:tcPr>
            <w:tcW w:w="720" w:type="dxa"/>
            <w:tcBorders>
              <w:top w:val="single" w:sz="12" w:space="0" w:color="auto"/>
              <w:bottom w:val="single" w:sz="12" w:space="0" w:color="auto"/>
            </w:tcBorders>
          </w:tcPr>
          <w:p>
            <w:pPr>
              <w:spacing w:before="180" w:after="180"/>
              <w:ind w:right="-29"/>
              <w:jc w:val="center"/>
              <w:rPr>
                <w:noProof/>
                <w:sz w:val="18"/>
                <w:szCs w:val="18"/>
              </w:rPr>
            </w:pPr>
          </w:p>
        </w:tc>
        <w:tc>
          <w:tcPr>
            <w:tcW w:w="900" w:type="dxa"/>
            <w:tcBorders>
              <w:top w:val="single" w:sz="12" w:space="0" w:color="auto"/>
              <w:bottom w:val="single" w:sz="12" w:space="0" w:color="auto"/>
            </w:tcBorders>
          </w:tcPr>
          <w:p>
            <w:pPr>
              <w:spacing w:before="180" w:after="180"/>
              <w:ind w:right="-29"/>
              <w:jc w:val="center"/>
              <w:rPr>
                <w:noProof/>
                <w:sz w:val="18"/>
                <w:szCs w:val="18"/>
              </w:rPr>
            </w:pPr>
          </w:p>
        </w:tc>
        <w:tc>
          <w:tcPr>
            <w:tcW w:w="720" w:type="dxa"/>
            <w:gridSpan w:val="2"/>
            <w:tcBorders>
              <w:top w:val="single" w:sz="12" w:space="0" w:color="auto"/>
              <w:bottom w:val="single" w:sz="12" w:space="0" w:color="auto"/>
            </w:tcBorders>
          </w:tcPr>
          <w:p>
            <w:pPr>
              <w:spacing w:before="180" w:after="180"/>
              <w:ind w:right="-29"/>
              <w:jc w:val="center"/>
              <w:rPr>
                <w:noProof/>
                <w:sz w:val="18"/>
                <w:szCs w:val="18"/>
              </w:rPr>
            </w:pPr>
          </w:p>
        </w:tc>
        <w:tc>
          <w:tcPr>
            <w:tcW w:w="540" w:type="dxa"/>
            <w:tcBorders>
              <w:top w:val="single" w:sz="12" w:space="0" w:color="auto"/>
              <w:bottom w:val="single" w:sz="12" w:space="0" w:color="auto"/>
            </w:tcBorders>
          </w:tcPr>
          <w:p>
            <w:pPr>
              <w:spacing w:before="180" w:after="180"/>
              <w:ind w:right="-29"/>
              <w:jc w:val="center"/>
              <w:rPr>
                <w:noProof/>
                <w:sz w:val="18"/>
                <w:szCs w:val="18"/>
              </w:rPr>
            </w:pPr>
          </w:p>
        </w:tc>
        <w:tc>
          <w:tcPr>
            <w:tcW w:w="648" w:type="dxa"/>
            <w:tcBorders>
              <w:top w:val="single" w:sz="12" w:space="0" w:color="auto"/>
              <w:bottom w:val="single" w:sz="12" w:space="0" w:color="auto"/>
            </w:tcBorders>
          </w:tcPr>
          <w:p>
            <w:pPr>
              <w:spacing w:before="180" w:after="180"/>
              <w:ind w:right="-29"/>
              <w:jc w:val="center"/>
              <w:rPr>
                <w:noProof/>
                <w:sz w:val="18"/>
                <w:szCs w:val="18"/>
              </w:rPr>
            </w:pPr>
          </w:p>
        </w:tc>
        <w:tc>
          <w:tcPr>
            <w:tcW w:w="432" w:type="dxa"/>
            <w:tcBorders>
              <w:top w:val="single" w:sz="12" w:space="0" w:color="auto"/>
              <w:bottom w:val="single" w:sz="12" w:space="0" w:color="auto"/>
            </w:tcBorders>
          </w:tcPr>
          <w:p>
            <w:pPr>
              <w:spacing w:before="180" w:after="180"/>
              <w:ind w:right="-29"/>
              <w:jc w:val="center"/>
              <w:rPr>
                <w:noProof/>
                <w:sz w:val="18"/>
                <w:szCs w:val="18"/>
              </w:rPr>
            </w:pPr>
          </w:p>
        </w:tc>
        <w:tc>
          <w:tcPr>
            <w:tcW w:w="720" w:type="dxa"/>
            <w:tcBorders>
              <w:top w:val="single" w:sz="12" w:space="0" w:color="auto"/>
              <w:bottom w:val="single" w:sz="12" w:space="0" w:color="auto"/>
            </w:tcBorders>
          </w:tcPr>
          <w:p>
            <w:pPr>
              <w:spacing w:before="180" w:after="180"/>
              <w:ind w:right="-29"/>
              <w:jc w:val="center"/>
              <w:rPr>
                <w:noProof/>
                <w:sz w:val="18"/>
                <w:szCs w:val="18"/>
              </w:rPr>
            </w:pPr>
          </w:p>
        </w:tc>
        <w:tc>
          <w:tcPr>
            <w:tcW w:w="540" w:type="dxa"/>
            <w:tcBorders>
              <w:top w:val="single" w:sz="12" w:space="0" w:color="auto"/>
              <w:bottom w:val="single" w:sz="12" w:space="0" w:color="auto"/>
            </w:tcBorders>
          </w:tcPr>
          <w:p>
            <w:pPr>
              <w:spacing w:before="180" w:after="180"/>
              <w:ind w:right="-29"/>
              <w:jc w:val="center"/>
              <w:rPr>
                <w:noProof/>
                <w:sz w:val="18"/>
                <w:szCs w:val="18"/>
              </w:rPr>
            </w:pPr>
          </w:p>
        </w:tc>
        <w:tc>
          <w:tcPr>
            <w:tcW w:w="720" w:type="dxa"/>
            <w:tcBorders>
              <w:top w:val="single" w:sz="12" w:space="0" w:color="auto"/>
              <w:bottom w:val="single" w:sz="12" w:space="0" w:color="auto"/>
            </w:tcBorders>
          </w:tcPr>
          <w:p>
            <w:pPr>
              <w:spacing w:before="180" w:after="180"/>
              <w:ind w:right="-29"/>
              <w:jc w:val="center"/>
              <w:rPr>
                <w:noProof/>
                <w:sz w:val="18"/>
                <w:szCs w:val="18"/>
              </w:rPr>
            </w:pPr>
          </w:p>
        </w:tc>
        <w:tc>
          <w:tcPr>
            <w:tcW w:w="720" w:type="dxa"/>
            <w:tcBorders>
              <w:top w:val="single" w:sz="12" w:space="0" w:color="auto"/>
              <w:bottom w:val="single" w:sz="12" w:space="0" w:color="auto"/>
            </w:tcBorders>
          </w:tcPr>
          <w:p>
            <w:pPr>
              <w:spacing w:before="180" w:after="180"/>
              <w:ind w:right="-29"/>
              <w:jc w:val="center"/>
              <w:rPr>
                <w:noProof/>
                <w:sz w:val="18"/>
                <w:szCs w:val="18"/>
              </w:rPr>
            </w:pPr>
          </w:p>
        </w:tc>
        <w:tc>
          <w:tcPr>
            <w:tcW w:w="900" w:type="dxa"/>
            <w:tcBorders>
              <w:top w:val="single" w:sz="12" w:space="0" w:color="auto"/>
              <w:bottom w:val="single" w:sz="12" w:space="0" w:color="auto"/>
              <w:right w:val="single" w:sz="12" w:space="0" w:color="auto"/>
            </w:tcBorders>
          </w:tcPr>
          <w:p>
            <w:pPr>
              <w:spacing w:before="180" w:after="180"/>
              <w:ind w:right="-29"/>
              <w:jc w:val="center"/>
              <w:rPr>
                <w:noProof/>
                <w:sz w:val="18"/>
                <w:szCs w:val="18"/>
              </w:rPr>
            </w:pPr>
          </w:p>
        </w:tc>
      </w:tr>
    </w:tbl>
    <w:p>
      <w:pPr>
        <w:rPr>
          <w:noProof/>
        </w:rPr>
        <w:sectPr>
          <w:headerReference w:type="default" r:id="rId15"/>
          <w:footerReference w:type="default" r:id="rId16"/>
          <w:pgSz w:w="16840" w:h="11907" w:orient="landscape" w:code="9"/>
          <w:pgMar w:top="1134" w:right="1418" w:bottom="567" w:left="1418" w:header="709" w:footer="709" w:gutter="0"/>
          <w:cols w:space="708"/>
          <w:docGrid w:linePitch="360"/>
        </w:sectPr>
      </w:pPr>
    </w:p>
    <w:p>
      <w:pPr>
        <w:pStyle w:val="ManualHeading3"/>
        <w:rPr>
          <w:bCs/>
          <w:noProof/>
          <w:szCs w:val="24"/>
        </w:rPr>
      </w:pPr>
      <w:bookmarkStart w:id="148" w:name="_Toc514938055"/>
      <w:bookmarkStart w:id="149" w:name="_Toc520485054"/>
      <w:bookmarkStart w:id="150" w:name="_Toc160804598"/>
      <w:bookmarkStart w:id="151" w:name="_Toc167220290"/>
      <w:bookmarkStart w:id="152" w:name="_Toc177549023"/>
      <w:r>
        <w:rPr>
          <w:noProof/>
        </w:rPr>
        <w:t>3.2.3.</w:t>
      </w:r>
      <w:r>
        <w:rPr>
          <w:noProof/>
        </w:rPr>
        <w:tab/>
        <w:t>Sinteza impactului estimat asupra creditelor administrative</w:t>
      </w:r>
      <w:bookmarkEnd w:id="148"/>
      <w:bookmarkEnd w:id="149"/>
      <w:bookmarkEnd w:id="150"/>
      <w:bookmarkEnd w:id="151"/>
      <w:bookmarkEnd w:id="152"/>
      <w:r>
        <w:rPr>
          <w:noProof/>
        </w:rPr>
        <w:t xml:space="preserve"> </w:t>
      </w:r>
    </w:p>
    <w:p>
      <w:pPr>
        <w:pStyle w:val="ListDash1"/>
        <w:rPr>
          <w:noProof/>
        </w:rPr>
      </w:pPr>
      <w:r>
        <w:rPr>
          <w:rFonts w:ascii="Wingdings" w:hAnsi="Wingdings"/>
          <w:noProof/>
        </w:rPr>
        <w:t>¨</w:t>
      </w:r>
      <w:r>
        <w:rPr>
          <w:noProof/>
        </w:rPr>
        <w:tab/>
        <w:t xml:space="preserve">Propunerea/inițiativa nu implică utilizarea de credite cu caracter administrativ </w:t>
      </w:r>
    </w:p>
    <w:p>
      <w:pPr>
        <w:pStyle w:val="ListDash1"/>
        <w:rPr>
          <w:noProof/>
        </w:rPr>
      </w:pPr>
      <w:r>
        <w:rPr>
          <w:rFonts w:ascii="Wingdings" w:hAnsi="Wingdings"/>
          <w:noProof/>
        </w:rPr>
        <w:t>¨</w:t>
      </w:r>
      <w:r>
        <w:rPr>
          <w:noProof/>
        </w:rPr>
        <w:tab/>
        <w:t>Propunerea/inițiativa implică utilizarea de credite cu caracter administrativ, conform explicațiilor de mai jos</w:t>
      </w:r>
    </w:p>
    <w:p>
      <w:pPr>
        <w:pStyle w:val="ManualHeading3"/>
        <w:rPr>
          <w:noProof/>
        </w:rPr>
      </w:pPr>
      <w:bookmarkStart w:id="153" w:name="_Toc167220291"/>
      <w:bookmarkStart w:id="154" w:name="_Toc177549024"/>
      <w:r>
        <w:rPr>
          <w:noProof/>
        </w:rPr>
        <w:t>3.2.3.1. Credite din bugetul votat</w:t>
      </w:r>
      <w:bookmarkEnd w:id="153"/>
      <w:bookmarkEnd w:id="154"/>
    </w:p>
    <w:tbl>
      <w:tblPr>
        <w:tblW w:w="5000" w:type="pct"/>
        <w:tblLook w:val="04A0" w:firstRow="1" w:lastRow="0" w:firstColumn="1" w:lastColumn="0" w:noHBand="0" w:noVBand="1"/>
      </w:tblPr>
      <w:tblGrid>
        <w:gridCol w:w="4027"/>
        <w:gridCol w:w="1027"/>
        <w:gridCol w:w="1027"/>
        <w:gridCol w:w="1027"/>
        <w:gridCol w:w="1027"/>
        <w:gridCol w:w="1154"/>
      </w:tblGrid>
      <w:tr>
        <w:trPr>
          <w:trHeight w:val="300"/>
        </w:trPr>
        <w:tc>
          <w:tcPr>
            <w:tcW w:w="2167" w:type="pct"/>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b/>
                <w:bCs/>
                <w:noProof/>
                <w:color w:val="000000"/>
                <w:sz w:val="18"/>
                <w:szCs w:val="18"/>
              </w:rPr>
            </w:pPr>
            <w:r>
              <w:rPr>
                <w:b/>
                <w:noProof/>
                <w:color w:val="000000"/>
                <w:sz w:val="18"/>
              </w:rPr>
              <w:t>CREDITE VOTATE</w:t>
            </w:r>
          </w:p>
        </w:tc>
        <w:tc>
          <w:tcPr>
            <w:tcW w:w="553"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8"/>
                <w:szCs w:val="18"/>
              </w:rPr>
            </w:pPr>
            <w:r>
              <w:rPr>
                <w:noProof/>
                <w:color w:val="000000"/>
                <w:sz w:val="18"/>
              </w:rPr>
              <w:t>Anul</w:t>
            </w:r>
          </w:p>
        </w:tc>
        <w:tc>
          <w:tcPr>
            <w:tcW w:w="553"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8"/>
                <w:szCs w:val="18"/>
              </w:rPr>
            </w:pPr>
            <w:r>
              <w:rPr>
                <w:noProof/>
                <w:color w:val="000000"/>
                <w:sz w:val="18"/>
              </w:rPr>
              <w:t>Anul</w:t>
            </w:r>
          </w:p>
        </w:tc>
        <w:tc>
          <w:tcPr>
            <w:tcW w:w="553"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8"/>
                <w:szCs w:val="18"/>
              </w:rPr>
            </w:pPr>
            <w:r>
              <w:rPr>
                <w:noProof/>
                <w:color w:val="000000"/>
                <w:sz w:val="18"/>
              </w:rPr>
              <w:t>Anul</w:t>
            </w:r>
          </w:p>
        </w:tc>
        <w:tc>
          <w:tcPr>
            <w:tcW w:w="553"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8"/>
                <w:szCs w:val="18"/>
              </w:rPr>
            </w:pPr>
            <w:r>
              <w:rPr>
                <w:noProof/>
                <w:color w:val="000000"/>
                <w:sz w:val="18"/>
              </w:rPr>
              <w:t>Anul</w:t>
            </w:r>
          </w:p>
        </w:tc>
        <w:tc>
          <w:tcPr>
            <w:tcW w:w="622" w:type="pct"/>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b/>
                <w:bCs/>
                <w:noProof/>
                <w:color w:val="000000"/>
                <w:sz w:val="18"/>
                <w:szCs w:val="18"/>
              </w:rPr>
            </w:pPr>
            <w:r>
              <w:rPr>
                <w:b/>
                <w:noProof/>
                <w:color w:val="000000"/>
                <w:sz w:val="18"/>
              </w:rPr>
              <w:t>TOTAL 2021-2027</w:t>
            </w:r>
          </w:p>
        </w:tc>
      </w:tr>
      <w:tr>
        <w:trPr>
          <w:trHeight w:val="300"/>
        </w:trPr>
        <w:tc>
          <w:tcPr>
            <w:tcW w:w="2167" w:type="pct"/>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b/>
                <w:bCs/>
                <w:noProof/>
                <w:color w:val="000000"/>
                <w:sz w:val="18"/>
                <w:szCs w:val="18"/>
                <w:lang w:eastAsia="en-IE"/>
              </w:rPr>
            </w:pPr>
          </w:p>
        </w:tc>
        <w:tc>
          <w:tcPr>
            <w:tcW w:w="553" w:type="pct"/>
            <w:tcBorders>
              <w:top w:val="nil"/>
              <w:left w:val="nil"/>
              <w:bottom w:val="single" w:sz="8" w:space="0" w:color="auto"/>
              <w:right w:val="single" w:sz="8" w:space="0" w:color="auto"/>
            </w:tcBorders>
            <w:vAlign w:val="center"/>
            <w:hideMark/>
          </w:tcPr>
          <w:p>
            <w:pPr>
              <w:spacing w:before="0" w:after="0"/>
              <w:jc w:val="center"/>
              <w:rPr>
                <w:b/>
                <w:bCs/>
                <w:noProof/>
                <w:color w:val="000000"/>
                <w:sz w:val="18"/>
                <w:szCs w:val="18"/>
              </w:rPr>
            </w:pPr>
            <w:r>
              <w:rPr>
                <w:b/>
                <w:noProof/>
                <w:color w:val="000000"/>
                <w:sz w:val="18"/>
              </w:rPr>
              <w:t>2024</w:t>
            </w:r>
          </w:p>
        </w:tc>
        <w:tc>
          <w:tcPr>
            <w:tcW w:w="553" w:type="pct"/>
            <w:tcBorders>
              <w:top w:val="nil"/>
              <w:left w:val="nil"/>
              <w:bottom w:val="single" w:sz="8" w:space="0" w:color="auto"/>
              <w:right w:val="single" w:sz="8" w:space="0" w:color="auto"/>
            </w:tcBorders>
            <w:vAlign w:val="center"/>
            <w:hideMark/>
          </w:tcPr>
          <w:p>
            <w:pPr>
              <w:spacing w:before="0" w:after="0"/>
              <w:jc w:val="center"/>
              <w:rPr>
                <w:b/>
                <w:bCs/>
                <w:noProof/>
                <w:color w:val="000000"/>
                <w:sz w:val="18"/>
                <w:szCs w:val="18"/>
              </w:rPr>
            </w:pPr>
            <w:r>
              <w:rPr>
                <w:b/>
                <w:noProof/>
                <w:color w:val="000000"/>
                <w:sz w:val="18"/>
              </w:rPr>
              <w:t>2025</w:t>
            </w:r>
          </w:p>
        </w:tc>
        <w:tc>
          <w:tcPr>
            <w:tcW w:w="553" w:type="pct"/>
            <w:tcBorders>
              <w:top w:val="nil"/>
              <w:left w:val="nil"/>
              <w:bottom w:val="single" w:sz="8" w:space="0" w:color="auto"/>
              <w:right w:val="single" w:sz="8" w:space="0" w:color="auto"/>
            </w:tcBorders>
            <w:vAlign w:val="center"/>
            <w:hideMark/>
          </w:tcPr>
          <w:p>
            <w:pPr>
              <w:spacing w:before="0" w:after="0"/>
              <w:jc w:val="center"/>
              <w:rPr>
                <w:b/>
                <w:bCs/>
                <w:noProof/>
                <w:color w:val="000000"/>
                <w:sz w:val="18"/>
                <w:szCs w:val="18"/>
              </w:rPr>
            </w:pPr>
            <w:r>
              <w:rPr>
                <w:b/>
                <w:noProof/>
                <w:color w:val="000000"/>
                <w:sz w:val="18"/>
              </w:rPr>
              <w:t>2026</w:t>
            </w:r>
          </w:p>
        </w:tc>
        <w:tc>
          <w:tcPr>
            <w:tcW w:w="553" w:type="pct"/>
            <w:tcBorders>
              <w:top w:val="nil"/>
              <w:left w:val="nil"/>
              <w:bottom w:val="single" w:sz="8" w:space="0" w:color="auto"/>
              <w:right w:val="single" w:sz="8" w:space="0" w:color="auto"/>
            </w:tcBorders>
            <w:vAlign w:val="center"/>
            <w:hideMark/>
          </w:tcPr>
          <w:p>
            <w:pPr>
              <w:spacing w:before="0" w:after="0"/>
              <w:jc w:val="center"/>
              <w:rPr>
                <w:b/>
                <w:bCs/>
                <w:noProof/>
                <w:color w:val="000000"/>
                <w:sz w:val="18"/>
                <w:szCs w:val="18"/>
              </w:rPr>
            </w:pPr>
            <w:r>
              <w:rPr>
                <w:b/>
                <w:noProof/>
                <w:color w:val="000000"/>
                <w:sz w:val="18"/>
              </w:rPr>
              <w:t>2027</w:t>
            </w:r>
          </w:p>
        </w:tc>
        <w:tc>
          <w:tcPr>
            <w:tcW w:w="622" w:type="pct"/>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b/>
                <w:bCs/>
                <w:noProof/>
                <w:color w:val="000000"/>
                <w:sz w:val="18"/>
                <w:szCs w:val="18"/>
                <w:lang w:eastAsia="en-IE"/>
              </w:rPr>
            </w:pPr>
          </w:p>
        </w:tc>
      </w:tr>
      <w:tr>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pPr>
              <w:spacing w:before="0" w:after="0"/>
              <w:jc w:val="left"/>
              <w:rPr>
                <w:b/>
                <w:bCs/>
                <w:noProof/>
                <w:sz w:val="16"/>
                <w:szCs w:val="16"/>
              </w:rPr>
            </w:pPr>
            <w:r>
              <w:rPr>
                <w:b/>
                <w:noProof/>
                <w:sz w:val="16"/>
              </w:rPr>
              <w:t>RUBRICA 7</w:t>
            </w:r>
          </w:p>
        </w:tc>
      </w:tr>
      <w:tr>
        <w:trPr>
          <w:trHeight w:val="300"/>
        </w:trPr>
        <w:tc>
          <w:tcPr>
            <w:tcW w:w="2167" w:type="pct"/>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rPr>
            </w:pPr>
            <w:r>
              <w:rPr>
                <w:noProof/>
                <w:color w:val="000000"/>
                <w:sz w:val="16"/>
              </w:rPr>
              <w:t xml:space="preserve">Resurse umane </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622"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r>
      <w:tr>
        <w:trPr>
          <w:trHeight w:val="300"/>
        </w:trPr>
        <w:tc>
          <w:tcPr>
            <w:tcW w:w="2167" w:type="pct"/>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rPr>
            </w:pPr>
            <w:r>
              <w:rPr>
                <w:noProof/>
                <w:color w:val="000000"/>
                <w:sz w:val="16"/>
              </w:rPr>
              <w:t xml:space="preserve">Alte cheltuieli administrative </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622"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r>
      <w:tr>
        <w:trPr>
          <w:trHeight w:val="300"/>
        </w:trPr>
        <w:tc>
          <w:tcPr>
            <w:tcW w:w="2167" w:type="pct"/>
            <w:tcBorders>
              <w:top w:val="nil"/>
              <w:left w:val="single" w:sz="8" w:space="0" w:color="auto"/>
              <w:bottom w:val="single" w:sz="8" w:space="0" w:color="auto"/>
              <w:right w:val="single" w:sz="8" w:space="0" w:color="auto"/>
            </w:tcBorders>
            <w:shd w:val="clear" w:color="000000" w:fill="CCCCCC"/>
            <w:vAlign w:val="center"/>
            <w:hideMark/>
          </w:tcPr>
          <w:p>
            <w:pPr>
              <w:spacing w:before="0" w:after="0"/>
              <w:jc w:val="center"/>
              <w:rPr>
                <w:b/>
                <w:bCs/>
                <w:noProof/>
                <w:color w:val="000000"/>
                <w:sz w:val="16"/>
                <w:szCs w:val="16"/>
              </w:rPr>
            </w:pPr>
            <w:r>
              <w:rPr>
                <w:b/>
                <w:noProof/>
                <w:color w:val="000000"/>
                <w:sz w:val="16"/>
              </w:rPr>
              <w:t>Subtotal de la RUBRICA 7</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622"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r>
      <w:tr>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pPr>
              <w:spacing w:before="0" w:after="0"/>
              <w:jc w:val="left"/>
              <w:rPr>
                <w:b/>
                <w:bCs/>
                <w:noProof/>
                <w:sz w:val="16"/>
                <w:szCs w:val="16"/>
              </w:rPr>
            </w:pPr>
            <w:r>
              <w:rPr>
                <w:b/>
                <w:noProof/>
                <w:sz w:val="16"/>
              </w:rPr>
              <w:t>În afara RUBRICII 7</w:t>
            </w:r>
          </w:p>
        </w:tc>
      </w:tr>
      <w:tr>
        <w:trPr>
          <w:trHeight w:val="300"/>
        </w:trPr>
        <w:tc>
          <w:tcPr>
            <w:tcW w:w="2167" w:type="pct"/>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rPr>
            </w:pPr>
            <w:r>
              <w:rPr>
                <w:noProof/>
                <w:color w:val="000000"/>
                <w:sz w:val="16"/>
              </w:rPr>
              <w:t xml:space="preserve">Resurse umane </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622"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r>
      <w:tr>
        <w:trPr>
          <w:trHeight w:val="300"/>
        </w:trPr>
        <w:tc>
          <w:tcPr>
            <w:tcW w:w="2167" w:type="pct"/>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rPr>
            </w:pPr>
            <w:r>
              <w:rPr>
                <w:noProof/>
                <w:color w:val="000000"/>
                <w:sz w:val="16"/>
              </w:rPr>
              <w:t>Alte cheltuieli cu caracter administrativ</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622"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r>
      <w:tr>
        <w:trPr>
          <w:trHeight w:val="300"/>
        </w:trPr>
        <w:tc>
          <w:tcPr>
            <w:tcW w:w="2167" w:type="pct"/>
            <w:tcBorders>
              <w:top w:val="nil"/>
              <w:left w:val="single" w:sz="8" w:space="0" w:color="auto"/>
              <w:bottom w:val="single" w:sz="8" w:space="0" w:color="auto"/>
              <w:right w:val="single" w:sz="8" w:space="0" w:color="auto"/>
            </w:tcBorders>
            <w:shd w:val="clear" w:color="000000" w:fill="CCCCCC"/>
            <w:vAlign w:val="center"/>
            <w:hideMark/>
          </w:tcPr>
          <w:p>
            <w:pPr>
              <w:spacing w:before="0" w:after="0"/>
              <w:jc w:val="center"/>
              <w:rPr>
                <w:b/>
                <w:bCs/>
                <w:noProof/>
                <w:color w:val="000000"/>
                <w:sz w:val="16"/>
                <w:szCs w:val="16"/>
              </w:rPr>
            </w:pPr>
            <w:r>
              <w:rPr>
                <w:b/>
                <w:noProof/>
                <w:color w:val="000000"/>
                <w:sz w:val="16"/>
              </w:rPr>
              <w:t>Subtotal în afara RUBRICII 7</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622"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r>
      <w:tr>
        <w:trPr>
          <w:trHeight w:val="300"/>
        </w:trPr>
        <w:tc>
          <w:tcPr>
            <w:tcW w:w="5000" w:type="pct"/>
            <w:gridSpan w:val="6"/>
            <w:tcBorders>
              <w:top w:val="single" w:sz="8" w:space="0" w:color="auto"/>
              <w:left w:val="single" w:sz="8" w:space="0" w:color="auto"/>
              <w:bottom w:val="single" w:sz="8" w:space="0" w:color="auto"/>
              <w:right w:val="single" w:sz="4" w:space="0" w:color="auto"/>
            </w:tcBorders>
            <w:noWrap/>
            <w:vAlign w:val="center"/>
            <w:hideMark/>
          </w:tcPr>
          <w:p>
            <w:pPr>
              <w:spacing w:before="0" w:after="0"/>
              <w:jc w:val="center"/>
              <w:rPr>
                <w:noProof/>
                <w:color w:val="000000"/>
                <w:sz w:val="16"/>
                <w:szCs w:val="16"/>
              </w:rPr>
            </w:pPr>
            <w:r>
              <w:rPr>
                <w:noProof/>
                <w:color w:val="000000"/>
                <w:sz w:val="16"/>
              </w:rPr>
              <w:t xml:space="preserve"> </w:t>
            </w:r>
          </w:p>
        </w:tc>
      </w:tr>
      <w:tr>
        <w:trPr>
          <w:trHeight w:val="300"/>
        </w:trPr>
        <w:tc>
          <w:tcPr>
            <w:tcW w:w="2167" w:type="pct"/>
            <w:tcBorders>
              <w:top w:val="nil"/>
              <w:left w:val="single" w:sz="8" w:space="0" w:color="auto"/>
              <w:bottom w:val="single" w:sz="8" w:space="0" w:color="auto"/>
              <w:right w:val="single" w:sz="8" w:space="0" w:color="auto"/>
            </w:tcBorders>
            <w:vAlign w:val="center"/>
            <w:hideMark/>
          </w:tcPr>
          <w:p>
            <w:pPr>
              <w:spacing w:before="0" w:after="0"/>
              <w:jc w:val="center"/>
              <w:rPr>
                <w:b/>
                <w:bCs/>
                <w:noProof/>
                <w:color w:val="000000"/>
                <w:sz w:val="16"/>
                <w:szCs w:val="16"/>
              </w:rPr>
            </w:pPr>
            <w:r>
              <w:rPr>
                <w:b/>
                <w:noProof/>
                <w:color w:val="000000"/>
                <w:sz w:val="16"/>
              </w:rPr>
              <w:t>TOTAL</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622"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r>
    </w:tbl>
    <w:p>
      <w:pPr>
        <w:pStyle w:val="ManualHeading3"/>
        <w:rPr>
          <w:noProof/>
        </w:rPr>
      </w:pPr>
      <w:bookmarkStart w:id="155" w:name="_Toc167220292"/>
      <w:bookmarkStart w:id="156" w:name="_Toc177549025"/>
      <w:r>
        <w:rPr>
          <w:noProof/>
        </w:rPr>
        <w:t>3.2.3.2.</w:t>
      </w:r>
      <w:r>
        <w:rPr>
          <w:noProof/>
        </w:rPr>
        <w:tab/>
        <w:t>Credite din venituri alocate externe</w:t>
      </w:r>
      <w:bookmarkEnd w:id="155"/>
      <w:bookmarkEnd w:id="156"/>
    </w:p>
    <w:tbl>
      <w:tblPr>
        <w:tblW w:w="5000" w:type="pct"/>
        <w:tblLook w:val="04A0" w:firstRow="1" w:lastRow="0" w:firstColumn="1" w:lastColumn="0" w:noHBand="0" w:noVBand="1"/>
      </w:tblPr>
      <w:tblGrid>
        <w:gridCol w:w="4025"/>
        <w:gridCol w:w="1027"/>
        <w:gridCol w:w="1027"/>
        <w:gridCol w:w="1027"/>
        <w:gridCol w:w="1027"/>
        <w:gridCol w:w="1156"/>
      </w:tblGrid>
      <w:tr>
        <w:trPr>
          <w:trHeight w:val="300"/>
        </w:trPr>
        <w:tc>
          <w:tcPr>
            <w:tcW w:w="2166"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b/>
                <w:bCs/>
                <w:noProof/>
                <w:color w:val="000000"/>
                <w:sz w:val="18"/>
                <w:szCs w:val="18"/>
              </w:rPr>
            </w:pPr>
            <w:r>
              <w:rPr>
                <w:b/>
                <w:noProof/>
                <w:color w:val="000000"/>
                <w:sz w:val="18"/>
              </w:rPr>
              <w:t>VENITURI ALOCATE EXTERNE</w:t>
            </w:r>
          </w:p>
        </w:tc>
        <w:tc>
          <w:tcPr>
            <w:tcW w:w="553" w:type="pct"/>
            <w:tcBorders>
              <w:top w:val="single" w:sz="8" w:space="0" w:color="auto"/>
              <w:left w:val="nil"/>
              <w:bottom w:val="nil"/>
              <w:right w:val="single" w:sz="8" w:space="0" w:color="auto"/>
            </w:tcBorders>
            <w:vAlign w:val="center"/>
            <w:hideMark/>
          </w:tcPr>
          <w:p>
            <w:pPr>
              <w:spacing w:before="0" w:after="0"/>
              <w:jc w:val="center"/>
              <w:rPr>
                <w:noProof/>
                <w:color w:val="000000"/>
                <w:sz w:val="18"/>
                <w:szCs w:val="18"/>
              </w:rPr>
            </w:pPr>
            <w:r>
              <w:rPr>
                <w:noProof/>
                <w:color w:val="000000"/>
                <w:sz w:val="18"/>
              </w:rPr>
              <w:t>Anul</w:t>
            </w:r>
          </w:p>
        </w:tc>
        <w:tc>
          <w:tcPr>
            <w:tcW w:w="553" w:type="pct"/>
            <w:tcBorders>
              <w:top w:val="single" w:sz="8" w:space="0" w:color="auto"/>
              <w:left w:val="nil"/>
              <w:bottom w:val="nil"/>
              <w:right w:val="single" w:sz="8" w:space="0" w:color="auto"/>
            </w:tcBorders>
            <w:vAlign w:val="center"/>
            <w:hideMark/>
          </w:tcPr>
          <w:p>
            <w:pPr>
              <w:spacing w:before="0" w:after="0"/>
              <w:jc w:val="center"/>
              <w:rPr>
                <w:noProof/>
                <w:color w:val="000000"/>
                <w:sz w:val="18"/>
                <w:szCs w:val="18"/>
              </w:rPr>
            </w:pPr>
            <w:r>
              <w:rPr>
                <w:noProof/>
                <w:color w:val="000000"/>
                <w:sz w:val="18"/>
              </w:rPr>
              <w:t>Anul</w:t>
            </w:r>
          </w:p>
        </w:tc>
        <w:tc>
          <w:tcPr>
            <w:tcW w:w="553" w:type="pct"/>
            <w:tcBorders>
              <w:top w:val="single" w:sz="8" w:space="0" w:color="auto"/>
              <w:left w:val="nil"/>
              <w:bottom w:val="nil"/>
              <w:right w:val="single" w:sz="8" w:space="0" w:color="auto"/>
            </w:tcBorders>
            <w:vAlign w:val="center"/>
            <w:hideMark/>
          </w:tcPr>
          <w:p>
            <w:pPr>
              <w:spacing w:before="0" w:after="0"/>
              <w:jc w:val="center"/>
              <w:rPr>
                <w:noProof/>
                <w:color w:val="000000"/>
                <w:sz w:val="18"/>
                <w:szCs w:val="18"/>
              </w:rPr>
            </w:pPr>
            <w:r>
              <w:rPr>
                <w:noProof/>
                <w:color w:val="000000"/>
                <w:sz w:val="18"/>
              </w:rPr>
              <w:t>Anul</w:t>
            </w:r>
          </w:p>
        </w:tc>
        <w:tc>
          <w:tcPr>
            <w:tcW w:w="553" w:type="pct"/>
            <w:tcBorders>
              <w:top w:val="single" w:sz="8" w:space="0" w:color="auto"/>
              <w:left w:val="nil"/>
              <w:bottom w:val="nil"/>
              <w:right w:val="single" w:sz="8" w:space="0" w:color="auto"/>
            </w:tcBorders>
            <w:vAlign w:val="center"/>
            <w:hideMark/>
          </w:tcPr>
          <w:p>
            <w:pPr>
              <w:spacing w:before="0" w:after="0"/>
              <w:jc w:val="center"/>
              <w:rPr>
                <w:noProof/>
                <w:color w:val="000000"/>
                <w:sz w:val="18"/>
                <w:szCs w:val="18"/>
              </w:rPr>
            </w:pPr>
            <w:r>
              <w:rPr>
                <w:noProof/>
                <w:color w:val="000000"/>
                <w:sz w:val="18"/>
              </w:rPr>
              <w:t>Anul</w:t>
            </w:r>
          </w:p>
        </w:tc>
        <w:tc>
          <w:tcPr>
            <w:tcW w:w="622"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b/>
                <w:bCs/>
                <w:noProof/>
                <w:color w:val="000000"/>
                <w:sz w:val="18"/>
                <w:szCs w:val="18"/>
              </w:rPr>
            </w:pPr>
            <w:r>
              <w:rPr>
                <w:b/>
                <w:noProof/>
                <w:color w:val="000000"/>
                <w:sz w:val="18"/>
              </w:rPr>
              <w:t>TOTAL 2021-2027</w:t>
            </w:r>
          </w:p>
        </w:tc>
      </w:tr>
      <w:tr>
        <w:trPr>
          <w:trHeight w:val="300"/>
        </w:trPr>
        <w:tc>
          <w:tcPr>
            <w:tcW w:w="2166" w:type="pct"/>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b/>
                <w:bCs/>
                <w:noProof/>
                <w:color w:val="000000"/>
                <w:sz w:val="18"/>
                <w:szCs w:val="18"/>
                <w:lang w:eastAsia="en-IE"/>
              </w:rPr>
            </w:pPr>
          </w:p>
        </w:tc>
        <w:tc>
          <w:tcPr>
            <w:tcW w:w="553" w:type="pct"/>
            <w:tcBorders>
              <w:top w:val="nil"/>
              <w:left w:val="nil"/>
              <w:bottom w:val="single" w:sz="8" w:space="0" w:color="auto"/>
              <w:right w:val="single" w:sz="8" w:space="0" w:color="auto"/>
            </w:tcBorders>
            <w:vAlign w:val="center"/>
            <w:hideMark/>
          </w:tcPr>
          <w:p>
            <w:pPr>
              <w:spacing w:before="0" w:after="0"/>
              <w:jc w:val="center"/>
              <w:rPr>
                <w:b/>
                <w:bCs/>
                <w:noProof/>
                <w:color w:val="000000"/>
                <w:sz w:val="18"/>
                <w:szCs w:val="18"/>
              </w:rPr>
            </w:pPr>
            <w:r>
              <w:rPr>
                <w:b/>
                <w:noProof/>
                <w:color w:val="000000"/>
                <w:sz w:val="18"/>
              </w:rPr>
              <w:t>2024</w:t>
            </w:r>
          </w:p>
        </w:tc>
        <w:tc>
          <w:tcPr>
            <w:tcW w:w="553" w:type="pct"/>
            <w:tcBorders>
              <w:top w:val="nil"/>
              <w:left w:val="nil"/>
              <w:bottom w:val="single" w:sz="8" w:space="0" w:color="auto"/>
              <w:right w:val="single" w:sz="8" w:space="0" w:color="auto"/>
            </w:tcBorders>
            <w:vAlign w:val="center"/>
            <w:hideMark/>
          </w:tcPr>
          <w:p>
            <w:pPr>
              <w:spacing w:before="0" w:after="0"/>
              <w:jc w:val="center"/>
              <w:rPr>
                <w:b/>
                <w:bCs/>
                <w:noProof/>
                <w:color w:val="000000"/>
                <w:sz w:val="18"/>
                <w:szCs w:val="18"/>
              </w:rPr>
            </w:pPr>
            <w:r>
              <w:rPr>
                <w:b/>
                <w:noProof/>
                <w:color w:val="000000"/>
                <w:sz w:val="18"/>
              </w:rPr>
              <w:t>2025</w:t>
            </w:r>
          </w:p>
        </w:tc>
        <w:tc>
          <w:tcPr>
            <w:tcW w:w="553" w:type="pct"/>
            <w:tcBorders>
              <w:top w:val="nil"/>
              <w:left w:val="nil"/>
              <w:bottom w:val="single" w:sz="8" w:space="0" w:color="auto"/>
              <w:right w:val="single" w:sz="8" w:space="0" w:color="auto"/>
            </w:tcBorders>
            <w:vAlign w:val="center"/>
            <w:hideMark/>
          </w:tcPr>
          <w:p>
            <w:pPr>
              <w:spacing w:before="0" w:after="0"/>
              <w:jc w:val="center"/>
              <w:rPr>
                <w:b/>
                <w:bCs/>
                <w:noProof/>
                <w:color w:val="000000"/>
                <w:sz w:val="18"/>
                <w:szCs w:val="18"/>
              </w:rPr>
            </w:pPr>
            <w:r>
              <w:rPr>
                <w:b/>
                <w:noProof/>
                <w:color w:val="000000"/>
                <w:sz w:val="18"/>
              </w:rPr>
              <w:t>2026</w:t>
            </w:r>
          </w:p>
        </w:tc>
        <w:tc>
          <w:tcPr>
            <w:tcW w:w="553" w:type="pct"/>
            <w:tcBorders>
              <w:top w:val="nil"/>
              <w:left w:val="nil"/>
              <w:bottom w:val="single" w:sz="8" w:space="0" w:color="auto"/>
              <w:right w:val="single" w:sz="8" w:space="0" w:color="auto"/>
            </w:tcBorders>
            <w:vAlign w:val="center"/>
            <w:hideMark/>
          </w:tcPr>
          <w:p>
            <w:pPr>
              <w:spacing w:before="0" w:after="0"/>
              <w:jc w:val="center"/>
              <w:rPr>
                <w:b/>
                <w:bCs/>
                <w:noProof/>
                <w:color w:val="000000"/>
                <w:sz w:val="18"/>
                <w:szCs w:val="18"/>
              </w:rPr>
            </w:pPr>
            <w:r>
              <w:rPr>
                <w:b/>
                <w:noProof/>
                <w:color w:val="000000"/>
                <w:sz w:val="18"/>
              </w:rPr>
              <w:t>2027</w:t>
            </w:r>
          </w:p>
        </w:tc>
        <w:tc>
          <w:tcPr>
            <w:tcW w:w="622" w:type="pct"/>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b/>
                <w:bCs/>
                <w:noProof/>
                <w:color w:val="000000"/>
                <w:sz w:val="18"/>
                <w:szCs w:val="18"/>
                <w:lang w:eastAsia="en-IE"/>
              </w:rPr>
            </w:pPr>
          </w:p>
        </w:tc>
      </w:tr>
      <w:tr>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pPr>
              <w:spacing w:before="0" w:after="0"/>
              <w:jc w:val="left"/>
              <w:rPr>
                <w:b/>
                <w:bCs/>
                <w:noProof/>
                <w:sz w:val="16"/>
                <w:szCs w:val="16"/>
              </w:rPr>
            </w:pPr>
            <w:r>
              <w:rPr>
                <w:b/>
                <w:noProof/>
                <w:sz w:val="16"/>
              </w:rPr>
              <w:t>RUBRICA 7</w:t>
            </w:r>
          </w:p>
        </w:tc>
      </w:tr>
      <w:tr>
        <w:trPr>
          <w:trHeight w:val="300"/>
        </w:trPr>
        <w:tc>
          <w:tcPr>
            <w:tcW w:w="2166" w:type="pct"/>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rPr>
            </w:pPr>
            <w:r>
              <w:rPr>
                <w:noProof/>
                <w:color w:val="000000"/>
                <w:sz w:val="16"/>
              </w:rPr>
              <w:t xml:space="preserve">Resurse umane </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622"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r>
      <w:tr>
        <w:trPr>
          <w:trHeight w:val="300"/>
        </w:trPr>
        <w:tc>
          <w:tcPr>
            <w:tcW w:w="2166" w:type="pct"/>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rPr>
            </w:pPr>
            <w:r>
              <w:rPr>
                <w:noProof/>
                <w:color w:val="000000"/>
                <w:sz w:val="16"/>
              </w:rPr>
              <w:t xml:space="preserve">Alte cheltuieli administrative </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622"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r>
      <w:tr>
        <w:trPr>
          <w:trHeight w:val="300"/>
        </w:trPr>
        <w:tc>
          <w:tcPr>
            <w:tcW w:w="2166" w:type="pct"/>
            <w:tcBorders>
              <w:top w:val="nil"/>
              <w:left w:val="single" w:sz="8" w:space="0" w:color="auto"/>
              <w:bottom w:val="single" w:sz="8" w:space="0" w:color="auto"/>
              <w:right w:val="single" w:sz="8" w:space="0" w:color="auto"/>
            </w:tcBorders>
            <w:shd w:val="clear" w:color="000000" w:fill="CCCCCC"/>
            <w:vAlign w:val="center"/>
            <w:hideMark/>
          </w:tcPr>
          <w:p>
            <w:pPr>
              <w:spacing w:before="0" w:after="0"/>
              <w:jc w:val="center"/>
              <w:rPr>
                <w:b/>
                <w:bCs/>
                <w:noProof/>
                <w:color w:val="000000"/>
                <w:sz w:val="16"/>
                <w:szCs w:val="16"/>
              </w:rPr>
            </w:pPr>
            <w:r>
              <w:rPr>
                <w:b/>
                <w:noProof/>
                <w:color w:val="000000"/>
                <w:sz w:val="16"/>
              </w:rPr>
              <w:t>Subtotal de la RUBRICA 7</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622"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r>
      <w:tr>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pPr>
              <w:spacing w:before="0" w:after="0"/>
              <w:jc w:val="left"/>
              <w:rPr>
                <w:b/>
                <w:bCs/>
                <w:noProof/>
                <w:sz w:val="16"/>
                <w:szCs w:val="16"/>
              </w:rPr>
            </w:pPr>
            <w:r>
              <w:rPr>
                <w:b/>
                <w:noProof/>
                <w:sz w:val="16"/>
              </w:rPr>
              <w:t>În afara RUBRICII 7</w:t>
            </w:r>
          </w:p>
        </w:tc>
      </w:tr>
      <w:tr>
        <w:trPr>
          <w:trHeight w:val="300"/>
        </w:trPr>
        <w:tc>
          <w:tcPr>
            <w:tcW w:w="2166" w:type="pct"/>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rPr>
            </w:pPr>
            <w:r>
              <w:rPr>
                <w:noProof/>
                <w:color w:val="000000"/>
                <w:sz w:val="16"/>
              </w:rPr>
              <w:t xml:space="preserve">Resurse umane </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622"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r>
      <w:tr>
        <w:trPr>
          <w:trHeight w:val="300"/>
        </w:trPr>
        <w:tc>
          <w:tcPr>
            <w:tcW w:w="2166" w:type="pct"/>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rPr>
            </w:pPr>
            <w:r>
              <w:rPr>
                <w:noProof/>
                <w:color w:val="000000"/>
                <w:sz w:val="16"/>
              </w:rPr>
              <w:t>Alte cheltuieli cu caracter administrativ</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622"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r>
      <w:tr>
        <w:trPr>
          <w:trHeight w:val="300"/>
        </w:trPr>
        <w:tc>
          <w:tcPr>
            <w:tcW w:w="2166" w:type="pct"/>
            <w:tcBorders>
              <w:top w:val="nil"/>
              <w:left w:val="single" w:sz="8" w:space="0" w:color="auto"/>
              <w:bottom w:val="single" w:sz="8" w:space="0" w:color="auto"/>
              <w:right w:val="single" w:sz="8" w:space="0" w:color="auto"/>
            </w:tcBorders>
            <w:shd w:val="clear" w:color="000000" w:fill="CCCCCC"/>
            <w:vAlign w:val="center"/>
            <w:hideMark/>
          </w:tcPr>
          <w:p>
            <w:pPr>
              <w:spacing w:before="0" w:after="0"/>
              <w:jc w:val="center"/>
              <w:rPr>
                <w:b/>
                <w:bCs/>
                <w:noProof/>
                <w:color w:val="000000"/>
                <w:sz w:val="16"/>
                <w:szCs w:val="16"/>
              </w:rPr>
            </w:pPr>
            <w:r>
              <w:rPr>
                <w:b/>
                <w:noProof/>
                <w:color w:val="000000"/>
                <w:sz w:val="16"/>
              </w:rPr>
              <w:t>Subtotal în afara RUBRICII 7</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622"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r>
      <w:tr>
        <w:trPr>
          <w:trHeight w:val="300"/>
        </w:trPr>
        <w:tc>
          <w:tcPr>
            <w:tcW w:w="5000" w:type="pct"/>
            <w:gridSpan w:val="6"/>
            <w:tcBorders>
              <w:top w:val="single" w:sz="8" w:space="0" w:color="auto"/>
              <w:left w:val="single" w:sz="8" w:space="0" w:color="auto"/>
              <w:bottom w:val="single" w:sz="8" w:space="0" w:color="auto"/>
              <w:right w:val="single" w:sz="4" w:space="0" w:color="auto"/>
            </w:tcBorders>
            <w:noWrap/>
            <w:vAlign w:val="center"/>
            <w:hideMark/>
          </w:tcPr>
          <w:p>
            <w:pPr>
              <w:spacing w:before="0" w:after="0"/>
              <w:jc w:val="center"/>
              <w:rPr>
                <w:noProof/>
                <w:color w:val="000000"/>
                <w:sz w:val="16"/>
                <w:szCs w:val="16"/>
              </w:rPr>
            </w:pPr>
            <w:r>
              <w:rPr>
                <w:noProof/>
                <w:color w:val="000000"/>
                <w:sz w:val="16"/>
              </w:rPr>
              <w:t xml:space="preserve"> </w:t>
            </w:r>
          </w:p>
        </w:tc>
      </w:tr>
      <w:tr>
        <w:trPr>
          <w:trHeight w:val="312"/>
        </w:trPr>
        <w:tc>
          <w:tcPr>
            <w:tcW w:w="2166" w:type="pct"/>
            <w:tcBorders>
              <w:top w:val="single" w:sz="12" w:space="0" w:color="auto"/>
              <w:left w:val="single" w:sz="12" w:space="0" w:color="auto"/>
              <w:bottom w:val="single" w:sz="12" w:space="0" w:color="auto"/>
              <w:right w:val="single" w:sz="8" w:space="0" w:color="auto"/>
            </w:tcBorders>
            <w:vAlign w:val="center"/>
            <w:hideMark/>
          </w:tcPr>
          <w:p>
            <w:pPr>
              <w:spacing w:before="0" w:after="0"/>
              <w:jc w:val="center"/>
              <w:rPr>
                <w:b/>
                <w:bCs/>
                <w:noProof/>
                <w:color w:val="000000"/>
                <w:sz w:val="16"/>
                <w:szCs w:val="16"/>
              </w:rPr>
            </w:pPr>
            <w:r>
              <w:rPr>
                <w:b/>
                <w:noProof/>
                <w:color w:val="000000"/>
                <w:sz w:val="16"/>
              </w:rPr>
              <w:t>TOTAL</w:t>
            </w:r>
          </w:p>
        </w:tc>
        <w:tc>
          <w:tcPr>
            <w:tcW w:w="553" w:type="pct"/>
            <w:tcBorders>
              <w:top w:val="single" w:sz="12" w:space="0" w:color="auto"/>
              <w:left w:val="nil"/>
              <w:bottom w:val="single" w:sz="12"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553" w:type="pct"/>
            <w:tcBorders>
              <w:top w:val="single" w:sz="12" w:space="0" w:color="auto"/>
              <w:left w:val="nil"/>
              <w:bottom w:val="single" w:sz="12"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553" w:type="pct"/>
            <w:tcBorders>
              <w:top w:val="single" w:sz="12" w:space="0" w:color="auto"/>
              <w:left w:val="nil"/>
              <w:bottom w:val="single" w:sz="12"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553" w:type="pct"/>
            <w:tcBorders>
              <w:top w:val="single" w:sz="12" w:space="0" w:color="auto"/>
              <w:left w:val="nil"/>
              <w:bottom w:val="single" w:sz="12"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622" w:type="pct"/>
            <w:tcBorders>
              <w:top w:val="single" w:sz="12" w:space="0" w:color="auto"/>
              <w:left w:val="nil"/>
              <w:bottom w:val="single" w:sz="12"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r>
    </w:tbl>
    <w:p>
      <w:pPr>
        <w:pStyle w:val="ManualHeading3"/>
        <w:rPr>
          <w:noProof/>
        </w:rPr>
      </w:pPr>
      <w:bookmarkStart w:id="157" w:name="_Toc167220293"/>
      <w:bookmarkStart w:id="158" w:name="_Toc177549026"/>
      <w:r>
        <w:rPr>
          <w:noProof/>
        </w:rPr>
        <w:t>3.2.3.3.</w:t>
      </w:r>
      <w:r>
        <w:rPr>
          <w:noProof/>
        </w:rPr>
        <w:tab/>
        <w:t>Total credite</w:t>
      </w:r>
      <w:bookmarkEnd w:id="157"/>
      <w:bookmarkEnd w:id="158"/>
    </w:p>
    <w:tbl>
      <w:tblPr>
        <w:tblW w:w="8680" w:type="dxa"/>
        <w:tblLook w:val="04A0" w:firstRow="1" w:lastRow="0" w:firstColumn="1" w:lastColumn="0" w:noHBand="0" w:noVBand="1"/>
      </w:tblPr>
      <w:tblGrid>
        <w:gridCol w:w="3760"/>
        <w:gridCol w:w="960"/>
        <w:gridCol w:w="960"/>
        <w:gridCol w:w="960"/>
        <w:gridCol w:w="960"/>
        <w:gridCol w:w="1080"/>
      </w:tblGrid>
      <w:tr>
        <w:trPr>
          <w:trHeight w:val="519"/>
        </w:trPr>
        <w:tc>
          <w:tcPr>
            <w:tcW w:w="3760" w:type="dxa"/>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b/>
                <w:bCs/>
                <w:noProof/>
                <w:color w:val="000000"/>
                <w:sz w:val="18"/>
                <w:szCs w:val="18"/>
              </w:rPr>
            </w:pPr>
            <w:r>
              <w:rPr>
                <w:b/>
                <w:noProof/>
                <w:color w:val="000000"/>
                <w:sz w:val="18"/>
              </w:rPr>
              <w:t>TOTAL</w:t>
            </w:r>
            <w:r>
              <w:rPr>
                <w:noProof/>
              </w:rPr>
              <w:t xml:space="preserve"> </w:t>
            </w:r>
            <w:r>
              <w:rPr>
                <w:noProof/>
              </w:rPr>
              <w:br/>
            </w:r>
            <w:r>
              <w:rPr>
                <w:b/>
                <w:noProof/>
                <w:color w:val="000000"/>
                <w:sz w:val="18"/>
              </w:rPr>
              <w:t>CREDITE VOTATE + VENITURI ALOCATE EXTERNE</w:t>
            </w:r>
          </w:p>
        </w:tc>
        <w:tc>
          <w:tcPr>
            <w:tcW w:w="960" w:type="dxa"/>
            <w:tcBorders>
              <w:top w:val="single" w:sz="8" w:space="0" w:color="auto"/>
              <w:left w:val="nil"/>
              <w:bottom w:val="nil"/>
              <w:right w:val="single" w:sz="8" w:space="0" w:color="auto"/>
            </w:tcBorders>
            <w:vAlign w:val="center"/>
            <w:hideMark/>
          </w:tcPr>
          <w:p>
            <w:pPr>
              <w:spacing w:before="0" w:after="0"/>
              <w:jc w:val="center"/>
              <w:rPr>
                <w:noProof/>
                <w:color w:val="000000"/>
                <w:sz w:val="18"/>
                <w:szCs w:val="18"/>
              </w:rPr>
            </w:pPr>
            <w:r>
              <w:rPr>
                <w:noProof/>
                <w:color w:val="000000"/>
                <w:sz w:val="18"/>
              </w:rPr>
              <w:t>Anul</w:t>
            </w:r>
          </w:p>
        </w:tc>
        <w:tc>
          <w:tcPr>
            <w:tcW w:w="960" w:type="dxa"/>
            <w:tcBorders>
              <w:top w:val="single" w:sz="8" w:space="0" w:color="auto"/>
              <w:left w:val="nil"/>
              <w:bottom w:val="nil"/>
              <w:right w:val="single" w:sz="8" w:space="0" w:color="auto"/>
            </w:tcBorders>
            <w:vAlign w:val="center"/>
            <w:hideMark/>
          </w:tcPr>
          <w:p>
            <w:pPr>
              <w:spacing w:before="0" w:after="0"/>
              <w:jc w:val="center"/>
              <w:rPr>
                <w:noProof/>
                <w:color w:val="000000"/>
                <w:sz w:val="18"/>
                <w:szCs w:val="18"/>
              </w:rPr>
            </w:pPr>
            <w:r>
              <w:rPr>
                <w:noProof/>
                <w:color w:val="000000"/>
                <w:sz w:val="18"/>
              </w:rPr>
              <w:t>Anul</w:t>
            </w:r>
          </w:p>
        </w:tc>
        <w:tc>
          <w:tcPr>
            <w:tcW w:w="960" w:type="dxa"/>
            <w:tcBorders>
              <w:top w:val="single" w:sz="8" w:space="0" w:color="auto"/>
              <w:left w:val="nil"/>
              <w:bottom w:val="nil"/>
              <w:right w:val="single" w:sz="8" w:space="0" w:color="auto"/>
            </w:tcBorders>
            <w:vAlign w:val="center"/>
            <w:hideMark/>
          </w:tcPr>
          <w:p>
            <w:pPr>
              <w:spacing w:before="0" w:after="0"/>
              <w:jc w:val="center"/>
              <w:rPr>
                <w:noProof/>
                <w:color w:val="000000"/>
                <w:sz w:val="18"/>
                <w:szCs w:val="18"/>
              </w:rPr>
            </w:pPr>
            <w:r>
              <w:rPr>
                <w:noProof/>
                <w:color w:val="000000"/>
                <w:sz w:val="18"/>
              </w:rPr>
              <w:t>Anul</w:t>
            </w:r>
          </w:p>
        </w:tc>
        <w:tc>
          <w:tcPr>
            <w:tcW w:w="960" w:type="dxa"/>
            <w:tcBorders>
              <w:top w:val="single" w:sz="8" w:space="0" w:color="auto"/>
              <w:left w:val="nil"/>
              <w:bottom w:val="nil"/>
              <w:right w:val="single" w:sz="8" w:space="0" w:color="auto"/>
            </w:tcBorders>
            <w:vAlign w:val="center"/>
            <w:hideMark/>
          </w:tcPr>
          <w:p>
            <w:pPr>
              <w:spacing w:before="0" w:after="0"/>
              <w:jc w:val="center"/>
              <w:rPr>
                <w:noProof/>
                <w:color w:val="000000"/>
                <w:sz w:val="18"/>
                <w:szCs w:val="18"/>
              </w:rPr>
            </w:pPr>
            <w:r>
              <w:rPr>
                <w:noProof/>
                <w:color w:val="000000"/>
                <w:sz w:val="18"/>
              </w:rPr>
              <w:t>Anul</w:t>
            </w:r>
          </w:p>
        </w:tc>
        <w:tc>
          <w:tcPr>
            <w:tcW w:w="1080" w:type="dxa"/>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b/>
                <w:bCs/>
                <w:noProof/>
                <w:color w:val="000000"/>
                <w:sz w:val="18"/>
                <w:szCs w:val="18"/>
              </w:rPr>
            </w:pPr>
            <w:r>
              <w:rPr>
                <w:b/>
                <w:noProof/>
                <w:color w:val="000000"/>
                <w:sz w:val="18"/>
              </w:rPr>
              <w:t>TOTAL 2021-2027</w:t>
            </w:r>
          </w:p>
        </w:tc>
      </w:tr>
      <w:tr>
        <w:trPr>
          <w:trHeight w:val="519"/>
        </w:trPr>
        <w:tc>
          <w:tcPr>
            <w:tcW w:w="3760" w:type="dxa"/>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b/>
                <w:bCs/>
                <w:noProof/>
                <w:color w:val="000000"/>
                <w:sz w:val="18"/>
                <w:szCs w:val="18"/>
                <w:lang w:eastAsia="en-IE"/>
              </w:rPr>
            </w:pPr>
          </w:p>
        </w:tc>
        <w:tc>
          <w:tcPr>
            <w:tcW w:w="960" w:type="dxa"/>
            <w:tcBorders>
              <w:top w:val="nil"/>
              <w:left w:val="nil"/>
              <w:bottom w:val="single" w:sz="8" w:space="0" w:color="auto"/>
              <w:right w:val="single" w:sz="8" w:space="0" w:color="auto"/>
            </w:tcBorders>
            <w:vAlign w:val="center"/>
            <w:hideMark/>
          </w:tcPr>
          <w:p>
            <w:pPr>
              <w:spacing w:before="0" w:after="0"/>
              <w:jc w:val="center"/>
              <w:rPr>
                <w:b/>
                <w:bCs/>
                <w:noProof/>
                <w:color w:val="000000"/>
                <w:sz w:val="18"/>
                <w:szCs w:val="18"/>
              </w:rPr>
            </w:pPr>
            <w:r>
              <w:rPr>
                <w:b/>
                <w:noProof/>
                <w:color w:val="000000"/>
                <w:sz w:val="18"/>
              </w:rPr>
              <w:t>2024</w:t>
            </w:r>
          </w:p>
        </w:tc>
        <w:tc>
          <w:tcPr>
            <w:tcW w:w="960" w:type="dxa"/>
            <w:tcBorders>
              <w:top w:val="nil"/>
              <w:left w:val="nil"/>
              <w:bottom w:val="single" w:sz="8" w:space="0" w:color="auto"/>
              <w:right w:val="single" w:sz="8" w:space="0" w:color="auto"/>
            </w:tcBorders>
            <w:vAlign w:val="center"/>
            <w:hideMark/>
          </w:tcPr>
          <w:p>
            <w:pPr>
              <w:spacing w:before="0" w:after="0"/>
              <w:jc w:val="center"/>
              <w:rPr>
                <w:b/>
                <w:bCs/>
                <w:noProof/>
                <w:color w:val="000000"/>
                <w:sz w:val="18"/>
                <w:szCs w:val="18"/>
              </w:rPr>
            </w:pPr>
            <w:r>
              <w:rPr>
                <w:b/>
                <w:noProof/>
                <w:color w:val="000000"/>
                <w:sz w:val="18"/>
              </w:rPr>
              <w:t>2025</w:t>
            </w:r>
          </w:p>
        </w:tc>
        <w:tc>
          <w:tcPr>
            <w:tcW w:w="960" w:type="dxa"/>
            <w:tcBorders>
              <w:top w:val="nil"/>
              <w:left w:val="nil"/>
              <w:bottom w:val="single" w:sz="8" w:space="0" w:color="auto"/>
              <w:right w:val="single" w:sz="8" w:space="0" w:color="auto"/>
            </w:tcBorders>
            <w:vAlign w:val="center"/>
            <w:hideMark/>
          </w:tcPr>
          <w:p>
            <w:pPr>
              <w:spacing w:before="0" w:after="0"/>
              <w:jc w:val="center"/>
              <w:rPr>
                <w:b/>
                <w:bCs/>
                <w:noProof/>
                <w:color w:val="000000"/>
                <w:sz w:val="18"/>
                <w:szCs w:val="18"/>
              </w:rPr>
            </w:pPr>
            <w:r>
              <w:rPr>
                <w:b/>
                <w:noProof/>
                <w:color w:val="000000"/>
                <w:sz w:val="18"/>
              </w:rPr>
              <w:t>2026</w:t>
            </w:r>
          </w:p>
        </w:tc>
        <w:tc>
          <w:tcPr>
            <w:tcW w:w="960" w:type="dxa"/>
            <w:tcBorders>
              <w:top w:val="nil"/>
              <w:left w:val="nil"/>
              <w:bottom w:val="single" w:sz="8" w:space="0" w:color="auto"/>
              <w:right w:val="single" w:sz="8" w:space="0" w:color="auto"/>
            </w:tcBorders>
            <w:vAlign w:val="center"/>
            <w:hideMark/>
          </w:tcPr>
          <w:p>
            <w:pPr>
              <w:spacing w:before="0" w:after="0"/>
              <w:jc w:val="center"/>
              <w:rPr>
                <w:b/>
                <w:bCs/>
                <w:noProof/>
                <w:color w:val="000000"/>
                <w:sz w:val="18"/>
                <w:szCs w:val="18"/>
              </w:rPr>
            </w:pPr>
            <w:r>
              <w:rPr>
                <w:b/>
                <w:noProof/>
                <w:color w:val="000000"/>
                <w:sz w:val="18"/>
              </w:rPr>
              <w:t>2027</w:t>
            </w:r>
          </w:p>
        </w:tc>
        <w:tc>
          <w:tcPr>
            <w:tcW w:w="1080" w:type="dxa"/>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b/>
                <w:bCs/>
                <w:noProof/>
                <w:color w:val="000000"/>
                <w:sz w:val="18"/>
                <w:szCs w:val="18"/>
                <w:lang w:eastAsia="en-IE"/>
              </w:rPr>
            </w:pPr>
          </w:p>
        </w:tc>
      </w:tr>
      <w:tr>
        <w:trPr>
          <w:trHeight w:val="300"/>
        </w:trPr>
        <w:tc>
          <w:tcPr>
            <w:tcW w:w="8680" w:type="dxa"/>
            <w:gridSpan w:val="6"/>
            <w:tcBorders>
              <w:top w:val="single" w:sz="8" w:space="0" w:color="auto"/>
              <w:left w:val="single" w:sz="8" w:space="0" w:color="auto"/>
              <w:bottom w:val="single" w:sz="8" w:space="0" w:color="auto"/>
              <w:right w:val="single" w:sz="4" w:space="0" w:color="auto"/>
            </w:tcBorders>
            <w:vAlign w:val="center"/>
            <w:hideMark/>
          </w:tcPr>
          <w:p>
            <w:pPr>
              <w:spacing w:before="0" w:after="0"/>
              <w:jc w:val="left"/>
              <w:rPr>
                <w:b/>
                <w:bCs/>
                <w:noProof/>
                <w:sz w:val="16"/>
                <w:szCs w:val="16"/>
              </w:rPr>
            </w:pPr>
            <w:r>
              <w:rPr>
                <w:b/>
                <w:noProof/>
                <w:sz w:val="16"/>
              </w:rPr>
              <w:t>RUBRICA 7</w:t>
            </w:r>
          </w:p>
        </w:tc>
      </w:tr>
      <w:tr>
        <w:trPr>
          <w:trHeight w:val="300"/>
        </w:trPr>
        <w:tc>
          <w:tcPr>
            <w:tcW w:w="3760" w:type="dxa"/>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rPr>
            </w:pPr>
            <w:r>
              <w:rPr>
                <w:noProof/>
                <w:color w:val="000000"/>
                <w:sz w:val="16"/>
              </w:rPr>
              <w:t xml:space="preserve">Resurse umane </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1080"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r>
      <w:tr>
        <w:trPr>
          <w:trHeight w:val="300"/>
        </w:trPr>
        <w:tc>
          <w:tcPr>
            <w:tcW w:w="3760" w:type="dxa"/>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rPr>
            </w:pPr>
            <w:r>
              <w:rPr>
                <w:noProof/>
                <w:color w:val="000000"/>
                <w:sz w:val="16"/>
              </w:rPr>
              <w:t xml:space="preserve">Alte cheltuieli administrative </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1080"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r>
      <w:tr>
        <w:trPr>
          <w:trHeight w:val="300"/>
        </w:trPr>
        <w:tc>
          <w:tcPr>
            <w:tcW w:w="3760" w:type="dxa"/>
            <w:tcBorders>
              <w:top w:val="nil"/>
              <w:left w:val="single" w:sz="8" w:space="0" w:color="auto"/>
              <w:bottom w:val="single" w:sz="8" w:space="0" w:color="auto"/>
              <w:right w:val="single" w:sz="8" w:space="0" w:color="auto"/>
            </w:tcBorders>
            <w:shd w:val="clear" w:color="000000" w:fill="CCCCCC"/>
            <w:vAlign w:val="center"/>
            <w:hideMark/>
          </w:tcPr>
          <w:p>
            <w:pPr>
              <w:spacing w:before="0" w:after="0"/>
              <w:jc w:val="center"/>
              <w:rPr>
                <w:b/>
                <w:bCs/>
                <w:noProof/>
                <w:color w:val="000000"/>
                <w:sz w:val="16"/>
                <w:szCs w:val="16"/>
              </w:rPr>
            </w:pPr>
            <w:r>
              <w:rPr>
                <w:b/>
                <w:noProof/>
                <w:color w:val="000000"/>
                <w:sz w:val="16"/>
              </w:rPr>
              <w:t>Subtotal de la RUBRICA 7</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1080"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r>
      <w:tr>
        <w:trPr>
          <w:trHeight w:val="300"/>
        </w:trPr>
        <w:tc>
          <w:tcPr>
            <w:tcW w:w="8680" w:type="dxa"/>
            <w:gridSpan w:val="6"/>
            <w:tcBorders>
              <w:top w:val="single" w:sz="8" w:space="0" w:color="auto"/>
              <w:left w:val="single" w:sz="8" w:space="0" w:color="auto"/>
              <w:bottom w:val="single" w:sz="8" w:space="0" w:color="auto"/>
              <w:right w:val="single" w:sz="4" w:space="0" w:color="auto"/>
            </w:tcBorders>
            <w:vAlign w:val="center"/>
            <w:hideMark/>
          </w:tcPr>
          <w:p>
            <w:pPr>
              <w:spacing w:before="0" w:after="0"/>
              <w:jc w:val="left"/>
              <w:rPr>
                <w:b/>
                <w:bCs/>
                <w:noProof/>
                <w:sz w:val="16"/>
                <w:szCs w:val="16"/>
              </w:rPr>
            </w:pPr>
            <w:r>
              <w:rPr>
                <w:b/>
                <w:noProof/>
                <w:sz w:val="16"/>
              </w:rPr>
              <w:t>În afara RUBRICII 7</w:t>
            </w:r>
          </w:p>
        </w:tc>
      </w:tr>
      <w:tr>
        <w:trPr>
          <w:trHeight w:val="300"/>
        </w:trPr>
        <w:tc>
          <w:tcPr>
            <w:tcW w:w="3760" w:type="dxa"/>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rPr>
            </w:pPr>
            <w:r>
              <w:rPr>
                <w:noProof/>
                <w:color w:val="000000"/>
                <w:sz w:val="16"/>
              </w:rPr>
              <w:t xml:space="preserve">Resurse umane </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1080"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r>
      <w:tr>
        <w:trPr>
          <w:trHeight w:val="300"/>
        </w:trPr>
        <w:tc>
          <w:tcPr>
            <w:tcW w:w="3760" w:type="dxa"/>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rPr>
            </w:pPr>
            <w:r>
              <w:rPr>
                <w:noProof/>
                <w:color w:val="000000"/>
                <w:sz w:val="16"/>
              </w:rPr>
              <w:t>Alte cheltuieli cu caracter administrativ</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1080"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r>
      <w:tr>
        <w:trPr>
          <w:trHeight w:val="300"/>
        </w:trPr>
        <w:tc>
          <w:tcPr>
            <w:tcW w:w="3760" w:type="dxa"/>
            <w:tcBorders>
              <w:top w:val="nil"/>
              <w:left w:val="single" w:sz="8" w:space="0" w:color="auto"/>
              <w:bottom w:val="single" w:sz="8" w:space="0" w:color="auto"/>
              <w:right w:val="single" w:sz="8" w:space="0" w:color="auto"/>
            </w:tcBorders>
            <w:shd w:val="clear" w:color="000000" w:fill="CCCCCC"/>
            <w:vAlign w:val="center"/>
            <w:hideMark/>
          </w:tcPr>
          <w:p>
            <w:pPr>
              <w:spacing w:before="0" w:after="0"/>
              <w:jc w:val="center"/>
              <w:rPr>
                <w:b/>
                <w:bCs/>
                <w:noProof/>
                <w:color w:val="000000"/>
                <w:sz w:val="16"/>
                <w:szCs w:val="16"/>
              </w:rPr>
            </w:pPr>
            <w:r>
              <w:rPr>
                <w:b/>
                <w:noProof/>
                <w:color w:val="000000"/>
                <w:sz w:val="16"/>
              </w:rPr>
              <w:t>Subtotal în afara RUBRICII 7</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1080"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r>
      <w:tr>
        <w:trPr>
          <w:trHeight w:val="300"/>
        </w:trPr>
        <w:tc>
          <w:tcPr>
            <w:tcW w:w="8680" w:type="dxa"/>
            <w:gridSpan w:val="6"/>
            <w:tcBorders>
              <w:top w:val="single" w:sz="8" w:space="0" w:color="auto"/>
              <w:left w:val="single" w:sz="8" w:space="0" w:color="auto"/>
              <w:bottom w:val="single" w:sz="8" w:space="0" w:color="auto"/>
              <w:right w:val="single" w:sz="4" w:space="0" w:color="auto"/>
            </w:tcBorders>
            <w:noWrap/>
            <w:vAlign w:val="center"/>
            <w:hideMark/>
          </w:tcPr>
          <w:p>
            <w:pPr>
              <w:spacing w:before="0" w:after="0"/>
              <w:jc w:val="center"/>
              <w:rPr>
                <w:noProof/>
                <w:color w:val="000000"/>
                <w:sz w:val="16"/>
                <w:szCs w:val="16"/>
              </w:rPr>
            </w:pPr>
            <w:r>
              <w:rPr>
                <w:noProof/>
                <w:color w:val="000000"/>
                <w:sz w:val="16"/>
              </w:rPr>
              <w:t xml:space="preserve"> </w:t>
            </w:r>
          </w:p>
        </w:tc>
      </w:tr>
      <w:tr>
        <w:trPr>
          <w:trHeight w:val="312"/>
        </w:trPr>
        <w:tc>
          <w:tcPr>
            <w:tcW w:w="3760" w:type="dxa"/>
            <w:tcBorders>
              <w:top w:val="single" w:sz="12" w:space="0" w:color="auto"/>
              <w:left w:val="single" w:sz="12" w:space="0" w:color="auto"/>
              <w:bottom w:val="single" w:sz="12" w:space="0" w:color="auto"/>
              <w:right w:val="single" w:sz="8" w:space="0" w:color="auto"/>
            </w:tcBorders>
            <w:vAlign w:val="center"/>
            <w:hideMark/>
          </w:tcPr>
          <w:p>
            <w:pPr>
              <w:spacing w:before="0" w:after="0"/>
              <w:jc w:val="center"/>
              <w:rPr>
                <w:b/>
                <w:bCs/>
                <w:noProof/>
                <w:color w:val="000000"/>
                <w:sz w:val="16"/>
                <w:szCs w:val="16"/>
              </w:rPr>
            </w:pPr>
            <w:r>
              <w:rPr>
                <w:b/>
                <w:noProof/>
                <w:color w:val="000000"/>
                <w:sz w:val="16"/>
              </w:rPr>
              <w:t>TOTAL</w:t>
            </w:r>
          </w:p>
        </w:tc>
        <w:tc>
          <w:tcPr>
            <w:tcW w:w="960" w:type="dxa"/>
            <w:tcBorders>
              <w:top w:val="single" w:sz="12" w:space="0" w:color="auto"/>
              <w:left w:val="nil"/>
              <w:bottom w:val="single" w:sz="12"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960" w:type="dxa"/>
            <w:tcBorders>
              <w:top w:val="single" w:sz="12" w:space="0" w:color="auto"/>
              <w:left w:val="nil"/>
              <w:bottom w:val="single" w:sz="12"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960" w:type="dxa"/>
            <w:tcBorders>
              <w:top w:val="single" w:sz="12" w:space="0" w:color="auto"/>
              <w:left w:val="nil"/>
              <w:bottom w:val="single" w:sz="12"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960" w:type="dxa"/>
            <w:tcBorders>
              <w:top w:val="single" w:sz="12" w:space="0" w:color="auto"/>
              <w:left w:val="nil"/>
              <w:bottom w:val="single" w:sz="12"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1080" w:type="dxa"/>
            <w:tcBorders>
              <w:top w:val="single" w:sz="12" w:space="0" w:color="auto"/>
              <w:left w:val="nil"/>
              <w:bottom w:val="single" w:sz="12"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r>
    </w:tbl>
    <w:p>
      <w:pPr>
        <w:rPr>
          <w:noProof/>
          <w:sz w:val="22"/>
          <w:szCs w:val="28"/>
        </w:rPr>
      </w:pPr>
      <w:r>
        <w:rPr>
          <w:noProof/>
          <w:sz w:val="22"/>
        </w:rPr>
        <w:t>Necesarul de credite pentru resursele umane și pentru alte cheltuieli cu caracter administrativ va fi acoperit de creditele direcției generale (DG) respective care sunt deja alocate pentru gestionarea acțiunii și/sau au fost redistribuite intern în cadrul DG-ului respectiv, completate, după caz, cu resurse suplimentare care ar putea fi alocate DG-ului care gestionează acțiunea în cadrul procedurii anuale de alocare și ținând seama de constrângerile bugetare.</w:t>
      </w:r>
    </w:p>
    <w:p>
      <w:pPr>
        <w:pStyle w:val="ManualHeading3"/>
        <w:rPr>
          <w:bCs/>
          <w:noProof/>
          <w:szCs w:val="24"/>
        </w:rPr>
      </w:pPr>
      <w:bookmarkStart w:id="159" w:name="_Toc167220294"/>
      <w:bookmarkStart w:id="160" w:name="_Toc177549027"/>
      <w:r>
        <w:rPr>
          <w:noProof/>
        </w:rPr>
        <w:t>3.2.4.</w:t>
      </w:r>
      <w:r>
        <w:rPr>
          <w:noProof/>
        </w:rPr>
        <w:tab/>
        <w:t>Necesarul de resurse umane estimat</w:t>
      </w:r>
      <w:bookmarkEnd w:id="159"/>
      <w:bookmarkEnd w:id="160"/>
      <w:r>
        <w:rPr>
          <w:noProof/>
        </w:rPr>
        <w:t xml:space="preserve"> </w:t>
      </w:r>
    </w:p>
    <w:p>
      <w:pPr>
        <w:pStyle w:val="ListDash1"/>
        <w:rPr>
          <w:noProof/>
        </w:rPr>
      </w:pPr>
      <w:r>
        <w:rPr>
          <w:rFonts w:ascii="Wingdings" w:hAnsi="Wingdings"/>
          <w:noProof/>
        </w:rPr>
        <w:t>¨</w:t>
      </w:r>
      <w:r>
        <w:rPr>
          <w:noProof/>
        </w:rPr>
        <w:tab/>
        <w:t xml:space="preserve">Propunerea/inițiativa nu implică utilizarea de resurse umane </w:t>
      </w:r>
    </w:p>
    <w:p>
      <w:pPr>
        <w:pStyle w:val="ListDash1"/>
        <w:rPr>
          <w:noProof/>
        </w:rPr>
      </w:pPr>
      <w:r>
        <w:rPr>
          <w:rFonts w:ascii="Wingdings" w:hAnsi="Wingdings"/>
          <w:noProof/>
        </w:rPr>
        <w:t>¨</w:t>
      </w:r>
      <w:r>
        <w:rPr>
          <w:noProof/>
        </w:rPr>
        <w:tab/>
        <w:t>Propunerea/inițiativa implică utilizarea de resurse umane, conform explicațiilor de mai jos</w:t>
      </w:r>
    </w:p>
    <w:p>
      <w:pPr>
        <w:pStyle w:val="ManualHeading3"/>
        <w:rPr>
          <w:noProof/>
        </w:rPr>
      </w:pPr>
      <w:bookmarkStart w:id="161" w:name="_Toc167220295"/>
      <w:bookmarkStart w:id="162" w:name="_Toc177549028"/>
      <w:r>
        <w:rPr>
          <w:noProof/>
        </w:rPr>
        <w:t>3.2.4.1.</w:t>
      </w:r>
      <w:r>
        <w:rPr>
          <w:noProof/>
        </w:rPr>
        <w:tab/>
        <w:t>Finanțate din bugetul votat</w:t>
      </w:r>
      <w:bookmarkEnd w:id="161"/>
      <w:bookmarkEnd w:id="162"/>
    </w:p>
    <w:p>
      <w:pPr>
        <w:spacing w:after="60"/>
        <w:jc w:val="right"/>
        <w:rPr>
          <w:i/>
          <w:noProof/>
          <w:sz w:val="20"/>
        </w:rPr>
      </w:pPr>
      <w:r>
        <w:rPr>
          <w:i/>
          <w:noProof/>
          <w:sz w:val="20"/>
        </w:rPr>
        <w:t>Estimări în echivalent normă întreagă (ENI)</w:t>
      </w:r>
    </w:p>
    <w:p>
      <w:pPr>
        <w:pStyle w:val="Text1"/>
        <w:spacing w:before="60" w:after="60"/>
        <w:ind w:left="-426" w:right="-427"/>
        <w:rPr>
          <w:b/>
          <w:noProof/>
          <w:sz w:val="18"/>
          <w:szCs w:val="18"/>
        </w:rPr>
      </w:pPr>
      <w:bookmarkStart w:id="163" w:name="_Hlk156979231"/>
    </w:p>
    <w:tbl>
      <w:tblPr>
        <w:tblW w:w="5000" w:type="pct"/>
        <w:tblLook w:val="04A0" w:firstRow="1" w:lastRow="0" w:firstColumn="1" w:lastColumn="0" w:noHBand="0" w:noVBand="1"/>
      </w:tblPr>
      <w:tblGrid>
        <w:gridCol w:w="1513"/>
        <w:gridCol w:w="3898"/>
        <w:gridCol w:w="970"/>
        <w:gridCol w:w="970"/>
        <w:gridCol w:w="970"/>
        <w:gridCol w:w="968"/>
      </w:tblGrid>
      <w:tr>
        <w:trPr>
          <w:trHeight w:val="300"/>
        </w:trPr>
        <w:tc>
          <w:tcPr>
            <w:tcW w:w="2913" w:type="pct"/>
            <w:gridSpan w:val="2"/>
            <w:vMerge w:val="restart"/>
            <w:tcBorders>
              <w:top w:val="single" w:sz="8" w:space="0" w:color="auto"/>
              <w:left w:val="single" w:sz="8" w:space="0" w:color="auto"/>
              <w:bottom w:val="single" w:sz="8" w:space="0" w:color="000000"/>
              <w:right w:val="single" w:sz="8" w:space="0" w:color="000000"/>
            </w:tcBorders>
            <w:vAlign w:val="center"/>
            <w:hideMark/>
          </w:tcPr>
          <w:p>
            <w:pPr>
              <w:spacing w:before="0" w:after="0"/>
              <w:jc w:val="center"/>
              <w:rPr>
                <w:b/>
                <w:bCs/>
                <w:noProof/>
                <w:color w:val="000000"/>
                <w:sz w:val="18"/>
                <w:szCs w:val="18"/>
              </w:rPr>
            </w:pPr>
            <w:r>
              <w:rPr>
                <w:b/>
                <w:noProof/>
                <w:color w:val="000000"/>
                <w:sz w:val="18"/>
              </w:rPr>
              <w:t>CREDITE VOTATE</w:t>
            </w:r>
          </w:p>
        </w:tc>
        <w:tc>
          <w:tcPr>
            <w:tcW w:w="522"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522"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522"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522"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Anul</w:t>
            </w:r>
          </w:p>
        </w:tc>
      </w:tr>
      <w:tr>
        <w:trPr>
          <w:trHeight w:val="300"/>
        </w:trPr>
        <w:tc>
          <w:tcPr>
            <w:tcW w:w="2913" w:type="pct"/>
            <w:gridSpan w:val="2"/>
            <w:vMerge/>
            <w:tcBorders>
              <w:top w:val="single" w:sz="8" w:space="0" w:color="auto"/>
              <w:left w:val="single" w:sz="8" w:space="0" w:color="auto"/>
              <w:bottom w:val="single" w:sz="8" w:space="0" w:color="auto"/>
              <w:right w:val="single" w:sz="8" w:space="0" w:color="000000"/>
            </w:tcBorders>
            <w:vAlign w:val="center"/>
            <w:hideMark/>
          </w:tcPr>
          <w:p>
            <w:pPr>
              <w:spacing w:before="0" w:after="0"/>
              <w:jc w:val="left"/>
              <w:rPr>
                <w:b/>
                <w:bCs/>
                <w:noProof/>
                <w:color w:val="000000"/>
                <w:sz w:val="18"/>
                <w:szCs w:val="18"/>
                <w:lang w:eastAsia="en-IE"/>
              </w:rPr>
            </w:pPr>
          </w:p>
        </w:tc>
        <w:tc>
          <w:tcPr>
            <w:tcW w:w="522"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2024</w:t>
            </w:r>
          </w:p>
        </w:tc>
        <w:tc>
          <w:tcPr>
            <w:tcW w:w="522"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2025</w:t>
            </w:r>
          </w:p>
        </w:tc>
        <w:tc>
          <w:tcPr>
            <w:tcW w:w="522"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2026</w:t>
            </w:r>
          </w:p>
        </w:tc>
        <w:tc>
          <w:tcPr>
            <w:tcW w:w="522"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2027</w:t>
            </w:r>
          </w:p>
        </w:tc>
      </w:tr>
      <w:tr>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pPr>
              <w:spacing w:before="0" w:after="0"/>
              <w:jc w:val="left"/>
              <w:rPr>
                <w:rFonts w:ascii="Wingdings" w:hAnsi="Wingdings" w:cs="Calibri"/>
                <w:b/>
                <w:bCs/>
                <w:noProof/>
                <w:color w:val="000000"/>
                <w:sz w:val="16"/>
                <w:szCs w:val="16"/>
              </w:rPr>
            </w:pPr>
            <w:r>
              <w:rPr>
                <w:rFonts w:ascii="Wingdings" w:hAnsi="Wingdings"/>
                <w:b/>
                <w:noProof/>
                <w:color w:val="000000"/>
                <w:sz w:val="16"/>
              </w:rPr>
              <w:t>Ÿ</w:t>
            </w:r>
            <w:r>
              <w:rPr>
                <w:b/>
                <w:noProof/>
                <w:color w:val="000000"/>
                <w:sz w:val="16"/>
              </w:rPr>
              <w:t xml:space="preserve"> Posturi din schema de personal (funcționari și agenți temporari)</w:t>
            </w:r>
          </w:p>
        </w:tc>
      </w:tr>
      <w:tr>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20 01 02 01 (la sediu și în reprezentanțele Comisiei)</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20 01 02 03 (delegațiile UE)</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01 01 01 01</w:t>
            </w:r>
            <w:r>
              <w:rPr>
                <w:rFonts w:ascii="Arial Narrow" w:hAnsi="Arial Narrow"/>
                <w:noProof/>
                <w:color w:val="000000"/>
                <w:sz w:val="20"/>
              </w:rPr>
              <w:t xml:space="preserve"> </w:t>
            </w:r>
            <w:r>
              <w:rPr>
                <w:noProof/>
                <w:color w:val="000000"/>
                <w:sz w:val="16"/>
              </w:rPr>
              <w:t>(cercetare indirectă)</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01 01 01 11 (cercetare directă)</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Alte linii bugetare (a se preciza)</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pPr>
              <w:spacing w:before="0" w:after="0"/>
              <w:jc w:val="left"/>
              <w:rPr>
                <w:rFonts w:ascii="Wingdings" w:hAnsi="Wingdings" w:cs="Calibri"/>
                <w:b/>
                <w:bCs/>
                <w:noProof/>
                <w:color w:val="000000"/>
                <w:sz w:val="16"/>
                <w:szCs w:val="16"/>
              </w:rPr>
            </w:pPr>
            <w:r>
              <w:rPr>
                <w:rFonts w:ascii="Calibri" w:hAnsi="Calibri"/>
                <w:b/>
                <w:noProof/>
                <w:color w:val="000000"/>
                <w:sz w:val="16"/>
              </w:rPr>
              <w:t>•</w:t>
            </w:r>
            <w:r>
              <w:rPr>
                <w:b/>
                <w:noProof/>
                <w:color w:val="000000"/>
                <w:sz w:val="16"/>
              </w:rPr>
              <w:t xml:space="preserve"> Personal extern (în ENI)</w:t>
            </w:r>
          </w:p>
        </w:tc>
      </w:tr>
      <w:tr>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20 02 01 (AC, END din „pachetul global”)</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20 02 03 (AC, AL, END și JPD în delegațiile UE)</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815" w:type="pct"/>
            <w:vMerge w:val="restart"/>
            <w:tcBorders>
              <w:top w:val="nil"/>
              <w:left w:val="single" w:sz="8" w:space="0" w:color="auto"/>
              <w:bottom w:val="single" w:sz="8" w:space="0" w:color="auto"/>
              <w:right w:val="single" w:sz="8" w:space="0" w:color="auto"/>
            </w:tcBorders>
            <w:vAlign w:val="center"/>
            <w:hideMark/>
          </w:tcPr>
          <w:p>
            <w:pPr>
              <w:spacing w:before="0" w:after="0"/>
              <w:jc w:val="center"/>
              <w:rPr>
                <w:noProof/>
                <w:color w:val="000000"/>
                <w:sz w:val="16"/>
                <w:szCs w:val="16"/>
              </w:rPr>
            </w:pPr>
            <w:r>
              <w:rPr>
                <w:noProof/>
                <w:color w:val="000000"/>
                <w:sz w:val="16"/>
              </w:rPr>
              <w:t>Linia de sprijin administrativ</w:t>
            </w:r>
            <w:r>
              <w:rPr>
                <w:noProof/>
              </w:rPr>
              <w:t xml:space="preserve"> </w:t>
            </w:r>
            <w:r>
              <w:rPr>
                <w:noProof/>
              </w:rPr>
              <w:br/>
            </w:r>
            <w:r>
              <w:rPr>
                <w:noProof/>
                <w:color w:val="000000"/>
                <w:sz w:val="16"/>
              </w:rPr>
              <w:t>[XX.01.AAAA]</w:t>
            </w:r>
          </w:p>
        </w:tc>
        <w:tc>
          <w:tcPr>
            <w:tcW w:w="2098" w:type="pct"/>
            <w:tcBorders>
              <w:top w:val="nil"/>
              <w:left w:val="nil"/>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 la sediile centrale</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815" w:type="pct"/>
            <w:vMerge/>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lang w:eastAsia="en-IE"/>
              </w:rPr>
            </w:pPr>
          </w:p>
        </w:tc>
        <w:tc>
          <w:tcPr>
            <w:tcW w:w="2098" w:type="pct"/>
            <w:tcBorders>
              <w:top w:val="nil"/>
              <w:left w:val="nil"/>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 xml:space="preserve">– în delegațiile UE </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01 01 01 02</w:t>
            </w:r>
            <w:r>
              <w:rPr>
                <w:rFonts w:ascii="Arial Narrow" w:hAnsi="Arial Narrow"/>
                <w:noProof/>
                <w:color w:val="000000"/>
                <w:sz w:val="20"/>
              </w:rPr>
              <w:t xml:space="preserve"> </w:t>
            </w:r>
            <w:r>
              <w:rPr>
                <w:noProof/>
                <w:color w:val="000000"/>
                <w:sz w:val="16"/>
              </w:rPr>
              <w:t>(AC, END – cercetare indirectă)</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 xml:space="preserve"> 01 01 01 12 (AC, END – cercetare directă)</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Alte linii bugetare (a se preciza) – rubrica 7</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Alte linii bugetare (a se preciza) – în afara rubricii 7</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b/>
                <w:bCs/>
                <w:noProof/>
                <w:color w:val="000000"/>
                <w:sz w:val="16"/>
                <w:szCs w:val="16"/>
              </w:rPr>
            </w:pPr>
            <w:r>
              <w:rPr>
                <w:b/>
                <w:noProof/>
                <w:color w:val="000000"/>
                <w:sz w:val="16"/>
              </w:rPr>
              <w:t>TOTAL</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b/>
                <w:bCs/>
                <w:noProof/>
                <w:color w:val="000000"/>
                <w:sz w:val="16"/>
                <w:szCs w:val="16"/>
              </w:rPr>
            </w:pPr>
            <w:r>
              <w:rPr>
                <w:b/>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b/>
                <w:bCs/>
                <w:noProof/>
                <w:color w:val="000000"/>
                <w:sz w:val="16"/>
                <w:szCs w:val="16"/>
              </w:rPr>
            </w:pPr>
            <w:r>
              <w:rPr>
                <w:b/>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b/>
                <w:bCs/>
                <w:noProof/>
                <w:color w:val="000000"/>
                <w:sz w:val="16"/>
                <w:szCs w:val="16"/>
              </w:rPr>
            </w:pPr>
            <w:r>
              <w:rPr>
                <w:b/>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b/>
                <w:bCs/>
                <w:noProof/>
                <w:color w:val="000000"/>
                <w:sz w:val="16"/>
                <w:szCs w:val="16"/>
              </w:rPr>
            </w:pPr>
            <w:r>
              <w:rPr>
                <w:b/>
                <w:noProof/>
                <w:color w:val="000000"/>
                <w:sz w:val="16"/>
              </w:rPr>
              <w:t>0</w:t>
            </w:r>
          </w:p>
        </w:tc>
      </w:tr>
    </w:tbl>
    <w:p>
      <w:pPr>
        <w:pStyle w:val="ManualHeading3"/>
        <w:rPr>
          <w:noProof/>
        </w:rPr>
      </w:pPr>
      <w:bookmarkStart w:id="164" w:name="_Toc167220296"/>
      <w:bookmarkStart w:id="165" w:name="_Toc177549029"/>
      <w:r>
        <w:rPr>
          <w:noProof/>
        </w:rPr>
        <w:t>3.2.4.2.</w:t>
      </w:r>
      <w:r>
        <w:rPr>
          <w:noProof/>
        </w:rPr>
        <w:tab/>
        <w:t>Finanțate din venituri alocate externe</w:t>
      </w:r>
      <w:bookmarkEnd w:id="164"/>
      <w:bookmarkEnd w:id="165"/>
    </w:p>
    <w:tbl>
      <w:tblPr>
        <w:tblW w:w="5000" w:type="pct"/>
        <w:tblLook w:val="04A0" w:firstRow="1" w:lastRow="0" w:firstColumn="1" w:lastColumn="0" w:noHBand="0" w:noVBand="1"/>
      </w:tblPr>
      <w:tblGrid>
        <w:gridCol w:w="1513"/>
        <w:gridCol w:w="3898"/>
        <w:gridCol w:w="970"/>
        <w:gridCol w:w="970"/>
        <w:gridCol w:w="970"/>
        <w:gridCol w:w="968"/>
      </w:tblGrid>
      <w:tr>
        <w:trPr>
          <w:trHeight w:val="300"/>
        </w:trPr>
        <w:tc>
          <w:tcPr>
            <w:tcW w:w="2913" w:type="pct"/>
            <w:gridSpan w:val="2"/>
            <w:vMerge w:val="restart"/>
            <w:tcBorders>
              <w:top w:val="single" w:sz="8" w:space="0" w:color="auto"/>
              <w:left w:val="single" w:sz="8" w:space="0" w:color="auto"/>
              <w:bottom w:val="single" w:sz="8" w:space="0" w:color="000000"/>
              <w:right w:val="single" w:sz="8" w:space="0" w:color="000000"/>
            </w:tcBorders>
            <w:vAlign w:val="center"/>
            <w:hideMark/>
          </w:tcPr>
          <w:p>
            <w:pPr>
              <w:spacing w:before="0" w:after="0"/>
              <w:jc w:val="center"/>
              <w:rPr>
                <w:b/>
                <w:bCs/>
                <w:noProof/>
                <w:color w:val="000000"/>
                <w:sz w:val="18"/>
                <w:szCs w:val="18"/>
              </w:rPr>
            </w:pPr>
            <w:r>
              <w:rPr>
                <w:b/>
                <w:noProof/>
                <w:color w:val="000000"/>
                <w:sz w:val="18"/>
              </w:rPr>
              <w:t>VENITURI ALOCATE EXTERNE</w:t>
            </w:r>
          </w:p>
        </w:tc>
        <w:tc>
          <w:tcPr>
            <w:tcW w:w="522"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522"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522"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522"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Anul</w:t>
            </w:r>
          </w:p>
        </w:tc>
      </w:tr>
      <w:tr>
        <w:trPr>
          <w:trHeight w:val="300"/>
        </w:trPr>
        <w:tc>
          <w:tcPr>
            <w:tcW w:w="2913" w:type="pct"/>
            <w:gridSpan w:val="2"/>
            <w:vMerge/>
            <w:tcBorders>
              <w:top w:val="single" w:sz="8" w:space="0" w:color="auto"/>
              <w:left w:val="single" w:sz="8" w:space="0" w:color="auto"/>
              <w:bottom w:val="single" w:sz="8" w:space="0" w:color="auto"/>
              <w:right w:val="single" w:sz="8" w:space="0" w:color="000000"/>
            </w:tcBorders>
            <w:vAlign w:val="center"/>
            <w:hideMark/>
          </w:tcPr>
          <w:p>
            <w:pPr>
              <w:spacing w:before="0" w:after="0"/>
              <w:jc w:val="left"/>
              <w:rPr>
                <w:b/>
                <w:bCs/>
                <w:noProof/>
                <w:color w:val="000000"/>
                <w:sz w:val="18"/>
                <w:szCs w:val="18"/>
                <w:lang w:eastAsia="en-IE"/>
              </w:rPr>
            </w:pPr>
          </w:p>
        </w:tc>
        <w:tc>
          <w:tcPr>
            <w:tcW w:w="522"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2024</w:t>
            </w:r>
          </w:p>
        </w:tc>
        <w:tc>
          <w:tcPr>
            <w:tcW w:w="522"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2025</w:t>
            </w:r>
          </w:p>
        </w:tc>
        <w:tc>
          <w:tcPr>
            <w:tcW w:w="522"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2026</w:t>
            </w:r>
          </w:p>
        </w:tc>
        <w:tc>
          <w:tcPr>
            <w:tcW w:w="522"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2027</w:t>
            </w:r>
          </w:p>
        </w:tc>
      </w:tr>
      <w:tr>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pPr>
              <w:spacing w:before="0" w:after="0"/>
              <w:jc w:val="left"/>
              <w:rPr>
                <w:rFonts w:ascii="Wingdings" w:hAnsi="Wingdings" w:cs="Calibri"/>
                <w:b/>
                <w:bCs/>
                <w:noProof/>
                <w:color w:val="000000"/>
                <w:sz w:val="16"/>
                <w:szCs w:val="16"/>
              </w:rPr>
            </w:pPr>
            <w:r>
              <w:rPr>
                <w:rFonts w:ascii="Wingdings" w:hAnsi="Wingdings"/>
                <w:b/>
                <w:noProof/>
                <w:color w:val="000000"/>
                <w:sz w:val="16"/>
              </w:rPr>
              <w:t>Ÿ</w:t>
            </w:r>
            <w:r>
              <w:rPr>
                <w:b/>
                <w:noProof/>
                <w:color w:val="000000"/>
                <w:sz w:val="16"/>
              </w:rPr>
              <w:t xml:space="preserve"> Posturi din schema de personal (funcționari și agenți temporari)</w:t>
            </w:r>
          </w:p>
        </w:tc>
      </w:tr>
      <w:tr>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20 01 02 01 (la sediu și în reprezentanțele Comisiei)</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20 01 02 03 (delegațiile UE)</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01 01 01 01 (cercetare indirectă)</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01 01 01 11 (cercetare directă)</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Alte linii bugetare (a se preciza)</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pPr>
              <w:spacing w:before="0" w:after="0"/>
              <w:jc w:val="left"/>
              <w:rPr>
                <w:rFonts w:ascii="Wingdings" w:hAnsi="Wingdings" w:cs="Calibri"/>
                <w:b/>
                <w:bCs/>
                <w:noProof/>
                <w:color w:val="000000"/>
                <w:sz w:val="16"/>
                <w:szCs w:val="16"/>
              </w:rPr>
            </w:pPr>
            <w:r>
              <w:rPr>
                <w:rFonts w:ascii="Calibri" w:hAnsi="Calibri"/>
                <w:b/>
                <w:noProof/>
                <w:color w:val="000000"/>
                <w:sz w:val="16"/>
              </w:rPr>
              <w:t>•</w:t>
            </w:r>
            <w:r>
              <w:rPr>
                <w:b/>
                <w:noProof/>
                <w:color w:val="000000"/>
                <w:sz w:val="16"/>
              </w:rPr>
              <w:t xml:space="preserve"> Personal extern (în echivalent normă întreagă)</w:t>
            </w:r>
          </w:p>
        </w:tc>
      </w:tr>
      <w:tr>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20 02 01 (AC, END din „pachetul global”)</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20 02 03 (AC, AL, END și JPD în delegațiile UE)</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815" w:type="pct"/>
            <w:vMerge w:val="restart"/>
            <w:tcBorders>
              <w:top w:val="nil"/>
              <w:left w:val="single" w:sz="8" w:space="0" w:color="auto"/>
              <w:bottom w:val="single" w:sz="8" w:space="0" w:color="auto"/>
              <w:right w:val="single" w:sz="8" w:space="0" w:color="auto"/>
            </w:tcBorders>
            <w:vAlign w:val="center"/>
            <w:hideMark/>
          </w:tcPr>
          <w:p>
            <w:pPr>
              <w:spacing w:before="0" w:after="0"/>
              <w:jc w:val="center"/>
              <w:rPr>
                <w:noProof/>
                <w:color w:val="000000"/>
                <w:sz w:val="16"/>
                <w:szCs w:val="16"/>
              </w:rPr>
            </w:pPr>
            <w:r>
              <w:rPr>
                <w:noProof/>
                <w:color w:val="000000"/>
                <w:sz w:val="16"/>
              </w:rPr>
              <w:t xml:space="preserve">Linia de sprijin administrativ </w:t>
            </w:r>
            <w:r>
              <w:rPr>
                <w:noProof/>
              </w:rPr>
              <w:t xml:space="preserve"> </w:t>
            </w:r>
            <w:r>
              <w:rPr>
                <w:noProof/>
              </w:rPr>
              <w:br/>
            </w:r>
            <w:r>
              <w:rPr>
                <w:noProof/>
                <w:color w:val="000000"/>
                <w:sz w:val="16"/>
              </w:rPr>
              <w:t>[XX.01.AAAA]</w:t>
            </w:r>
          </w:p>
        </w:tc>
        <w:tc>
          <w:tcPr>
            <w:tcW w:w="2098" w:type="pct"/>
            <w:tcBorders>
              <w:top w:val="nil"/>
              <w:left w:val="nil"/>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 la sediile centrale</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815" w:type="pct"/>
            <w:vMerge/>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lang w:eastAsia="en-IE"/>
              </w:rPr>
            </w:pPr>
          </w:p>
        </w:tc>
        <w:tc>
          <w:tcPr>
            <w:tcW w:w="2098" w:type="pct"/>
            <w:tcBorders>
              <w:top w:val="nil"/>
              <w:left w:val="nil"/>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 xml:space="preserve">– în delegațiile UE </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01 01 01 02</w:t>
            </w:r>
            <w:r>
              <w:rPr>
                <w:rFonts w:ascii="Arial Narrow" w:hAnsi="Arial Narrow"/>
                <w:noProof/>
                <w:color w:val="000000"/>
                <w:sz w:val="20"/>
              </w:rPr>
              <w:t xml:space="preserve"> </w:t>
            </w:r>
            <w:r>
              <w:rPr>
                <w:noProof/>
                <w:color w:val="000000"/>
                <w:sz w:val="16"/>
              </w:rPr>
              <w:t>(AC, END – cercetare indirectă)</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 xml:space="preserve"> 01 01 01 12 (AC, END – cercetare directă)</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Alte linii bugetare (a se preciza) – rubrica 7</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Alte linii bugetare (a se preciza) – în afara rubricii 7</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b/>
                <w:bCs/>
                <w:noProof/>
                <w:color w:val="000000"/>
                <w:sz w:val="16"/>
                <w:szCs w:val="16"/>
              </w:rPr>
            </w:pPr>
            <w:r>
              <w:rPr>
                <w:b/>
                <w:noProof/>
                <w:color w:val="000000"/>
                <w:sz w:val="16"/>
              </w:rPr>
              <w:t>TOTAL</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b/>
                <w:bCs/>
                <w:noProof/>
                <w:color w:val="000000"/>
                <w:sz w:val="16"/>
                <w:szCs w:val="16"/>
              </w:rPr>
            </w:pPr>
            <w:r>
              <w:rPr>
                <w:b/>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b/>
                <w:bCs/>
                <w:noProof/>
                <w:color w:val="000000"/>
                <w:sz w:val="16"/>
                <w:szCs w:val="16"/>
              </w:rPr>
            </w:pPr>
            <w:r>
              <w:rPr>
                <w:b/>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b/>
                <w:bCs/>
                <w:noProof/>
                <w:color w:val="000000"/>
                <w:sz w:val="16"/>
                <w:szCs w:val="16"/>
              </w:rPr>
            </w:pPr>
            <w:r>
              <w:rPr>
                <w:b/>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b/>
                <w:bCs/>
                <w:noProof/>
                <w:color w:val="000000"/>
                <w:sz w:val="16"/>
                <w:szCs w:val="16"/>
              </w:rPr>
            </w:pPr>
            <w:r>
              <w:rPr>
                <w:b/>
                <w:noProof/>
                <w:color w:val="000000"/>
                <w:sz w:val="16"/>
              </w:rPr>
              <w:t>0</w:t>
            </w:r>
          </w:p>
        </w:tc>
      </w:tr>
    </w:tbl>
    <w:p>
      <w:pPr>
        <w:pStyle w:val="ManualHeading3"/>
        <w:rPr>
          <w:noProof/>
        </w:rPr>
      </w:pPr>
      <w:bookmarkStart w:id="166" w:name="_Toc167220297"/>
      <w:bookmarkStart w:id="167" w:name="_Toc177549030"/>
      <w:r>
        <w:rPr>
          <w:noProof/>
        </w:rPr>
        <w:t>3.2.4.3.</w:t>
      </w:r>
      <w:r>
        <w:rPr>
          <w:noProof/>
        </w:rPr>
        <w:tab/>
        <w:t>Necesarul total de resurse umane</w:t>
      </w:r>
      <w:bookmarkEnd w:id="166"/>
      <w:bookmarkEnd w:id="167"/>
    </w:p>
    <w:tbl>
      <w:tblPr>
        <w:tblW w:w="9200" w:type="dxa"/>
        <w:tblLook w:val="04A0" w:firstRow="1" w:lastRow="0" w:firstColumn="1" w:lastColumn="0" w:noHBand="0" w:noVBand="1"/>
      </w:tblPr>
      <w:tblGrid>
        <w:gridCol w:w="1500"/>
        <w:gridCol w:w="3860"/>
        <w:gridCol w:w="960"/>
        <w:gridCol w:w="960"/>
        <w:gridCol w:w="960"/>
        <w:gridCol w:w="960"/>
      </w:tblGrid>
      <w:tr>
        <w:trPr>
          <w:trHeight w:val="492"/>
        </w:trPr>
        <w:tc>
          <w:tcPr>
            <w:tcW w:w="5360" w:type="dxa"/>
            <w:gridSpan w:val="2"/>
            <w:vMerge w:val="restart"/>
            <w:tcBorders>
              <w:top w:val="single" w:sz="8" w:space="0" w:color="auto"/>
              <w:left w:val="single" w:sz="8" w:space="0" w:color="auto"/>
              <w:bottom w:val="single" w:sz="8" w:space="0" w:color="000000"/>
              <w:right w:val="single" w:sz="8" w:space="0" w:color="000000"/>
            </w:tcBorders>
            <w:vAlign w:val="center"/>
            <w:hideMark/>
          </w:tcPr>
          <w:p>
            <w:pPr>
              <w:spacing w:before="0" w:after="0"/>
              <w:jc w:val="center"/>
              <w:rPr>
                <w:b/>
                <w:bCs/>
                <w:noProof/>
                <w:color w:val="000000"/>
                <w:sz w:val="18"/>
                <w:szCs w:val="18"/>
              </w:rPr>
            </w:pPr>
            <w:r>
              <w:rPr>
                <w:b/>
                <w:noProof/>
                <w:color w:val="000000"/>
                <w:sz w:val="18"/>
              </w:rPr>
              <w:t>TOTAL CREDITE VOTATE + VENITURI ALOCATE EXTERNE</w:t>
            </w:r>
          </w:p>
        </w:tc>
        <w:tc>
          <w:tcPr>
            <w:tcW w:w="960" w:type="dxa"/>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960" w:type="dxa"/>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960" w:type="dxa"/>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960" w:type="dxa"/>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Anul</w:t>
            </w:r>
          </w:p>
        </w:tc>
      </w:tr>
      <w:tr>
        <w:trPr>
          <w:trHeight w:val="492"/>
        </w:trPr>
        <w:tc>
          <w:tcPr>
            <w:tcW w:w="5360" w:type="dxa"/>
            <w:gridSpan w:val="2"/>
            <w:vMerge/>
            <w:tcBorders>
              <w:top w:val="single" w:sz="8" w:space="0" w:color="auto"/>
              <w:left w:val="single" w:sz="8" w:space="0" w:color="auto"/>
              <w:bottom w:val="single" w:sz="8" w:space="0" w:color="auto"/>
              <w:right w:val="single" w:sz="8" w:space="0" w:color="000000"/>
            </w:tcBorders>
            <w:vAlign w:val="center"/>
            <w:hideMark/>
          </w:tcPr>
          <w:p>
            <w:pPr>
              <w:spacing w:before="0" w:after="0"/>
              <w:jc w:val="left"/>
              <w:rPr>
                <w:b/>
                <w:bCs/>
                <w:noProof/>
                <w:color w:val="000000"/>
                <w:sz w:val="18"/>
                <w:szCs w:val="18"/>
                <w:lang w:eastAsia="en-IE"/>
              </w:rPr>
            </w:pPr>
          </w:p>
        </w:tc>
        <w:tc>
          <w:tcPr>
            <w:tcW w:w="960" w:type="dxa"/>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2024</w:t>
            </w:r>
          </w:p>
        </w:tc>
        <w:tc>
          <w:tcPr>
            <w:tcW w:w="960" w:type="dxa"/>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2025</w:t>
            </w:r>
          </w:p>
        </w:tc>
        <w:tc>
          <w:tcPr>
            <w:tcW w:w="960" w:type="dxa"/>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2026</w:t>
            </w:r>
          </w:p>
        </w:tc>
        <w:tc>
          <w:tcPr>
            <w:tcW w:w="960" w:type="dxa"/>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2027</w:t>
            </w:r>
          </w:p>
        </w:tc>
      </w:tr>
      <w:tr>
        <w:trPr>
          <w:trHeight w:val="300"/>
        </w:trPr>
        <w:tc>
          <w:tcPr>
            <w:tcW w:w="9200" w:type="dxa"/>
            <w:gridSpan w:val="6"/>
            <w:tcBorders>
              <w:top w:val="single" w:sz="8" w:space="0" w:color="auto"/>
              <w:left w:val="single" w:sz="8" w:space="0" w:color="auto"/>
              <w:bottom w:val="single" w:sz="8" w:space="0" w:color="auto"/>
              <w:right w:val="single" w:sz="4" w:space="0" w:color="auto"/>
            </w:tcBorders>
            <w:vAlign w:val="center"/>
            <w:hideMark/>
          </w:tcPr>
          <w:p>
            <w:pPr>
              <w:spacing w:before="0" w:after="0"/>
              <w:jc w:val="left"/>
              <w:rPr>
                <w:rFonts w:ascii="Wingdings" w:hAnsi="Wingdings" w:cs="Calibri"/>
                <w:b/>
                <w:bCs/>
                <w:noProof/>
                <w:color w:val="000000"/>
                <w:sz w:val="16"/>
                <w:szCs w:val="16"/>
              </w:rPr>
            </w:pPr>
            <w:r>
              <w:rPr>
                <w:rFonts w:ascii="Wingdings" w:hAnsi="Wingdings"/>
                <w:b/>
                <w:noProof/>
                <w:color w:val="000000"/>
                <w:sz w:val="16"/>
              </w:rPr>
              <w:t>Ÿ</w:t>
            </w:r>
            <w:r>
              <w:rPr>
                <w:b/>
                <w:noProof/>
                <w:color w:val="000000"/>
                <w:sz w:val="16"/>
              </w:rPr>
              <w:t xml:space="preserve"> Posturi din schema de personal (funcționari și agenți temporari)</w:t>
            </w:r>
          </w:p>
        </w:tc>
      </w:tr>
      <w:tr>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20 01 02 01 (la sediu și în reprezentanțele Comisiei)</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20 01 02 03 (delegațiile UE)</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01 01 01 01</w:t>
            </w:r>
            <w:r>
              <w:rPr>
                <w:rFonts w:ascii="Arial Narrow" w:hAnsi="Arial Narrow"/>
                <w:noProof/>
                <w:color w:val="000000"/>
                <w:sz w:val="20"/>
              </w:rPr>
              <w:t xml:space="preserve"> </w:t>
            </w:r>
            <w:r>
              <w:rPr>
                <w:noProof/>
                <w:color w:val="000000"/>
                <w:sz w:val="16"/>
              </w:rPr>
              <w:t>(cercetare indirectă)</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01 01 01 11 (cercetare directă)</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Alte linii bugetare (a se preciza)</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9200" w:type="dxa"/>
            <w:gridSpan w:val="6"/>
            <w:tcBorders>
              <w:top w:val="single" w:sz="8" w:space="0" w:color="auto"/>
              <w:left w:val="single" w:sz="8" w:space="0" w:color="auto"/>
              <w:bottom w:val="single" w:sz="8" w:space="0" w:color="auto"/>
              <w:right w:val="single" w:sz="4" w:space="0" w:color="auto"/>
            </w:tcBorders>
            <w:vAlign w:val="center"/>
            <w:hideMark/>
          </w:tcPr>
          <w:p>
            <w:pPr>
              <w:spacing w:before="0" w:after="0"/>
              <w:jc w:val="left"/>
              <w:rPr>
                <w:rFonts w:ascii="Wingdings" w:hAnsi="Wingdings" w:cs="Calibri"/>
                <w:b/>
                <w:bCs/>
                <w:noProof/>
                <w:color w:val="000000"/>
                <w:sz w:val="16"/>
                <w:szCs w:val="16"/>
              </w:rPr>
            </w:pPr>
            <w:r>
              <w:rPr>
                <w:rFonts w:ascii="Calibri" w:hAnsi="Calibri"/>
                <w:b/>
                <w:noProof/>
                <w:color w:val="000000"/>
                <w:sz w:val="16"/>
              </w:rPr>
              <w:t>•</w:t>
            </w:r>
            <w:r>
              <w:rPr>
                <w:b/>
                <w:noProof/>
                <w:color w:val="000000"/>
                <w:sz w:val="16"/>
              </w:rPr>
              <w:t xml:space="preserve"> Personal extern (în echivalent normă întreagă)</w:t>
            </w:r>
          </w:p>
        </w:tc>
      </w:tr>
      <w:tr>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20 02 01 (AC, END din „pachetul global”)</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20 02 03 (AC, AL, END și JPD în delegațiile UE)</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1500" w:type="dxa"/>
            <w:vMerge w:val="restart"/>
            <w:tcBorders>
              <w:top w:val="nil"/>
              <w:left w:val="single" w:sz="8" w:space="0" w:color="auto"/>
              <w:bottom w:val="single" w:sz="8" w:space="0" w:color="auto"/>
              <w:right w:val="single" w:sz="8" w:space="0" w:color="auto"/>
            </w:tcBorders>
            <w:vAlign w:val="center"/>
            <w:hideMark/>
          </w:tcPr>
          <w:p>
            <w:pPr>
              <w:spacing w:before="0" w:after="0"/>
              <w:jc w:val="center"/>
              <w:rPr>
                <w:noProof/>
                <w:color w:val="000000"/>
                <w:sz w:val="16"/>
                <w:szCs w:val="16"/>
              </w:rPr>
            </w:pPr>
            <w:r>
              <w:rPr>
                <w:noProof/>
                <w:color w:val="000000"/>
                <w:sz w:val="16"/>
              </w:rPr>
              <w:t xml:space="preserve">Linia de sprijin administrativ </w:t>
            </w:r>
            <w:r>
              <w:rPr>
                <w:noProof/>
              </w:rPr>
              <w:t xml:space="preserve"> </w:t>
            </w:r>
            <w:r>
              <w:rPr>
                <w:noProof/>
              </w:rPr>
              <w:br/>
            </w:r>
            <w:r>
              <w:rPr>
                <w:noProof/>
                <w:color w:val="000000"/>
                <w:sz w:val="16"/>
              </w:rPr>
              <w:t>[XX.01.AAAA]</w:t>
            </w:r>
          </w:p>
        </w:tc>
        <w:tc>
          <w:tcPr>
            <w:tcW w:w="3860" w:type="dxa"/>
            <w:tcBorders>
              <w:top w:val="nil"/>
              <w:left w:val="nil"/>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 la sediile centrale</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1500" w:type="dxa"/>
            <w:vMerge/>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lang w:eastAsia="en-IE"/>
              </w:rPr>
            </w:pPr>
          </w:p>
        </w:tc>
        <w:tc>
          <w:tcPr>
            <w:tcW w:w="3860" w:type="dxa"/>
            <w:tcBorders>
              <w:top w:val="nil"/>
              <w:left w:val="nil"/>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 xml:space="preserve">– în delegațiile UE </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01 01 01 02</w:t>
            </w:r>
            <w:r>
              <w:rPr>
                <w:rFonts w:ascii="Arial Narrow" w:hAnsi="Arial Narrow"/>
                <w:noProof/>
                <w:color w:val="000000"/>
                <w:sz w:val="20"/>
              </w:rPr>
              <w:t xml:space="preserve"> </w:t>
            </w:r>
            <w:r>
              <w:rPr>
                <w:noProof/>
                <w:color w:val="000000"/>
                <w:sz w:val="16"/>
              </w:rPr>
              <w:t>(AC, END – cercetare indirectă)</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 xml:space="preserve"> 01 01 01 12 (AC, END – cercetare directă)</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Alte linii bugetare (a se preciza) – rubrica 7</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Alte linii bugetare (a se preciza) – în afara rubricii 7</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b/>
                <w:bCs/>
                <w:noProof/>
                <w:color w:val="000000"/>
                <w:sz w:val="16"/>
                <w:szCs w:val="16"/>
              </w:rPr>
            </w:pPr>
            <w:r>
              <w:rPr>
                <w:b/>
                <w:noProof/>
                <w:color w:val="000000"/>
                <w:sz w:val="16"/>
              </w:rPr>
              <w:t>TOTAL</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b/>
                <w:bCs/>
                <w:noProof/>
                <w:color w:val="000000"/>
                <w:sz w:val="16"/>
                <w:szCs w:val="16"/>
              </w:rPr>
            </w:pPr>
            <w:r>
              <w:rPr>
                <w:b/>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b/>
                <w:bCs/>
                <w:noProof/>
                <w:color w:val="000000"/>
                <w:sz w:val="16"/>
                <w:szCs w:val="16"/>
              </w:rPr>
            </w:pPr>
            <w:r>
              <w:rPr>
                <w:b/>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b/>
                <w:bCs/>
                <w:noProof/>
                <w:color w:val="000000"/>
                <w:sz w:val="16"/>
                <w:szCs w:val="16"/>
              </w:rPr>
            </w:pPr>
            <w:r>
              <w:rPr>
                <w:b/>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b/>
                <w:bCs/>
                <w:noProof/>
                <w:color w:val="000000"/>
                <w:sz w:val="16"/>
                <w:szCs w:val="16"/>
              </w:rPr>
            </w:pPr>
            <w:r>
              <w:rPr>
                <w:b/>
                <w:noProof/>
                <w:color w:val="000000"/>
                <w:sz w:val="16"/>
              </w:rPr>
              <w:t>0</w:t>
            </w:r>
          </w:p>
        </w:tc>
      </w:tr>
    </w:tbl>
    <w:p>
      <w:pPr>
        <w:pStyle w:val="Text1"/>
        <w:ind w:left="-426"/>
        <w:rPr>
          <w:noProof/>
          <w:color w:val="000000" w:themeColor="text1"/>
        </w:rPr>
      </w:pPr>
      <w:bookmarkStart w:id="168" w:name="_Hlk167692843"/>
      <w:bookmarkEnd w:id="163"/>
      <w:r>
        <w:rPr>
          <w:noProof/>
          <w:color w:val="000000" w:themeColor="text1"/>
        </w:rPr>
        <w:t xml:space="preserve">Personalul necesar pentru punerea în aplicare a propunerii (în ENI): </w:t>
      </w:r>
    </w:p>
    <w:tbl>
      <w:tblPr>
        <w:tblStyle w:val="TableGrid"/>
        <w:tblW w:w="9487" w:type="dxa"/>
        <w:tblInd w:w="-426" w:type="dxa"/>
        <w:tblLook w:val="04A0" w:firstRow="1" w:lastRow="0" w:firstColumn="1" w:lastColumn="0" w:noHBand="0" w:noVBand="1"/>
      </w:tblPr>
      <w:tblGrid>
        <w:gridCol w:w="1845"/>
        <w:gridCol w:w="2031"/>
        <w:gridCol w:w="1925"/>
        <w:gridCol w:w="1938"/>
        <w:gridCol w:w="1748"/>
      </w:tblGrid>
      <w:tr>
        <w:trPr>
          <w:trHeight w:val="300"/>
        </w:trPr>
        <w:tc>
          <w:tcPr>
            <w:tcW w:w="1845" w:type="dxa"/>
          </w:tcPr>
          <w:p>
            <w:pPr>
              <w:pStyle w:val="Text1"/>
              <w:ind w:left="0"/>
              <w:jc w:val="center"/>
              <w:rPr>
                <w:b/>
                <w:bCs/>
                <w:noProof/>
                <w:sz w:val="22"/>
                <w:szCs w:val="28"/>
              </w:rPr>
            </w:pPr>
          </w:p>
        </w:tc>
        <w:tc>
          <w:tcPr>
            <w:tcW w:w="2031" w:type="dxa"/>
          </w:tcPr>
          <w:p>
            <w:pPr>
              <w:pStyle w:val="Text1"/>
              <w:ind w:left="0"/>
              <w:jc w:val="center"/>
              <w:rPr>
                <w:b/>
                <w:bCs/>
                <w:noProof/>
                <w:sz w:val="22"/>
              </w:rPr>
            </w:pPr>
            <w:r>
              <w:rPr>
                <w:b/>
                <w:noProof/>
                <w:sz w:val="22"/>
              </w:rPr>
              <w:t xml:space="preserve">Personal ce urmează să fie acoperit de personalul actual disponibil în cadrul serviciilor Comisiei </w:t>
            </w:r>
          </w:p>
        </w:tc>
        <w:tc>
          <w:tcPr>
            <w:tcW w:w="5611" w:type="dxa"/>
            <w:gridSpan w:val="3"/>
          </w:tcPr>
          <w:p>
            <w:pPr>
              <w:pStyle w:val="Text1"/>
              <w:ind w:left="0"/>
              <w:jc w:val="center"/>
              <w:rPr>
                <w:b/>
                <w:bCs/>
                <w:noProof/>
                <w:sz w:val="22"/>
              </w:rPr>
            </w:pPr>
            <w:r>
              <w:rPr>
                <w:b/>
                <w:noProof/>
                <w:sz w:val="22"/>
              </w:rPr>
              <w:t>În mod excepțional, personal suplimentar*</w:t>
            </w:r>
          </w:p>
        </w:tc>
      </w:tr>
      <w:tr>
        <w:trPr>
          <w:trHeight w:val="300"/>
        </w:trPr>
        <w:tc>
          <w:tcPr>
            <w:tcW w:w="1845" w:type="dxa"/>
          </w:tcPr>
          <w:p>
            <w:pPr>
              <w:pStyle w:val="Text1"/>
              <w:ind w:left="0"/>
              <w:jc w:val="center"/>
              <w:rPr>
                <w:b/>
                <w:bCs/>
                <w:noProof/>
                <w:sz w:val="22"/>
                <w:szCs w:val="28"/>
              </w:rPr>
            </w:pPr>
          </w:p>
        </w:tc>
        <w:tc>
          <w:tcPr>
            <w:tcW w:w="2031" w:type="dxa"/>
          </w:tcPr>
          <w:p>
            <w:pPr>
              <w:pStyle w:val="Text1"/>
              <w:ind w:left="0"/>
              <w:jc w:val="center"/>
              <w:rPr>
                <w:b/>
                <w:bCs/>
                <w:noProof/>
                <w:sz w:val="22"/>
                <w:szCs w:val="28"/>
              </w:rPr>
            </w:pPr>
          </w:p>
        </w:tc>
        <w:tc>
          <w:tcPr>
            <w:tcW w:w="1925" w:type="dxa"/>
          </w:tcPr>
          <w:p>
            <w:pPr>
              <w:pStyle w:val="Text1"/>
              <w:ind w:left="0"/>
              <w:jc w:val="center"/>
              <w:rPr>
                <w:b/>
                <w:bCs/>
                <w:noProof/>
                <w:sz w:val="22"/>
              </w:rPr>
            </w:pPr>
            <w:r>
              <w:rPr>
                <w:b/>
                <w:noProof/>
                <w:sz w:val="22"/>
              </w:rPr>
              <w:t>Personal ce urmează să fie finanțat în cadrul rubricii 7 sau Cercetare</w:t>
            </w:r>
          </w:p>
        </w:tc>
        <w:tc>
          <w:tcPr>
            <w:tcW w:w="1938" w:type="dxa"/>
          </w:tcPr>
          <w:p>
            <w:pPr>
              <w:pStyle w:val="Text1"/>
              <w:ind w:left="0"/>
              <w:jc w:val="center"/>
              <w:rPr>
                <w:b/>
                <w:bCs/>
                <w:noProof/>
                <w:sz w:val="22"/>
                <w:szCs w:val="28"/>
              </w:rPr>
            </w:pPr>
            <w:r>
              <w:rPr>
                <w:b/>
                <w:noProof/>
                <w:sz w:val="22"/>
              </w:rPr>
              <w:t>Personal ce urmează să fie finanțat de la linia BA</w:t>
            </w:r>
          </w:p>
        </w:tc>
        <w:tc>
          <w:tcPr>
            <w:tcW w:w="1748" w:type="dxa"/>
          </w:tcPr>
          <w:p>
            <w:pPr>
              <w:pStyle w:val="Text1"/>
              <w:ind w:left="0"/>
              <w:jc w:val="center"/>
              <w:rPr>
                <w:b/>
                <w:bCs/>
                <w:noProof/>
                <w:sz w:val="22"/>
                <w:szCs w:val="28"/>
              </w:rPr>
            </w:pPr>
            <w:r>
              <w:rPr>
                <w:b/>
                <w:noProof/>
                <w:sz w:val="22"/>
              </w:rPr>
              <w:t>Personal ce urmează să fie finanțat din taxe</w:t>
            </w:r>
          </w:p>
        </w:tc>
      </w:tr>
      <w:tr>
        <w:trPr>
          <w:trHeight w:val="300"/>
        </w:trPr>
        <w:tc>
          <w:tcPr>
            <w:tcW w:w="1845" w:type="dxa"/>
          </w:tcPr>
          <w:p>
            <w:pPr>
              <w:pStyle w:val="Text1"/>
              <w:ind w:left="0"/>
              <w:rPr>
                <w:noProof/>
                <w:sz w:val="22"/>
                <w:szCs w:val="28"/>
              </w:rPr>
            </w:pPr>
            <w:r>
              <w:rPr>
                <w:noProof/>
                <w:sz w:val="22"/>
              </w:rPr>
              <w:t>Posturi din schema de personal</w:t>
            </w:r>
          </w:p>
        </w:tc>
        <w:tc>
          <w:tcPr>
            <w:tcW w:w="2031" w:type="dxa"/>
          </w:tcPr>
          <w:p>
            <w:pPr>
              <w:pStyle w:val="Text1"/>
              <w:ind w:left="0"/>
              <w:rPr>
                <w:noProof/>
                <w:sz w:val="22"/>
                <w:szCs w:val="28"/>
              </w:rPr>
            </w:pPr>
          </w:p>
        </w:tc>
        <w:tc>
          <w:tcPr>
            <w:tcW w:w="1925" w:type="dxa"/>
          </w:tcPr>
          <w:p>
            <w:pPr>
              <w:pStyle w:val="Text1"/>
              <w:ind w:left="0"/>
              <w:rPr>
                <w:noProof/>
                <w:sz w:val="22"/>
                <w:szCs w:val="28"/>
              </w:rPr>
            </w:pPr>
          </w:p>
        </w:tc>
        <w:tc>
          <w:tcPr>
            <w:tcW w:w="1938" w:type="dxa"/>
          </w:tcPr>
          <w:p>
            <w:pPr>
              <w:pStyle w:val="Text1"/>
              <w:ind w:left="0"/>
              <w:rPr>
                <w:noProof/>
                <w:sz w:val="22"/>
                <w:szCs w:val="28"/>
              </w:rPr>
            </w:pPr>
            <w:r>
              <w:rPr>
                <w:noProof/>
                <w:sz w:val="22"/>
              </w:rPr>
              <w:t>Nu se aplică</w:t>
            </w:r>
          </w:p>
        </w:tc>
        <w:tc>
          <w:tcPr>
            <w:tcW w:w="1748" w:type="dxa"/>
          </w:tcPr>
          <w:p>
            <w:pPr>
              <w:pStyle w:val="Text1"/>
              <w:ind w:left="0"/>
              <w:rPr>
                <w:noProof/>
                <w:sz w:val="22"/>
                <w:szCs w:val="28"/>
              </w:rPr>
            </w:pPr>
          </w:p>
        </w:tc>
      </w:tr>
      <w:tr>
        <w:trPr>
          <w:trHeight w:val="300"/>
        </w:trPr>
        <w:tc>
          <w:tcPr>
            <w:tcW w:w="1845" w:type="dxa"/>
          </w:tcPr>
          <w:p>
            <w:pPr>
              <w:pStyle w:val="Text1"/>
              <w:ind w:left="0"/>
              <w:rPr>
                <w:noProof/>
                <w:sz w:val="22"/>
                <w:szCs w:val="28"/>
              </w:rPr>
            </w:pPr>
            <w:r>
              <w:rPr>
                <w:noProof/>
                <w:sz w:val="22"/>
              </w:rPr>
              <w:t>Personal extern (AC, END, INT)</w:t>
            </w:r>
          </w:p>
        </w:tc>
        <w:tc>
          <w:tcPr>
            <w:tcW w:w="2031" w:type="dxa"/>
          </w:tcPr>
          <w:p>
            <w:pPr>
              <w:pStyle w:val="Text1"/>
              <w:ind w:left="0"/>
              <w:rPr>
                <w:noProof/>
                <w:sz w:val="22"/>
                <w:szCs w:val="28"/>
              </w:rPr>
            </w:pPr>
          </w:p>
        </w:tc>
        <w:tc>
          <w:tcPr>
            <w:tcW w:w="1925" w:type="dxa"/>
          </w:tcPr>
          <w:p>
            <w:pPr>
              <w:pStyle w:val="Text1"/>
              <w:ind w:left="0"/>
              <w:rPr>
                <w:noProof/>
                <w:sz w:val="22"/>
                <w:szCs w:val="28"/>
              </w:rPr>
            </w:pPr>
          </w:p>
        </w:tc>
        <w:tc>
          <w:tcPr>
            <w:tcW w:w="1938" w:type="dxa"/>
          </w:tcPr>
          <w:p>
            <w:pPr>
              <w:pStyle w:val="Text1"/>
              <w:ind w:left="0"/>
              <w:rPr>
                <w:noProof/>
                <w:sz w:val="22"/>
                <w:szCs w:val="28"/>
              </w:rPr>
            </w:pPr>
          </w:p>
        </w:tc>
        <w:tc>
          <w:tcPr>
            <w:tcW w:w="1748" w:type="dxa"/>
          </w:tcPr>
          <w:p>
            <w:pPr>
              <w:pStyle w:val="Text1"/>
              <w:ind w:left="0"/>
              <w:rPr>
                <w:noProof/>
                <w:sz w:val="22"/>
                <w:szCs w:val="28"/>
              </w:rPr>
            </w:pPr>
          </w:p>
        </w:tc>
      </w:tr>
    </w:tbl>
    <w:p>
      <w:pPr>
        <w:pStyle w:val="Text1"/>
        <w:ind w:left="-426" w:right="-427"/>
        <w:rPr>
          <w:noProof/>
        </w:rPr>
      </w:pPr>
      <w:r>
        <w:rPr>
          <w:noProof/>
        </w:rPr>
        <w:t>Descrierea sarcinilor care trebuie efectuate de:</w:t>
      </w:r>
    </w:p>
    <w:tbl>
      <w:tblPr>
        <w:tblW w:w="10440"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7200"/>
      </w:tblGrid>
      <w:tr>
        <w:tc>
          <w:tcPr>
            <w:tcW w:w="3240" w:type="dxa"/>
          </w:tcPr>
          <w:p>
            <w:pPr>
              <w:rPr>
                <w:noProof/>
                <w:sz w:val="20"/>
              </w:rPr>
            </w:pPr>
            <w:r>
              <w:rPr>
                <w:noProof/>
                <w:sz w:val="20"/>
              </w:rPr>
              <w:t>Funcționari și personal temporar</w:t>
            </w:r>
          </w:p>
        </w:tc>
        <w:tc>
          <w:tcPr>
            <w:tcW w:w="7200" w:type="dxa"/>
          </w:tcPr>
          <w:p>
            <w:pPr>
              <w:rPr>
                <w:noProof/>
                <w:sz w:val="20"/>
              </w:rPr>
            </w:pPr>
          </w:p>
        </w:tc>
      </w:tr>
      <w:tr>
        <w:tc>
          <w:tcPr>
            <w:tcW w:w="3240" w:type="dxa"/>
          </w:tcPr>
          <w:p>
            <w:pPr>
              <w:spacing w:before="60" w:after="60"/>
              <w:rPr>
                <w:noProof/>
                <w:sz w:val="20"/>
              </w:rPr>
            </w:pPr>
            <w:r>
              <w:rPr>
                <w:noProof/>
                <w:sz w:val="20"/>
              </w:rPr>
              <w:t>Personal extern</w:t>
            </w:r>
          </w:p>
        </w:tc>
        <w:tc>
          <w:tcPr>
            <w:tcW w:w="7200" w:type="dxa"/>
          </w:tcPr>
          <w:p>
            <w:pPr>
              <w:rPr>
                <w:noProof/>
                <w:sz w:val="20"/>
              </w:rPr>
            </w:pPr>
          </w:p>
        </w:tc>
      </w:tr>
    </w:tbl>
    <w:p>
      <w:pPr>
        <w:pStyle w:val="ManualHeading3"/>
        <w:rPr>
          <w:noProof/>
        </w:rPr>
      </w:pPr>
      <w:bookmarkStart w:id="169" w:name="_Toc177549031"/>
      <w:r>
        <w:rPr>
          <w:noProof/>
        </w:rPr>
        <w:t>3.2.5.</w:t>
      </w:r>
      <w:r>
        <w:rPr>
          <w:noProof/>
        </w:rPr>
        <w:tab/>
        <w:t>Prezentare generală a impactului estimat asupra investițiilor legate de tehnologia digitală</w:t>
      </w:r>
      <w:bookmarkEnd w:id="169"/>
    </w:p>
    <w:p>
      <w:pPr>
        <w:pStyle w:val="Text1"/>
        <w:spacing w:line="259" w:lineRule="auto"/>
        <w:rPr>
          <w:noProof/>
        </w:rPr>
      </w:pPr>
      <w:r>
        <w:rPr>
          <w:noProof/>
        </w:rPr>
        <w:t xml:space="preserve">Obligatoriu: în tabelul de mai jos trebuie inclusă cea mai bună estimare a investițiilor legate de tehnologia digitală generate de propunere/inițiativă. </w:t>
      </w:r>
    </w:p>
    <w:p>
      <w:pPr>
        <w:pStyle w:val="Text1"/>
        <w:spacing w:line="259" w:lineRule="auto"/>
        <w:rPr>
          <w:noProof/>
        </w:rPr>
      </w:pPr>
      <w:r>
        <w:rPr>
          <w:noProof/>
        </w:rPr>
        <w:t xml:space="preserve">În mod excepțional, atunci când este necesar pentru punerea în aplicare a propunerii/inițiativei, creditele de la rubrica 7 ar trebui prezentate la linia desemnată. </w:t>
      </w:r>
    </w:p>
    <w:p>
      <w:pPr>
        <w:pStyle w:val="Text1"/>
        <w:spacing w:line="259" w:lineRule="auto"/>
        <w:rPr>
          <w:noProof/>
        </w:rPr>
      </w:pPr>
      <w:r>
        <w:rPr>
          <w:noProof/>
        </w:rPr>
        <w:t>Creditele de la rubricile 1-6 ar trebui reflectate drept „Cheltuieli de politică IT pentru programele operaționale”. Aceste cheltuieli se referă la bugetul operațional care trebuie utilizat pentru reutilizarea/cumpărarea/dezvoltarea de platforme/instrumente IT direct legate de punerea în aplicare a inițiativei și pentru investițiile asociate acestora (de exemplu licențe, studii, stocarea datelor etc.). Informațiile prezentate în acest tabel ar trebui să fie coerente cu detaliile prezentate la secțiunea 4 „Dimensiunile digitale”.</w:t>
      </w:r>
    </w:p>
    <w:tbl>
      <w:tblPr>
        <w:tblW w:w="0" w:type="auto"/>
        <w:tblLayout w:type="fixed"/>
        <w:tblLook w:val="04A0" w:firstRow="1" w:lastRow="0" w:firstColumn="1" w:lastColumn="0" w:noHBand="0" w:noVBand="1"/>
      </w:tblPr>
      <w:tblGrid>
        <w:gridCol w:w="3214"/>
        <w:gridCol w:w="835"/>
        <w:gridCol w:w="835"/>
        <w:gridCol w:w="835"/>
        <w:gridCol w:w="835"/>
        <w:gridCol w:w="981"/>
      </w:tblGrid>
      <w:tr>
        <w:trPr>
          <w:trHeight w:val="525"/>
        </w:trPr>
        <w:tc>
          <w:tcPr>
            <w:tcW w:w="3214" w:type="dxa"/>
            <w:vMerge w:val="restart"/>
            <w:tcBorders>
              <w:top w:val="single" w:sz="8" w:space="0" w:color="auto"/>
              <w:left w:val="single" w:sz="4" w:space="0" w:color="auto"/>
              <w:right w:val="single" w:sz="4" w:space="0" w:color="auto"/>
            </w:tcBorders>
            <w:tcMar>
              <w:left w:w="108" w:type="dxa"/>
              <w:right w:w="108" w:type="dxa"/>
            </w:tcMar>
            <w:vAlign w:val="center"/>
          </w:tcPr>
          <w:p>
            <w:pPr>
              <w:spacing w:before="0" w:after="0"/>
              <w:jc w:val="center"/>
              <w:rPr>
                <w:b/>
                <w:bCs/>
                <w:noProof/>
                <w:color w:val="000000" w:themeColor="text1"/>
                <w:sz w:val="18"/>
                <w:szCs w:val="18"/>
              </w:rPr>
            </w:pPr>
            <w:r>
              <w:rPr>
                <w:b/>
                <w:noProof/>
                <w:color w:val="000000" w:themeColor="text1"/>
                <w:sz w:val="18"/>
              </w:rPr>
              <w:t>TOTAL credite pentru componenta digitală și IT</w:t>
            </w:r>
          </w:p>
        </w:tc>
        <w:tc>
          <w:tcPr>
            <w:tcW w:w="835" w:type="dxa"/>
            <w:tcBorders>
              <w:top w:val="single" w:sz="8" w:space="0" w:color="auto"/>
              <w:left w:val="single" w:sz="4" w:space="0" w:color="auto"/>
              <w:bottom w:val="nil"/>
              <w:right w:val="single" w:sz="8" w:space="0" w:color="auto"/>
            </w:tcBorders>
            <w:tcMar>
              <w:left w:w="108" w:type="dxa"/>
              <w:right w:w="108" w:type="dxa"/>
            </w:tcMar>
            <w:vAlign w:val="center"/>
          </w:tcPr>
          <w:p>
            <w:pPr>
              <w:spacing w:before="0" w:after="0"/>
              <w:jc w:val="center"/>
              <w:rPr>
                <w:noProof/>
                <w:color w:val="000000" w:themeColor="text1"/>
                <w:sz w:val="18"/>
                <w:szCs w:val="18"/>
              </w:rPr>
            </w:pPr>
            <w:r>
              <w:rPr>
                <w:noProof/>
                <w:color w:val="000000" w:themeColor="text1"/>
                <w:sz w:val="18"/>
              </w:rPr>
              <w:t>Anul</w:t>
            </w:r>
          </w:p>
        </w:tc>
        <w:tc>
          <w:tcPr>
            <w:tcW w:w="835" w:type="dxa"/>
            <w:tcBorders>
              <w:top w:val="single" w:sz="8" w:space="0" w:color="auto"/>
              <w:left w:val="single" w:sz="8" w:space="0" w:color="auto"/>
              <w:bottom w:val="nil"/>
              <w:right w:val="single" w:sz="8" w:space="0" w:color="auto"/>
            </w:tcBorders>
            <w:tcMar>
              <w:left w:w="108" w:type="dxa"/>
              <w:right w:w="108" w:type="dxa"/>
            </w:tcMar>
            <w:vAlign w:val="center"/>
          </w:tcPr>
          <w:p>
            <w:pPr>
              <w:spacing w:before="0" w:after="0"/>
              <w:jc w:val="center"/>
              <w:rPr>
                <w:noProof/>
                <w:color w:val="000000" w:themeColor="text1"/>
                <w:sz w:val="18"/>
                <w:szCs w:val="18"/>
              </w:rPr>
            </w:pPr>
            <w:r>
              <w:rPr>
                <w:noProof/>
                <w:color w:val="000000" w:themeColor="text1"/>
                <w:sz w:val="18"/>
              </w:rPr>
              <w:t>Anul</w:t>
            </w:r>
          </w:p>
        </w:tc>
        <w:tc>
          <w:tcPr>
            <w:tcW w:w="835" w:type="dxa"/>
            <w:tcBorders>
              <w:top w:val="single" w:sz="8" w:space="0" w:color="auto"/>
              <w:left w:val="single" w:sz="8" w:space="0" w:color="auto"/>
              <w:bottom w:val="nil"/>
              <w:right w:val="single" w:sz="8" w:space="0" w:color="auto"/>
            </w:tcBorders>
            <w:tcMar>
              <w:left w:w="108" w:type="dxa"/>
              <w:right w:w="108" w:type="dxa"/>
            </w:tcMar>
            <w:vAlign w:val="center"/>
          </w:tcPr>
          <w:p>
            <w:pPr>
              <w:spacing w:before="0" w:after="0"/>
              <w:jc w:val="center"/>
              <w:rPr>
                <w:noProof/>
                <w:color w:val="000000" w:themeColor="text1"/>
                <w:sz w:val="18"/>
                <w:szCs w:val="18"/>
              </w:rPr>
            </w:pPr>
            <w:r>
              <w:rPr>
                <w:noProof/>
                <w:color w:val="000000" w:themeColor="text1"/>
                <w:sz w:val="18"/>
              </w:rPr>
              <w:t>Anul</w:t>
            </w:r>
          </w:p>
        </w:tc>
        <w:tc>
          <w:tcPr>
            <w:tcW w:w="835" w:type="dxa"/>
            <w:tcBorders>
              <w:top w:val="single" w:sz="8" w:space="0" w:color="auto"/>
              <w:left w:val="single" w:sz="8" w:space="0" w:color="auto"/>
              <w:bottom w:val="nil"/>
              <w:right w:val="single" w:sz="8" w:space="0" w:color="auto"/>
            </w:tcBorders>
            <w:tcMar>
              <w:left w:w="108" w:type="dxa"/>
              <w:right w:w="108" w:type="dxa"/>
            </w:tcMar>
            <w:vAlign w:val="center"/>
          </w:tcPr>
          <w:p>
            <w:pPr>
              <w:spacing w:before="0" w:after="0"/>
              <w:jc w:val="center"/>
              <w:rPr>
                <w:noProof/>
                <w:color w:val="000000" w:themeColor="text1"/>
                <w:sz w:val="18"/>
                <w:szCs w:val="18"/>
              </w:rPr>
            </w:pPr>
            <w:r>
              <w:rPr>
                <w:noProof/>
                <w:color w:val="000000" w:themeColor="text1"/>
                <w:sz w:val="18"/>
              </w:rPr>
              <w:t>Anul</w:t>
            </w:r>
          </w:p>
        </w:tc>
        <w:tc>
          <w:tcPr>
            <w:tcW w:w="981" w:type="dxa"/>
            <w:vMerge w:val="restart"/>
            <w:tcBorders>
              <w:top w:val="single" w:sz="8" w:space="0" w:color="auto"/>
              <w:left w:val="single" w:sz="8" w:space="0" w:color="auto"/>
              <w:bottom w:val="single" w:sz="8" w:space="0" w:color="auto"/>
              <w:right w:val="single" w:sz="4" w:space="0" w:color="auto"/>
            </w:tcBorders>
            <w:tcMar>
              <w:left w:w="108" w:type="dxa"/>
              <w:right w:w="108" w:type="dxa"/>
            </w:tcMar>
            <w:vAlign w:val="center"/>
          </w:tcPr>
          <w:p>
            <w:pPr>
              <w:spacing w:before="0" w:after="0"/>
              <w:jc w:val="center"/>
              <w:rPr>
                <w:b/>
                <w:bCs/>
                <w:noProof/>
                <w:color w:val="000000" w:themeColor="text1"/>
                <w:sz w:val="18"/>
                <w:szCs w:val="18"/>
              </w:rPr>
            </w:pPr>
            <w:r>
              <w:rPr>
                <w:b/>
                <w:noProof/>
                <w:color w:val="000000" w:themeColor="text1"/>
                <w:sz w:val="18"/>
              </w:rPr>
              <w:t>TOTAL CFM 2021-2027</w:t>
            </w:r>
          </w:p>
        </w:tc>
      </w:tr>
      <w:tr>
        <w:trPr>
          <w:trHeight w:val="525"/>
        </w:trPr>
        <w:tc>
          <w:tcPr>
            <w:tcW w:w="3214" w:type="dxa"/>
            <w:vMerge/>
            <w:tcBorders>
              <w:top w:val="single" w:sz="8" w:space="0" w:color="auto"/>
              <w:left w:val="single" w:sz="4" w:space="0" w:color="auto"/>
              <w:right w:val="single" w:sz="4" w:space="0" w:color="auto"/>
            </w:tcBorders>
            <w:vAlign w:val="center"/>
          </w:tcPr>
          <w:p>
            <w:pPr>
              <w:rPr>
                <w:noProof/>
              </w:rPr>
            </w:pPr>
          </w:p>
        </w:tc>
        <w:tc>
          <w:tcPr>
            <w:tcW w:w="835" w:type="dxa"/>
            <w:tcBorders>
              <w:top w:val="nil"/>
              <w:left w:val="single" w:sz="4" w:space="0" w:color="auto"/>
              <w:bottom w:val="single" w:sz="8" w:space="0" w:color="auto"/>
              <w:right w:val="single" w:sz="8" w:space="0" w:color="auto"/>
            </w:tcBorders>
            <w:tcMar>
              <w:left w:w="108" w:type="dxa"/>
              <w:right w:w="108" w:type="dxa"/>
            </w:tcMar>
            <w:vAlign w:val="center"/>
          </w:tcPr>
          <w:p>
            <w:pPr>
              <w:spacing w:before="0" w:after="0"/>
              <w:jc w:val="center"/>
              <w:rPr>
                <w:b/>
                <w:bCs/>
                <w:noProof/>
                <w:color w:val="000000" w:themeColor="text1"/>
                <w:sz w:val="18"/>
                <w:szCs w:val="18"/>
              </w:rPr>
            </w:pPr>
            <w:r>
              <w:rPr>
                <w:b/>
                <w:noProof/>
                <w:color w:val="000000" w:themeColor="text1"/>
                <w:sz w:val="18"/>
              </w:rPr>
              <w:t>2024</w:t>
            </w:r>
          </w:p>
        </w:tc>
        <w:tc>
          <w:tcPr>
            <w:tcW w:w="835" w:type="dxa"/>
            <w:tcBorders>
              <w:top w:val="nil"/>
              <w:left w:val="single" w:sz="8" w:space="0" w:color="auto"/>
              <w:bottom w:val="single" w:sz="8" w:space="0" w:color="auto"/>
              <w:right w:val="single" w:sz="8" w:space="0" w:color="auto"/>
            </w:tcBorders>
            <w:tcMar>
              <w:left w:w="108" w:type="dxa"/>
              <w:right w:w="108" w:type="dxa"/>
            </w:tcMar>
            <w:vAlign w:val="center"/>
          </w:tcPr>
          <w:p>
            <w:pPr>
              <w:spacing w:before="0" w:after="0"/>
              <w:jc w:val="center"/>
              <w:rPr>
                <w:b/>
                <w:bCs/>
                <w:noProof/>
                <w:color w:val="000000" w:themeColor="text1"/>
                <w:sz w:val="18"/>
                <w:szCs w:val="18"/>
              </w:rPr>
            </w:pPr>
            <w:r>
              <w:rPr>
                <w:b/>
                <w:noProof/>
                <w:color w:val="000000" w:themeColor="text1"/>
                <w:sz w:val="18"/>
              </w:rPr>
              <w:t>2025</w:t>
            </w:r>
          </w:p>
        </w:tc>
        <w:tc>
          <w:tcPr>
            <w:tcW w:w="835" w:type="dxa"/>
            <w:tcBorders>
              <w:top w:val="nil"/>
              <w:left w:val="single" w:sz="8" w:space="0" w:color="auto"/>
              <w:bottom w:val="single" w:sz="8" w:space="0" w:color="auto"/>
              <w:right w:val="single" w:sz="8" w:space="0" w:color="auto"/>
            </w:tcBorders>
            <w:tcMar>
              <w:left w:w="108" w:type="dxa"/>
              <w:right w:w="108" w:type="dxa"/>
            </w:tcMar>
            <w:vAlign w:val="center"/>
          </w:tcPr>
          <w:p>
            <w:pPr>
              <w:spacing w:before="0" w:after="0"/>
              <w:jc w:val="center"/>
              <w:rPr>
                <w:b/>
                <w:bCs/>
                <w:noProof/>
                <w:color w:val="000000" w:themeColor="text1"/>
                <w:sz w:val="18"/>
                <w:szCs w:val="18"/>
              </w:rPr>
            </w:pPr>
            <w:r>
              <w:rPr>
                <w:b/>
                <w:noProof/>
                <w:color w:val="000000" w:themeColor="text1"/>
                <w:sz w:val="18"/>
              </w:rPr>
              <w:t>2026</w:t>
            </w:r>
          </w:p>
        </w:tc>
        <w:tc>
          <w:tcPr>
            <w:tcW w:w="835" w:type="dxa"/>
            <w:tcBorders>
              <w:top w:val="nil"/>
              <w:left w:val="single" w:sz="8" w:space="0" w:color="auto"/>
              <w:bottom w:val="single" w:sz="8" w:space="0" w:color="auto"/>
              <w:right w:val="single" w:sz="8" w:space="0" w:color="auto"/>
            </w:tcBorders>
            <w:tcMar>
              <w:left w:w="108" w:type="dxa"/>
              <w:right w:w="108" w:type="dxa"/>
            </w:tcMar>
            <w:vAlign w:val="center"/>
          </w:tcPr>
          <w:p>
            <w:pPr>
              <w:spacing w:before="0" w:after="0"/>
              <w:jc w:val="center"/>
              <w:rPr>
                <w:b/>
                <w:bCs/>
                <w:noProof/>
                <w:color w:val="000000" w:themeColor="text1"/>
                <w:sz w:val="18"/>
                <w:szCs w:val="18"/>
              </w:rPr>
            </w:pPr>
            <w:r>
              <w:rPr>
                <w:b/>
                <w:noProof/>
                <w:color w:val="000000" w:themeColor="text1"/>
                <w:sz w:val="18"/>
              </w:rPr>
              <w:t>2027</w:t>
            </w:r>
          </w:p>
        </w:tc>
        <w:tc>
          <w:tcPr>
            <w:tcW w:w="981" w:type="dxa"/>
            <w:vMerge/>
            <w:tcBorders>
              <w:bottom w:val="single" w:sz="4" w:space="0" w:color="auto"/>
              <w:right w:val="single" w:sz="4" w:space="0" w:color="auto"/>
            </w:tcBorders>
            <w:vAlign w:val="center"/>
          </w:tcPr>
          <w:p>
            <w:pPr>
              <w:rPr>
                <w:noProof/>
              </w:rPr>
            </w:pPr>
          </w:p>
        </w:tc>
      </w:tr>
      <w:tr>
        <w:trPr>
          <w:trHeight w:val="300"/>
        </w:trPr>
        <w:tc>
          <w:tcPr>
            <w:tcW w:w="7535" w:type="dxa"/>
            <w:gridSpan w:val="6"/>
            <w:tcBorders>
              <w:top w:val="nil"/>
              <w:left w:val="single" w:sz="8" w:space="0" w:color="auto"/>
              <w:bottom w:val="single" w:sz="8" w:space="0" w:color="auto"/>
              <w:right w:val="single" w:sz="8" w:space="0" w:color="auto"/>
            </w:tcBorders>
            <w:tcMar>
              <w:left w:w="108" w:type="dxa"/>
              <w:right w:w="108" w:type="dxa"/>
            </w:tcMar>
            <w:vAlign w:val="center"/>
          </w:tcPr>
          <w:p>
            <w:pPr>
              <w:spacing w:before="0" w:after="0"/>
              <w:jc w:val="left"/>
              <w:rPr>
                <w:b/>
                <w:bCs/>
                <w:noProof/>
                <w:sz w:val="16"/>
                <w:szCs w:val="16"/>
              </w:rPr>
            </w:pPr>
            <w:r>
              <w:rPr>
                <w:b/>
                <w:noProof/>
                <w:sz w:val="16"/>
              </w:rPr>
              <w:t>RUBRICA 7</w:t>
            </w:r>
          </w:p>
        </w:tc>
      </w:tr>
      <w:tr>
        <w:trPr>
          <w:trHeight w:val="300"/>
        </w:trPr>
        <w:tc>
          <w:tcPr>
            <w:tcW w:w="321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spacing w:before="0" w:after="0"/>
              <w:jc w:val="left"/>
              <w:rPr>
                <w:noProof/>
                <w:color w:val="000000" w:themeColor="text1"/>
                <w:sz w:val="16"/>
                <w:szCs w:val="16"/>
              </w:rPr>
            </w:pPr>
            <w:r>
              <w:rPr>
                <w:rFonts w:ascii="Arial Narrow" w:hAnsi="Arial Narrow"/>
                <w:noProof/>
                <w:color w:val="000000" w:themeColor="text1"/>
                <w:sz w:val="20"/>
              </w:rPr>
              <w:t>Cheltuieli IT (corporative)</w:t>
            </w:r>
            <w:r>
              <w:rPr>
                <w:noProof/>
                <w:color w:val="000000" w:themeColor="text1"/>
                <w:sz w:val="16"/>
              </w:rPr>
              <w:t xml:space="preserve"> </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noProof/>
                <w:color w:val="000000" w:themeColor="text1"/>
                <w:sz w:val="16"/>
                <w:szCs w:val="16"/>
              </w:rPr>
            </w:pPr>
            <w:r>
              <w:rPr>
                <w:noProof/>
                <w:color w:val="000000" w:themeColor="text1"/>
                <w:sz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noProof/>
                <w:color w:val="000000" w:themeColor="text1"/>
                <w:sz w:val="16"/>
                <w:szCs w:val="16"/>
              </w:rPr>
            </w:pPr>
            <w:r>
              <w:rPr>
                <w:noProof/>
                <w:color w:val="000000" w:themeColor="text1"/>
                <w:sz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noProof/>
                <w:color w:val="000000" w:themeColor="text1"/>
                <w:sz w:val="16"/>
                <w:szCs w:val="16"/>
              </w:rPr>
            </w:pPr>
            <w:r>
              <w:rPr>
                <w:noProof/>
                <w:color w:val="000000" w:themeColor="text1"/>
                <w:sz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noProof/>
                <w:color w:val="000000" w:themeColor="text1"/>
                <w:sz w:val="16"/>
                <w:szCs w:val="16"/>
              </w:rPr>
            </w:pPr>
            <w:r>
              <w:rPr>
                <w:noProof/>
                <w:color w:val="000000" w:themeColor="text1"/>
                <w:sz w:val="16"/>
              </w:rPr>
              <w:t>0,000</w:t>
            </w:r>
          </w:p>
        </w:tc>
        <w:tc>
          <w:tcPr>
            <w:tcW w:w="981"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b/>
                <w:bCs/>
                <w:noProof/>
                <w:color w:val="000000" w:themeColor="text1"/>
                <w:sz w:val="16"/>
                <w:szCs w:val="16"/>
              </w:rPr>
            </w:pPr>
            <w:r>
              <w:rPr>
                <w:b/>
                <w:noProof/>
                <w:color w:val="000000" w:themeColor="text1"/>
                <w:sz w:val="16"/>
              </w:rPr>
              <w:t>0,000</w:t>
            </w:r>
          </w:p>
        </w:tc>
      </w:tr>
      <w:tr>
        <w:trPr>
          <w:trHeight w:val="300"/>
        </w:trPr>
        <w:tc>
          <w:tcPr>
            <w:tcW w:w="3214" w:type="dxa"/>
            <w:tcBorders>
              <w:top w:val="single" w:sz="8" w:space="0" w:color="auto"/>
              <w:left w:val="single" w:sz="8" w:space="0" w:color="auto"/>
              <w:bottom w:val="single" w:sz="8" w:space="0" w:color="auto"/>
              <w:right w:val="single" w:sz="8" w:space="0" w:color="auto"/>
            </w:tcBorders>
            <w:shd w:val="clear" w:color="auto" w:fill="CCCCCC"/>
            <w:tcMar>
              <w:left w:w="108" w:type="dxa"/>
              <w:right w:w="108" w:type="dxa"/>
            </w:tcMar>
            <w:vAlign w:val="center"/>
          </w:tcPr>
          <w:p>
            <w:pPr>
              <w:spacing w:before="0" w:after="0"/>
              <w:jc w:val="center"/>
              <w:rPr>
                <w:b/>
                <w:bCs/>
                <w:noProof/>
                <w:color w:val="000000" w:themeColor="text1"/>
                <w:sz w:val="16"/>
                <w:szCs w:val="16"/>
              </w:rPr>
            </w:pPr>
            <w:r>
              <w:rPr>
                <w:b/>
                <w:noProof/>
                <w:color w:val="000000" w:themeColor="text1"/>
                <w:sz w:val="16"/>
              </w:rPr>
              <w:t>Subtotal de la RUBRICA 7</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b/>
                <w:bCs/>
                <w:noProof/>
                <w:color w:val="000000" w:themeColor="text1"/>
                <w:sz w:val="16"/>
                <w:szCs w:val="16"/>
              </w:rPr>
            </w:pPr>
            <w:r>
              <w:rPr>
                <w:b/>
                <w:noProof/>
                <w:color w:val="000000" w:themeColor="text1"/>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b/>
                <w:bCs/>
                <w:noProof/>
                <w:color w:val="000000" w:themeColor="text1"/>
                <w:sz w:val="16"/>
                <w:szCs w:val="16"/>
              </w:rPr>
            </w:pPr>
            <w:r>
              <w:rPr>
                <w:b/>
                <w:noProof/>
                <w:color w:val="000000" w:themeColor="text1"/>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b/>
                <w:bCs/>
                <w:noProof/>
                <w:color w:val="000000" w:themeColor="text1"/>
                <w:sz w:val="16"/>
                <w:szCs w:val="16"/>
              </w:rPr>
            </w:pPr>
            <w:r>
              <w:rPr>
                <w:b/>
                <w:noProof/>
                <w:color w:val="000000" w:themeColor="text1"/>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b/>
                <w:bCs/>
                <w:noProof/>
                <w:color w:val="000000" w:themeColor="text1"/>
                <w:sz w:val="16"/>
                <w:szCs w:val="16"/>
              </w:rPr>
            </w:pPr>
            <w:r>
              <w:rPr>
                <w:b/>
                <w:noProof/>
                <w:color w:val="000000" w:themeColor="text1"/>
                <w:sz w:val="16"/>
              </w:rPr>
              <w:t>0,000</w:t>
            </w:r>
          </w:p>
        </w:tc>
        <w:tc>
          <w:tcPr>
            <w:tcW w:w="981"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b/>
                <w:bCs/>
                <w:noProof/>
                <w:color w:val="000000" w:themeColor="text1"/>
                <w:sz w:val="16"/>
                <w:szCs w:val="16"/>
              </w:rPr>
            </w:pPr>
            <w:r>
              <w:rPr>
                <w:b/>
                <w:noProof/>
                <w:color w:val="000000" w:themeColor="text1"/>
                <w:sz w:val="16"/>
              </w:rPr>
              <w:t>0,000</w:t>
            </w:r>
          </w:p>
        </w:tc>
      </w:tr>
      <w:tr>
        <w:trPr>
          <w:trHeight w:val="300"/>
        </w:trPr>
        <w:tc>
          <w:tcPr>
            <w:tcW w:w="7535" w:type="dxa"/>
            <w:gridSpan w:val="6"/>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spacing w:before="0" w:after="0"/>
              <w:jc w:val="left"/>
              <w:rPr>
                <w:b/>
                <w:bCs/>
                <w:noProof/>
                <w:sz w:val="16"/>
                <w:szCs w:val="16"/>
              </w:rPr>
            </w:pPr>
            <w:r>
              <w:rPr>
                <w:b/>
                <w:noProof/>
                <w:sz w:val="16"/>
              </w:rPr>
              <w:t>În afara RUBRICII 7</w:t>
            </w:r>
          </w:p>
        </w:tc>
      </w:tr>
      <w:tr>
        <w:trPr>
          <w:trHeight w:val="300"/>
        </w:trPr>
        <w:tc>
          <w:tcPr>
            <w:tcW w:w="321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spacing w:before="0" w:after="0"/>
              <w:jc w:val="left"/>
              <w:rPr>
                <w:rFonts w:ascii="Arial Narrow" w:eastAsia="Arial Narrow" w:hAnsi="Arial Narrow" w:cs="Arial Narrow"/>
                <w:noProof/>
                <w:color w:val="000000" w:themeColor="text1"/>
                <w:sz w:val="20"/>
                <w:szCs w:val="20"/>
              </w:rPr>
            </w:pPr>
            <w:r>
              <w:rPr>
                <w:rFonts w:ascii="Arial Narrow" w:hAnsi="Arial Narrow"/>
                <w:noProof/>
                <w:color w:val="000000" w:themeColor="text1"/>
                <w:sz w:val="20"/>
              </w:rPr>
              <w:t>Cheltuieli de politică IT pentru programele operaționale</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noProof/>
                <w:color w:val="000000" w:themeColor="text1"/>
                <w:sz w:val="16"/>
                <w:szCs w:val="16"/>
              </w:rPr>
            </w:pPr>
            <w:r>
              <w:rPr>
                <w:noProof/>
                <w:color w:val="000000" w:themeColor="text1"/>
                <w:sz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noProof/>
                <w:color w:val="000000" w:themeColor="text1"/>
                <w:sz w:val="16"/>
                <w:szCs w:val="16"/>
              </w:rPr>
            </w:pPr>
            <w:r>
              <w:rPr>
                <w:noProof/>
                <w:color w:val="000000" w:themeColor="text1"/>
                <w:sz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noProof/>
                <w:color w:val="000000" w:themeColor="text1"/>
                <w:sz w:val="16"/>
                <w:szCs w:val="16"/>
              </w:rPr>
            </w:pPr>
            <w:r>
              <w:rPr>
                <w:noProof/>
                <w:color w:val="000000" w:themeColor="text1"/>
                <w:sz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noProof/>
                <w:color w:val="000000" w:themeColor="text1"/>
                <w:sz w:val="16"/>
                <w:szCs w:val="16"/>
              </w:rPr>
            </w:pPr>
            <w:r>
              <w:rPr>
                <w:noProof/>
                <w:color w:val="000000" w:themeColor="text1"/>
                <w:sz w:val="16"/>
              </w:rPr>
              <w:t>0,000</w:t>
            </w:r>
          </w:p>
        </w:tc>
        <w:tc>
          <w:tcPr>
            <w:tcW w:w="981"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b/>
                <w:bCs/>
                <w:noProof/>
                <w:color w:val="000000" w:themeColor="text1"/>
                <w:sz w:val="16"/>
                <w:szCs w:val="16"/>
              </w:rPr>
            </w:pPr>
            <w:r>
              <w:rPr>
                <w:b/>
                <w:noProof/>
                <w:color w:val="000000" w:themeColor="text1"/>
                <w:sz w:val="16"/>
              </w:rPr>
              <w:t>0,000</w:t>
            </w:r>
          </w:p>
        </w:tc>
      </w:tr>
      <w:tr>
        <w:trPr>
          <w:trHeight w:val="300"/>
        </w:trPr>
        <w:tc>
          <w:tcPr>
            <w:tcW w:w="3214" w:type="dxa"/>
            <w:tcBorders>
              <w:top w:val="single" w:sz="8" w:space="0" w:color="auto"/>
              <w:left w:val="single" w:sz="8" w:space="0" w:color="auto"/>
              <w:bottom w:val="single" w:sz="8" w:space="0" w:color="auto"/>
              <w:right w:val="single" w:sz="8" w:space="0" w:color="auto"/>
            </w:tcBorders>
            <w:shd w:val="clear" w:color="auto" w:fill="CCCCCC"/>
            <w:tcMar>
              <w:left w:w="108" w:type="dxa"/>
              <w:right w:w="108" w:type="dxa"/>
            </w:tcMar>
            <w:vAlign w:val="center"/>
          </w:tcPr>
          <w:p>
            <w:pPr>
              <w:spacing w:before="0" w:after="0"/>
              <w:jc w:val="center"/>
              <w:rPr>
                <w:b/>
                <w:bCs/>
                <w:noProof/>
                <w:color w:val="000000" w:themeColor="text1"/>
                <w:sz w:val="16"/>
                <w:szCs w:val="16"/>
              </w:rPr>
            </w:pPr>
            <w:r>
              <w:rPr>
                <w:b/>
                <w:noProof/>
                <w:color w:val="000000" w:themeColor="text1"/>
                <w:sz w:val="16"/>
              </w:rPr>
              <w:t>Subtotal în afara RUBRICII 7</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b/>
                <w:bCs/>
                <w:noProof/>
                <w:color w:val="000000" w:themeColor="text1"/>
                <w:sz w:val="16"/>
                <w:szCs w:val="16"/>
              </w:rPr>
            </w:pPr>
            <w:r>
              <w:rPr>
                <w:b/>
                <w:noProof/>
                <w:color w:val="000000" w:themeColor="text1"/>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b/>
                <w:bCs/>
                <w:noProof/>
                <w:color w:val="000000" w:themeColor="text1"/>
                <w:sz w:val="16"/>
                <w:szCs w:val="16"/>
              </w:rPr>
            </w:pPr>
            <w:r>
              <w:rPr>
                <w:b/>
                <w:noProof/>
                <w:color w:val="000000" w:themeColor="text1"/>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b/>
                <w:bCs/>
                <w:noProof/>
                <w:color w:val="000000" w:themeColor="text1"/>
                <w:sz w:val="16"/>
                <w:szCs w:val="16"/>
              </w:rPr>
            </w:pPr>
            <w:r>
              <w:rPr>
                <w:b/>
                <w:noProof/>
                <w:color w:val="000000" w:themeColor="text1"/>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b/>
                <w:bCs/>
                <w:noProof/>
                <w:color w:val="000000" w:themeColor="text1"/>
                <w:sz w:val="16"/>
                <w:szCs w:val="16"/>
              </w:rPr>
            </w:pPr>
            <w:r>
              <w:rPr>
                <w:b/>
                <w:noProof/>
                <w:color w:val="000000" w:themeColor="text1"/>
                <w:sz w:val="16"/>
              </w:rPr>
              <w:t>0,000</w:t>
            </w:r>
          </w:p>
        </w:tc>
        <w:tc>
          <w:tcPr>
            <w:tcW w:w="981"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b/>
                <w:bCs/>
                <w:noProof/>
                <w:color w:val="000000" w:themeColor="text1"/>
                <w:sz w:val="16"/>
                <w:szCs w:val="16"/>
              </w:rPr>
            </w:pPr>
            <w:r>
              <w:rPr>
                <w:b/>
                <w:noProof/>
                <w:color w:val="000000" w:themeColor="text1"/>
                <w:sz w:val="16"/>
              </w:rPr>
              <w:t>0,000</w:t>
            </w:r>
          </w:p>
        </w:tc>
      </w:tr>
      <w:tr>
        <w:trPr>
          <w:trHeight w:val="300"/>
        </w:trPr>
        <w:tc>
          <w:tcPr>
            <w:tcW w:w="7535" w:type="dxa"/>
            <w:gridSpan w:val="6"/>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spacing w:before="0" w:after="0"/>
              <w:jc w:val="center"/>
              <w:rPr>
                <w:noProof/>
                <w:color w:val="000000" w:themeColor="text1"/>
                <w:sz w:val="16"/>
                <w:szCs w:val="16"/>
              </w:rPr>
            </w:pPr>
            <w:r>
              <w:rPr>
                <w:noProof/>
                <w:color w:val="000000" w:themeColor="text1"/>
                <w:sz w:val="16"/>
              </w:rPr>
              <w:t xml:space="preserve"> </w:t>
            </w:r>
          </w:p>
        </w:tc>
      </w:tr>
      <w:tr>
        <w:trPr>
          <w:trHeight w:val="315"/>
        </w:trPr>
        <w:tc>
          <w:tcPr>
            <w:tcW w:w="3214" w:type="dxa"/>
            <w:tcBorders>
              <w:top w:val="single" w:sz="8" w:space="0" w:color="auto"/>
              <w:left w:val="single" w:sz="12" w:space="0" w:color="auto"/>
              <w:bottom w:val="single" w:sz="12" w:space="0" w:color="auto"/>
              <w:right w:val="single" w:sz="8" w:space="0" w:color="auto"/>
            </w:tcBorders>
            <w:tcMar>
              <w:left w:w="108" w:type="dxa"/>
              <w:right w:w="108" w:type="dxa"/>
            </w:tcMar>
            <w:vAlign w:val="center"/>
          </w:tcPr>
          <w:p>
            <w:pPr>
              <w:spacing w:before="0" w:after="0"/>
              <w:jc w:val="center"/>
              <w:rPr>
                <w:b/>
                <w:bCs/>
                <w:noProof/>
                <w:color w:val="000000" w:themeColor="text1"/>
                <w:sz w:val="16"/>
                <w:szCs w:val="16"/>
              </w:rPr>
            </w:pPr>
            <w:r>
              <w:rPr>
                <w:b/>
                <w:noProof/>
                <w:color w:val="000000" w:themeColor="text1"/>
                <w:sz w:val="16"/>
              </w:rPr>
              <w:t>TOTAL</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b/>
                <w:bCs/>
                <w:noProof/>
                <w:color w:val="000000" w:themeColor="text1"/>
                <w:sz w:val="16"/>
                <w:szCs w:val="16"/>
              </w:rPr>
            </w:pPr>
            <w:r>
              <w:rPr>
                <w:b/>
                <w:noProof/>
                <w:color w:val="000000" w:themeColor="text1"/>
                <w:sz w:val="16"/>
              </w:rPr>
              <w:t>0,000</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b/>
                <w:bCs/>
                <w:noProof/>
                <w:color w:val="000000" w:themeColor="text1"/>
                <w:sz w:val="16"/>
                <w:szCs w:val="16"/>
              </w:rPr>
            </w:pPr>
            <w:r>
              <w:rPr>
                <w:b/>
                <w:noProof/>
                <w:color w:val="000000" w:themeColor="text1"/>
                <w:sz w:val="16"/>
              </w:rPr>
              <w:t>0,000</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b/>
                <w:bCs/>
                <w:noProof/>
                <w:color w:val="000000" w:themeColor="text1"/>
                <w:sz w:val="16"/>
                <w:szCs w:val="16"/>
              </w:rPr>
            </w:pPr>
            <w:r>
              <w:rPr>
                <w:b/>
                <w:noProof/>
                <w:color w:val="000000" w:themeColor="text1"/>
                <w:sz w:val="16"/>
              </w:rPr>
              <w:t>0,000</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b/>
                <w:bCs/>
                <w:noProof/>
                <w:color w:val="000000" w:themeColor="text1"/>
                <w:sz w:val="16"/>
                <w:szCs w:val="16"/>
              </w:rPr>
            </w:pPr>
            <w:r>
              <w:rPr>
                <w:b/>
                <w:noProof/>
                <w:color w:val="000000" w:themeColor="text1"/>
                <w:sz w:val="16"/>
              </w:rPr>
              <w:t>0,000</w:t>
            </w:r>
          </w:p>
        </w:tc>
        <w:tc>
          <w:tcPr>
            <w:tcW w:w="981"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b/>
                <w:bCs/>
                <w:noProof/>
                <w:color w:val="000000" w:themeColor="text1"/>
                <w:sz w:val="16"/>
                <w:szCs w:val="16"/>
              </w:rPr>
            </w:pPr>
            <w:r>
              <w:rPr>
                <w:b/>
                <w:noProof/>
                <w:color w:val="000000" w:themeColor="text1"/>
                <w:sz w:val="16"/>
              </w:rPr>
              <w:t>0,000</w:t>
            </w:r>
          </w:p>
        </w:tc>
      </w:tr>
    </w:tbl>
    <w:p>
      <w:pPr>
        <w:pStyle w:val="ManualHeading3"/>
        <w:rPr>
          <w:noProof/>
        </w:rPr>
      </w:pPr>
      <w:bookmarkStart w:id="170" w:name="_Toc514938056"/>
      <w:bookmarkStart w:id="171" w:name="_Toc520485055"/>
      <w:bookmarkStart w:id="172" w:name="_Toc160804599"/>
      <w:bookmarkStart w:id="173" w:name="_Toc167220298"/>
      <w:bookmarkStart w:id="174" w:name="_Toc177549032"/>
      <w:bookmarkEnd w:id="168"/>
      <w:r>
        <w:rPr>
          <w:noProof/>
        </w:rPr>
        <w:t>3.2.6.</w:t>
      </w:r>
      <w:r>
        <w:rPr>
          <w:noProof/>
        </w:rPr>
        <w:tab/>
        <w:t>Compatibilitatea cu cadrul financiar multianual actual</w:t>
      </w:r>
      <w:bookmarkEnd w:id="170"/>
      <w:bookmarkEnd w:id="171"/>
      <w:bookmarkEnd w:id="172"/>
      <w:bookmarkEnd w:id="173"/>
      <w:bookmarkEnd w:id="174"/>
      <w:r>
        <w:rPr>
          <w:noProof/>
        </w:rPr>
        <w:t xml:space="preserve"> </w:t>
      </w:r>
    </w:p>
    <w:p>
      <w:pPr>
        <w:pStyle w:val="Text1"/>
        <w:rPr>
          <w:noProof/>
        </w:rPr>
      </w:pPr>
      <w:r>
        <w:rPr>
          <w:noProof/>
        </w:rPr>
        <w:t>Propunerea/inițiativa:</w:t>
      </w:r>
    </w:p>
    <w:p>
      <w:pPr>
        <w:pStyle w:val="ListDash1"/>
        <w:rPr>
          <w:noProof/>
        </w:rPr>
      </w:pPr>
      <w:r>
        <w:rPr>
          <w:rFonts w:ascii="Wingdings" w:hAnsi="Wingdings"/>
          <w:noProof/>
        </w:rPr>
        <w:t>¨</w:t>
      </w:r>
      <w:r>
        <w:rPr>
          <w:noProof/>
        </w:rPr>
        <w:tab/>
        <w:t>poate fi finanțată integral prin realocarea creditelor în cadrul rubricii relevante din cadrul financiar multianual (CFM)</w:t>
      </w:r>
    </w:p>
    <w:p>
      <w:pPr>
        <w:pStyle w:val="ListDash1"/>
        <w:rPr>
          <w:noProof/>
        </w:rPr>
      </w:pPr>
      <w:r>
        <w:rPr>
          <w:rFonts w:ascii="Wingdings" w:hAnsi="Wingdings"/>
          <w:noProof/>
        </w:rPr>
        <w:t>¨</w:t>
      </w:r>
      <w:r>
        <w:rPr>
          <w:noProof/>
        </w:rPr>
        <w:tab/>
        <w:t>necesită utilizarea marjei nealocate din cadrul rubricii corespunzătoare din CFM și/sau utilizarea instrumentelor speciale, astfel cum sunt definite în Regulamentul privind CFM</w:t>
      </w:r>
    </w:p>
    <w:p>
      <w:pPr>
        <w:pStyle w:val="ListDash1"/>
        <w:rPr>
          <w:noProof/>
        </w:rPr>
      </w:pPr>
      <w:r>
        <w:rPr>
          <w:rFonts w:ascii="Wingdings" w:hAnsi="Wingdings"/>
          <w:noProof/>
        </w:rPr>
        <w:t>¨</w:t>
      </w:r>
      <w:r>
        <w:rPr>
          <w:noProof/>
        </w:rPr>
        <w:tab/>
        <w:t>necesită revizuirea CFM</w:t>
      </w:r>
    </w:p>
    <w:p>
      <w:pPr>
        <w:pStyle w:val="ManualHeading3"/>
        <w:rPr>
          <w:noProof/>
        </w:rPr>
      </w:pPr>
      <w:bookmarkStart w:id="175" w:name="_Toc514938058"/>
      <w:bookmarkStart w:id="176" w:name="_Toc520485056"/>
      <w:bookmarkStart w:id="177" w:name="_Toc160804600"/>
      <w:bookmarkStart w:id="178" w:name="_Toc167220299"/>
      <w:bookmarkStart w:id="179" w:name="_Toc177549033"/>
      <w:r>
        <w:rPr>
          <w:noProof/>
        </w:rPr>
        <w:t>3.2.7.</w:t>
      </w:r>
      <w:r>
        <w:rPr>
          <w:noProof/>
        </w:rPr>
        <w:tab/>
        <w:t>Contribuțiile terților</w:t>
      </w:r>
      <w:bookmarkEnd w:id="175"/>
      <w:bookmarkEnd w:id="176"/>
      <w:bookmarkEnd w:id="177"/>
      <w:bookmarkEnd w:id="178"/>
      <w:bookmarkEnd w:id="179"/>
      <w:r>
        <w:rPr>
          <w:noProof/>
        </w:rPr>
        <w:t xml:space="preserve"> </w:t>
      </w:r>
    </w:p>
    <w:p>
      <w:pPr>
        <w:pStyle w:val="Text1"/>
        <w:rPr>
          <w:noProof/>
        </w:rPr>
      </w:pPr>
      <w:r>
        <w:rPr>
          <w:noProof/>
        </w:rPr>
        <w:t>Propunerea/inițiativa:</w:t>
      </w:r>
    </w:p>
    <w:p>
      <w:pPr>
        <w:pStyle w:val="ListDash1"/>
        <w:rPr>
          <w:noProof/>
        </w:rPr>
      </w:pPr>
      <w:r>
        <w:rPr>
          <w:rFonts w:ascii="Wingdings" w:hAnsi="Wingdings"/>
          <w:noProof/>
        </w:rPr>
        <w:t>¨</w:t>
      </w:r>
      <w:r>
        <w:rPr>
          <w:noProof/>
        </w:rPr>
        <w:tab/>
        <w:t>nu prevede cofinanțare din partea terților</w:t>
      </w:r>
    </w:p>
    <w:p>
      <w:pPr>
        <w:pStyle w:val="ListDash1"/>
        <w:rPr>
          <w:noProof/>
        </w:rPr>
      </w:pPr>
      <w:r>
        <w:rPr>
          <w:rFonts w:ascii="Wingdings" w:hAnsi="Wingdings"/>
          <w:noProof/>
        </w:rPr>
        <w:t>¨</w:t>
      </w:r>
      <w:r>
        <w:rPr>
          <w:noProof/>
        </w:rPr>
        <w:tab/>
        <w:t>prevede cofinanțare din partea terților, estimată mai jos:</w:t>
      </w:r>
    </w:p>
    <w:p>
      <w:pPr>
        <w:jc w:val="right"/>
        <w:rPr>
          <w:noProof/>
          <w:sz w:val="20"/>
        </w:rPr>
      </w:pPr>
      <w:r>
        <w:rPr>
          <w:noProof/>
          <w:sz w:val="20"/>
        </w:rPr>
        <w:t>Credite în milioane EUR (cu trei zecimale)</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2959"/>
        <w:gridCol w:w="1217"/>
        <w:gridCol w:w="1217"/>
        <w:gridCol w:w="1217"/>
        <w:gridCol w:w="1217"/>
        <w:gridCol w:w="1462"/>
      </w:tblGrid>
      <w:tr>
        <w:trPr>
          <w:cantSplit/>
        </w:trPr>
        <w:tc>
          <w:tcPr>
            <w:tcW w:w="1591" w:type="pct"/>
          </w:tcPr>
          <w:p>
            <w:pPr>
              <w:spacing w:before="60" w:after="60"/>
              <w:rPr>
                <w:noProof/>
                <w:sz w:val="20"/>
              </w:rPr>
            </w:pPr>
          </w:p>
        </w:tc>
        <w:tc>
          <w:tcPr>
            <w:tcW w:w="655" w:type="pct"/>
            <w:vAlign w:val="center"/>
          </w:tcPr>
          <w:p>
            <w:pPr>
              <w:jc w:val="center"/>
              <w:rPr>
                <w:noProof/>
                <w:sz w:val="20"/>
              </w:rPr>
            </w:pPr>
            <w:r>
              <w:rPr>
                <w:noProof/>
                <w:sz w:val="20"/>
              </w:rPr>
              <w:t xml:space="preserve">Anul </w:t>
            </w:r>
            <w:r>
              <w:rPr>
                <w:noProof/>
              </w:rPr>
              <w:t xml:space="preserve"> </w:t>
            </w:r>
            <w:r>
              <w:rPr>
                <w:noProof/>
              </w:rPr>
              <w:br/>
            </w:r>
            <w:r>
              <w:rPr>
                <w:b/>
                <w:noProof/>
                <w:sz w:val="20"/>
              </w:rPr>
              <w:t>2024</w:t>
            </w:r>
          </w:p>
        </w:tc>
        <w:tc>
          <w:tcPr>
            <w:tcW w:w="655" w:type="pct"/>
            <w:vAlign w:val="center"/>
          </w:tcPr>
          <w:p>
            <w:pPr>
              <w:jc w:val="center"/>
              <w:rPr>
                <w:noProof/>
                <w:sz w:val="20"/>
              </w:rPr>
            </w:pPr>
            <w:r>
              <w:rPr>
                <w:noProof/>
                <w:sz w:val="20"/>
              </w:rPr>
              <w:t xml:space="preserve">Anul </w:t>
            </w:r>
            <w:r>
              <w:rPr>
                <w:noProof/>
              </w:rPr>
              <w:t xml:space="preserve"> </w:t>
            </w:r>
            <w:r>
              <w:rPr>
                <w:noProof/>
              </w:rPr>
              <w:br/>
            </w:r>
            <w:r>
              <w:rPr>
                <w:b/>
                <w:noProof/>
                <w:sz w:val="20"/>
              </w:rPr>
              <w:t>2025</w:t>
            </w:r>
          </w:p>
        </w:tc>
        <w:tc>
          <w:tcPr>
            <w:tcW w:w="655" w:type="pct"/>
            <w:vAlign w:val="center"/>
          </w:tcPr>
          <w:p>
            <w:pPr>
              <w:jc w:val="center"/>
              <w:rPr>
                <w:noProof/>
                <w:sz w:val="20"/>
              </w:rPr>
            </w:pPr>
            <w:r>
              <w:rPr>
                <w:noProof/>
                <w:sz w:val="20"/>
              </w:rPr>
              <w:t xml:space="preserve">Anul </w:t>
            </w:r>
            <w:r>
              <w:rPr>
                <w:noProof/>
              </w:rPr>
              <w:t xml:space="preserve"> </w:t>
            </w:r>
            <w:r>
              <w:rPr>
                <w:noProof/>
              </w:rPr>
              <w:br/>
            </w:r>
            <w:r>
              <w:rPr>
                <w:b/>
                <w:noProof/>
                <w:sz w:val="20"/>
              </w:rPr>
              <w:t>2026</w:t>
            </w:r>
          </w:p>
        </w:tc>
        <w:tc>
          <w:tcPr>
            <w:tcW w:w="655" w:type="pct"/>
            <w:vAlign w:val="center"/>
          </w:tcPr>
          <w:p>
            <w:pPr>
              <w:jc w:val="center"/>
              <w:rPr>
                <w:noProof/>
                <w:sz w:val="20"/>
              </w:rPr>
            </w:pPr>
            <w:r>
              <w:rPr>
                <w:noProof/>
                <w:sz w:val="20"/>
              </w:rPr>
              <w:t xml:space="preserve">Anul </w:t>
            </w:r>
            <w:r>
              <w:rPr>
                <w:noProof/>
              </w:rPr>
              <w:t xml:space="preserve"> </w:t>
            </w:r>
            <w:r>
              <w:rPr>
                <w:noProof/>
              </w:rPr>
              <w:br/>
            </w:r>
            <w:r>
              <w:rPr>
                <w:b/>
                <w:noProof/>
                <w:sz w:val="20"/>
              </w:rPr>
              <w:t>2027</w:t>
            </w:r>
          </w:p>
        </w:tc>
        <w:tc>
          <w:tcPr>
            <w:tcW w:w="787" w:type="pct"/>
            <w:vAlign w:val="center"/>
          </w:tcPr>
          <w:p>
            <w:pPr>
              <w:spacing w:before="60" w:after="60"/>
              <w:jc w:val="center"/>
              <w:rPr>
                <w:noProof/>
                <w:sz w:val="20"/>
              </w:rPr>
            </w:pPr>
            <w:r>
              <w:rPr>
                <w:noProof/>
                <w:sz w:val="20"/>
              </w:rPr>
              <w:t>Total</w:t>
            </w:r>
          </w:p>
        </w:tc>
      </w:tr>
      <w:tr>
        <w:trPr>
          <w:cantSplit/>
        </w:trPr>
        <w:tc>
          <w:tcPr>
            <w:tcW w:w="1591" w:type="pct"/>
          </w:tcPr>
          <w:p>
            <w:pPr>
              <w:rPr>
                <w:noProof/>
              </w:rPr>
            </w:pPr>
            <w:r>
              <w:rPr>
                <w:noProof/>
                <w:sz w:val="20"/>
              </w:rPr>
              <w:t>A se preciza organismul care asigură cofinanțarea</w:t>
            </w:r>
            <w:r>
              <w:rPr>
                <w:i/>
                <w:noProof/>
                <w:sz w:val="20"/>
              </w:rPr>
              <w:t xml:space="preserve"> </w:t>
            </w:r>
          </w:p>
        </w:tc>
        <w:tc>
          <w:tcPr>
            <w:tcW w:w="655" w:type="pct"/>
            <w:vAlign w:val="center"/>
          </w:tcPr>
          <w:p>
            <w:pPr>
              <w:spacing w:before="60" w:after="60"/>
              <w:jc w:val="center"/>
              <w:rPr>
                <w:noProof/>
                <w:sz w:val="20"/>
              </w:rPr>
            </w:pPr>
          </w:p>
        </w:tc>
        <w:tc>
          <w:tcPr>
            <w:tcW w:w="655" w:type="pct"/>
            <w:vAlign w:val="center"/>
          </w:tcPr>
          <w:p>
            <w:pPr>
              <w:spacing w:before="60" w:after="60"/>
              <w:jc w:val="center"/>
              <w:rPr>
                <w:noProof/>
                <w:sz w:val="20"/>
              </w:rPr>
            </w:pPr>
          </w:p>
        </w:tc>
        <w:tc>
          <w:tcPr>
            <w:tcW w:w="655" w:type="pct"/>
            <w:vAlign w:val="center"/>
          </w:tcPr>
          <w:p>
            <w:pPr>
              <w:spacing w:before="60" w:after="60"/>
              <w:jc w:val="center"/>
              <w:rPr>
                <w:noProof/>
                <w:sz w:val="20"/>
              </w:rPr>
            </w:pPr>
          </w:p>
        </w:tc>
        <w:tc>
          <w:tcPr>
            <w:tcW w:w="655" w:type="pct"/>
            <w:vAlign w:val="center"/>
          </w:tcPr>
          <w:p>
            <w:pPr>
              <w:spacing w:before="60" w:after="60"/>
              <w:jc w:val="center"/>
              <w:rPr>
                <w:noProof/>
                <w:sz w:val="20"/>
              </w:rPr>
            </w:pPr>
          </w:p>
        </w:tc>
        <w:tc>
          <w:tcPr>
            <w:tcW w:w="787" w:type="pct"/>
            <w:vAlign w:val="center"/>
          </w:tcPr>
          <w:p>
            <w:pPr>
              <w:spacing w:before="60" w:after="60"/>
              <w:jc w:val="center"/>
              <w:rPr>
                <w:noProof/>
                <w:sz w:val="20"/>
              </w:rPr>
            </w:pPr>
          </w:p>
        </w:tc>
      </w:tr>
      <w:tr>
        <w:trPr>
          <w:cantSplit/>
        </w:trPr>
        <w:tc>
          <w:tcPr>
            <w:tcW w:w="1591" w:type="pct"/>
          </w:tcPr>
          <w:p>
            <w:pPr>
              <w:spacing w:before="60" w:after="60"/>
              <w:jc w:val="left"/>
              <w:rPr>
                <w:noProof/>
                <w:sz w:val="20"/>
              </w:rPr>
            </w:pPr>
            <w:r>
              <w:rPr>
                <w:noProof/>
                <w:sz w:val="20"/>
              </w:rPr>
              <w:t xml:space="preserve">TOTAL credite cofinanțate </w:t>
            </w:r>
          </w:p>
        </w:tc>
        <w:tc>
          <w:tcPr>
            <w:tcW w:w="655" w:type="pct"/>
            <w:vAlign w:val="center"/>
          </w:tcPr>
          <w:p>
            <w:pPr>
              <w:spacing w:before="60" w:after="60"/>
              <w:jc w:val="center"/>
              <w:rPr>
                <w:noProof/>
                <w:sz w:val="20"/>
              </w:rPr>
            </w:pPr>
          </w:p>
        </w:tc>
        <w:tc>
          <w:tcPr>
            <w:tcW w:w="655" w:type="pct"/>
            <w:vAlign w:val="center"/>
          </w:tcPr>
          <w:p>
            <w:pPr>
              <w:spacing w:before="60" w:after="60"/>
              <w:jc w:val="center"/>
              <w:rPr>
                <w:noProof/>
                <w:sz w:val="20"/>
              </w:rPr>
            </w:pPr>
          </w:p>
        </w:tc>
        <w:tc>
          <w:tcPr>
            <w:tcW w:w="655" w:type="pct"/>
            <w:vAlign w:val="center"/>
          </w:tcPr>
          <w:p>
            <w:pPr>
              <w:spacing w:before="60" w:after="60"/>
              <w:jc w:val="center"/>
              <w:rPr>
                <w:noProof/>
                <w:sz w:val="20"/>
              </w:rPr>
            </w:pPr>
          </w:p>
        </w:tc>
        <w:tc>
          <w:tcPr>
            <w:tcW w:w="655" w:type="pct"/>
            <w:vAlign w:val="center"/>
          </w:tcPr>
          <w:p>
            <w:pPr>
              <w:spacing w:before="60" w:after="60"/>
              <w:jc w:val="center"/>
              <w:rPr>
                <w:noProof/>
                <w:sz w:val="20"/>
              </w:rPr>
            </w:pPr>
          </w:p>
        </w:tc>
        <w:tc>
          <w:tcPr>
            <w:tcW w:w="787" w:type="pct"/>
            <w:vAlign w:val="center"/>
          </w:tcPr>
          <w:p>
            <w:pPr>
              <w:spacing w:before="60" w:after="60"/>
              <w:jc w:val="center"/>
              <w:rPr>
                <w:noProof/>
                <w:sz w:val="20"/>
              </w:rPr>
            </w:pPr>
          </w:p>
        </w:tc>
      </w:tr>
    </w:tbl>
    <w:p>
      <w:pPr>
        <w:outlineLvl w:val="1"/>
        <w:rPr>
          <w:noProof/>
          <w:szCs w:val="24"/>
        </w:rPr>
      </w:pPr>
      <w:r>
        <w:rPr>
          <w:noProof/>
        </w:rPr>
        <w:t xml:space="preserve"> </w:t>
      </w:r>
      <w:r>
        <w:rPr>
          <w:noProof/>
        </w:rPr>
        <w:br/>
      </w:r>
      <w:bookmarkStart w:id="180" w:name="_Toc514938059"/>
      <w:bookmarkStart w:id="181" w:name="_Toc520485057"/>
      <w:bookmarkStart w:id="182" w:name="_Toc160804602"/>
      <w:bookmarkStart w:id="183" w:name="_Toc167220300"/>
      <w:bookmarkStart w:id="184" w:name="_Toc177549034"/>
      <w:bookmarkStart w:id="185" w:name="_Hlk166860179"/>
      <w:r>
        <w:rPr>
          <w:noProof/>
        </w:rPr>
        <w:t>3.3.</w:t>
      </w:r>
      <w:r>
        <w:rPr>
          <w:noProof/>
        </w:rPr>
        <w:tab/>
        <w:t>Impactul estimat asupra veniturilor</w:t>
      </w:r>
      <w:bookmarkEnd w:id="180"/>
      <w:bookmarkEnd w:id="181"/>
      <w:bookmarkEnd w:id="182"/>
      <w:bookmarkEnd w:id="183"/>
      <w:bookmarkEnd w:id="184"/>
      <w:r>
        <w:rPr>
          <w:noProof/>
        </w:rPr>
        <w:t xml:space="preserve"> </w:t>
      </w:r>
    </w:p>
    <w:bookmarkEnd w:id="185"/>
    <w:p>
      <w:pPr>
        <w:pStyle w:val="ListDash1"/>
        <w:rPr>
          <w:noProof/>
        </w:rPr>
      </w:pPr>
      <w:r>
        <w:rPr>
          <w:rFonts w:ascii="Wingdings" w:hAnsi="Wingdings"/>
          <w:noProof/>
        </w:rPr>
        <w:t>¨</w:t>
      </w:r>
      <w:r>
        <w:rPr>
          <w:noProof/>
        </w:rPr>
        <w:tab/>
        <w:t>Propunerea/inițiativa nu are impact financiar asupra veniturilor.</w:t>
      </w:r>
    </w:p>
    <w:p>
      <w:pPr>
        <w:pStyle w:val="ListDash1"/>
        <w:rPr>
          <w:noProof/>
        </w:rPr>
      </w:pPr>
      <w:r>
        <w:rPr>
          <w:rFonts w:ascii="Wingdings" w:hAnsi="Wingdings"/>
          <w:noProof/>
        </w:rPr>
        <w:t>¨</w:t>
      </w:r>
      <w:r>
        <w:rPr>
          <w:noProof/>
        </w:rPr>
        <w:tab/>
        <w:t>Propunerea/inițiativa are următorul impact financiar:</w:t>
      </w:r>
    </w:p>
    <w:p>
      <w:pPr>
        <w:pStyle w:val="ListNumberLevel3"/>
        <w:rPr>
          <w:noProof/>
        </w:rPr>
      </w:pPr>
      <w:r>
        <w:rPr>
          <w:rFonts w:ascii="Wingdings" w:hAnsi="Wingdings"/>
          <w:noProof/>
        </w:rPr>
        <w:t>¨</w:t>
      </w:r>
      <w:r>
        <w:rPr>
          <w:noProof/>
        </w:rPr>
        <w:tab/>
        <w:t xml:space="preserve">asupra resurselor proprii </w:t>
      </w:r>
    </w:p>
    <w:p>
      <w:pPr>
        <w:pStyle w:val="ListNumberLevel3"/>
        <w:rPr>
          <w:noProof/>
        </w:rPr>
      </w:pPr>
      <w:r>
        <w:rPr>
          <w:rFonts w:ascii="Wingdings" w:hAnsi="Wingdings"/>
          <w:noProof/>
        </w:rPr>
        <w:t>¨</w:t>
      </w:r>
      <w:r>
        <w:rPr>
          <w:noProof/>
        </w:rPr>
        <w:tab/>
        <w:t>asupra altor venituri</w:t>
      </w:r>
    </w:p>
    <w:p>
      <w:pPr>
        <w:pStyle w:val="ListNumberLevel3"/>
        <w:rPr>
          <w:noProof/>
        </w:rPr>
      </w:pPr>
      <w:r>
        <w:rPr>
          <w:rFonts w:ascii="Wingdings" w:hAnsi="Wingdings"/>
          <w:noProof/>
        </w:rPr>
        <w:t>¨</w:t>
      </w:r>
      <w:r>
        <w:rPr>
          <w:noProof/>
        </w:rPr>
        <w:tab/>
        <w:t>vă rugăm să precizați dacă veniturile sunt alocate unor linii de cheltuieli</w:t>
      </w:r>
    </w:p>
    <w:p>
      <w:pPr>
        <w:jc w:val="right"/>
        <w:rPr>
          <w:noProof/>
          <w:sz w:val="20"/>
        </w:rPr>
      </w:pPr>
      <w:r>
        <w:rPr>
          <w:noProof/>
          <w:sz w:val="20"/>
        </w:rPr>
        <w:t xml:space="preserve">     Milioane EUR (cu trei zecimale)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44"/>
        <w:gridCol w:w="1614"/>
        <w:gridCol w:w="1692"/>
        <w:gridCol w:w="1044"/>
        <w:gridCol w:w="1035"/>
        <w:gridCol w:w="1260"/>
      </w:tblGrid>
      <w:tr>
        <w:trPr>
          <w:trHeight w:val="388"/>
        </w:trPr>
        <w:tc>
          <w:tcPr>
            <w:tcW w:w="1423" w:type="pct"/>
            <w:vMerge w:val="restart"/>
            <w:vAlign w:val="center"/>
          </w:tcPr>
          <w:p>
            <w:pPr>
              <w:spacing w:before="40" w:after="40"/>
              <w:rPr>
                <w:noProof/>
                <w:sz w:val="18"/>
              </w:rPr>
            </w:pPr>
            <w:r>
              <w:rPr>
                <w:noProof/>
                <w:sz w:val="18"/>
              </w:rPr>
              <w:t>Linia bugetară pentru venituri:</w:t>
            </w:r>
          </w:p>
        </w:tc>
        <w:tc>
          <w:tcPr>
            <w:tcW w:w="869" w:type="pct"/>
            <w:vMerge w:val="restart"/>
            <w:vAlign w:val="center"/>
          </w:tcPr>
          <w:p>
            <w:pPr>
              <w:jc w:val="center"/>
              <w:rPr>
                <w:noProof/>
                <w:sz w:val="18"/>
              </w:rPr>
            </w:pPr>
            <w:r>
              <w:rPr>
                <w:noProof/>
                <w:sz w:val="18"/>
              </w:rPr>
              <w:t>Credite disponibile pentru exercițiul financiar în curs</w:t>
            </w:r>
          </w:p>
        </w:tc>
        <w:tc>
          <w:tcPr>
            <w:tcW w:w="2709" w:type="pct"/>
            <w:gridSpan w:val="4"/>
            <w:vAlign w:val="center"/>
          </w:tcPr>
          <w:p>
            <w:pPr>
              <w:jc w:val="center"/>
              <w:rPr>
                <w:noProof/>
                <w:sz w:val="18"/>
              </w:rPr>
            </w:pPr>
            <w:r>
              <w:rPr>
                <w:noProof/>
                <w:sz w:val="18"/>
              </w:rPr>
              <w:t>Impactul propunerii/inițiativei</w:t>
            </w:r>
            <w:r>
              <w:rPr>
                <w:rStyle w:val="FootnoteReference"/>
                <w:noProof/>
                <w:sz w:val="18"/>
                <w:szCs w:val="18"/>
              </w:rPr>
              <w:footnoteReference w:id="18"/>
            </w:r>
          </w:p>
        </w:tc>
      </w:tr>
      <w:tr>
        <w:trPr>
          <w:trHeight w:val="388"/>
        </w:trPr>
        <w:tc>
          <w:tcPr>
            <w:tcW w:w="1423" w:type="pct"/>
            <w:vMerge/>
          </w:tcPr>
          <w:p>
            <w:pPr>
              <w:spacing w:before="40" w:after="40"/>
              <w:rPr>
                <w:noProof/>
                <w:sz w:val="18"/>
              </w:rPr>
            </w:pPr>
          </w:p>
        </w:tc>
        <w:tc>
          <w:tcPr>
            <w:tcW w:w="869" w:type="pct"/>
            <w:vMerge/>
          </w:tcPr>
          <w:p>
            <w:pPr>
              <w:spacing w:beforeLines="40" w:before="96" w:afterLines="40" w:after="96"/>
              <w:rPr>
                <w:i/>
                <w:noProof/>
                <w:sz w:val="18"/>
              </w:rPr>
            </w:pPr>
          </w:p>
        </w:tc>
        <w:tc>
          <w:tcPr>
            <w:tcW w:w="911" w:type="pct"/>
            <w:vAlign w:val="center"/>
          </w:tcPr>
          <w:p>
            <w:pPr>
              <w:jc w:val="center"/>
              <w:rPr>
                <w:noProof/>
                <w:sz w:val="18"/>
              </w:rPr>
            </w:pPr>
            <w:r>
              <w:rPr>
                <w:noProof/>
                <w:sz w:val="18"/>
              </w:rPr>
              <w:t xml:space="preserve">Anul </w:t>
            </w:r>
            <w:r>
              <w:rPr>
                <w:b/>
                <w:noProof/>
                <w:sz w:val="18"/>
              </w:rPr>
              <w:t>2024</w:t>
            </w:r>
          </w:p>
        </w:tc>
        <w:tc>
          <w:tcPr>
            <w:tcW w:w="562" w:type="pct"/>
            <w:vAlign w:val="center"/>
          </w:tcPr>
          <w:p>
            <w:pPr>
              <w:jc w:val="center"/>
              <w:rPr>
                <w:noProof/>
                <w:sz w:val="18"/>
              </w:rPr>
            </w:pPr>
            <w:r>
              <w:rPr>
                <w:noProof/>
                <w:sz w:val="18"/>
              </w:rPr>
              <w:t xml:space="preserve">Anul </w:t>
            </w:r>
            <w:r>
              <w:rPr>
                <w:b/>
                <w:noProof/>
                <w:sz w:val="18"/>
              </w:rPr>
              <w:t>2025</w:t>
            </w:r>
          </w:p>
        </w:tc>
        <w:tc>
          <w:tcPr>
            <w:tcW w:w="557" w:type="pct"/>
            <w:vAlign w:val="center"/>
          </w:tcPr>
          <w:p>
            <w:pPr>
              <w:jc w:val="center"/>
              <w:rPr>
                <w:noProof/>
                <w:sz w:val="18"/>
              </w:rPr>
            </w:pPr>
            <w:r>
              <w:rPr>
                <w:noProof/>
                <w:sz w:val="18"/>
              </w:rPr>
              <w:t xml:space="preserve">Anul </w:t>
            </w:r>
            <w:r>
              <w:rPr>
                <w:b/>
                <w:noProof/>
                <w:sz w:val="18"/>
              </w:rPr>
              <w:t>2026</w:t>
            </w:r>
          </w:p>
        </w:tc>
        <w:tc>
          <w:tcPr>
            <w:tcW w:w="679" w:type="pct"/>
            <w:vAlign w:val="center"/>
          </w:tcPr>
          <w:p>
            <w:pPr>
              <w:jc w:val="center"/>
              <w:rPr>
                <w:noProof/>
                <w:sz w:val="18"/>
              </w:rPr>
            </w:pPr>
            <w:r>
              <w:rPr>
                <w:noProof/>
                <w:sz w:val="18"/>
              </w:rPr>
              <w:t xml:space="preserve">Anul </w:t>
            </w:r>
            <w:r>
              <w:rPr>
                <w:b/>
                <w:noProof/>
                <w:sz w:val="18"/>
              </w:rPr>
              <w:t>2027</w:t>
            </w:r>
          </w:p>
        </w:tc>
      </w:tr>
      <w:tr>
        <w:trPr>
          <w:trHeight w:val="388"/>
        </w:trPr>
        <w:tc>
          <w:tcPr>
            <w:tcW w:w="1423" w:type="pct"/>
            <w:vAlign w:val="center"/>
          </w:tcPr>
          <w:p>
            <w:pPr>
              <w:spacing w:before="40" w:after="40"/>
              <w:rPr>
                <w:noProof/>
                <w:sz w:val="18"/>
              </w:rPr>
            </w:pPr>
            <w:r>
              <w:rPr>
                <w:noProof/>
                <w:sz w:val="18"/>
              </w:rPr>
              <w:t>Articolul ………….</w:t>
            </w:r>
          </w:p>
        </w:tc>
        <w:tc>
          <w:tcPr>
            <w:tcW w:w="869" w:type="pct"/>
          </w:tcPr>
          <w:p>
            <w:pPr>
              <w:spacing w:beforeLines="40" w:before="96" w:afterLines="40" w:after="96"/>
              <w:jc w:val="center"/>
              <w:rPr>
                <w:i/>
                <w:noProof/>
                <w:sz w:val="18"/>
              </w:rPr>
            </w:pPr>
          </w:p>
        </w:tc>
        <w:tc>
          <w:tcPr>
            <w:tcW w:w="911" w:type="pct"/>
          </w:tcPr>
          <w:p>
            <w:pPr>
              <w:spacing w:beforeLines="40" w:before="96" w:afterLines="40" w:after="96"/>
              <w:jc w:val="center"/>
              <w:rPr>
                <w:noProof/>
                <w:sz w:val="18"/>
              </w:rPr>
            </w:pPr>
          </w:p>
        </w:tc>
        <w:tc>
          <w:tcPr>
            <w:tcW w:w="562" w:type="pct"/>
          </w:tcPr>
          <w:p>
            <w:pPr>
              <w:spacing w:beforeLines="40" w:before="96" w:afterLines="40" w:after="96"/>
              <w:jc w:val="center"/>
              <w:rPr>
                <w:noProof/>
                <w:sz w:val="18"/>
              </w:rPr>
            </w:pPr>
          </w:p>
        </w:tc>
        <w:tc>
          <w:tcPr>
            <w:tcW w:w="557" w:type="pct"/>
          </w:tcPr>
          <w:p>
            <w:pPr>
              <w:spacing w:beforeLines="40" w:before="96" w:afterLines="40" w:after="96"/>
              <w:jc w:val="center"/>
              <w:rPr>
                <w:noProof/>
                <w:sz w:val="18"/>
              </w:rPr>
            </w:pPr>
          </w:p>
        </w:tc>
        <w:tc>
          <w:tcPr>
            <w:tcW w:w="679" w:type="pct"/>
          </w:tcPr>
          <w:p>
            <w:pPr>
              <w:spacing w:beforeLines="40" w:before="96" w:afterLines="40" w:after="96"/>
              <w:jc w:val="center"/>
              <w:rPr>
                <w:noProof/>
                <w:sz w:val="18"/>
              </w:rPr>
            </w:pPr>
          </w:p>
        </w:tc>
      </w:tr>
    </w:tbl>
    <w:p>
      <w:pPr>
        <w:pStyle w:val="Text1"/>
        <w:rPr>
          <w:noProof/>
          <w:szCs w:val="24"/>
        </w:rPr>
      </w:pPr>
      <w:r>
        <w:rPr>
          <w:noProof/>
        </w:rPr>
        <w:t>Pentru veniturile alocate, a se preciza linia (liniile) bugetară (bugetare) de cheltuieli afectată (afectate).</w:t>
      </w:r>
    </w:p>
    <w:p>
      <w:pPr>
        <w:pStyle w:val="Text1"/>
        <w:pBdr>
          <w:top w:val="single" w:sz="4" w:space="1" w:color="auto"/>
          <w:left w:val="single" w:sz="4" w:space="4" w:color="auto"/>
          <w:bottom w:val="single" w:sz="4" w:space="1" w:color="auto"/>
          <w:right w:val="single" w:sz="4" w:space="4" w:color="auto"/>
        </w:pBdr>
        <w:rPr>
          <w:noProof/>
        </w:rPr>
      </w:pPr>
    </w:p>
    <w:p>
      <w:pPr>
        <w:pStyle w:val="Text1"/>
        <w:rPr>
          <w:noProof/>
          <w:szCs w:val="24"/>
        </w:rPr>
      </w:pPr>
      <w:r>
        <w:rPr>
          <w:noProof/>
        </w:rPr>
        <w:t>Alte observații (de exemplu, metoda/formula utilizată pentru calcularea impactului asupra veniturilor sau orice alte informații).</w:t>
      </w:r>
    </w:p>
    <w:p>
      <w:pPr>
        <w:pStyle w:val="Text1"/>
        <w:pBdr>
          <w:top w:val="single" w:sz="4" w:space="1" w:color="auto"/>
          <w:left w:val="single" w:sz="4" w:space="4" w:color="auto"/>
          <w:bottom w:val="single" w:sz="4" w:space="1" w:color="auto"/>
          <w:right w:val="single" w:sz="4" w:space="4" w:color="auto"/>
        </w:pBdr>
        <w:rPr>
          <w:noProof/>
        </w:rPr>
      </w:pPr>
    </w:p>
    <w:p>
      <w:pPr>
        <w:pStyle w:val="ManualHeading1"/>
        <w:rPr>
          <w:caps/>
          <w:noProof/>
        </w:rPr>
      </w:pPr>
      <w:bookmarkStart w:id="186" w:name="_Toc167220301"/>
      <w:bookmarkStart w:id="187" w:name="_Toc177549035"/>
      <w:r>
        <w:rPr>
          <w:noProof/>
        </w:rPr>
        <w:t>4.</w:t>
      </w:r>
      <w:r>
        <w:rPr>
          <w:noProof/>
        </w:rPr>
        <w:tab/>
      </w:r>
      <w:bookmarkStart w:id="188" w:name="_Hlk167692977"/>
      <w:r>
        <w:rPr>
          <w:caps/>
          <w:noProof/>
        </w:rPr>
        <w:t>Dimensiunile digitale</w:t>
      </w:r>
      <w:bookmarkEnd w:id="186"/>
      <w:bookmarkEnd w:id="187"/>
    </w:p>
    <w:p>
      <w:pPr>
        <w:pStyle w:val="ManualHeading2"/>
        <w:rPr>
          <w:noProof/>
        </w:rPr>
      </w:pPr>
      <w:bookmarkStart w:id="189" w:name="_Toc167220302"/>
      <w:bookmarkStart w:id="190" w:name="_Toc177549037"/>
      <w:r>
        <w:rPr>
          <w:noProof/>
        </w:rPr>
        <w:t>4.1.</w:t>
      </w:r>
      <w:r>
        <w:rPr>
          <w:noProof/>
        </w:rPr>
        <w:tab/>
        <w:t>Cerințe cu relevanță digitală</w:t>
      </w:r>
      <w:bookmarkEnd w:id="189"/>
      <w:bookmarkEnd w:id="190"/>
    </w:p>
    <w:tbl>
      <w:tblPr>
        <w:tblStyle w:val="TableGrid"/>
        <w:tblW w:w="9072" w:type="dxa"/>
        <w:tblInd w:w="-5" w:type="dxa"/>
        <w:tblLayout w:type="fixed"/>
        <w:tblLook w:val="06A0" w:firstRow="1" w:lastRow="0" w:firstColumn="1" w:lastColumn="0" w:noHBand="1" w:noVBand="1"/>
      </w:tblPr>
      <w:tblGrid>
        <w:gridCol w:w="9072"/>
      </w:tblGrid>
      <w:tr>
        <w:trPr>
          <w:trHeight w:val="300"/>
        </w:trPr>
        <w:tc>
          <w:tcPr>
            <w:tcW w:w="9072" w:type="dxa"/>
          </w:tcPr>
          <w:p>
            <w:pPr>
              <w:rPr>
                <w:noProof/>
                <w:color w:val="000000" w:themeColor="text1"/>
              </w:rPr>
            </w:pPr>
            <w:r>
              <w:rPr>
                <w:noProof/>
              </w:rPr>
              <w:t>Propunerea nu include cerințe cu relevanță digitală, deoarece nu implică modificări ale obligațiilor de raportare și nici noi cerințe privind fluxurile de date. Deși tehnologiile digitale sunt utilizate pentru punerea în aplicare a FEAMPA de către statele membre, modificările propuse nu sunt legate de aceste tehnologii digitale.</w:t>
            </w:r>
            <w:r>
              <w:rPr>
                <w:noProof/>
                <w:color w:val="000000" w:themeColor="text1"/>
              </w:rPr>
              <w:t xml:space="preserve"> </w:t>
            </w:r>
          </w:p>
          <w:p>
            <w:pPr>
              <w:rPr>
                <w:noProof/>
                <w:color w:val="000000" w:themeColor="text1"/>
              </w:rPr>
            </w:pPr>
            <w:r>
              <w:rPr>
                <w:noProof/>
              </w:rPr>
              <w:t>Singura schimbare digitală relevantă este o adaptare minoră a componentei administrative și de gestionare internă a sistemului SFC al Comisiei Europene: Sistemul pentru gestionarea fondurilor în Uniunea Europeană.</w:t>
            </w:r>
            <w:r>
              <w:rPr>
                <w:noProof/>
                <w:color w:val="000000" w:themeColor="text1"/>
              </w:rPr>
              <w:t xml:space="preserve"> </w:t>
            </w:r>
          </w:p>
          <w:p>
            <w:pPr>
              <w:spacing w:before="0" w:after="0"/>
              <w:rPr>
                <w:noProof/>
              </w:rPr>
            </w:pPr>
            <w:r>
              <w:rPr>
                <w:noProof/>
              </w:rPr>
              <w:t>SFC2021 este sistemul electronic de schimb de date pentru toate schimburile oficiale de informații dintre statele membre și Comisie referitoare la gestionarea fondurilor RDC așa cum se prevede la articolul 69 alineatul (9) din Regulamentul (UE) 2021/1060 al Parlamentului European și al Consiliului din 24 iunie 2021 de stabilire a dispozițiilor comune privind Fondul european de dezvoltare regională, Fondul social european Plus, Fondul de coeziune, Fondul pentru o tranziție justă și Fondul european pentru afaceri maritime, pescuit și acvacultură și de stabilire a normelor financiare aplicabile acestor fonduri, precum și Fondului pentru azil, migrație și integrare, Fondului pentru securitate internă și Instrumentului de sprijin financiar pentru managementul frontierelor și politica de vize. Acest sistem electronic utilizat pentru schimbul de informații oficiale între autoritățile de management și Comisia Europeană necesită o ușoară adaptare a parametrilor interni, deoarece operațiunile ar putea atinge plafoane financiare mai ridicate. Într-adevăr, planurile de finanțare ale autorităților de management vor fi adaptate prin modificări ale programelor, fără a se modifica alocările financiare totale.  Cu toate acestea, procesele de prezentare, de flux de lucru și de validare rămân neschimbate.</w:t>
            </w:r>
          </w:p>
          <w:p>
            <w:pPr>
              <w:spacing w:before="0" w:after="0"/>
              <w:rPr>
                <w:noProof/>
                <w:color w:val="000000" w:themeColor="text1"/>
              </w:rPr>
            </w:pPr>
          </w:p>
          <w:p>
            <w:pPr>
              <w:rPr>
                <w:noProof/>
                <w:color w:val="000000" w:themeColor="text1"/>
              </w:rPr>
            </w:pPr>
            <w:r>
              <w:rPr>
                <w:noProof/>
              </w:rPr>
              <w:t>Autoritățile de management din statele membre, în calitate de utilizatori finali ai SFC2021, vor fi informate cu privire la modificare, dar nu se preconizează că vor fi nevoite să își adapteze propriile sisteme sau proceduri, deoarece modificarea se limitează la pragurile parametrilor back-end.</w:t>
            </w:r>
          </w:p>
          <w:p>
            <w:pPr>
              <w:rPr>
                <w:noProof/>
                <w:color w:val="0000FF"/>
              </w:rPr>
            </w:pPr>
            <w:r>
              <w:rPr>
                <w:noProof/>
              </w:rPr>
              <w:t>Adaptarea tehnică va fi programată să intre în vigoare înainte de intrarea în vigoare a Regulamentului FEAMPA modificat sau în paralel cu aceasta, astfel încât autoritățile de management să poată prezenta și gestiona operațiuni la plafoanele mai ridicate fără întrerupere.</w:t>
            </w:r>
          </w:p>
        </w:tc>
      </w:tr>
    </w:tbl>
    <w:p>
      <w:pPr>
        <w:pStyle w:val="ManualHeading2"/>
        <w:rPr>
          <w:noProof/>
        </w:rPr>
      </w:pPr>
      <w:bookmarkStart w:id="191" w:name="_Toc167220303"/>
      <w:bookmarkStart w:id="192" w:name="_Toc177549038"/>
      <w:r>
        <w:rPr>
          <w:noProof/>
        </w:rPr>
        <w:t>4.2.</w:t>
      </w:r>
      <w:r>
        <w:rPr>
          <w:noProof/>
        </w:rPr>
        <w:tab/>
        <w:t>Date</w:t>
      </w:r>
      <w:bookmarkEnd w:id="191"/>
      <w:bookmarkEnd w:id="192"/>
    </w:p>
    <w:tbl>
      <w:tblPr>
        <w:tblStyle w:val="TableGrid"/>
        <w:tblW w:w="0" w:type="auto"/>
        <w:tblLook w:val="04A0" w:firstRow="1" w:lastRow="0" w:firstColumn="1" w:lastColumn="0" w:noHBand="0" w:noVBand="1"/>
      </w:tblPr>
      <w:tblGrid>
        <w:gridCol w:w="9063"/>
      </w:tblGrid>
      <w:tr>
        <w:tc>
          <w:tcPr>
            <w:tcW w:w="9063" w:type="dxa"/>
          </w:tcPr>
          <w:p>
            <w:pPr>
              <w:rPr>
                <w:noProof/>
                <w:color w:val="0000FF"/>
              </w:rPr>
            </w:pPr>
            <w:r>
              <w:rPr>
                <w:noProof/>
              </w:rPr>
              <w:t>Nu se aplică. Propunerea nu stabilește noi obligații de colectare, partajare sau prelucrare a datelor ca o cerință de politică distinctă. Elementul digital este o adaptare internă minoră legată de SFC2021, care nu introduce noi obligații în materie de date pentru părțile interesate sau pentru statele membre. Prin urmare, nu există niciun impact al cerințelor de fond digitale sau în materie de date care să fie evaluat în temeiul orientărilor.</w:t>
            </w:r>
          </w:p>
        </w:tc>
      </w:tr>
    </w:tbl>
    <w:p>
      <w:pPr>
        <w:pStyle w:val="ManualHeading2"/>
        <w:rPr>
          <w:noProof/>
        </w:rPr>
      </w:pPr>
      <w:bookmarkStart w:id="193" w:name="_Toc167220305"/>
      <w:bookmarkStart w:id="194" w:name="_Toc177549039"/>
      <w:r>
        <w:rPr>
          <w:noProof/>
        </w:rPr>
        <w:t>4.3.</w:t>
      </w:r>
      <w:r>
        <w:rPr>
          <w:noProof/>
        </w:rPr>
        <w:tab/>
        <w:t>Soluții digitale</w:t>
      </w:r>
      <w:bookmarkEnd w:id="193"/>
      <w:bookmarkEnd w:id="194"/>
    </w:p>
    <w:tbl>
      <w:tblPr>
        <w:tblStyle w:val="TableGrid"/>
        <w:tblpPr w:leftFromText="141" w:rightFromText="141" w:vertAnchor="text" w:horzAnchor="margin" w:tblpY="2"/>
        <w:tblW w:w="9067" w:type="dxa"/>
        <w:tblLook w:val="04A0" w:firstRow="1" w:lastRow="0" w:firstColumn="1" w:lastColumn="0" w:noHBand="0" w:noVBand="1"/>
      </w:tblPr>
      <w:tblGrid>
        <w:gridCol w:w="9067"/>
      </w:tblGrid>
      <w:tr>
        <w:tc>
          <w:tcPr>
            <w:tcW w:w="9067" w:type="dxa"/>
          </w:tcPr>
          <w:p>
            <w:pPr>
              <w:rPr>
                <w:noProof/>
              </w:rPr>
            </w:pPr>
            <w:r>
              <w:rPr>
                <w:noProof/>
              </w:rPr>
              <w:t>Nu se aplică, deoarece propunerea nu prevede utilizarea unor soluții digitale specifice și nici nu impune instrumente digitale implicite. Singura consecință identificată legată de sistem este o adaptare administrativă limitată a sistemului SFC.</w:t>
            </w:r>
          </w:p>
        </w:tc>
      </w:tr>
    </w:tbl>
    <w:p>
      <w:pPr>
        <w:pStyle w:val="ManualHeading2"/>
        <w:rPr>
          <w:rStyle w:val="Emphasis"/>
          <w:b w:val="0"/>
          <w:bCs/>
          <w:i w:val="0"/>
          <w:iCs w:val="0"/>
          <w:noProof/>
        </w:rPr>
      </w:pPr>
      <w:bookmarkStart w:id="195" w:name="_Toc167220304"/>
      <w:bookmarkStart w:id="196" w:name="_Toc177549040"/>
      <w:r>
        <w:rPr>
          <w:rStyle w:val="Emphasis"/>
          <w:i w:val="0"/>
          <w:noProof/>
        </w:rPr>
        <w:t>4.4.</w:t>
      </w:r>
      <w:r>
        <w:rPr>
          <w:noProof/>
        </w:rPr>
        <w:tab/>
      </w:r>
      <w:r>
        <w:rPr>
          <w:rStyle w:val="Emphasis"/>
          <w:i w:val="0"/>
          <w:noProof/>
        </w:rPr>
        <w:t>Evaluarea interoperabilității</w:t>
      </w:r>
      <w:bookmarkEnd w:id="195"/>
      <w:bookmarkEnd w:id="196"/>
    </w:p>
    <w:tbl>
      <w:tblPr>
        <w:tblStyle w:val="TableGrid"/>
        <w:tblpPr w:leftFromText="141" w:rightFromText="141" w:vertAnchor="text" w:horzAnchor="margin" w:tblpY="36"/>
        <w:tblW w:w="9067" w:type="dxa"/>
        <w:tblLayout w:type="fixed"/>
        <w:tblLook w:val="06A0" w:firstRow="1" w:lastRow="0" w:firstColumn="1" w:lastColumn="0" w:noHBand="1" w:noVBand="1"/>
      </w:tblPr>
      <w:tblGrid>
        <w:gridCol w:w="9067"/>
      </w:tblGrid>
      <w:tr>
        <w:trPr>
          <w:trHeight w:val="300"/>
        </w:trPr>
        <w:tc>
          <w:tcPr>
            <w:tcW w:w="9067" w:type="dxa"/>
          </w:tcPr>
          <w:p>
            <w:pPr>
              <w:rPr>
                <w:noProof/>
                <w:color w:val="008000"/>
              </w:rPr>
            </w:pPr>
            <w:r>
              <w:rPr>
                <w:noProof/>
              </w:rPr>
              <w:t>Nu se aplică. Propunerea nu creează sau modifică servicii publice digitale transfrontaliere și nici nu introduce obligații de interoperabilitate între sistemele digitale naționale sau ale UE.</w:t>
            </w:r>
          </w:p>
        </w:tc>
      </w:tr>
    </w:tbl>
    <w:p>
      <w:pPr>
        <w:pStyle w:val="ManualHeading2"/>
        <w:rPr>
          <w:noProof/>
        </w:rPr>
      </w:pPr>
      <w:bookmarkStart w:id="197" w:name="_Toc167220306"/>
      <w:bookmarkStart w:id="198" w:name="_Toc177549041"/>
      <w:r>
        <w:rPr>
          <w:noProof/>
        </w:rPr>
        <w:t>4.5.</w:t>
      </w:r>
      <w:r>
        <w:rPr>
          <w:noProof/>
        </w:rPr>
        <w:tab/>
        <w:t>Măsuri de sprijinire a implementării digitale</w:t>
      </w:r>
      <w:bookmarkEnd w:id="197"/>
      <w:bookmarkEnd w:id="198"/>
    </w:p>
    <w:tbl>
      <w:tblPr>
        <w:tblStyle w:val="TableGrid"/>
        <w:tblpPr w:leftFromText="141" w:rightFromText="141" w:vertAnchor="text" w:horzAnchor="margin" w:tblpY="49"/>
        <w:tblW w:w="9067" w:type="dxa"/>
        <w:tblLook w:val="04A0" w:firstRow="1" w:lastRow="0" w:firstColumn="1" w:lastColumn="0" w:noHBand="0" w:noVBand="1"/>
      </w:tblPr>
      <w:tblGrid>
        <w:gridCol w:w="9067"/>
      </w:tblGrid>
      <w:tr>
        <w:tc>
          <w:tcPr>
            <w:tcW w:w="9067" w:type="dxa"/>
          </w:tcPr>
          <w:p>
            <w:pPr>
              <w:rPr>
                <w:noProof/>
                <w:color w:val="0000FF"/>
              </w:rPr>
            </w:pPr>
            <w:r>
              <w:rPr>
                <w:noProof/>
              </w:rPr>
              <w:t>Nu se aplică. Propunerea nu include măsuri specifice de organizare sau sprijinire a implementării digitale ca atare.</w:t>
            </w:r>
            <w:r>
              <w:rPr>
                <w:noProof/>
                <w:color w:val="000000" w:themeColor="text1"/>
              </w:rPr>
              <w:t xml:space="preserve"> </w:t>
            </w:r>
          </w:p>
        </w:tc>
      </w:tr>
      <w:bookmarkEnd w:id="188"/>
    </w:tbl>
    <w:p>
      <w:pPr>
        <w:rPr>
          <w:noProof/>
          <w:color w:val="008000"/>
        </w:rPr>
      </w:pPr>
    </w:p>
    <w:sectPr>
      <w:headerReference w:type="default" r:id="rId17"/>
      <w:footerReference w:type="default" r:id="rId18"/>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ptos">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EUAlbertina">
    <w:altName w:val="Calibri"/>
    <w:charset w:val="00"/>
    <w:family w:val="auto"/>
    <w:pitch w:val="variable"/>
    <w:sig w:usb0="800002EF" w:usb1="1000E0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Landscape"/>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tab/>
    </w:r>
    <w:r>
      <w:rPr>
        <w:rFonts w:ascii="Arial" w:hAnsi="Arial" w:cs="Arial"/>
        <w:b/>
        <w:sz w:val="48"/>
      </w:rPr>
      <w:t>RO</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2</w:t>
    </w:r>
    <w:r>
      <w:fldChar w:fldCharType="end"/>
    </w:r>
    <w:r>
      <w:tab/>
    </w:r>
    <w:r>
      <w:tab/>
    </w:r>
    <w:r>
      <w:rPr>
        <w:rFonts w:ascii="Arial" w:hAnsi="Arial" w:cs="Arial"/>
        <w:b/>
        <w:sz w:val="48"/>
      </w:rPr>
      <w:t>RO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id="1">
    <w:p>
      <w:pPr>
        <w:pStyle w:val="FootnoteText"/>
        <w:rPr>
          <w:lang w:val="fr-FR"/>
        </w:rPr>
      </w:pPr>
      <w:r>
        <w:rPr>
          <w:rStyle w:val="FootnoteReference"/>
        </w:rPr>
        <w:footnoteRef/>
      </w:r>
      <w:r>
        <w:rPr>
          <w:lang w:val="fr-FR"/>
        </w:rPr>
        <w:tab/>
        <w:t>Regulamentul (UE) 2021/1139 al Parlamentului European și al Consiliului din 7 iulie 2021 de instituire a Fondului european pentru afaceri maritime, pescuit și acvacultură și de modificare a Regulamentului (UE) 2017/1004 (JO L 247, 13.7.2021, ELI: http://data.europa.eu/eli/reg/2021/1139/oj)</w:t>
      </w:r>
    </w:p>
  </w:footnote>
  <w:footnote w:id="2">
    <w:p>
      <w:pPr>
        <w:pStyle w:val="FootnoteText"/>
        <w:rPr>
          <w:lang w:val="fr-FR"/>
        </w:rPr>
      </w:pPr>
      <w:r>
        <w:rPr>
          <w:rStyle w:val="FootnoteReference"/>
        </w:rPr>
        <w:footnoteRef/>
      </w:r>
      <w:r>
        <w:rPr>
          <w:lang w:val="fr-FR"/>
        </w:rPr>
        <w:tab/>
        <w:t>Evaluarea la jumătatea perioadei a Fondului european pentru afaceri maritime, pescuit și acvacultură (FEAMPA) 2021-2027, https://op.europa.eu/en/publication-detail/-/publication/65b91bed-294f-11ef-9290-01aa75ed71a1</w:t>
      </w:r>
    </w:p>
  </w:footnote>
  <w:footnote w:id="3">
    <w:p>
      <w:pPr>
        <w:pStyle w:val="FootnoteText"/>
        <w:rPr>
          <w:lang w:val="fr-FR"/>
        </w:rPr>
      </w:pPr>
      <w:r>
        <w:rPr>
          <w:rStyle w:val="FootnoteReference"/>
        </w:rPr>
        <w:footnoteRef/>
      </w:r>
      <w:r>
        <w:rPr>
          <w:lang w:val="fr-FR"/>
        </w:rPr>
        <w:tab/>
        <w:t>Regulamentul (UE, Euratom) 2024/2509 al Parlamentului European și al Consiliului din 23 septembrie 2024 privind normele financiare aplicabile bugetului general al Uniunii (JO L, 2024/2509, 26.9.2024, ELI: http://data.europa.eu/eli/reg/2024/2509/oj).</w:t>
      </w:r>
    </w:p>
  </w:footnote>
  <w:footnote w:id="4">
    <w:p>
      <w:pPr>
        <w:pStyle w:val="FootnoteText"/>
        <w:rPr>
          <w:lang w:val="fr-FR"/>
        </w:rPr>
      </w:pPr>
      <w:r>
        <w:rPr>
          <w:rStyle w:val="FootnoteReference"/>
        </w:rPr>
        <w:footnoteRef/>
      </w:r>
      <w:r>
        <w:rPr>
          <w:lang w:val="fr-FR"/>
        </w:rPr>
        <w:tab/>
      </w:r>
      <w:hyperlink r:id="rId1" w:history="1">
        <w:r>
          <w:rPr>
            <w:rStyle w:val="Hyperlink"/>
            <w:lang w:val="fr-FR"/>
          </w:rPr>
          <w:t>Fondul european pentru afaceri maritime, pescuit și acvacultură – modificare în scopul simplificării și pentru transpunerea Acordului OMC</w:t>
        </w:r>
      </w:hyperlink>
    </w:p>
  </w:footnote>
  <w:footnote w:id="5">
    <w:p>
      <w:pPr>
        <w:pStyle w:val="Considrant"/>
        <w:numPr>
          <w:ilvl w:val="0"/>
          <w:numId w:val="0"/>
        </w:numPr>
        <w:tabs>
          <w:tab w:val="num" w:pos="709"/>
        </w:tabs>
        <w:ind w:left="709" w:hanging="709"/>
        <w:rPr>
          <w:color w:val="000000" w:themeColor="text1"/>
          <w:lang w:val="fr-FR"/>
        </w:rPr>
      </w:pPr>
      <w:r>
        <w:rPr>
          <w:rStyle w:val="FootnoteReference"/>
        </w:rPr>
        <w:footnoteRef/>
      </w:r>
      <w:r>
        <w:rPr>
          <w:lang w:val="fr-FR"/>
        </w:rPr>
        <w:tab/>
      </w:r>
      <w:r>
        <w:rPr>
          <w:sz w:val="20"/>
          <w:lang w:val="fr-FR"/>
        </w:rPr>
        <w:t>Avizul privind intrarea în vigoare a Protocolului de modificare a Acordului de la Marrakesh</w:t>
      </w:r>
      <w:r>
        <w:rPr>
          <w:lang w:val="fr-FR"/>
        </w:rPr>
        <w:t xml:space="preserve"> </w:t>
      </w:r>
      <w:r>
        <w:rPr>
          <w:sz w:val="20"/>
          <w:lang w:val="fr-FR"/>
        </w:rPr>
        <w:t>privind constituirea Organizației Mondiale a Comerțului - Acordul privind subvențiile pentru pescuit a fost publicat în Jurnalul Oficial al Uniunii Europene de către Secretariatul General al Consiliului</w:t>
      </w:r>
      <w:r>
        <w:rPr>
          <w:lang w:val="fr-FR"/>
        </w:rPr>
        <w:t xml:space="preserve"> (</w:t>
      </w:r>
      <w:r>
        <w:rPr>
          <w:sz w:val="20"/>
          <w:lang w:val="fr-FR"/>
        </w:rPr>
        <w:t xml:space="preserve">JO L, 2025/1962, 25.9.2025, ELI: </w:t>
      </w:r>
      <w:hyperlink r:id="rId2" w:history="1">
        <w:r>
          <w:rPr>
            <w:rStyle w:val="Hyperlink"/>
            <w:sz w:val="20"/>
            <w:lang w:val="fr-FR"/>
          </w:rPr>
          <w:t>http://data.europa.eu/eli/notice/2025/1962/oj</w:t>
        </w:r>
      </w:hyperlink>
      <w:r>
        <w:rPr>
          <w:lang w:val="fr-FR"/>
        </w:rPr>
        <w:t>)</w:t>
      </w:r>
    </w:p>
  </w:footnote>
  <w:footnote w:id="6">
    <w:p>
      <w:pPr>
        <w:pStyle w:val="Considrant"/>
        <w:numPr>
          <w:ilvl w:val="0"/>
          <w:numId w:val="0"/>
        </w:numPr>
        <w:tabs>
          <w:tab w:val="num" w:pos="709"/>
        </w:tabs>
        <w:ind w:left="709" w:hanging="709"/>
        <w:rPr>
          <w:color w:val="000000" w:themeColor="text1"/>
          <w:sz w:val="20"/>
          <w:lang w:val="fr-FR"/>
        </w:rPr>
      </w:pPr>
      <w:r>
        <w:rPr>
          <w:rStyle w:val="FootnoteReference"/>
        </w:rPr>
        <w:footnoteRef/>
      </w:r>
      <w:r>
        <w:rPr>
          <w:lang w:val="fr-FR"/>
        </w:rPr>
        <w:tab/>
        <w:t>Decizia (UE) 2023/1116 a Consiliului din 25 mai 2023 privind încheierea, în numele Uniunii Europene, a Protocolului de modificare a Acordului de la Marrakesh privind constituirea Organizației Mondiale a Comerțului, în ceea ce privește Acordul privind subvențiile pentru pescuit (JO L 148, 8.6.2023, p. 1, ELI</w:t>
      </w:r>
      <w:r>
        <w:rPr>
          <w:color w:val="000000" w:themeColor="text1"/>
          <w:lang w:val="fr-FR"/>
        </w:rPr>
        <w:t>:</w:t>
      </w:r>
      <w:r>
        <w:rPr>
          <w:color w:val="000000" w:themeColor="text1"/>
          <w:sz w:val="20"/>
          <w:lang w:val="fr-FR"/>
        </w:rPr>
        <w:t xml:space="preserve"> </w:t>
      </w:r>
      <w:hyperlink r:id="rId3" w:history="1">
        <w:r>
          <w:rPr>
            <w:rStyle w:val="Hyperlink"/>
            <w:color w:val="000000" w:themeColor="text1"/>
            <w:sz w:val="20"/>
            <w:u w:val="none"/>
            <w:lang w:val="fr-FR"/>
          </w:rPr>
          <w:t>http://data.europa.eu/eli/dec/2023/1116/oj</w:t>
        </w:r>
      </w:hyperlink>
      <w:r>
        <w:rPr>
          <w:color w:val="000000" w:themeColor="text1"/>
          <w:sz w:val="20"/>
          <w:lang w:val="fr-FR"/>
        </w:rPr>
        <w:t>)</w:t>
      </w:r>
    </w:p>
  </w:footnote>
  <w:footnote w:id="7">
    <w:p>
      <w:pPr>
        <w:pStyle w:val="Considrant"/>
        <w:numPr>
          <w:ilvl w:val="0"/>
          <w:numId w:val="0"/>
        </w:numPr>
        <w:tabs>
          <w:tab w:val="num" w:pos="709"/>
        </w:tabs>
        <w:ind w:left="709" w:hanging="709"/>
        <w:rPr>
          <w:color w:val="000000" w:themeColor="text1"/>
          <w:sz w:val="20"/>
          <w:lang w:val="fr-FR"/>
        </w:rPr>
      </w:pPr>
      <w:r>
        <w:rPr>
          <w:rStyle w:val="FootnoteReference"/>
          <w:szCs w:val="24"/>
        </w:rPr>
        <w:footnoteRef/>
      </w:r>
      <w:r>
        <w:rPr>
          <w:lang w:val="fr-FR"/>
        </w:rPr>
        <w:tab/>
      </w:r>
      <w:r>
        <w:rPr>
          <w:sz w:val="20"/>
          <w:lang w:val="fr-FR"/>
        </w:rPr>
        <w:t>Regulamentul (CE) nr. 1005/2008 al Consiliului din 29 septembrie 2008 de instituire a unui sistem comunitar pentru prevenirea, descurajarea și eliminarea pescuitului ilegal, nedeclarat și nereglementat, de modificare a Regulamentelor (CEE) nr. 2847/93, (CE) nr. 1936/2001 și (CE) nr. 601/2004 și de abrogare a Regulamentelor (CE) nr. 1093/94 și (CE) nr. 1447/1999 (JO L 286, 29.10.2008, p. 1, ELI:</w:t>
      </w:r>
      <w:r>
        <w:rPr>
          <w:color w:val="000000" w:themeColor="text1"/>
          <w:sz w:val="20"/>
          <w:lang w:val="fr-FR"/>
        </w:rPr>
        <w:t xml:space="preserve"> </w:t>
      </w:r>
      <w:hyperlink r:id="rId4">
        <w:r>
          <w:rPr>
            <w:rStyle w:val="Hyperlink"/>
            <w:color w:val="000000" w:themeColor="text1"/>
            <w:sz w:val="20"/>
            <w:u w:val="none"/>
            <w:lang w:val="fr-FR"/>
          </w:rPr>
          <w:t>http://data.europa.eu/eli/reg/2008/1005/oj</w:t>
        </w:r>
      </w:hyperlink>
      <w:r>
        <w:rPr>
          <w:color w:val="000000" w:themeColor="text1"/>
          <w:sz w:val="20"/>
          <w:lang w:val="fr-FR"/>
        </w:rPr>
        <w:t>)</w:t>
      </w:r>
    </w:p>
  </w:footnote>
  <w:footnote w:id="8">
    <w:p>
      <w:pPr>
        <w:pStyle w:val="Considrant"/>
        <w:numPr>
          <w:ilvl w:val="0"/>
          <w:numId w:val="0"/>
        </w:numPr>
        <w:tabs>
          <w:tab w:val="num" w:pos="709"/>
        </w:tabs>
        <w:ind w:left="709" w:hanging="709"/>
        <w:rPr>
          <w:color w:val="000000" w:themeColor="text1"/>
          <w:sz w:val="20"/>
          <w:lang w:val="fr-FR"/>
        </w:rPr>
      </w:pPr>
      <w:r>
        <w:rPr>
          <w:rStyle w:val="FootnoteReference"/>
        </w:rPr>
        <w:footnoteRef/>
      </w:r>
      <w:r>
        <w:rPr>
          <w:lang w:val="fr-FR"/>
        </w:rPr>
        <w:tab/>
      </w:r>
      <w:r>
        <w:rPr>
          <w:color w:val="000000" w:themeColor="text1"/>
          <w:sz w:val="20"/>
          <w:lang w:val="fr-FR"/>
        </w:rPr>
        <w:t xml:space="preserve">Regulamentul (CE) nr. 1224/2009 al Consiliului din 20 noiembrie 2009 de stabilire a unui sistem comunitar de control pentru asigurarea respectării normelor politicii comune în domeniul pescuitului, de modificare a Regulamentelor (CE) nr. 847/96, (CE) nr. 2371/2002, (CE) nr. 811/2004, (CE) nr. 768/2005, (CE) nr. 2115/2005, (CE) nr. 2166/2005, (CE) nr. 388/2006, (CE) nr. 509/2007, (CE) nr. 676/2007, (CE) nr. 1098/2007, (CE) nr. 1300/2008, (CE) nr. 1342/2008 și de abrogare a Regulamentelor (CEE) nr. 2847/93, (CE) nr. 1627/94 și (CE) nr. 1966/2006 (JO L 343, 22.12.2009, p. 1, ELI: </w:t>
      </w:r>
      <w:hyperlink r:id="rId5">
        <w:r>
          <w:rPr>
            <w:rStyle w:val="Hyperlink"/>
            <w:color w:val="000000" w:themeColor="text1"/>
            <w:sz w:val="20"/>
            <w:u w:val="none"/>
            <w:lang w:val="fr-FR"/>
          </w:rPr>
          <w:t>http://data.europa.eu/eli/reg/2009/1224/oj</w:t>
        </w:r>
      </w:hyperlink>
      <w:r>
        <w:rPr>
          <w:color w:val="000000" w:themeColor="text1"/>
          <w:sz w:val="20"/>
          <w:lang w:val="fr-FR"/>
        </w:rPr>
        <w:t>)</w:t>
      </w:r>
    </w:p>
  </w:footnote>
  <w:footnote w:id="9">
    <w:p>
      <w:pPr>
        <w:pStyle w:val="FootnoteText"/>
        <w:rPr>
          <w:lang w:val="fr-FR"/>
        </w:rPr>
      </w:pPr>
      <w:r>
        <w:rPr>
          <w:rStyle w:val="FootnoteReference"/>
        </w:rPr>
        <w:footnoteRef/>
      </w:r>
      <w:r>
        <w:rPr>
          <w:lang w:val="fr-FR"/>
        </w:rPr>
        <w:tab/>
        <w:t>Decizia (UE) 2023/1116 a Consiliului din 25 mai 2023 privind încheierea, în numele Uniunii Europene, a Protocolului de modificare a Acordului de la Marrakesh privind constituirea Organizației Mondiale a Comerțului, în ceea ce privește Acordul privind subvențiile pentru pescuit (JO L 148, 8.6.2023, ELI: http://data.europa.eu/eli/dec/2023/1116/oj)</w:t>
      </w:r>
    </w:p>
  </w:footnote>
  <w:footnote w:id="10">
    <w:p>
      <w:pPr>
        <w:pStyle w:val="FootnoteText"/>
        <w:rPr>
          <w:lang w:val="fr-FR"/>
        </w:rPr>
      </w:pPr>
      <w:r>
        <w:rPr>
          <w:rStyle w:val="FootnoteReference"/>
        </w:rPr>
        <w:footnoteRef/>
      </w:r>
      <w:r>
        <w:rPr>
          <w:lang w:val="fr-FR"/>
        </w:rPr>
        <w:tab/>
        <w:t>Directiva (UE) 2023/1791 a Parlamentului European și a Consiliului din 13 septembrie 2023 privind eficiența energetică și de modificare a Regulamentului (UE) 2023/955 (reformare) (JO L 231, 20.9.2023, ELI: http://data.europa.eu/eli/dir/2023/1791/2026-08-05)</w:t>
      </w:r>
    </w:p>
  </w:footnote>
  <w:footnote w:id="11">
    <w:p>
      <w:pPr>
        <w:pStyle w:val="Considrant"/>
        <w:numPr>
          <w:ilvl w:val="0"/>
          <w:numId w:val="0"/>
        </w:numPr>
        <w:tabs>
          <w:tab w:val="num" w:pos="709"/>
        </w:tabs>
        <w:ind w:left="709" w:hanging="709"/>
        <w:rPr>
          <w:lang w:val="fr-FR"/>
        </w:rPr>
      </w:pPr>
      <w:r>
        <w:rPr>
          <w:rStyle w:val="FootnoteReference"/>
        </w:rPr>
        <w:footnoteRef/>
      </w:r>
      <w:r>
        <w:rPr>
          <w:lang w:val="fr-FR"/>
        </w:rPr>
        <w:tab/>
      </w:r>
      <w:r>
        <w:rPr>
          <w:color w:val="333333"/>
          <w:sz w:val="20"/>
          <w:lang w:val="fr-FR"/>
        </w:rPr>
        <w:t>Regulamentul (UE) 2016/1628 al Parlamentului European și al Consiliului din 14 septembrie 2016 privind cerințele referitoare la limitele emisiilor de poluanți gazoși și de particule poluante și omologarea de tip pentru motoarele cu ardere internă pentru echipamentele mobile fără destinație rutieră, de modificare a Regulamentelor (UE) nr. 1024/2012 și (UE) nr. 167/2013 și de modificare și abrogare a Directivei 97/68/CE</w:t>
      </w:r>
      <w:r>
        <w:rPr>
          <w:sz w:val="20"/>
          <w:lang w:val="fr-FR"/>
        </w:rPr>
        <w:t xml:space="preserve"> (</w:t>
      </w:r>
      <w:r>
        <w:rPr>
          <w:color w:val="333333"/>
          <w:sz w:val="20"/>
          <w:lang w:val="fr-FR"/>
        </w:rPr>
        <w:t>JO L 252, 16.9.2016, p. 53, ELI: http://data.europa.eu/eli/reg/2016/1628/oj)</w:t>
      </w:r>
    </w:p>
  </w:footnote>
  <w:footnote w:id="12">
    <w:p>
      <w:pPr>
        <w:pStyle w:val="FootnoteText"/>
      </w:pPr>
      <w:r>
        <w:rPr>
          <w:rStyle w:val="FootnoteReference"/>
        </w:rPr>
        <w:footnoteRef/>
      </w:r>
      <w:r>
        <w:tab/>
        <w:t>Astfel cum se menționează la articolul 58 alineatul (2) litera (a) sau (b) din Regulamentul financiar.</w:t>
      </w:r>
    </w:p>
  </w:footnote>
  <w:footnote w:id="13">
    <w:p>
      <w:pPr>
        <w:pStyle w:val="FootnoteText"/>
        <w:rPr>
          <w:szCs w:val="24"/>
        </w:rPr>
      </w:pPr>
      <w:r>
        <w:rPr>
          <w:rStyle w:val="FootnoteReference"/>
        </w:rPr>
        <w:footnoteRef/>
      </w:r>
      <w:r>
        <w:tab/>
        <w:t>Dif. = credite diferențiate / Nedif. = credite nediferențiate.</w:t>
      </w:r>
    </w:p>
  </w:footnote>
  <w:footnote w:id="14">
    <w:p>
      <w:pPr>
        <w:pStyle w:val="FootnoteText"/>
        <w:rPr>
          <w:szCs w:val="24"/>
        </w:rPr>
      </w:pPr>
      <w:r>
        <w:rPr>
          <w:rStyle w:val="FootnoteReference"/>
        </w:rPr>
        <w:footnoteRef/>
      </w:r>
      <w:r>
        <w:tab/>
        <w:t xml:space="preserve">AELS: Asociația Europeană a Liberului Schimb. </w:t>
      </w:r>
    </w:p>
  </w:footnote>
  <w:footnote w:id="15">
    <w:p>
      <w:pPr>
        <w:pStyle w:val="FootnoteText"/>
        <w:rPr>
          <w:szCs w:val="24"/>
        </w:rPr>
      </w:pPr>
      <w:r>
        <w:rPr>
          <w:rStyle w:val="FootnoteReference"/>
        </w:rPr>
        <w:footnoteRef/>
      </w:r>
      <w:r>
        <w:tab/>
        <w:t>Țările candidate și, după caz, candidații potențiali din Balcanii de Vest.</w:t>
      </w:r>
    </w:p>
  </w:footnote>
  <w:footnote w:id="16">
    <w:p>
      <w:pPr>
        <w:pStyle w:val="FootnoteText"/>
        <w:rPr>
          <w:szCs w:val="24"/>
          <w:lang w:val="fr-FR"/>
        </w:rPr>
      </w:pPr>
      <w:r>
        <w:rPr>
          <w:rStyle w:val="FootnoteReference"/>
        </w:rPr>
        <w:footnoteRef/>
      </w:r>
      <w:r>
        <w:rPr>
          <w:lang w:val="fr-FR"/>
        </w:rPr>
        <w:tab/>
        <w:t>Realizările se referă la produsele și serviciile care urmează a fi furnizate (de ex.: numărul de schimburi de studenți finanțate, numărul de km de drumuri construiți etc.).</w:t>
      </w:r>
    </w:p>
  </w:footnote>
  <w:footnote w:id="17">
    <w:p>
      <w:pPr>
        <w:pStyle w:val="FootnoteText"/>
        <w:rPr>
          <w:szCs w:val="24"/>
          <w:lang w:val="fr-FR"/>
        </w:rPr>
      </w:pPr>
      <w:r>
        <w:rPr>
          <w:rStyle w:val="FootnoteReference"/>
        </w:rPr>
        <w:footnoteRef/>
      </w:r>
      <w:r>
        <w:rPr>
          <w:lang w:val="fr-FR"/>
        </w:rPr>
        <w:tab/>
        <w:t xml:space="preserve">Conform descrierii din secțiunea 1.3.2. „Obiectiv(e) specific(e)” </w:t>
      </w:r>
    </w:p>
  </w:footnote>
  <w:footnote w:id="18">
    <w:p>
      <w:pPr>
        <w:pStyle w:val="FootnoteText"/>
        <w:rPr>
          <w:szCs w:val="24"/>
          <w:lang w:val="fr-FR"/>
        </w:rPr>
      </w:pPr>
      <w:r>
        <w:rPr>
          <w:rStyle w:val="FootnoteReference"/>
        </w:rPr>
        <w:footnoteRef/>
      </w:r>
      <w:r>
        <w:rPr>
          <w:lang w:val="fr-FR"/>
        </w:rPr>
        <w:tab/>
        <w:t>În ceea ce privește resursele proprii tradiționale (taxe vamale, cotizații pentru zahăr), sumele indicate trebuie să fie sume nete, și anume sumele brute după deducerea unei cote de 20 % pentru costurile de colectare.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Landscap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7"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4"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5"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7"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9"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0"/>
  </w:num>
  <w:num w:numId="3">
    <w:abstractNumId w:val="8"/>
  </w:num>
  <w:num w:numId="4">
    <w:abstractNumId w:val="17"/>
  </w:num>
  <w:num w:numId="5">
    <w:abstractNumId w:val="16"/>
  </w:num>
  <w:num w:numId="6">
    <w:abstractNumId w:val="27"/>
  </w:num>
  <w:num w:numId="7">
    <w:abstractNumId w:val="24"/>
  </w:num>
  <w:num w:numId="8">
    <w:abstractNumId w:val="28"/>
  </w:num>
  <w:num w:numId="9">
    <w:abstractNumId w:val="29"/>
  </w:num>
  <w:num w:numId="10">
    <w:abstractNumId w:val="1"/>
  </w:num>
  <w:num w:numId="11">
    <w:abstractNumId w:val="10"/>
  </w:num>
  <w:num w:numId="12">
    <w:abstractNumId w:val="2"/>
  </w:num>
  <w:num w:numId="13">
    <w:abstractNumId w:val="11"/>
  </w:num>
  <w:num w:numId="14">
    <w:abstractNumId w:val="9"/>
  </w:num>
  <w:num w:numId="15">
    <w:abstractNumId w:val="18"/>
  </w:num>
  <w:num w:numId="16">
    <w:abstractNumId w:val="7"/>
  </w:num>
  <w:num w:numId="1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0"/>
    <w:lvlOverride w:ilvl="0">
      <w:startOverride w:val="1"/>
    </w:lvlOverride>
  </w:num>
  <w:num w:numId="2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3"/>
  </w:num>
  <w:num w:numId="24">
    <w:abstractNumId w:val="12"/>
  </w:num>
  <w:num w:numId="25">
    <w:abstractNumId w:val="26"/>
  </w:num>
  <w:num w:numId="26">
    <w:abstractNumId w:val="6"/>
  </w:num>
  <w:num w:numId="27">
    <w:abstractNumId w:val="13"/>
  </w:num>
  <w:num w:numId="28">
    <w:abstractNumId w:val="14"/>
  </w:num>
  <w:num w:numId="29">
    <w:abstractNumId w:val="4"/>
  </w:num>
  <w:num w:numId="30">
    <w:abstractNumId w:val="25"/>
  </w:num>
  <w:num w:numId="31">
    <w:abstractNumId w:val="3"/>
  </w:num>
  <w:num w:numId="32">
    <w:abstractNumId w:val="15"/>
  </w:num>
  <w:num w:numId="33">
    <w:abstractNumId w:val="21"/>
  </w:num>
  <w:num w:numId="34">
    <w:abstractNumId w:val="22"/>
  </w:num>
  <w:num w:numId="35">
    <w:abstractNumId w:val="5"/>
  </w:num>
  <w:num w:numId="36">
    <w:abstractNumId w:val="19"/>
  </w:num>
  <w:num w:numId="37">
    <w:abstractNumId w:val="30"/>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Last" w:val="0"/>
    <w:docVar w:name="DQCDateTime" w:val="2026-09-22 16:16:12"/>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D3DD5698-11AF-470C-9D75-2D8C6C6B787B"/>
    <w:docVar w:name="LW_COVERPAGE_TYPE" w:val="1"/>
    <w:docVar w:name="LW_CreatedUtc" w:val="2026-09-17T13:25:57.7119821Z"/>
    <w:docVar w:name="LW_CROSSREFERENCE" w:val="{SWD(2026) 282 final}"/>
    <w:docVar w:name="LW_DocType" w:val="COM"/>
    <w:docVar w:name="LW_EMISSION" w:val="21.9.2026"/>
    <w:docVar w:name="LW_EMISSION_ISODATE" w:val="2026-09-21"/>
    <w:docVar w:name="LW_EMISSION_LOCATION" w:val="BRX"/>
    <w:docVar w:name="LW_EMISSION_PREFIX" w:val="Bruxelles, "/>
    <w:docVar w:name="LW_EMISSION_SUFFIX" w:val=" "/>
    <w:docVar w:name="LW_ID_DOCMODEL" w:val="SJ-023"/>
    <w:docVar w:name="LW_ID_DOCSIGNATURE" w:val="SJ-023"/>
    <w:docVar w:name="LW_ID_DOCSTRUCTURE" w:val="COM/PL/ORG"/>
    <w:docVar w:name="LW_ID_DOCTYPE" w:val="SJ-023"/>
    <w:docVar w:name="LW_ID_STATUT" w:val="SJ-023"/>
    <w:docVar w:name="LW_INSERT_EXP.MOTIFS.NEW" w:val="1"/>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COD"/>
    <w:docVar w:name="LW_REF.II.NEW.CP_NUMBER" w:val="0289"/>
    <w:docVar w:name="LW_REF.II.NEW.CP_YEAR" w:val="2026"/>
    <w:docVar w:name="LW_REF.INST.NEW" w:val="COM"/>
    <w:docVar w:name="LW_REF.INST.NEW_ADOPTED" w:val="final"/>
    <w:docVar w:name="LW_REF.INST.NEW_TEXT" w:val="(2026) 49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de modificare a Regulamentului (UE) 2021/1139 în ceea ce prive\u537?te simplificarea \u537?i transpunerea Acordului OMC privind subven\u539?iile pentru pescuit"/>
    <w:docVar w:name="LW_TYPE.DOC.CP" w:val="REGULAMENT AL PARLAMENTULUI EUROPEAN \u536?I AL CONSILIULUI"/>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576079FE-3AE2-44BB-9B43-20452082ED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3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0"/>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0"/>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0"/>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0"/>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pPr>
      <w:numPr>
        <w:numId w:val="2"/>
      </w:numPr>
      <w:tabs>
        <w:tab w:val="clear" w:pos="1134"/>
        <w:tab w:val="num" w:pos="360"/>
      </w:tabs>
      <w:ind w:left="0" w:firstLine="0"/>
    </w:pPr>
    <w:rPr>
      <w:rFonts w:eastAsia="Times New Roman"/>
      <w:lang w:eastAsia="de-DE"/>
    </w:rPr>
  </w:style>
  <w:style w:type="paragraph" w:styleId="ListNumber">
    <w:name w:val="List Number"/>
    <w:basedOn w:val="Normal"/>
    <w:pPr>
      <w:numPr>
        <w:numId w:val="6"/>
      </w:numPr>
      <w:tabs>
        <w:tab w:val="clear" w:pos="709"/>
      </w:tabs>
      <w:ind w:left="0" w:firstLine="0"/>
    </w:pPr>
    <w:rPr>
      <w:rFonts w:eastAsia="Times New Roman"/>
      <w:lang w:eastAsia="de-DE"/>
    </w:rPr>
  </w:style>
  <w:style w:type="paragraph" w:customStyle="1" w:styleId="ListBullet1">
    <w:name w:val="List Bullet 1"/>
    <w:basedOn w:val="Normal"/>
    <w:pPr>
      <w:numPr>
        <w:numId w:val="1"/>
      </w:numPr>
      <w:tabs>
        <w:tab w:val="clear" w:pos="1134"/>
      </w:tabs>
      <w:ind w:left="0" w:firstLine="0"/>
    </w:pPr>
    <w:rPr>
      <w:rFonts w:eastAsia="Times New Roman"/>
      <w:lang w:eastAsia="de-DE"/>
    </w:rPr>
  </w:style>
  <w:style w:type="paragraph" w:customStyle="1" w:styleId="ListDash">
    <w:name w:val="List Dash"/>
    <w:basedOn w:val="Normal"/>
    <w:pPr>
      <w:numPr>
        <w:numId w:val="3"/>
      </w:numPr>
      <w:tabs>
        <w:tab w:val="clear" w:pos="283"/>
      </w:tabs>
      <w:ind w:left="0" w:firstLine="0"/>
    </w:pPr>
    <w:rPr>
      <w:rFonts w:eastAsia="Times New Roman"/>
      <w:lang w:eastAsia="de-DE"/>
    </w:rPr>
  </w:style>
  <w:style w:type="paragraph" w:customStyle="1" w:styleId="ListDash1">
    <w:name w:val="List Dash 1"/>
    <w:basedOn w:val="Normal"/>
    <w:pPr>
      <w:numPr>
        <w:numId w:val="4"/>
      </w:numPr>
      <w:tabs>
        <w:tab w:val="clear" w:pos="1134"/>
      </w:tabs>
      <w:ind w:left="0" w:firstLine="0"/>
    </w:pPr>
    <w:rPr>
      <w:rFonts w:eastAsia="Times New Roman"/>
      <w:lang w:eastAsia="de-DE"/>
    </w:rPr>
  </w:style>
  <w:style w:type="paragraph" w:customStyle="1" w:styleId="ListDash2">
    <w:name w:val="List Dash 2"/>
    <w:basedOn w:val="Normal"/>
    <w:pPr>
      <w:numPr>
        <w:numId w:val="5"/>
      </w:numPr>
      <w:tabs>
        <w:tab w:val="clear" w:pos="1134"/>
      </w:tabs>
      <w:ind w:left="0" w:firstLine="0"/>
    </w:pPr>
    <w:rPr>
      <w:rFonts w:eastAsia="Times New Roman"/>
      <w:lang w:eastAsia="de-DE"/>
    </w:rPr>
  </w:style>
  <w:style w:type="paragraph" w:customStyle="1" w:styleId="ListNumberLevel2">
    <w:name w:val="List Number (Level 2)"/>
    <w:basedOn w:val="Normal"/>
    <w:pPr>
      <w:numPr>
        <w:ilvl w:val="1"/>
        <w:numId w:val="6"/>
      </w:numPr>
      <w:tabs>
        <w:tab w:val="clear" w:pos="1417"/>
      </w:tabs>
      <w:ind w:left="0" w:firstLine="0"/>
    </w:pPr>
    <w:rPr>
      <w:rFonts w:eastAsia="Times New Roman"/>
      <w:lang w:eastAsia="de-DE"/>
    </w:rPr>
  </w:style>
  <w:style w:type="paragraph" w:customStyle="1" w:styleId="ListNumberLevel3">
    <w:name w:val="List Number (Level 3)"/>
    <w:basedOn w:val="Normal"/>
    <w:pPr>
      <w:numPr>
        <w:ilvl w:val="2"/>
        <w:numId w:val="6"/>
      </w:numPr>
      <w:tabs>
        <w:tab w:val="clear" w:pos="2126"/>
      </w:tabs>
      <w:ind w:left="0" w:firstLine="0"/>
    </w:pPr>
    <w:rPr>
      <w:rFonts w:eastAsia="Times New Roman"/>
      <w:lang w:eastAsia="de-DE"/>
    </w:rPr>
  </w:style>
  <w:style w:type="paragraph" w:customStyle="1" w:styleId="ListNumberLevel4">
    <w:name w:val="List Number (Level 4)"/>
    <w:basedOn w:val="Normal"/>
    <w:pPr>
      <w:numPr>
        <w:ilvl w:val="3"/>
        <w:numId w:val="6"/>
      </w:numPr>
      <w:tabs>
        <w:tab w:val="clear" w:pos="2835"/>
      </w:tabs>
      <w:ind w:left="0" w:firstLine="0"/>
    </w:pPr>
    <w:rPr>
      <w:rFonts w:eastAsia="Times New Roman"/>
      <w:lang w:eastAsia="de-DE"/>
    </w:rPr>
  </w:style>
  <w:style w:type="table" w:styleId="TableGrid">
    <w:name w:val="Table Grid"/>
    <w:basedOn w:val="TableNormal"/>
    <w:pPr>
      <w:spacing w:before="120" w:after="120" w:line="24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Pr>
      <w:color w:val="0000FF"/>
      <w:u w:val="single"/>
    </w:rPr>
  </w:style>
  <w:style w:type="paragraph" w:styleId="ListBullet">
    <w:name w:val="List Bullet"/>
    <w:basedOn w:val="Normal"/>
    <w:pPr>
      <w:numPr>
        <w:numId w:val="7"/>
      </w:numPr>
      <w:tabs>
        <w:tab w:val="clear" w:pos="283"/>
      </w:tabs>
      <w:ind w:left="0" w:firstLine="0"/>
    </w:pPr>
    <w:rPr>
      <w:rFonts w:eastAsia="Times New Roman"/>
      <w:lang w:eastAsia="en-GB"/>
    </w:rPr>
  </w:style>
  <w:style w:type="paragraph" w:styleId="ListBullet2">
    <w:name w:val="List Bullet 2"/>
    <w:basedOn w:val="Normal"/>
    <w:pPr>
      <w:numPr>
        <w:numId w:val="8"/>
      </w:numPr>
      <w:tabs>
        <w:tab w:val="clear" w:pos="1134"/>
      </w:tabs>
      <w:ind w:left="0" w:firstLine="0"/>
    </w:pPr>
    <w:rPr>
      <w:rFonts w:eastAsia="Times New Roman"/>
      <w:lang w:eastAsia="en-GB"/>
    </w:rPr>
  </w:style>
  <w:style w:type="paragraph" w:styleId="ListBullet3">
    <w:name w:val="List Bullet 3"/>
    <w:basedOn w:val="Normal"/>
    <w:pPr>
      <w:numPr>
        <w:numId w:val="9"/>
      </w:numPr>
      <w:tabs>
        <w:tab w:val="clear" w:pos="1134"/>
      </w:tabs>
      <w:ind w:left="0" w:firstLine="0"/>
    </w:pPr>
    <w:rPr>
      <w:rFonts w:eastAsia="Times New Roman"/>
      <w:lang w:eastAsia="en-GB"/>
    </w:rPr>
  </w:style>
  <w:style w:type="paragraph" w:styleId="ListNumber2">
    <w:name w:val="List Number 2"/>
    <w:basedOn w:val="Normal"/>
    <w:pPr>
      <w:numPr>
        <w:numId w:val="13"/>
      </w:numPr>
      <w:tabs>
        <w:tab w:val="clear" w:pos="1560"/>
      </w:tabs>
      <w:ind w:left="0" w:firstLine="0"/>
    </w:pPr>
    <w:rPr>
      <w:rFonts w:eastAsia="Times New Roman"/>
      <w:lang w:eastAsia="en-GB"/>
    </w:rPr>
  </w:style>
  <w:style w:type="paragraph" w:styleId="ListNumber3">
    <w:name w:val="List Number 3"/>
    <w:basedOn w:val="Normal"/>
    <w:pPr>
      <w:numPr>
        <w:numId w:val="14"/>
      </w:numPr>
      <w:tabs>
        <w:tab w:val="clear" w:pos="1560"/>
      </w:tabs>
      <w:ind w:left="0" w:firstLine="0"/>
    </w:pPr>
    <w:rPr>
      <w:rFonts w:eastAsia="Times New Roman"/>
      <w:lang w:eastAsia="en-GB"/>
    </w:rPr>
  </w:style>
  <w:style w:type="paragraph" w:styleId="ListNumber4">
    <w:name w:val="List Number 4"/>
    <w:basedOn w:val="Normal"/>
    <w:pPr>
      <w:numPr>
        <w:numId w:val="15"/>
      </w:numPr>
      <w:tabs>
        <w:tab w:val="clear" w:pos="1560"/>
      </w:tabs>
      <w:ind w:left="0" w:firstLine="0"/>
    </w:pPr>
    <w:rPr>
      <w:rFonts w:eastAsia="Times New Roman"/>
      <w:lang w:eastAsia="en-GB"/>
    </w:rPr>
  </w:style>
  <w:style w:type="paragraph" w:customStyle="1" w:styleId="ListDash3">
    <w:name w:val="List Dash 3"/>
    <w:basedOn w:val="Normal"/>
    <w:pPr>
      <w:numPr>
        <w:numId w:val="10"/>
      </w:numPr>
      <w:tabs>
        <w:tab w:val="clear" w:pos="1134"/>
      </w:tabs>
      <w:ind w:left="0" w:firstLine="0"/>
    </w:pPr>
    <w:rPr>
      <w:rFonts w:eastAsia="Times New Roman"/>
      <w:lang w:eastAsia="en-GB"/>
    </w:rPr>
  </w:style>
  <w:style w:type="paragraph" w:customStyle="1" w:styleId="ListDash4">
    <w:name w:val="List Dash 4"/>
    <w:basedOn w:val="Normal"/>
    <w:pPr>
      <w:numPr>
        <w:numId w:val="11"/>
      </w:numPr>
      <w:tabs>
        <w:tab w:val="clear" w:pos="1134"/>
      </w:tabs>
      <w:ind w:left="0" w:firstLine="0"/>
    </w:pPr>
    <w:rPr>
      <w:rFonts w:eastAsia="Times New Roman"/>
      <w:lang w:eastAsia="en-GB"/>
    </w:rPr>
  </w:style>
  <w:style w:type="paragraph" w:customStyle="1" w:styleId="ListNumber1">
    <w:name w:val="List Number 1"/>
    <w:basedOn w:val="Text1"/>
    <w:pPr>
      <w:numPr>
        <w:numId w:val="12"/>
      </w:numPr>
      <w:tabs>
        <w:tab w:val="clear" w:pos="1560"/>
      </w:tabs>
      <w:ind w:left="0" w:firstLine="0"/>
    </w:pPr>
    <w:rPr>
      <w:rFonts w:eastAsia="Times New Roman"/>
      <w:lang w:eastAsia="en-GB"/>
    </w:rPr>
  </w:style>
  <w:style w:type="paragraph" w:customStyle="1" w:styleId="ListNumber1Level2">
    <w:name w:val="List Number 1 (Level 2)"/>
    <w:basedOn w:val="Text1"/>
    <w:pPr>
      <w:numPr>
        <w:ilvl w:val="1"/>
        <w:numId w:val="12"/>
      </w:numPr>
      <w:tabs>
        <w:tab w:val="clear" w:pos="2268"/>
      </w:tabs>
      <w:ind w:left="0" w:firstLine="0"/>
    </w:pPr>
    <w:rPr>
      <w:rFonts w:eastAsia="Times New Roman"/>
      <w:lang w:eastAsia="en-GB"/>
    </w:rPr>
  </w:style>
  <w:style w:type="paragraph" w:customStyle="1" w:styleId="ListNumber2Level2">
    <w:name w:val="List Number 2 (Level 2)"/>
    <w:basedOn w:val="Text2"/>
    <w:pPr>
      <w:numPr>
        <w:ilvl w:val="1"/>
        <w:numId w:val="13"/>
      </w:numPr>
      <w:tabs>
        <w:tab w:val="clear" w:pos="2268"/>
      </w:tabs>
      <w:ind w:left="0" w:firstLine="0"/>
    </w:pPr>
    <w:rPr>
      <w:rFonts w:eastAsia="Times New Roman"/>
      <w:lang w:eastAsia="en-GB"/>
    </w:rPr>
  </w:style>
  <w:style w:type="paragraph" w:customStyle="1" w:styleId="ListNumber3Level2">
    <w:name w:val="List Number 3 (Level 2)"/>
    <w:basedOn w:val="Text3"/>
    <w:pPr>
      <w:numPr>
        <w:ilvl w:val="1"/>
        <w:numId w:val="14"/>
      </w:numPr>
      <w:tabs>
        <w:tab w:val="clear" w:pos="2268"/>
      </w:tabs>
      <w:ind w:left="0" w:firstLine="0"/>
    </w:pPr>
    <w:rPr>
      <w:rFonts w:eastAsia="Times New Roman"/>
      <w:lang w:eastAsia="en-GB"/>
    </w:rPr>
  </w:style>
  <w:style w:type="paragraph" w:customStyle="1" w:styleId="ListNumber4Level2">
    <w:name w:val="List Number 4 (Level 2)"/>
    <w:basedOn w:val="Text4"/>
    <w:pPr>
      <w:numPr>
        <w:ilvl w:val="1"/>
        <w:numId w:val="15"/>
      </w:numPr>
      <w:tabs>
        <w:tab w:val="clear" w:pos="2268"/>
      </w:tabs>
      <w:ind w:left="0" w:firstLine="0"/>
    </w:pPr>
    <w:rPr>
      <w:rFonts w:eastAsia="Times New Roman"/>
      <w:lang w:eastAsia="en-GB"/>
    </w:rPr>
  </w:style>
  <w:style w:type="paragraph" w:customStyle="1" w:styleId="ListNumber1Level3">
    <w:name w:val="List Number 1 (Level 3)"/>
    <w:basedOn w:val="Text1"/>
    <w:pPr>
      <w:numPr>
        <w:ilvl w:val="2"/>
        <w:numId w:val="12"/>
      </w:numPr>
      <w:tabs>
        <w:tab w:val="clear" w:pos="2977"/>
      </w:tabs>
      <w:ind w:left="0" w:firstLine="0"/>
    </w:pPr>
    <w:rPr>
      <w:rFonts w:eastAsia="Times New Roman"/>
      <w:lang w:eastAsia="en-GB"/>
    </w:rPr>
  </w:style>
  <w:style w:type="paragraph" w:customStyle="1" w:styleId="ListNumber2Level3">
    <w:name w:val="List Number 2 (Level 3)"/>
    <w:basedOn w:val="Text2"/>
    <w:pPr>
      <w:numPr>
        <w:ilvl w:val="2"/>
        <w:numId w:val="13"/>
      </w:numPr>
      <w:tabs>
        <w:tab w:val="clear" w:pos="2977"/>
      </w:tabs>
      <w:ind w:left="0" w:firstLine="0"/>
    </w:pPr>
    <w:rPr>
      <w:rFonts w:eastAsia="Times New Roman"/>
      <w:lang w:eastAsia="en-GB"/>
    </w:rPr>
  </w:style>
  <w:style w:type="paragraph" w:customStyle="1" w:styleId="ListNumber3Level3">
    <w:name w:val="List Number 3 (Level 3)"/>
    <w:basedOn w:val="Text3"/>
    <w:pPr>
      <w:numPr>
        <w:ilvl w:val="2"/>
        <w:numId w:val="14"/>
      </w:numPr>
      <w:tabs>
        <w:tab w:val="clear" w:pos="2977"/>
      </w:tabs>
      <w:ind w:left="0" w:firstLine="0"/>
    </w:pPr>
    <w:rPr>
      <w:rFonts w:eastAsia="Times New Roman"/>
      <w:lang w:eastAsia="en-GB"/>
    </w:rPr>
  </w:style>
  <w:style w:type="paragraph" w:customStyle="1" w:styleId="ListNumber4Level3">
    <w:name w:val="List Number 4 (Level 3)"/>
    <w:basedOn w:val="Text4"/>
    <w:pPr>
      <w:numPr>
        <w:ilvl w:val="2"/>
        <w:numId w:val="15"/>
      </w:numPr>
      <w:tabs>
        <w:tab w:val="clear" w:pos="2977"/>
      </w:tabs>
      <w:ind w:left="0" w:firstLine="0"/>
    </w:pPr>
    <w:rPr>
      <w:rFonts w:eastAsia="Times New Roman"/>
      <w:lang w:eastAsia="en-GB"/>
    </w:rPr>
  </w:style>
  <w:style w:type="paragraph" w:customStyle="1" w:styleId="ListNumber1Level4">
    <w:name w:val="List Number 1 (Level 4)"/>
    <w:basedOn w:val="Text1"/>
    <w:pPr>
      <w:numPr>
        <w:ilvl w:val="3"/>
        <w:numId w:val="12"/>
      </w:numPr>
      <w:tabs>
        <w:tab w:val="clear" w:pos="3686"/>
      </w:tabs>
      <w:ind w:left="0" w:firstLine="0"/>
    </w:pPr>
    <w:rPr>
      <w:rFonts w:eastAsia="Times New Roman"/>
      <w:lang w:eastAsia="en-GB"/>
    </w:rPr>
  </w:style>
  <w:style w:type="paragraph" w:customStyle="1" w:styleId="ListNumber2Level4">
    <w:name w:val="List Number 2 (Level 4)"/>
    <w:basedOn w:val="Text2"/>
    <w:pPr>
      <w:numPr>
        <w:ilvl w:val="3"/>
        <w:numId w:val="13"/>
      </w:numPr>
      <w:tabs>
        <w:tab w:val="clear" w:pos="3686"/>
      </w:tabs>
      <w:ind w:left="0" w:firstLine="0"/>
    </w:pPr>
    <w:rPr>
      <w:rFonts w:eastAsia="Times New Roman"/>
      <w:lang w:eastAsia="en-GB"/>
    </w:rPr>
  </w:style>
  <w:style w:type="paragraph" w:customStyle="1" w:styleId="ListNumber3Level4">
    <w:name w:val="List Number 3 (Level 4)"/>
    <w:basedOn w:val="Text3"/>
    <w:pPr>
      <w:numPr>
        <w:ilvl w:val="3"/>
        <w:numId w:val="14"/>
      </w:numPr>
      <w:tabs>
        <w:tab w:val="clear" w:pos="3686"/>
      </w:tabs>
      <w:ind w:left="0" w:firstLine="0"/>
    </w:pPr>
    <w:rPr>
      <w:rFonts w:eastAsia="Times New Roman"/>
      <w:lang w:eastAsia="en-GB"/>
    </w:rPr>
  </w:style>
  <w:style w:type="paragraph" w:customStyle="1" w:styleId="ListNumber4Level4">
    <w:name w:val="List Number 4 (Level 4)"/>
    <w:basedOn w:val="Text4"/>
    <w:pPr>
      <w:numPr>
        <w:ilvl w:val="3"/>
        <w:numId w:val="15"/>
      </w:numPr>
      <w:tabs>
        <w:tab w:val="clear" w:pos="3686"/>
      </w:tabs>
      <w:ind w:left="0" w:firstLine="0"/>
    </w:pPr>
    <w:rPr>
      <w:rFonts w:eastAsia="Times New Roman"/>
      <w:lang w:eastAsia="en-GB"/>
    </w:rPr>
  </w:style>
  <w:style w:type="paragraph" w:customStyle="1" w:styleId="Annexetitreacte">
    <w:name w:val="Annexe titre (acte)"/>
    <w:basedOn w:val="Normal"/>
    <w:next w:val="Normal"/>
    <w:pPr>
      <w:jc w:val="center"/>
    </w:pPr>
    <w:rPr>
      <w:rFonts w:eastAsia="Times New Roman"/>
      <w:b/>
      <w:u w:val="single"/>
      <w:lang w:eastAsia="en-GB"/>
    </w:rPr>
  </w:style>
  <w:style w:type="paragraph" w:customStyle="1" w:styleId="Annexetitreexposglobal">
    <w:name w:val="Annexe titre (exposé global)"/>
    <w:basedOn w:val="Normal"/>
    <w:next w:val="Normal"/>
    <w:pPr>
      <w:jc w:val="center"/>
    </w:pPr>
    <w:rPr>
      <w:rFonts w:eastAsia="Times New Roman"/>
      <w:b/>
      <w:u w:val="single"/>
      <w:lang w:eastAsia="en-GB"/>
    </w:rPr>
  </w:style>
  <w:style w:type="paragraph" w:customStyle="1" w:styleId="Annexetitrefichefinacte">
    <w:name w:val="Annexe titre (fiche fin. acte)"/>
    <w:basedOn w:val="Normal"/>
    <w:next w:val="Normal"/>
    <w:pPr>
      <w:jc w:val="center"/>
    </w:pPr>
    <w:rPr>
      <w:rFonts w:eastAsia="Times New Roman"/>
      <w:b/>
      <w:u w:val="single"/>
      <w:lang w:eastAsia="en-GB"/>
    </w:rPr>
  </w:style>
  <w:style w:type="paragraph" w:customStyle="1" w:styleId="Annexetitrefichefinglobale">
    <w:name w:val="Annexe titre (fiche fin. globale)"/>
    <w:basedOn w:val="Normal"/>
    <w:next w:val="Normal"/>
    <w:pPr>
      <w:jc w:val="center"/>
    </w:pPr>
    <w:rPr>
      <w:rFonts w:eastAsia="Times New Roman"/>
      <w:b/>
      <w:u w:val="single"/>
      <w:lang w:eastAsia="en-GB"/>
    </w:rPr>
  </w:style>
  <w:style w:type="paragraph" w:customStyle="1" w:styleId="Annexetitreglobale">
    <w:name w:val="Annexe titre (globale)"/>
    <w:basedOn w:val="Normal"/>
    <w:next w:val="Normal"/>
    <w:pPr>
      <w:jc w:val="center"/>
    </w:pPr>
    <w:rPr>
      <w:rFonts w:eastAsia="Times New Roman"/>
      <w:b/>
      <w:u w:val="single"/>
      <w:lang w:eastAsia="en-GB"/>
    </w:rPr>
  </w:style>
  <w:style w:type="paragraph" w:customStyle="1" w:styleId="Exposdesmotifstitreglobal">
    <w:name w:val="Exposé des motifs titre (global)"/>
    <w:basedOn w:val="Normal"/>
    <w:next w:val="Normal"/>
    <w:pPr>
      <w:jc w:val="center"/>
    </w:pPr>
    <w:rPr>
      <w:rFonts w:eastAsia="Times New Roman"/>
      <w:b/>
      <w:u w:val="single"/>
      <w:lang w:eastAsia="en-GB"/>
    </w:rPr>
  </w:style>
  <w:style w:type="paragraph" w:customStyle="1" w:styleId="Langueoriginale">
    <w:name w:val="Langue originale"/>
    <w:basedOn w:val="Normal"/>
    <w:pPr>
      <w:spacing w:before="360"/>
      <w:jc w:val="center"/>
    </w:pPr>
    <w:rPr>
      <w:rFonts w:eastAsia="Times New Roman"/>
      <w:caps/>
      <w:lang w:eastAsia="en-GB"/>
    </w:rPr>
  </w:style>
  <w:style w:type="paragraph" w:customStyle="1" w:styleId="Phrasefinale">
    <w:name w:val="Phrase finale"/>
    <w:basedOn w:val="Normal"/>
    <w:next w:val="Normal"/>
    <w:pPr>
      <w:spacing w:before="360" w:after="0"/>
      <w:jc w:val="center"/>
    </w:pPr>
    <w:rPr>
      <w:rFonts w:eastAsia="Times New Roman"/>
      <w:lang w:eastAsia="en-GB"/>
    </w:rPr>
  </w:style>
  <w:style w:type="paragraph" w:customStyle="1" w:styleId="Prliminairetitre">
    <w:name w:val="Préliminaire titre"/>
    <w:basedOn w:val="Normal"/>
    <w:next w:val="Normal"/>
    <w:pPr>
      <w:spacing w:before="360" w:after="360"/>
      <w:jc w:val="center"/>
    </w:pPr>
    <w:rPr>
      <w:rFonts w:eastAsia="Times New Roman"/>
      <w:b/>
      <w:lang w:eastAsia="en-GB"/>
    </w:rPr>
  </w:style>
  <w:style w:type="paragraph" w:customStyle="1" w:styleId="Prliminairetype">
    <w:name w:val="Préliminaire type"/>
    <w:basedOn w:val="Normal"/>
    <w:next w:val="Normal"/>
    <w:pPr>
      <w:spacing w:before="360" w:after="0"/>
      <w:jc w:val="center"/>
    </w:pPr>
    <w:rPr>
      <w:rFonts w:eastAsia="Times New Roman"/>
      <w:b/>
      <w:lang w:eastAsia="en-GB"/>
    </w:rPr>
  </w:style>
  <w:style w:type="paragraph" w:customStyle="1" w:styleId="Rfrenceinstitutionelle">
    <w:name w:val="Référence institutionelle"/>
    <w:basedOn w:val="Normal"/>
    <w:next w:val="Statut"/>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pPr>
      <w:spacing w:before="0" w:after="0"/>
      <w:ind w:left="5103"/>
      <w:jc w:val="left"/>
    </w:pPr>
    <w:rPr>
      <w:rFonts w:eastAsia="Times New Roman"/>
      <w:lang w:eastAsia="en-GB"/>
    </w:rPr>
  </w:style>
  <w:style w:type="paragraph" w:customStyle="1" w:styleId="Sous-titreobjetprliminaire">
    <w:name w:val="Sous-titre objet (préliminaire)"/>
    <w:basedOn w:val="Normal"/>
    <w:pPr>
      <w:spacing w:before="0" w:after="0"/>
      <w:jc w:val="center"/>
    </w:pPr>
    <w:rPr>
      <w:rFonts w:eastAsia="Times New Roman"/>
      <w:b/>
      <w:lang w:eastAsia="en-GB"/>
    </w:rPr>
  </w:style>
  <w:style w:type="paragraph" w:customStyle="1" w:styleId="Statutprliminaire">
    <w:name w:val="Statut (préliminaire)"/>
    <w:basedOn w:val="Normal"/>
    <w:next w:val="Normal"/>
    <w:pPr>
      <w:spacing w:before="360" w:after="0"/>
      <w:jc w:val="center"/>
    </w:pPr>
    <w:rPr>
      <w:rFonts w:eastAsia="Times New Roman"/>
      <w:lang w:eastAsia="en-GB"/>
    </w:rPr>
  </w:style>
  <w:style w:type="paragraph" w:customStyle="1" w:styleId="Titreobjetprliminaire">
    <w:name w:val="Titre objet (préliminaire)"/>
    <w:basedOn w:val="Normal"/>
    <w:next w:val="Normal"/>
    <w:pPr>
      <w:spacing w:before="360" w:after="360"/>
      <w:jc w:val="center"/>
    </w:pPr>
    <w:rPr>
      <w:rFonts w:eastAsia="Times New Roman"/>
      <w:b/>
      <w:lang w:eastAsia="en-GB"/>
    </w:rPr>
  </w:style>
  <w:style w:type="paragraph" w:customStyle="1" w:styleId="Typedudocumentprliminaire">
    <w:name w:val="Type du document (préliminaire)"/>
    <w:basedOn w:val="Normal"/>
    <w:next w:val="Normal"/>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pPr>
      <w:jc w:val="center"/>
    </w:pPr>
    <w:rPr>
      <w:rFonts w:eastAsia="Times New Roman"/>
      <w:b/>
      <w:u w:val="single"/>
      <w:lang w:eastAsia="en-GB"/>
    </w:rPr>
  </w:style>
  <w:style w:type="paragraph" w:customStyle="1" w:styleId="Fichefinancirestandardtitreacte">
    <w:name w:val="Fiche financière (standard) titre (acte)"/>
    <w:basedOn w:val="Normal"/>
    <w:next w:val="Normal"/>
    <w:pPr>
      <w:jc w:val="center"/>
    </w:pPr>
    <w:rPr>
      <w:rFonts w:eastAsia="Times New Roman"/>
      <w:b/>
      <w:u w:val="single"/>
      <w:lang w:eastAsia="en-GB"/>
    </w:rPr>
  </w:style>
  <w:style w:type="paragraph" w:customStyle="1" w:styleId="Fichefinanciretravailtitre">
    <w:name w:val="Fiche financière (travail) titre"/>
    <w:basedOn w:val="Normal"/>
    <w:next w:val="Normal"/>
    <w:pPr>
      <w:jc w:val="center"/>
    </w:pPr>
    <w:rPr>
      <w:rFonts w:eastAsia="Times New Roman"/>
      <w:b/>
      <w:u w:val="single"/>
      <w:lang w:eastAsia="en-GB"/>
    </w:rPr>
  </w:style>
  <w:style w:type="paragraph" w:customStyle="1" w:styleId="Fichefinanciretravailtitreacte">
    <w:name w:val="Fiche financière (travail) titre (acte)"/>
    <w:basedOn w:val="Normal"/>
    <w:next w:val="Normal"/>
    <w:pPr>
      <w:jc w:val="center"/>
    </w:pPr>
    <w:rPr>
      <w:rFonts w:eastAsia="Times New Roman"/>
      <w:b/>
      <w:u w:val="single"/>
      <w:lang w:eastAsia="en-GB"/>
    </w:rPr>
  </w:style>
  <w:style w:type="paragraph" w:customStyle="1" w:styleId="Fichefinancireattributiontitre">
    <w:name w:val="Fiche financière (attribution) titre"/>
    <w:basedOn w:val="Normal"/>
    <w:next w:val="Normal"/>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pPr>
      <w:jc w:val="center"/>
    </w:pPr>
    <w:rPr>
      <w:rFonts w:eastAsia="Times New Roman"/>
      <w:b/>
      <w:u w:val="single"/>
      <w:lang w:eastAsia="en-GB"/>
    </w:rPr>
  </w:style>
  <w:style w:type="character" w:styleId="CommentReference">
    <w:name w:val="annotation reference"/>
    <w:rPr>
      <w:rFonts w:cs="Times New Roman"/>
      <w:sz w:val="16"/>
      <w:szCs w:val="16"/>
    </w:rPr>
  </w:style>
  <w:style w:type="paragraph" w:styleId="CommentText">
    <w:name w:val="annotation text"/>
    <w:basedOn w:val="Normal"/>
    <w:link w:val="CommentTextChar"/>
    <w:rPr>
      <w:rFonts w:eastAsia="Times New Roman"/>
      <w:sz w:val="20"/>
      <w:szCs w:val="20"/>
      <w:lang w:eastAsia="en-GB"/>
    </w:rPr>
  </w:style>
  <w:style w:type="character" w:customStyle="1" w:styleId="CommentTextChar">
    <w:name w:val="Comment Text Char"/>
    <w:basedOn w:val="DefaultParagraphFont"/>
    <w:link w:val="CommentText"/>
    <w:rPr>
      <w:rFonts w:ascii="Times New Roman" w:eastAsia="Times New Roman" w:hAnsi="Times New Roman" w:cs="Times New Roman"/>
      <w:sz w:val="20"/>
      <w:szCs w:val="20"/>
      <w:lang w:val="ro-RO" w:eastAsia="en-GB"/>
    </w:rPr>
  </w:style>
  <w:style w:type="paragraph" w:styleId="CommentSubject">
    <w:name w:val="annotation subject"/>
    <w:basedOn w:val="CommentText"/>
    <w:next w:val="CommentText"/>
    <w:link w:val="CommentSubjectChar"/>
    <w:rPr>
      <w:b/>
      <w:bCs/>
    </w:rPr>
  </w:style>
  <w:style w:type="character" w:customStyle="1" w:styleId="CommentSubjectChar">
    <w:name w:val="Comment Subject Char"/>
    <w:basedOn w:val="CommentTextChar"/>
    <w:link w:val="CommentSubject"/>
    <w:rPr>
      <w:rFonts w:ascii="Times New Roman" w:eastAsia="Times New Roman" w:hAnsi="Times New Roman" w:cs="Times New Roman"/>
      <w:b/>
      <w:bCs/>
      <w:sz w:val="20"/>
      <w:szCs w:val="20"/>
      <w:lang w:val="ro-RO" w:eastAsia="en-GB"/>
    </w:rPr>
  </w:style>
  <w:style w:type="paragraph" w:styleId="BalloonText">
    <w:name w:val="Balloon Text"/>
    <w:basedOn w:val="Normal"/>
    <w:link w:val="BalloonTextChar"/>
    <w:rPr>
      <w:rFonts w:ascii="Tahoma" w:eastAsia="Times New Roman" w:hAnsi="Tahoma" w:cs="Tahoma"/>
      <w:sz w:val="16"/>
      <w:szCs w:val="16"/>
      <w:lang w:eastAsia="en-GB"/>
    </w:rPr>
  </w:style>
  <w:style w:type="character" w:customStyle="1" w:styleId="BalloonTextChar">
    <w:name w:val="Balloon Text Char"/>
    <w:basedOn w:val="DefaultParagraphFont"/>
    <w:link w:val="BalloonText"/>
    <w:rPr>
      <w:rFonts w:ascii="Tahoma" w:eastAsia="Times New Roman" w:hAnsi="Tahoma" w:cs="Tahoma"/>
      <w:sz w:val="16"/>
      <w:szCs w:val="16"/>
      <w:lang w:val="ro-RO" w:eastAsia="en-GB"/>
    </w:rPr>
  </w:style>
  <w:style w:type="paragraph" w:styleId="Caption">
    <w:name w:val="caption"/>
    <w:basedOn w:val="Normal"/>
    <w:next w:val="Normal"/>
    <w:qFormat/>
    <w:rPr>
      <w:rFonts w:eastAsia="Times New Roman"/>
      <w:b/>
      <w:bCs/>
      <w:sz w:val="20"/>
      <w:szCs w:val="20"/>
      <w:lang w:eastAsia="en-GB"/>
    </w:rPr>
  </w:style>
  <w:style w:type="paragraph" w:styleId="TableofFigures">
    <w:name w:val="table of figures"/>
    <w:basedOn w:val="Normal"/>
    <w:next w:val="Normal"/>
    <w:rPr>
      <w:rFonts w:eastAsia="Times New Roman"/>
      <w:lang w:eastAsia="en-GB"/>
    </w:rPr>
  </w:style>
  <w:style w:type="character" w:styleId="PageNumber">
    <w:name w:val="page number"/>
  </w:style>
  <w:style w:type="character" w:customStyle="1" w:styleId="tw4winMark">
    <w:name w:val="tw4winMark"/>
    <w:rPr>
      <w:vanish/>
      <w:color w:val="800080"/>
      <w:vertAlign w:val="subscript"/>
    </w:rPr>
  </w:style>
  <w:style w:type="character" w:styleId="FollowedHyperlink">
    <w:name w:val="FollowedHyperlink"/>
    <w:rPr>
      <w:color w:val="800080"/>
      <w:u w:val="single"/>
    </w:rPr>
  </w:style>
  <w:style w:type="paragraph" w:customStyle="1" w:styleId="Sous-titreobjet">
    <w:name w:val="Sous-titre objet"/>
    <w:basedOn w:val="Normal"/>
    <w:pPr>
      <w:spacing w:before="0" w:after="0"/>
      <w:jc w:val="center"/>
    </w:pPr>
    <w:rPr>
      <w:rFonts w:eastAsia="Times New Roman"/>
      <w:b/>
      <w:lang w:eastAsia="en-GB"/>
    </w:rPr>
  </w:style>
  <w:style w:type="paragraph" w:customStyle="1" w:styleId="Sous-titreobjetPagedecouverture">
    <w:name w:val="Sous-titre objet (Page de couverture)"/>
    <w:basedOn w:val="Sous-titreobjet"/>
  </w:style>
  <w:style w:type="paragraph" w:styleId="Revision">
    <w:name w:val="Revision"/>
    <w:hidden/>
    <w:uiPriority w:val="99"/>
    <w:semiHidden/>
    <w:rPr>
      <w:rFonts w:ascii="Calibri" w:eastAsia="Calibri" w:hAnsi="Calibri" w:cs="Times New Roman"/>
      <w:sz w:val="24"/>
      <w:lang w:eastAsia="en-GB"/>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Pr>
      <w:rFonts w:ascii="Times New Roman" w:hAnsi="Times New Roman" w:cs="Times New Roman"/>
      <w:b/>
      <w:sz w:val="28"/>
      <w:lang w:val="ro-RO"/>
    </w:rPr>
  </w:style>
  <w:style w:type="character" w:customStyle="1" w:styleId="FooterCoverPageChar">
    <w:name w:val="Footer Cover Page Char"/>
    <w:link w:val="FooterCoverPage"/>
    <w:rPr>
      <w:rFonts w:ascii="Times New Roman" w:eastAsia="Calibri" w:hAnsi="Times New Roman" w:cs="Times New Roman"/>
      <w:sz w:val="24"/>
      <w:lang w:val="ro-RO" w:eastAsia="en-GB"/>
    </w:rPr>
  </w:style>
  <w:style w:type="paragraph" w:customStyle="1" w:styleId="HeaderCoverPage">
    <w:name w:val="Header Cover Page"/>
    <w:basedOn w:val="Normal"/>
    <w:link w:val="HeaderCoverPageChar"/>
    <w:pPr>
      <w:tabs>
        <w:tab w:val="center" w:pos="4535"/>
        <w:tab w:val="right" w:pos="9071"/>
      </w:tabs>
      <w:spacing w:before="0"/>
    </w:pPr>
    <w:rPr>
      <w:rFonts w:eastAsia="Calibri"/>
      <w:lang w:eastAsia="en-GB"/>
    </w:rPr>
  </w:style>
  <w:style w:type="character" w:customStyle="1" w:styleId="HeaderCoverPageChar">
    <w:name w:val="Header Cover Page Char"/>
    <w:link w:val="HeaderCoverPage"/>
    <w:rPr>
      <w:rFonts w:ascii="Times New Roman" w:eastAsia="Calibri" w:hAnsi="Times New Roman" w:cs="Times New Roman"/>
      <w:sz w:val="24"/>
      <w:lang w:val="ro-RO" w:eastAsia="en-GB"/>
    </w:rPr>
  </w:style>
  <w:style w:type="character" w:customStyle="1" w:styleId="FooterSensitivityChar">
    <w:name w:val="Footer Sensitivity Char"/>
    <w:rPr>
      <w:rFonts w:ascii="Times New Roman" w:hAnsi="Times New Roman" w:cs="Times New Roman"/>
      <w:b/>
      <w:sz w:val="32"/>
      <w:lang w:val="ro-RO"/>
    </w:rPr>
  </w:style>
  <w:style w:type="character" w:customStyle="1" w:styleId="HeaderSensitivityChar">
    <w:name w:val="Header Sensitivity Char"/>
    <w:rPr>
      <w:rFonts w:ascii="Times New Roman" w:hAnsi="Times New Roman" w:cs="Times New Roman"/>
      <w:b/>
      <w:sz w:val="32"/>
      <w:lang w:val="ro-RO"/>
    </w:rPr>
  </w:style>
  <w:style w:type="character" w:customStyle="1" w:styleId="HeaderSensitivityRightChar">
    <w:name w:val="Header Sensitivity Right Char"/>
    <w:rPr>
      <w:rFonts w:ascii="Times New Roman" w:hAnsi="Times New Roman" w:cs="Times New Roman"/>
      <w:sz w:val="28"/>
      <w:lang w:val="ro-RO"/>
    </w:rPr>
  </w:style>
  <w:style w:type="paragraph" w:customStyle="1" w:styleId="LegalNumPar">
    <w:name w:val="LegalNumPar"/>
    <w:basedOn w:val="Normal"/>
    <w:pPr>
      <w:numPr>
        <w:numId w:val="16"/>
      </w:numPr>
      <w:spacing w:line="360" w:lineRule="auto"/>
      <w:ind w:left="0" w:firstLine="0"/>
    </w:pPr>
    <w:rPr>
      <w:rFonts w:eastAsia="Times New Roman"/>
      <w:lang w:eastAsia="en-GB"/>
    </w:rPr>
  </w:style>
  <w:style w:type="paragraph" w:customStyle="1" w:styleId="LegalNumPar2">
    <w:name w:val="LegalNumPar2"/>
    <w:basedOn w:val="Normal"/>
    <w:pPr>
      <w:numPr>
        <w:ilvl w:val="1"/>
        <w:numId w:val="16"/>
      </w:numPr>
      <w:spacing w:line="360" w:lineRule="auto"/>
      <w:ind w:left="0" w:firstLine="0"/>
    </w:pPr>
    <w:rPr>
      <w:rFonts w:eastAsia="Times New Roman"/>
      <w:lang w:eastAsia="en-GB"/>
    </w:rPr>
  </w:style>
  <w:style w:type="paragraph" w:customStyle="1" w:styleId="LegalNumPar3">
    <w:name w:val="LegalNumPar3"/>
    <w:basedOn w:val="Normal"/>
    <w:pPr>
      <w:numPr>
        <w:ilvl w:val="2"/>
        <w:numId w:val="16"/>
      </w:numPr>
      <w:spacing w:line="360" w:lineRule="auto"/>
      <w:ind w:left="0" w:firstLine="0"/>
    </w:pPr>
    <w:rPr>
      <w:rFonts w:eastAsia="Times New Roman"/>
      <w:lang w:eastAsia="en-GB"/>
    </w:rPr>
  </w:style>
  <w:style w:type="paragraph" w:styleId="ListParagraph">
    <w:name w:val="List Paragraph"/>
    <w:basedOn w:val="Normal"/>
    <w:uiPriority w:val="34"/>
    <w:qFormat/>
    <w:pPr>
      <w:ind w:left="720"/>
      <w:contextualSpacing/>
    </w:pPr>
    <w:rPr>
      <w:rFonts w:eastAsia="Times New Roman"/>
      <w:lang w:eastAsia="en-GB"/>
    </w:rPr>
  </w:style>
  <w:style w:type="character" w:styleId="UnresolvedMention">
    <w:name w:val="Unresolved Mention"/>
    <w:basedOn w:val="DefaultParagraphFont"/>
    <w:uiPriority w:val="99"/>
    <w:semiHidden/>
    <w:unhideWhenUsed/>
    <w:rPr>
      <w:color w:val="605E5C"/>
      <w:shd w:val="clear" w:color="auto" w:fill="E1DFDD"/>
    </w:rPr>
  </w:style>
  <w:style w:type="character" w:styleId="Strong">
    <w:name w:val="Strong"/>
    <w:basedOn w:val="DefaultParagraphFont"/>
    <w:qFormat/>
    <w:rPr>
      <w:b/>
      <w:bCs/>
    </w:rPr>
  </w:style>
  <w:style w:type="character" w:styleId="Emphasis">
    <w:name w:val="Emphasis"/>
    <w:basedOn w:val="DefaultParagraphFont"/>
    <w:qFormat/>
    <w:rPr>
      <w:i/>
      <w:iCs/>
    </w:rPr>
  </w:style>
  <w:style w:type="character" w:styleId="Mention">
    <w:name w:val="Mention"/>
    <w:basedOn w:val="DefaultParagraphFont"/>
    <w:uiPriority w:val="99"/>
    <w:unhideWhenUsed/>
    <w:rPr>
      <w:color w:val="2B579A"/>
      <w:shd w:val="clear" w:color="auto" w:fill="E1DFDD"/>
    </w:rPr>
  </w:style>
  <w:style w:type="character" w:customStyle="1" w:styleId="normaltextrun">
    <w:name w:val="normaltextrun"/>
    <w:basedOn w:val="DefaultParagraphFont"/>
  </w:style>
  <w:style w:type="character" w:customStyle="1" w:styleId="eop">
    <w:name w:val="eop"/>
    <w:basedOn w:val="DefaultParagraphFont"/>
  </w:style>
  <w:style w:type="character" w:customStyle="1" w:styleId="HeaderChar">
    <w:name w:val="Header Char"/>
    <w:basedOn w:val="DefaultParagraphFont"/>
    <w:link w:val="Header"/>
    <w:uiPriority w:val="99"/>
    <w:rPr>
      <w:rFonts w:ascii="Times New Roman" w:hAnsi="Times New Roman" w:cs="Times New Roman"/>
      <w:sz w:val="24"/>
      <w:lang w:val="ro-RO"/>
    </w:rPr>
  </w:style>
  <w:style w:type="character" w:customStyle="1" w:styleId="FooterChar">
    <w:name w:val="Footer Char"/>
    <w:basedOn w:val="DefaultParagraphFont"/>
    <w:link w:val="Footer"/>
    <w:uiPriority w:val="99"/>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3"/>
      </w:numPr>
    </w:pPr>
  </w:style>
  <w:style w:type="paragraph" w:customStyle="1" w:styleId="Tiret1">
    <w:name w:val="Tiret 1"/>
    <w:basedOn w:val="Point1"/>
    <w:pPr>
      <w:numPr>
        <w:numId w:val="24"/>
      </w:numPr>
    </w:pPr>
  </w:style>
  <w:style w:type="paragraph" w:customStyle="1" w:styleId="Tiret2">
    <w:name w:val="Tiret 2"/>
    <w:basedOn w:val="Point2"/>
    <w:pPr>
      <w:numPr>
        <w:numId w:val="25"/>
      </w:numPr>
    </w:pPr>
  </w:style>
  <w:style w:type="paragraph" w:customStyle="1" w:styleId="Tiret3">
    <w:name w:val="Tiret 3"/>
    <w:basedOn w:val="Point3"/>
    <w:pPr>
      <w:numPr>
        <w:numId w:val="26"/>
      </w:numPr>
    </w:pPr>
  </w:style>
  <w:style w:type="paragraph" w:customStyle="1" w:styleId="Tiret4">
    <w:name w:val="Tiret 4"/>
    <w:basedOn w:val="Point4"/>
    <w:pPr>
      <w:numPr>
        <w:numId w:val="27"/>
      </w:numPr>
    </w:pPr>
  </w:style>
  <w:style w:type="paragraph" w:customStyle="1" w:styleId="Tiret5">
    <w:name w:val="Tiret 5"/>
    <w:basedOn w:val="Point5"/>
    <w:pPr>
      <w:numPr>
        <w:numId w:val="2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9"/>
      </w:numPr>
    </w:pPr>
  </w:style>
  <w:style w:type="paragraph" w:customStyle="1" w:styleId="NumPar2">
    <w:name w:val="NumPar 2"/>
    <w:basedOn w:val="Normal"/>
    <w:next w:val="Text1"/>
    <w:pPr>
      <w:numPr>
        <w:ilvl w:val="1"/>
        <w:numId w:val="29"/>
      </w:numPr>
    </w:pPr>
  </w:style>
  <w:style w:type="paragraph" w:customStyle="1" w:styleId="NumPar3">
    <w:name w:val="NumPar 3"/>
    <w:basedOn w:val="Normal"/>
    <w:next w:val="Text1"/>
    <w:pPr>
      <w:numPr>
        <w:ilvl w:val="2"/>
        <w:numId w:val="29"/>
      </w:numPr>
    </w:pPr>
  </w:style>
  <w:style w:type="paragraph" w:customStyle="1" w:styleId="NumPar4">
    <w:name w:val="NumPar 4"/>
    <w:basedOn w:val="Normal"/>
    <w:next w:val="Text1"/>
    <w:pPr>
      <w:numPr>
        <w:ilvl w:val="3"/>
        <w:numId w:val="29"/>
      </w:numPr>
    </w:pPr>
  </w:style>
  <w:style w:type="paragraph" w:customStyle="1" w:styleId="NumPar5">
    <w:name w:val="NumPar 5"/>
    <w:basedOn w:val="Normal"/>
    <w:next w:val="Text2"/>
    <w:pPr>
      <w:numPr>
        <w:ilvl w:val="4"/>
        <w:numId w:val="29"/>
      </w:numPr>
    </w:pPr>
  </w:style>
  <w:style w:type="paragraph" w:customStyle="1" w:styleId="NumPar6">
    <w:name w:val="NumPar 6"/>
    <w:basedOn w:val="Normal"/>
    <w:next w:val="Text2"/>
    <w:pPr>
      <w:numPr>
        <w:ilvl w:val="5"/>
        <w:numId w:val="29"/>
      </w:numPr>
    </w:pPr>
  </w:style>
  <w:style w:type="paragraph" w:customStyle="1" w:styleId="NumPar7">
    <w:name w:val="NumPar 7"/>
    <w:basedOn w:val="Normal"/>
    <w:next w:val="Text2"/>
    <w:pPr>
      <w:numPr>
        <w:ilvl w:val="6"/>
        <w:numId w:val="2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1"/>
      </w:numPr>
    </w:pPr>
  </w:style>
  <w:style w:type="paragraph" w:customStyle="1" w:styleId="Point1number">
    <w:name w:val="Point 1 (number)"/>
    <w:basedOn w:val="Normal"/>
    <w:pPr>
      <w:numPr>
        <w:ilvl w:val="2"/>
        <w:numId w:val="31"/>
      </w:numPr>
    </w:pPr>
  </w:style>
  <w:style w:type="paragraph" w:customStyle="1" w:styleId="Point2number">
    <w:name w:val="Point 2 (number)"/>
    <w:basedOn w:val="Normal"/>
    <w:pPr>
      <w:numPr>
        <w:ilvl w:val="4"/>
        <w:numId w:val="31"/>
      </w:numPr>
    </w:pPr>
  </w:style>
  <w:style w:type="paragraph" w:customStyle="1" w:styleId="Point3number">
    <w:name w:val="Point 3 (number)"/>
    <w:basedOn w:val="Normal"/>
    <w:pPr>
      <w:numPr>
        <w:ilvl w:val="6"/>
        <w:numId w:val="31"/>
      </w:numPr>
    </w:pPr>
  </w:style>
  <w:style w:type="paragraph" w:customStyle="1" w:styleId="Point0letter">
    <w:name w:val="Point 0 (letter)"/>
    <w:basedOn w:val="Normal"/>
    <w:pPr>
      <w:numPr>
        <w:ilvl w:val="1"/>
        <w:numId w:val="31"/>
      </w:numPr>
    </w:pPr>
  </w:style>
  <w:style w:type="paragraph" w:customStyle="1" w:styleId="Point1letter">
    <w:name w:val="Point 1 (letter)"/>
    <w:basedOn w:val="Normal"/>
    <w:pPr>
      <w:numPr>
        <w:ilvl w:val="3"/>
        <w:numId w:val="31"/>
      </w:numPr>
    </w:pPr>
  </w:style>
  <w:style w:type="paragraph" w:customStyle="1" w:styleId="Point2letter">
    <w:name w:val="Point 2 (letter)"/>
    <w:basedOn w:val="Normal"/>
    <w:pPr>
      <w:numPr>
        <w:ilvl w:val="5"/>
        <w:numId w:val="31"/>
      </w:numPr>
    </w:pPr>
  </w:style>
  <w:style w:type="paragraph" w:customStyle="1" w:styleId="Point3letter">
    <w:name w:val="Point 3 (letter)"/>
    <w:basedOn w:val="Normal"/>
    <w:pPr>
      <w:numPr>
        <w:ilvl w:val="7"/>
        <w:numId w:val="31"/>
      </w:numPr>
    </w:pPr>
  </w:style>
  <w:style w:type="paragraph" w:customStyle="1" w:styleId="Point4letter">
    <w:name w:val="Point 4 (letter)"/>
    <w:basedOn w:val="Normal"/>
    <w:pPr>
      <w:numPr>
        <w:ilvl w:val="8"/>
        <w:numId w:val="31"/>
      </w:numPr>
    </w:pPr>
  </w:style>
  <w:style w:type="paragraph" w:customStyle="1" w:styleId="Bullet0">
    <w:name w:val="Bullet 0"/>
    <w:basedOn w:val="Normal"/>
    <w:pPr>
      <w:numPr>
        <w:numId w:val="32"/>
      </w:numPr>
    </w:pPr>
  </w:style>
  <w:style w:type="paragraph" w:customStyle="1" w:styleId="Bullet1">
    <w:name w:val="Bullet 1"/>
    <w:basedOn w:val="Normal"/>
    <w:pPr>
      <w:numPr>
        <w:numId w:val="33"/>
      </w:numPr>
    </w:pPr>
  </w:style>
  <w:style w:type="paragraph" w:customStyle="1" w:styleId="Bullet2">
    <w:name w:val="Bullet 2"/>
    <w:basedOn w:val="Normal"/>
    <w:pPr>
      <w:numPr>
        <w:numId w:val="34"/>
      </w:numPr>
    </w:pPr>
  </w:style>
  <w:style w:type="paragraph" w:customStyle="1" w:styleId="Bullet3">
    <w:name w:val="Bullet 3"/>
    <w:basedOn w:val="Normal"/>
    <w:pPr>
      <w:numPr>
        <w:numId w:val="35"/>
      </w:numPr>
    </w:pPr>
  </w:style>
  <w:style w:type="paragraph" w:customStyle="1" w:styleId="Bullet4">
    <w:name w:val="Bullet 4"/>
    <w:basedOn w:val="Normal"/>
    <w:pPr>
      <w:numPr>
        <w:numId w:val="36"/>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2.xml"/><Relationship Id="rId18" Type="http://schemas.openxmlformats.org/officeDocument/2006/relationships/footer" Target="footer7.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4.xm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footer" Target="footer6.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oter" Target="footer5.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ec/2023/1116/oj" TargetMode="External"/><Relationship Id="rId2" Type="http://schemas.openxmlformats.org/officeDocument/2006/relationships/hyperlink" Target="http://data.europa.eu/eli/notice/2025/1962/oj" TargetMode="External"/><Relationship Id="rId1" Type="http://schemas.openxmlformats.org/officeDocument/2006/relationships/hyperlink" Target="https://ec.europa.eu/info/law/better-regulation/have-your-say/initiatives/18352-European-maritime-fisheries-and-aquaculture-fund-amendment-for-simplification-and-to-transpose-the-WTO-agreement/feedback_en?p_id=24857" TargetMode="External"/><Relationship Id="rId5" Type="http://schemas.openxmlformats.org/officeDocument/2006/relationships/hyperlink" Target="http://data.europa.eu/eli/reg/2009/1224/oj" TargetMode="External"/><Relationship Id="rId4" Type="http://schemas.openxmlformats.org/officeDocument/2006/relationships/hyperlink" Target="http://data.europa.eu/eli/reg/2008/1005/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COM.dotm</Template>
  <TotalTime>7</TotalTime>
  <Pages>28</Pages>
  <Words>12001</Words>
  <Characters>68412</Characters>
  <Application>Microsoft Office Word</Application>
  <DocSecurity>0</DocSecurity>
  <Lines>570</Lines>
  <Paragraphs>160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80253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17</cp:revision>
  <dcterms:created xsi:type="dcterms:W3CDTF">2026-09-17T15:18:00Z</dcterms:created>
  <dcterms:modified xsi:type="dcterms:W3CDTF">2026-09-22T14:16:00Z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SJ-023</vt:lpwstr>
  </property>
  <property fmtid="{D5CDD505-2E9C-101B-9397-08002B2CF9AE}" pid="10" name="MSIP_Label_6bd9ddd1-4d20-43f6-abfa-fc3c07406f94_Enabled">
    <vt:lpwstr>true</vt:lpwstr>
  </property>
  <property fmtid="{D5CDD505-2E9C-101B-9397-08002B2CF9AE}" pid="11" name="MSIP_Label_6bd9ddd1-4d20-43f6-abfa-fc3c07406f94_SetDate">
    <vt:lpwstr>2026-09-17T13:28:22Z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807ec2d9-bdfc-4272-8e81-08782503c974</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DQCStatus">
    <vt:lpwstr>Green (DQC version 03)</vt:lpwstr>
  </property>
</Properties>
</file>